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9.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0.xml" ContentType="application/vnd.openxmlformats-officedocument.wordprocessingml.header+xml"/>
  <Override PartName="/word/header21.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4604A" w14:textId="785FEB72" w:rsidR="00981FAF" w:rsidRPr="004E7EB5" w:rsidRDefault="0035179A" w:rsidP="00CA2773">
      <w:bookmarkStart w:id="0" w:name="_Toc457901545"/>
      <w:bookmarkStart w:id="1" w:name="_Toc461379848"/>
      <w:r w:rsidRPr="004E7EB5">
        <w:rPr>
          <w:noProof/>
          <w:lang w:eastAsia="en-AU"/>
        </w:rPr>
        <mc:AlternateContent>
          <mc:Choice Requires="wps">
            <w:drawing>
              <wp:anchor distT="0" distB="0" distL="114300" distR="114300" simplePos="0" relativeHeight="251659264" behindDoc="0" locked="0" layoutInCell="1" allowOverlap="1" wp14:anchorId="47DC912B" wp14:editId="55B769BA">
                <wp:simplePos x="0" y="0"/>
                <wp:positionH relativeFrom="column">
                  <wp:posOffset>-314960</wp:posOffset>
                </wp:positionH>
                <wp:positionV relativeFrom="paragraph">
                  <wp:posOffset>26670</wp:posOffset>
                </wp:positionV>
                <wp:extent cx="6432550" cy="25019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0" cy="2501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1EE0B" w14:textId="52C7886A" w:rsidR="00174B32" w:rsidRDefault="00174B32" w:rsidP="00BF37DE">
                            <w:pPr>
                              <w:pStyle w:val="Title"/>
                              <w:jc w:val="left"/>
                              <w:rPr>
                                <w:color w:val="8C863E" w:themeColor="background2" w:themeShade="80"/>
                                <w:sz w:val="36"/>
                                <w:szCs w:val="36"/>
                              </w:rPr>
                            </w:pPr>
                            <w:r>
                              <w:rPr>
                                <w:color w:val="8C863E" w:themeColor="background2" w:themeShade="80"/>
                                <w:sz w:val="36"/>
                                <w:szCs w:val="36"/>
                              </w:rPr>
                              <w:t>NOVEMBER 2017</w:t>
                            </w:r>
                          </w:p>
                          <w:p w14:paraId="15160520" w14:textId="177FA460" w:rsidR="00174B32" w:rsidRPr="00A15237" w:rsidRDefault="00174B32" w:rsidP="00F728EA">
                            <w:pPr>
                              <w:pStyle w:val="Title"/>
                              <w:pBdr>
                                <w:top w:val="single" w:sz="12" w:space="23" w:color="9CBEBD" w:themeColor="accent2"/>
                              </w:pBdr>
                              <w:jc w:val="left"/>
                            </w:pPr>
                            <w:r w:rsidRPr="00BF37DE">
                              <w:rPr>
                                <w:color w:val="8C863E" w:themeColor="background2" w:themeShade="80"/>
                              </w:rPr>
                              <w:t>I</w:t>
                            </w:r>
                            <w:r>
                              <w:rPr>
                                <w:color w:val="8C863E" w:themeColor="background2" w:themeShade="80"/>
                              </w:rPr>
                              <w:t xml:space="preserve">ntegrated </w:t>
                            </w:r>
                            <w:r w:rsidRPr="00BF37DE">
                              <w:rPr>
                                <w:color w:val="8C863E" w:themeColor="background2" w:themeShade="80"/>
                              </w:rPr>
                              <w:t>E</w:t>
                            </w:r>
                            <w:r>
                              <w:rPr>
                                <w:color w:val="8C863E" w:themeColor="background2" w:themeShade="80"/>
                              </w:rPr>
                              <w:t xml:space="preserve">cosystem </w:t>
                            </w:r>
                            <w:r w:rsidRPr="00BF37DE">
                              <w:rPr>
                                <w:color w:val="8C863E" w:themeColor="background2" w:themeShade="80"/>
                              </w:rPr>
                              <w:t>C</w:t>
                            </w:r>
                            <w:r>
                              <w:rPr>
                                <w:color w:val="8C863E" w:themeColor="background2" w:themeShade="80"/>
                              </w:rPr>
                              <w:t xml:space="preserve">ondition </w:t>
                            </w:r>
                            <w:r w:rsidRPr="00BF37DE">
                              <w:rPr>
                                <w:color w:val="8C863E" w:themeColor="background2" w:themeShade="80"/>
                              </w:rPr>
                              <w:t>A</w:t>
                            </w:r>
                            <w:r>
                              <w:rPr>
                                <w:color w:val="8C863E" w:themeColor="background2" w:themeShade="80"/>
                              </w:rPr>
                              <w:t>ssessment Framework:</w:t>
                            </w:r>
                            <w:r w:rsidRPr="00BF37DE">
                              <w:rPr>
                                <w:color w:val="8C863E" w:themeColor="background2" w:themeShade="80"/>
                              </w:rPr>
                              <w:t xml:space="preserve"> </w:t>
                            </w:r>
                            <w:r>
                              <w:rPr>
                                <w:color w:val="8C863E" w:themeColor="background2" w:themeShade="80"/>
                              </w:rPr>
                              <w:t xml:space="preserve">Guidance </w:t>
                            </w:r>
                            <w:r w:rsidRPr="00BF37DE">
                              <w:rPr>
                                <w:color w:val="8C863E" w:themeColor="background2" w:themeShade="80"/>
                              </w:rPr>
                              <w:t>Manual</w:t>
                            </w:r>
                          </w:p>
                          <w:p w14:paraId="08CF4A1C" w14:textId="77777777" w:rsidR="00174B32" w:rsidRPr="00F728EA" w:rsidRDefault="00174B32" w:rsidP="00F728EA"/>
                          <w:p w14:paraId="135AD177" w14:textId="77777777" w:rsidR="00174B32" w:rsidRDefault="00174B32" w:rsidP="00981F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DC912B" id="Rectangle 1" o:spid="_x0000_s1026" style="position:absolute;left:0;text-align:left;margin-left:-24.8pt;margin-top:2.1pt;width:506.5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" fillcolor="#edece4 [660]" stroked="f" strokeweight="2pt">
                <v:path arrowok="t"/>
                <v:textbox>
                  <w:txbxContent>
                    <w:p w14:paraId="7001EE0B" w14:textId="52C7886A" w:rsidR="00174B32" w:rsidRDefault="00174B32" w:rsidP="00BF37DE">
                      <w:pPr>
                        <w:pStyle w:val="Title"/>
                        <w:jc w:val="left"/>
                        <w:rPr>
                          <w:color w:val="8C863E" w:themeColor="background2" w:themeShade="80"/>
                          <w:sz w:val="36"/>
                          <w:szCs w:val="36"/>
                        </w:rPr>
                      </w:pPr>
                      <w:r>
                        <w:rPr>
                          <w:color w:val="8C863E" w:themeColor="background2" w:themeShade="80"/>
                          <w:sz w:val="36"/>
                          <w:szCs w:val="36"/>
                        </w:rPr>
                        <w:t>NOVEMBER 2017</w:t>
                      </w:r>
                    </w:p>
                    <w:p w14:paraId="15160520" w14:textId="177FA460" w:rsidR="00174B32" w:rsidRPr="00A15237" w:rsidRDefault="00174B32" w:rsidP="00F728EA">
                      <w:pPr>
                        <w:pStyle w:val="Title"/>
                        <w:pBdr>
                          <w:top w:val="single" w:sz="12" w:space="23" w:color="9CBEBD" w:themeColor="accent2"/>
                        </w:pBdr>
                        <w:jc w:val="left"/>
                      </w:pPr>
                      <w:r w:rsidRPr="00BF37DE">
                        <w:rPr>
                          <w:color w:val="8C863E" w:themeColor="background2" w:themeShade="80"/>
                        </w:rPr>
                        <w:t>I</w:t>
                      </w:r>
                      <w:r>
                        <w:rPr>
                          <w:color w:val="8C863E" w:themeColor="background2" w:themeShade="80"/>
                        </w:rPr>
                        <w:t xml:space="preserve">ntegrated </w:t>
                      </w:r>
                      <w:r w:rsidRPr="00BF37DE">
                        <w:rPr>
                          <w:color w:val="8C863E" w:themeColor="background2" w:themeShade="80"/>
                        </w:rPr>
                        <w:t>E</w:t>
                      </w:r>
                      <w:r>
                        <w:rPr>
                          <w:color w:val="8C863E" w:themeColor="background2" w:themeShade="80"/>
                        </w:rPr>
                        <w:t xml:space="preserve">cosystem </w:t>
                      </w:r>
                      <w:r w:rsidRPr="00BF37DE">
                        <w:rPr>
                          <w:color w:val="8C863E" w:themeColor="background2" w:themeShade="80"/>
                        </w:rPr>
                        <w:t>C</w:t>
                      </w:r>
                      <w:r>
                        <w:rPr>
                          <w:color w:val="8C863E" w:themeColor="background2" w:themeShade="80"/>
                        </w:rPr>
                        <w:t xml:space="preserve">ondition </w:t>
                      </w:r>
                      <w:r w:rsidRPr="00BF37DE">
                        <w:rPr>
                          <w:color w:val="8C863E" w:themeColor="background2" w:themeShade="80"/>
                        </w:rPr>
                        <w:t>A</w:t>
                      </w:r>
                      <w:r>
                        <w:rPr>
                          <w:color w:val="8C863E" w:themeColor="background2" w:themeShade="80"/>
                        </w:rPr>
                        <w:t>ssessment Framework:</w:t>
                      </w:r>
                      <w:r w:rsidRPr="00BF37DE">
                        <w:rPr>
                          <w:color w:val="8C863E" w:themeColor="background2" w:themeShade="80"/>
                        </w:rPr>
                        <w:t xml:space="preserve"> </w:t>
                      </w:r>
                      <w:r>
                        <w:rPr>
                          <w:color w:val="8C863E" w:themeColor="background2" w:themeShade="80"/>
                        </w:rPr>
                        <w:t xml:space="preserve">Guidance </w:t>
                      </w:r>
                      <w:r w:rsidRPr="00BF37DE">
                        <w:rPr>
                          <w:color w:val="8C863E" w:themeColor="background2" w:themeShade="80"/>
                        </w:rPr>
                        <w:t>Manual</w:t>
                      </w:r>
                    </w:p>
                    <w:p w14:paraId="08CF4A1C" w14:textId="77777777" w:rsidR="00174B32" w:rsidRPr="00F728EA" w:rsidRDefault="00174B32" w:rsidP="00F728EA"/>
                    <w:p w14:paraId="135AD177" w14:textId="77777777" w:rsidR="00174B32" w:rsidRDefault="00174B32" w:rsidP="00981FAF">
                      <w:pPr>
                        <w:jc w:val="center"/>
                      </w:pPr>
                    </w:p>
                  </w:txbxContent>
                </v:textbox>
              </v:rect>
            </w:pict>
          </mc:Fallback>
        </mc:AlternateContent>
      </w:r>
      <w:bookmarkEnd w:id="0"/>
      <w:bookmarkEnd w:id="1"/>
    </w:p>
    <w:p w14:paraId="164EAF75" w14:textId="77777777" w:rsidR="00981FAF" w:rsidRPr="004E7EB5" w:rsidRDefault="00981FAF" w:rsidP="00981FAF"/>
    <w:p w14:paraId="63ADD44C" w14:textId="63091BD8" w:rsidR="00981FAF" w:rsidRPr="004E7EB5" w:rsidRDefault="0035179A">
      <w:r w:rsidRPr="004E7EB5">
        <w:rPr>
          <w:noProof/>
          <w:lang w:eastAsia="en-AU"/>
        </w:rPr>
        <mc:AlternateContent>
          <mc:Choice Requires="wps">
            <w:drawing>
              <wp:anchor distT="0" distB="0" distL="114300" distR="114300" simplePos="0" relativeHeight="251660288" behindDoc="0" locked="0" layoutInCell="1" allowOverlap="1" wp14:anchorId="73BA0066" wp14:editId="0E8D6FDD">
                <wp:simplePos x="0" y="0"/>
                <wp:positionH relativeFrom="column">
                  <wp:posOffset>-314960</wp:posOffset>
                </wp:positionH>
                <wp:positionV relativeFrom="paragraph">
                  <wp:posOffset>1456690</wp:posOffset>
                </wp:positionV>
                <wp:extent cx="6432550" cy="368300"/>
                <wp:effectExtent l="0" t="0" r="635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0" cy="3683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D158BAF" id="Rectangle 2" o:spid="_x0000_s1026" style="position:absolute;margin-left:-24.8pt;margin-top:114.7pt;width:506.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" fillcolor="#a9a57c [3204]" strokecolor="white [3212]" strokeweight="2pt">
                <v:path arrowok="t"/>
              </v:rect>
            </w:pict>
          </mc:Fallback>
        </mc:AlternateContent>
      </w:r>
      <w:r w:rsidR="00B224C2" w:rsidRPr="004E7EB5">
        <w:rPr>
          <w:noProof/>
          <w:lang w:eastAsia="en-AU"/>
        </w:rPr>
        <w:drawing>
          <wp:anchor distT="0" distB="0" distL="114300" distR="114300" simplePos="0" relativeHeight="251661312" behindDoc="0" locked="0" layoutInCell="1" allowOverlap="1" wp14:anchorId="41AE4AD5" wp14:editId="567997EE">
            <wp:simplePos x="0" y="0"/>
            <wp:positionH relativeFrom="column">
              <wp:posOffset>-296214</wp:posOffset>
            </wp:positionH>
            <wp:positionV relativeFrom="paragraph">
              <wp:posOffset>1916787</wp:posOffset>
            </wp:positionV>
            <wp:extent cx="6396168" cy="6217097"/>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y Scrub swamp Craig Allen2615.JPG"/>
                    <pic:cNvPicPr/>
                  </pic:nvPicPr>
                  <pic:blipFill>
                    <a:blip r:embed="rId8">
                      <a:extLst>
                        <a:ext uri="{28A0092B-C50C-407E-A947-70E740481C1C}">
                          <a14:useLocalDpi xmlns:a14="http://schemas.microsoft.com/office/drawing/2010/main" val="0"/>
                        </a:ext>
                      </a:extLst>
                    </a:blip>
                    <a:stretch>
                      <a:fillRect/>
                    </a:stretch>
                  </pic:blipFill>
                  <pic:spPr>
                    <a:xfrm>
                      <a:off x="0" y="0"/>
                      <a:ext cx="6407150" cy="6227772"/>
                    </a:xfrm>
                    <a:prstGeom prst="rect">
                      <a:avLst/>
                    </a:prstGeom>
                  </pic:spPr>
                </pic:pic>
              </a:graphicData>
            </a:graphic>
          </wp:anchor>
        </w:drawing>
      </w:r>
      <w:r w:rsidR="00981FAF" w:rsidRPr="004E7EB5">
        <w:br w:type="page"/>
      </w:r>
    </w:p>
    <w:p w14:paraId="0B914863" w14:textId="77777777" w:rsidR="00C9331E" w:rsidRPr="004E7EB5" w:rsidRDefault="00C9331E" w:rsidP="00C9331E">
      <w:pPr>
        <w:rPr>
          <w:b/>
        </w:rPr>
      </w:pPr>
      <w:r w:rsidRPr="004E7EB5">
        <w:rPr>
          <w:b/>
        </w:rPr>
        <w:lastRenderedPageBreak/>
        <w:t>Published by</w:t>
      </w:r>
    </w:p>
    <w:p w14:paraId="5F92AE84" w14:textId="62B3711D" w:rsidR="00C9331E" w:rsidRPr="004E7EB5" w:rsidRDefault="00C9331E" w:rsidP="00C9331E">
      <w:bookmarkStart w:id="2" w:name="_GoBack"/>
      <w:r w:rsidRPr="004E7EB5">
        <w:t xml:space="preserve">Department of </w:t>
      </w:r>
      <w:r w:rsidR="00716565">
        <w:t xml:space="preserve">the </w:t>
      </w:r>
      <w:r w:rsidRPr="004E7EB5">
        <w:t>Environment and Energy</w:t>
      </w:r>
    </w:p>
    <w:bookmarkEnd w:id="2"/>
    <w:p w14:paraId="193DF2C5" w14:textId="77777777" w:rsidR="00C9331E" w:rsidRPr="004E7EB5" w:rsidRDefault="00C9331E" w:rsidP="00C9331E">
      <w:pPr>
        <w:rPr>
          <w:b/>
        </w:rPr>
      </w:pPr>
      <w:r w:rsidRPr="004E7EB5">
        <w:rPr>
          <w:b/>
        </w:rPr>
        <w:t>Authors/endorsement</w:t>
      </w:r>
    </w:p>
    <w:p w14:paraId="5A2DC2E6" w14:textId="310A3FA7" w:rsidR="00C9331E" w:rsidRPr="004E7EB5" w:rsidRDefault="00EF74DD" w:rsidP="00C9331E">
      <w:r>
        <w:t>Endorsed in consultation with Wetlands and Aquatic Ecosystems Sub Committee (WAESC)</w:t>
      </w:r>
      <w:r w:rsidR="00C9331E" w:rsidRPr="004E7EB5">
        <w:t>.</w:t>
      </w:r>
    </w:p>
    <w:p w14:paraId="289AD3A3" w14:textId="58357556" w:rsidR="00C9331E" w:rsidRPr="004E7EB5" w:rsidRDefault="00C9331E" w:rsidP="00C9331E">
      <w:r w:rsidRPr="004E7EB5">
        <w:t>© Commonwealth of Australia 2017</w:t>
      </w:r>
    </w:p>
    <w:p w14:paraId="5B2392E0" w14:textId="0DBDF484" w:rsidR="00C9331E" w:rsidRPr="004E7EB5" w:rsidRDefault="00C9331E" w:rsidP="00C9331E">
      <w:r w:rsidRPr="004E7EB5">
        <w:t xml:space="preserve">This work is copyright. You may download, display, print and reproduce this material in unaltered form only (retaining this notice) for your personal, non-commercial use or use within your organisation. Apart from any use as permitted under the </w:t>
      </w:r>
      <w:r w:rsidRPr="004E7EB5">
        <w:rPr>
          <w:i/>
        </w:rPr>
        <w:t>Copyright Act 1968</w:t>
      </w:r>
      <w:r w:rsidRPr="004E7EB5">
        <w:t xml:space="preserve"> (Cwlth), all other rights are reserved. Requests and enquiries concerning reproduction and rights should be addressed to Department of </w:t>
      </w:r>
      <w:r w:rsidR="00716565">
        <w:t xml:space="preserve">the </w:t>
      </w:r>
      <w:r w:rsidRPr="004E7EB5">
        <w:t xml:space="preserve">Environment and Energy, </w:t>
      </w:r>
      <w:r w:rsidRPr="00916966">
        <w:t xml:space="preserve">GPO Box 787 Canberra ACT 2601 or email </w:t>
      </w:r>
      <w:hyperlink r:id="rId9" w:history="1">
        <w:r w:rsidRPr="00916966">
          <w:rPr>
            <w:rStyle w:val="Hyperlink"/>
          </w:rPr>
          <w:t>public.affairs@environment.gov.au</w:t>
        </w:r>
      </w:hyperlink>
      <w:r w:rsidR="00DB7A5B">
        <w:rPr>
          <w:rStyle w:val="Hyperlink"/>
        </w:rPr>
        <w:t>.</w:t>
      </w:r>
      <w:r w:rsidRPr="004E7EB5">
        <w:t xml:space="preserve"> </w:t>
      </w:r>
    </w:p>
    <w:p w14:paraId="7EC689BE" w14:textId="77777777" w:rsidR="00C9331E" w:rsidRPr="004E7EB5" w:rsidRDefault="00C9331E" w:rsidP="00C9331E">
      <w:pPr>
        <w:rPr>
          <w:b/>
        </w:rPr>
      </w:pPr>
      <w:r w:rsidRPr="004E7EB5">
        <w:rPr>
          <w:b/>
        </w:rPr>
        <w:t>Disclaimer</w:t>
      </w:r>
    </w:p>
    <w:p w14:paraId="219F2D38" w14:textId="4B5A2772" w:rsidR="00C9331E" w:rsidRPr="004E7EB5" w:rsidRDefault="00C9331E" w:rsidP="00C9331E">
      <w:r w:rsidRPr="004E7EB5">
        <w:t>The views and opinions expressed in this publication are those of the authors and do not necessarily reflect those of the Australian Government or the Minister for</w:t>
      </w:r>
      <w:r w:rsidR="00716565">
        <w:t xml:space="preserve"> the</w:t>
      </w:r>
      <w:r w:rsidRPr="004E7EB5">
        <w:t xml:space="preserve"> Environment and Energy.</w:t>
      </w:r>
    </w:p>
    <w:p w14:paraId="7C09A4B4" w14:textId="367E2178" w:rsidR="00C9331E" w:rsidRPr="004E7EB5" w:rsidRDefault="00C9331E" w:rsidP="00C9331E">
      <w:r w:rsidRPr="004E7EB5">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900794A" w14:textId="77777777" w:rsidR="00C9331E" w:rsidRPr="004E7EB5" w:rsidRDefault="00C9331E" w:rsidP="00C9331E">
      <w:pPr>
        <w:rPr>
          <w:b/>
        </w:rPr>
      </w:pPr>
      <w:r w:rsidRPr="004E7EB5">
        <w:rPr>
          <w:b/>
        </w:rPr>
        <w:t>Citation</w:t>
      </w:r>
    </w:p>
    <w:p w14:paraId="4239D4F0" w14:textId="2EFBCA84" w:rsidR="00C9331E" w:rsidRPr="004E7EB5" w:rsidRDefault="00716565" w:rsidP="00C9331E">
      <w:r w:rsidRPr="004E7EB5">
        <w:t xml:space="preserve">The Aquatic Ecosystems Toolkit is a series of documents to guide </w:t>
      </w:r>
      <w:r w:rsidRPr="00CC70D3">
        <w:t xml:space="preserve">classifying and assessing the condition of </w:t>
      </w:r>
      <w:r>
        <w:t>aquatic ecosystems, and provide</w:t>
      </w:r>
      <w:r w:rsidRPr="00CC70D3">
        <w:t xml:space="preserve"> guidance</w:t>
      </w:r>
      <w:r>
        <w:t xml:space="preserve"> on how</w:t>
      </w:r>
      <w:r w:rsidRPr="00CC70D3">
        <w:t xml:space="preserve"> to identify high ecological value aquatic ecosystems</w:t>
      </w:r>
      <w:r w:rsidRPr="004E7EB5">
        <w:t xml:space="preserve">. </w:t>
      </w:r>
      <w:r w:rsidR="00C9331E" w:rsidRPr="004E7EB5">
        <w:t>The Modules in the series are:</w:t>
      </w:r>
    </w:p>
    <w:p w14:paraId="3FAAD8D9" w14:textId="77777777" w:rsidR="00C9331E" w:rsidRPr="004E7EB5" w:rsidRDefault="00C9331E" w:rsidP="00C9331E">
      <w:pPr>
        <w:ind w:left="720"/>
      </w:pPr>
      <w:r w:rsidRPr="004E7EB5">
        <w:t>Module 1: Aquatic Ecosystems Toolkit Guidance Paper</w:t>
      </w:r>
    </w:p>
    <w:p w14:paraId="184DD89F" w14:textId="77777777" w:rsidR="00C9331E" w:rsidRPr="004E7EB5" w:rsidRDefault="00C9331E" w:rsidP="00C9331E">
      <w:pPr>
        <w:ind w:left="720"/>
      </w:pPr>
      <w:r w:rsidRPr="004E7EB5">
        <w:t>Module 2: Interim Australian National Aquatic Ecosystem (ANAE) Classification Framework</w:t>
      </w:r>
    </w:p>
    <w:p w14:paraId="7D7C12CA" w14:textId="77777777" w:rsidR="00C9331E" w:rsidRPr="004E7EB5" w:rsidRDefault="00C9331E" w:rsidP="00C9331E">
      <w:pPr>
        <w:ind w:left="720"/>
      </w:pPr>
      <w:r w:rsidRPr="004E7EB5">
        <w:t>Module 3: Guidelines for Identifying High Ecological Value Aquatic Ecosystems (HEVAE)</w:t>
      </w:r>
    </w:p>
    <w:p w14:paraId="1BE9D715" w14:textId="77777777" w:rsidR="00C9331E" w:rsidRPr="004E7EB5" w:rsidRDefault="00C9331E" w:rsidP="00C9331E">
      <w:pPr>
        <w:ind w:left="720"/>
      </w:pPr>
      <w:r w:rsidRPr="004E7EB5">
        <w:t>Module 4: Aquatic Ecosystem Delineation and Description Guidelines</w:t>
      </w:r>
    </w:p>
    <w:p w14:paraId="74ECF24E" w14:textId="726AE66C" w:rsidR="00C9331E" w:rsidRPr="004E7EB5" w:rsidRDefault="00C9331E" w:rsidP="00C9331E">
      <w:pPr>
        <w:ind w:left="720"/>
      </w:pPr>
      <w:r w:rsidRPr="004E7EB5">
        <w:t xml:space="preserve">Module 5: Integrated </w:t>
      </w:r>
      <w:r w:rsidR="00A64197">
        <w:t>Ecosystem</w:t>
      </w:r>
      <w:r w:rsidRPr="004E7EB5">
        <w:t xml:space="preserve"> Condition Assessment (IECA) Framework</w:t>
      </w:r>
    </w:p>
    <w:p w14:paraId="64A337B2" w14:textId="77777777" w:rsidR="00C9331E" w:rsidRPr="004E7EB5" w:rsidRDefault="00C9331E" w:rsidP="00C9331E">
      <w:r w:rsidRPr="004E7EB5">
        <w:t>This document is Module 5 and should be cited as:</w:t>
      </w:r>
    </w:p>
    <w:p w14:paraId="649C9342" w14:textId="4A4F64F9" w:rsidR="00C9331E" w:rsidRPr="004E7EB5" w:rsidRDefault="00C9331E" w:rsidP="00C9331E">
      <w:r w:rsidRPr="004E7EB5">
        <w:t xml:space="preserve">Department of </w:t>
      </w:r>
      <w:r w:rsidR="00716565">
        <w:t xml:space="preserve">the </w:t>
      </w:r>
      <w:r w:rsidRPr="004E7EB5">
        <w:t xml:space="preserve">Environment and Energy (2017). Aquatic Ecosystems Toolkit. Module 5: Integrated Ecosystem Condition Assessment. Australian Government Department of </w:t>
      </w:r>
      <w:r w:rsidR="00716565">
        <w:t xml:space="preserve">the </w:t>
      </w:r>
      <w:r w:rsidRPr="004E7EB5">
        <w:t>Environment and Energy, Canberra.</w:t>
      </w:r>
    </w:p>
    <w:p w14:paraId="1EB65BAD" w14:textId="22503F12" w:rsidR="00382817" w:rsidRPr="004E7EB5" w:rsidRDefault="00C9331E" w:rsidP="00C9331E">
      <w:r w:rsidRPr="004E7EB5">
        <w:t xml:space="preserve">The publication can be accessed at </w:t>
      </w:r>
      <w:hyperlink r:id="rId10" w:history="1">
        <w:r w:rsidRPr="004E7EB5">
          <w:rPr>
            <w:rStyle w:val="Hyperlink"/>
          </w:rPr>
          <w:t>https://www.environment.gov.au/water/cewo/monitoring/aquatic-ecosystems-toolkit</w:t>
        </w:r>
      </w:hyperlink>
      <w:r w:rsidRPr="004E7EB5">
        <w:t xml:space="preserve"> </w:t>
      </w:r>
      <w:r w:rsidR="00382817" w:rsidRPr="004E7EB5">
        <w:t>.</w:t>
      </w:r>
    </w:p>
    <w:p w14:paraId="54E7BD2F" w14:textId="77777777" w:rsidR="00382817" w:rsidRPr="004E7EB5" w:rsidRDefault="00382817" w:rsidP="00382817">
      <w:pPr>
        <w:rPr>
          <w:b/>
        </w:rPr>
      </w:pPr>
      <w:r w:rsidRPr="004E7EB5">
        <w:rPr>
          <w:b/>
        </w:rPr>
        <w:t>Acknowledgements:</w:t>
      </w:r>
    </w:p>
    <w:p w14:paraId="7B9047BD" w14:textId="69E81B24" w:rsidR="00C9331E" w:rsidRPr="00CB4963" w:rsidRDefault="00CB4963" w:rsidP="00382817">
      <w:r w:rsidRPr="00CB4963">
        <w:t>Th</w:t>
      </w:r>
      <w:r>
        <w:t xml:space="preserve">e preparation of this </w:t>
      </w:r>
      <w:r w:rsidRPr="00CB4963">
        <w:t xml:space="preserve">manual has </w:t>
      </w:r>
      <w:r w:rsidR="00716565">
        <w:t xml:space="preserve">been </w:t>
      </w:r>
      <w:r>
        <w:t xml:space="preserve">guided by </w:t>
      </w:r>
      <w:r w:rsidRPr="00CB4963">
        <w:t xml:space="preserve">the knowledge and experience of the </w:t>
      </w:r>
      <w:r w:rsidR="00916BED" w:rsidRPr="00916BED">
        <w:t>Wetlands and Aquatic Ecosystem Sub Committee</w:t>
      </w:r>
      <w:r w:rsidRPr="00CB4963">
        <w:t xml:space="preserve"> </w:t>
      </w:r>
      <w:r w:rsidR="00716565">
        <w:t xml:space="preserve">(WAESC) </w:t>
      </w:r>
      <w:r w:rsidRPr="00CB4963">
        <w:t>and</w:t>
      </w:r>
      <w:r w:rsidR="00716565">
        <w:t xml:space="preserve"> before the establishment of WAESC</w:t>
      </w:r>
      <w:r w:rsidRPr="00CB4963">
        <w:t xml:space="preserve">, the Aquatic Ecosystems Task </w:t>
      </w:r>
      <w:r w:rsidRPr="00CB4963">
        <w:lastRenderedPageBreak/>
        <w:t>Group</w:t>
      </w:r>
      <w:r>
        <w:t xml:space="preserve">. It also builds on </w:t>
      </w:r>
      <w:r w:rsidR="00916BED">
        <w:t>an initial draft manual developed by t</w:t>
      </w:r>
      <w:r>
        <w:t>he Murray Darling Freshwater Research Centre</w:t>
      </w:r>
      <w:r w:rsidR="00916BED">
        <w:t xml:space="preserve"> under the leadership of Dr Ben Gawne. These inputs have been crucial to the scope and detail of the manual.</w:t>
      </w:r>
      <w:r w:rsidR="00716565">
        <w:t xml:space="preserve"> This manual was completed by Water’s Edge Consulting.</w:t>
      </w:r>
    </w:p>
    <w:p w14:paraId="59519CE6" w14:textId="469003F4" w:rsidR="00235ED5" w:rsidRPr="004E7EB5" w:rsidRDefault="00CB4963" w:rsidP="00235ED5">
      <w:pPr>
        <w:jc w:val="left"/>
        <w:sectPr w:rsidR="00235ED5" w:rsidRPr="004E7EB5" w:rsidSect="00B224C2">
          <w:headerReference w:type="default" r:id="rId11"/>
          <w:footerReference w:type="even" r:id="rId12"/>
          <w:footerReference w:type="default" r:id="rId13"/>
          <w:pgSz w:w="11906" w:h="16838"/>
          <w:pgMar w:top="1440" w:right="1440" w:bottom="1440" w:left="1440" w:header="708" w:footer="708" w:gutter="0"/>
          <w:cols w:space="708"/>
          <w:docGrid w:linePitch="360"/>
        </w:sectPr>
      </w:pPr>
      <w:r>
        <w:t>In addition, t</w:t>
      </w:r>
      <w:r w:rsidR="00235ED5" w:rsidRPr="004E7EB5">
        <w:t xml:space="preserve">he following people participated in </w:t>
      </w:r>
      <w:r w:rsidR="00716565">
        <w:t>technical steering committee meetings and stakeholder</w:t>
      </w:r>
      <w:r w:rsidR="00235ED5" w:rsidRPr="004E7EB5">
        <w:t xml:space="preserve"> meetings</w:t>
      </w:r>
      <w:r>
        <w:t xml:space="preserve"> and </w:t>
      </w:r>
      <w:r w:rsidR="00235ED5" w:rsidRPr="004E7EB5">
        <w:t>their time and contributions are very gratefully acknowledged.</w:t>
      </w:r>
    </w:p>
    <w:p w14:paraId="2AFD01D1" w14:textId="77777777" w:rsidR="00235ED5" w:rsidRPr="004E7EB5" w:rsidRDefault="00235ED5" w:rsidP="001042C4">
      <w:pPr>
        <w:spacing w:after="120" w:line="240" w:lineRule="auto"/>
        <w:jc w:val="left"/>
      </w:pPr>
      <w:r w:rsidRPr="004E7EB5">
        <w:t>Aaron Schonberg (WA Fisheries)</w:t>
      </w:r>
    </w:p>
    <w:p w14:paraId="473B75BC" w14:textId="77777777" w:rsidR="00235ED5" w:rsidRPr="004E7EB5" w:rsidRDefault="00235ED5" w:rsidP="001042C4">
      <w:pPr>
        <w:spacing w:after="120" w:line="240" w:lineRule="auto"/>
        <w:jc w:val="left"/>
      </w:pPr>
      <w:r w:rsidRPr="004E7EB5">
        <w:t>Adam Watt (SA DEWNR)</w:t>
      </w:r>
    </w:p>
    <w:p w14:paraId="4F2079B9" w14:textId="77777777" w:rsidR="00235ED5" w:rsidRPr="004E7EB5" w:rsidRDefault="00235ED5" w:rsidP="001042C4">
      <w:pPr>
        <w:spacing w:after="120" w:line="240" w:lineRule="auto"/>
        <w:jc w:val="left"/>
      </w:pPr>
      <w:r w:rsidRPr="004E7EB5">
        <w:t xml:space="preserve">Adrian Pinder (WA DPaW) </w:t>
      </w:r>
    </w:p>
    <w:p w14:paraId="2BEA928A" w14:textId="77777777" w:rsidR="00235ED5" w:rsidRPr="004E7EB5" w:rsidRDefault="00235ED5" w:rsidP="001042C4">
      <w:pPr>
        <w:spacing w:after="120" w:line="240" w:lineRule="auto"/>
        <w:jc w:val="left"/>
      </w:pPr>
      <w:r w:rsidRPr="004E7EB5">
        <w:t>Allan Raine (NSW DPI)</w:t>
      </w:r>
    </w:p>
    <w:p w14:paraId="610473ED" w14:textId="77777777" w:rsidR="00235ED5" w:rsidRPr="004E7EB5" w:rsidRDefault="00235ED5" w:rsidP="001042C4">
      <w:pPr>
        <w:spacing w:after="120" w:line="240" w:lineRule="auto"/>
        <w:jc w:val="left"/>
      </w:pPr>
      <w:r w:rsidRPr="004E7EB5">
        <w:t>Andrew Lowes (CEWO)</w:t>
      </w:r>
    </w:p>
    <w:p w14:paraId="02E022FE" w14:textId="77777777" w:rsidR="00235ED5" w:rsidRPr="004E7EB5" w:rsidRDefault="00235ED5" w:rsidP="001042C4">
      <w:pPr>
        <w:spacing w:after="120" w:line="240" w:lineRule="auto"/>
        <w:jc w:val="left"/>
      </w:pPr>
      <w:r w:rsidRPr="004E7EB5">
        <w:t>Anthony Moore (CEWO)</w:t>
      </w:r>
    </w:p>
    <w:p w14:paraId="6BAB2038" w14:textId="77777777" w:rsidR="00235ED5" w:rsidRPr="004E7EB5" w:rsidRDefault="00235ED5" w:rsidP="001042C4">
      <w:pPr>
        <w:spacing w:after="120" w:line="240" w:lineRule="auto"/>
        <w:jc w:val="left"/>
      </w:pPr>
      <w:r w:rsidRPr="004E7EB5">
        <w:t>Anthony Swirepik (OWS)</w:t>
      </w:r>
    </w:p>
    <w:p w14:paraId="1EFFFC29" w14:textId="77777777" w:rsidR="00235ED5" w:rsidRPr="004E7EB5" w:rsidRDefault="00235ED5" w:rsidP="001042C4">
      <w:pPr>
        <w:spacing w:after="120" w:line="240" w:lineRule="auto"/>
        <w:jc w:val="left"/>
      </w:pPr>
      <w:r w:rsidRPr="004E7EB5">
        <w:t>Bonnie Learmonth (CEWO)</w:t>
      </w:r>
    </w:p>
    <w:p w14:paraId="3CDBF3A4" w14:textId="56CF4687" w:rsidR="007E550D" w:rsidRDefault="007E550D" w:rsidP="001042C4">
      <w:pPr>
        <w:spacing w:after="120" w:line="240" w:lineRule="auto"/>
        <w:jc w:val="left"/>
      </w:pPr>
      <w:r w:rsidRPr="007E550D">
        <w:t>Chris Pulkkinen</w:t>
      </w:r>
      <w:r>
        <w:t xml:space="preserve"> (MDBA)</w:t>
      </w:r>
    </w:p>
    <w:p w14:paraId="5D796604" w14:textId="77777777" w:rsidR="00235ED5" w:rsidRPr="004E7EB5" w:rsidRDefault="00235ED5" w:rsidP="001042C4">
      <w:pPr>
        <w:spacing w:after="120" w:line="240" w:lineRule="auto"/>
        <w:jc w:val="left"/>
      </w:pPr>
      <w:r w:rsidRPr="004E7EB5">
        <w:t>David Baxter (NSW OEH)</w:t>
      </w:r>
    </w:p>
    <w:p w14:paraId="154B9F57" w14:textId="77777777" w:rsidR="00235ED5" w:rsidRPr="004E7EB5" w:rsidRDefault="00235ED5" w:rsidP="001042C4">
      <w:pPr>
        <w:spacing w:after="120" w:line="240" w:lineRule="auto"/>
        <w:jc w:val="left"/>
      </w:pPr>
      <w:r w:rsidRPr="004E7EB5">
        <w:t>Frances D’Souza (WA DoW)</w:t>
      </w:r>
    </w:p>
    <w:p w14:paraId="112C9810" w14:textId="34427875" w:rsidR="00235ED5" w:rsidRPr="004E7EB5" w:rsidRDefault="00235ED5" w:rsidP="001042C4">
      <w:pPr>
        <w:spacing w:after="120" w:line="240" w:lineRule="auto"/>
        <w:jc w:val="left"/>
      </w:pPr>
      <w:r w:rsidRPr="004E7EB5">
        <w:t>Frederick Bouck</w:t>
      </w:r>
      <w:r w:rsidR="00CF149A" w:rsidRPr="004E7EB5">
        <w:t>a</w:t>
      </w:r>
      <w:r w:rsidRPr="004E7EB5">
        <w:t>ert (MDBA)</w:t>
      </w:r>
    </w:p>
    <w:p w14:paraId="76D24DEA" w14:textId="77777777" w:rsidR="00235ED5" w:rsidRPr="004E7EB5" w:rsidRDefault="00235ED5" w:rsidP="001042C4">
      <w:pPr>
        <w:spacing w:after="120" w:line="240" w:lineRule="auto"/>
        <w:jc w:val="left"/>
      </w:pPr>
      <w:r w:rsidRPr="004E7EB5">
        <w:t>Gayle Partridge (CEWO)</w:t>
      </w:r>
    </w:p>
    <w:p w14:paraId="7D03FB5F" w14:textId="77777777" w:rsidR="00235ED5" w:rsidRPr="004E7EB5" w:rsidRDefault="00235ED5" w:rsidP="001042C4">
      <w:pPr>
        <w:spacing w:after="120" w:line="240" w:lineRule="auto"/>
        <w:jc w:val="left"/>
      </w:pPr>
      <w:r w:rsidRPr="004E7EB5">
        <w:t>Glen Scholz (SA DEWNR)</w:t>
      </w:r>
    </w:p>
    <w:p w14:paraId="1CCF64F9" w14:textId="77777777" w:rsidR="00235ED5" w:rsidRPr="004E7EB5" w:rsidRDefault="00235ED5" w:rsidP="001042C4">
      <w:pPr>
        <w:spacing w:after="120" w:line="240" w:lineRule="auto"/>
        <w:jc w:val="left"/>
      </w:pPr>
      <w:r w:rsidRPr="004E7EB5">
        <w:t>Greg Green (QLD DEHP)</w:t>
      </w:r>
    </w:p>
    <w:p w14:paraId="5B6168DD" w14:textId="77777777" w:rsidR="00235ED5" w:rsidRPr="004E7EB5" w:rsidRDefault="00235ED5" w:rsidP="001042C4">
      <w:pPr>
        <w:spacing w:after="120" w:line="240" w:lineRule="auto"/>
        <w:jc w:val="left"/>
      </w:pPr>
      <w:r w:rsidRPr="004E7EB5">
        <w:t>Jason Higham (SA DEWNR)</w:t>
      </w:r>
    </w:p>
    <w:p w14:paraId="4300E045" w14:textId="77777777" w:rsidR="00235ED5" w:rsidRPr="004E7EB5" w:rsidRDefault="00235ED5" w:rsidP="001042C4">
      <w:pPr>
        <w:spacing w:after="120" w:line="240" w:lineRule="auto"/>
        <w:jc w:val="left"/>
      </w:pPr>
      <w:r w:rsidRPr="004E7EB5">
        <w:t>Joanne Blessing (QLD DSITI)</w:t>
      </w:r>
    </w:p>
    <w:p w14:paraId="13A885D2" w14:textId="77777777" w:rsidR="00235ED5" w:rsidRPr="004E7EB5" w:rsidRDefault="00235ED5" w:rsidP="001042C4">
      <w:pPr>
        <w:spacing w:after="120" w:line="240" w:lineRule="auto"/>
        <w:jc w:val="left"/>
      </w:pPr>
      <w:r w:rsidRPr="004E7EB5">
        <w:t>Karen Stuart-Williams (CEWO)</w:t>
      </w:r>
    </w:p>
    <w:p w14:paraId="43227918" w14:textId="77777777" w:rsidR="00235ED5" w:rsidRDefault="00235ED5" w:rsidP="001042C4">
      <w:pPr>
        <w:spacing w:after="120" w:line="240" w:lineRule="auto"/>
        <w:jc w:val="left"/>
      </w:pPr>
      <w:r w:rsidRPr="004E7EB5">
        <w:t>Kate Ryan (MDBA)</w:t>
      </w:r>
    </w:p>
    <w:p w14:paraId="69D01454" w14:textId="5B3280AD" w:rsidR="00416BA1" w:rsidRPr="004E7EB5" w:rsidRDefault="00416BA1" w:rsidP="001042C4">
      <w:pPr>
        <w:spacing w:after="120" w:line="240" w:lineRule="auto"/>
        <w:jc w:val="left"/>
      </w:pPr>
      <w:r>
        <w:t>Kim Wilson (PHCC)</w:t>
      </w:r>
    </w:p>
    <w:p w14:paraId="1C8C6337" w14:textId="39CB2D4A" w:rsidR="00235ED5" w:rsidRPr="004E7EB5" w:rsidRDefault="00235ED5" w:rsidP="001042C4">
      <w:pPr>
        <w:spacing w:after="120" w:line="240" w:lineRule="auto"/>
        <w:jc w:val="left"/>
      </w:pPr>
      <w:r w:rsidRPr="004E7EB5">
        <w:t>Linda Re</w:t>
      </w:r>
      <w:r w:rsidR="00BA09E3">
        <w:t>i</w:t>
      </w:r>
      <w:r w:rsidRPr="004E7EB5">
        <w:t>d (CEWO)</w:t>
      </w:r>
    </w:p>
    <w:p w14:paraId="11B7AF67" w14:textId="0AD9E1E3" w:rsidR="00F10E2A" w:rsidRDefault="00F10E2A" w:rsidP="001042C4">
      <w:pPr>
        <w:spacing w:after="120" w:line="240" w:lineRule="auto"/>
        <w:jc w:val="left"/>
      </w:pPr>
      <w:r>
        <w:t xml:space="preserve">Lisa Evans </w:t>
      </w:r>
      <w:r w:rsidRPr="007E550D">
        <w:t>(</w:t>
      </w:r>
      <w:r w:rsidR="007E550D" w:rsidRPr="007E550D">
        <w:t xml:space="preserve">ACT </w:t>
      </w:r>
      <w:r w:rsidR="007E550D">
        <w:t>EPSDD</w:t>
      </w:r>
      <w:r w:rsidRPr="007E550D">
        <w:t>)</w:t>
      </w:r>
    </w:p>
    <w:p w14:paraId="50C6F21F" w14:textId="77777777" w:rsidR="00235ED5" w:rsidRPr="004E7EB5" w:rsidRDefault="00235ED5" w:rsidP="001042C4">
      <w:pPr>
        <w:spacing w:after="120" w:line="240" w:lineRule="auto"/>
        <w:jc w:val="left"/>
      </w:pPr>
      <w:r w:rsidRPr="004E7EB5">
        <w:t>Lisa Thurtell (NSW OEH)</w:t>
      </w:r>
    </w:p>
    <w:p w14:paraId="7B43717D" w14:textId="77777777" w:rsidR="00235ED5" w:rsidRPr="004E7EB5" w:rsidRDefault="00235ED5" w:rsidP="001042C4">
      <w:pPr>
        <w:spacing w:after="120" w:line="240" w:lineRule="auto"/>
        <w:jc w:val="left"/>
      </w:pPr>
      <w:r w:rsidRPr="004E7EB5">
        <w:t>Mark Kel</w:t>
      </w:r>
      <w:r w:rsidR="008452E7" w:rsidRPr="004E7EB5">
        <w:t>ton</w:t>
      </w:r>
      <w:r w:rsidRPr="004E7EB5">
        <w:t xml:space="preserve"> (QLD DEHP)</w:t>
      </w:r>
    </w:p>
    <w:p w14:paraId="6565CDA1" w14:textId="77777777" w:rsidR="00235ED5" w:rsidRPr="004E7EB5" w:rsidRDefault="00235ED5" w:rsidP="001042C4">
      <w:pPr>
        <w:spacing w:after="120" w:line="240" w:lineRule="auto"/>
        <w:jc w:val="left"/>
      </w:pPr>
      <w:r w:rsidRPr="004E7EB5">
        <w:t>Michael Coote (WA DPaW)</w:t>
      </w:r>
    </w:p>
    <w:p w14:paraId="0D8E9832" w14:textId="77777777" w:rsidR="00235ED5" w:rsidRPr="004E7EB5" w:rsidRDefault="00235ED5" w:rsidP="001042C4">
      <w:pPr>
        <w:spacing w:after="120" w:line="240" w:lineRule="auto"/>
        <w:jc w:val="left"/>
      </w:pPr>
      <w:r w:rsidRPr="004E7EB5">
        <w:t>Michelle Bald (SA DEWNR)</w:t>
      </w:r>
    </w:p>
    <w:p w14:paraId="32716F8F" w14:textId="77777777" w:rsidR="00235ED5" w:rsidRPr="004E7EB5" w:rsidRDefault="00235ED5" w:rsidP="001042C4">
      <w:pPr>
        <w:spacing w:after="120" w:line="240" w:lineRule="auto"/>
        <w:jc w:val="left"/>
      </w:pPr>
      <w:r w:rsidRPr="004E7EB5">
        <w:t>Mike Hammond (WA DoW)</w:t>
      </w:r>
    </w:p>
    <w:p w14:paraId="44D1A009" w14:textId="77777777" w:rsidR="00235ED5" w:rsidRPr="004E7EB5" w:rsidRDefault="00235ED5" w:rsidP="001042C4">
      <w:pPr>
        <w:spacing w:after="120" w:line="240" w:lineRule="auto"/>
        <w:jc w:val="left"/>
      </w:pPr>
      <w:r w:rsidRPr="004E7EB5">
        <w:t>Mike Ronan (QLD DEHP)</w:t>
      </w:r>
    </w:p>
    <w:p w14:paraId="38F54001" w14:textId="77777777" w:rsidR="00235ED5" w:rsidRPr="004E7EB5" w:rsidRDefault="00235ED5" w:rsidP="001042C4">
      <w:pPr>
        <w:spacing w:after="120" w:line="240" w:lineRule="auto"/>
        <w:jc w:val="left"/>
      </w:pPr>
      <w:r w:rsidRPr="004E7EB5">
        <w:t>Moya Tomlinson (OWS)</w:t>
      </w:r>
    </w:p>
    <w:p w14:paraId="33A52BD3" w14:textId="77777777" w:rsidR="00235ED5" w:rsidRPr="004E7EB5" w:rsidRDefault="00235ED5" w:rsidP="001042C4">
      <w:pPr>
        <w:spacing w:after="120" w:line="240" w:lineRule="auto"/>
        <w:jc w:val="left"/>
      </w:pPr>
      <w:r w:rsidRPr="004E7EB5">
        <w:t>Nadia Kingham (CEWO)</w:t>
      </w:r>
    </w:p>
    <w:p w14:paraId="628EFFBD" w14:textId="77777777" w:rsidR="00235ED5" w:rsidRPr="004E7EB5" w:rsidRDefault="00235ED5" w:rsidP="001042C4">
      <w:pPr>
        <w:spacing w:after="120" w:line="240" w:lineRule="auto"/>
        <w:jc w:val="left"/>
      </w:pPr>
      <w:r w:rsidRPr="004E7EB5">
        <w:t>Paul Marsh (CEWO)</w:t>
      </w:r>
    </w:p>
    <w:p w14:paraId="22F5D772" w14:textId="77777777" w:rsidR="00235ED5" w:rsidRPr="004E7EB5" w:rsidRDefault="00235ED5" w:rsidP="001042C4">
      <w:pPr>
        <w:spacing w:after="120" w:line="240" w:lineRule="auto"/>
        <w:jc w:val="left"/>
      </w:pPr>
      <w:r w:rsidRPr="004E7EB5">
        <w:t>Paul Reich (VIC DELWP)</w:t>
      </w:r>
    </w:p>
    <w:p w14:paraId="4C56E576" w14:textId="77777777" w:rsidR="00235ED5" w:rsidRPr="004E7EB5" w:rsidRDefault="00235ED5" w:rsidP="001042C4">
      <w:pPr>
        <w:spacing w:after="120" w:line="240" w:lineRule="auto"/>
        <w:jc w:val="left"/>
      </w:pPr>
      <w:r w:rsidRPr="004E7EB5">
        <w:t>Paul Wilson (VIC DELWP)</w:t>
      </w:r>
    </w:p>
    <w:p w14:paraId="3CADD0C9" w14:textId="77777777" w:rsidR="00235ED5" w:rsidRPr="004E7EB5" w:rsidRDefault="00235ED5" w:rsidP="001042C4">
      <w:pPr>
        <w:spacing w:after="120" w:line="240" w:lineRule="auto"/>
        <w:jc w:val="left"/>
      </w:pPr>
      <w:r w:rsidRPr="004E7EB5">
        <w:t>Rebecca Quinn (SA DEWNR)</w:t>
      </w:r>
    </w:p>
    <w:p w14:paraId="732F7E97" w14:textId="77777777" w:rsidR="00235ED5" w:rsidRPr="004E7EB5" w:rsidRDefault="00235ED5" w:rsidP="001042C4">
      <w:pPr>
        <w:spacing w:after="120" w:line="240" w:lineRule="auto"/>
        <w:jc w:val="left"/>
      </w:pPr>
      <w:r w:rsidRPr="004E7EB5">
        <w:t>Rob Donohue (WA DoW)</w:t>
      </w:r>
    </w:p>
    <w:p w14:paraId="00186351" w14:textId="77777777" w:rsidR="00235ED5" w:rsidRPr="004E7EB5" w:rsidRDefault="00235ED5" w:rsidP="001042C4">
      <w:pPr>
        <w:spacing w:after="120" w:line="240" w:lineRule="auto"/>
        <w:jc w:val="left"/>
      </w:pPr>
      <w:r w:rsidRPr="004E7EB5">
        <w:t>Romeny Lynch (WA DoW)</w:t>
      </w:r>
    </w:p>
    <w:p w14:paraId="42A6C2AA" w14:textId="79A98F8C" w:rsidR="00235ED5" w:rsidRPr="004E7EB5" w:rsidRDefault="00235ED5" w:rsidP="001042C4">
      <w:pPr>
        <w:spacing w:after="120" w:line="240" w:lineRule="auto"/>
        <w:jc w:val="left"/>
      </w:pPr>
      <w:r w:rsidRPr="004E7EB5">
        <w:t xml:space="preserve">Shaun Meredith (WA </w:t>
      </w:r>
      <w:r w:rsidR="00467211">
        <w:t>DOF</w:t>
      </w:r>
      <w:r w:rsidRPr="004E7EB5">
        <w:t>)</w:t>
      </w:r>
    </w:p>
    <w:p w14:paraId="1286BBFE" w14:textId="77777777" w:rsidR="00235ED5" w:rsidRPr="004E7EB5" w:rsidRDefault="00235ED5" w:rsidP="001042C4">
      <w:pPr>
        <w:spacing w:after="120" w:line="240" w:lineRule="auto"/>
        <w:jc w:val="left"/>
      </w:pPr>
      <w:r w:rsidRPr="004E7EB5">
        <w:t>Sonia Colville (DAWR)</w:t>
      </w:r>
    </w:p>
    <w:p w14:paraId="55E6C448" w14:textId="77777777" w:rsidR="00235ED5" w:rsidRPr="004E7EB5" w:rsidRDefault="00235ED5" w:rsidP="001042C4">
      <w:pPr>
        <w:spacing w:after="120" w:line="240" w:lineRule="auto"/>
        <w:jc w:val="left"/>
      </w:pPr>
      <w:r w:rsidRPr="004E7EB5">
        <w:t>Tamarind Mera (PIRSA)</w:t>
      </w:r>
    </w:p>
    <w:p w14:paraId="1104E32A" w14:textId="77777777" w:rsidR="00235ED5" w:rsidRPr="004E7EB5" w:rsidRDefault="00235ED5" w:rsidP="001042C4">
      <w:pPr>
        <w:spacing w:after="120" w:line="240" w:lineRule="auto"/>
        <w:jc w:val="left"/>
      </w:pPr>
      <w:r w:rsidRPr="004E7EB5">
        <w:t>Tim Storer (WA DoW)</w:t>
      </w:r>
    </w:p>
    <w:p w14:paraId="038B700B" w14:textId="77777777" w:rsidR="00382817" w:rsidRPr="004E7EB5" w:rsidRDefault="00382817" w:rsidP="00382817">
      <w:pPr>
        <w:sectPr w:rsidR="00382817" w:rsidRPr="004E7EB5" w:rsidSect="00382817">
          <w:type w:val="continuous"/>
          <w:pgSz w:w="11906" w:h="16838"/>
          <w:pgMar w:top="1440" w:right="1440" w:bottom="1440" w:left="1440" w:header="708" w:footer="708" w:gutter="0"/>
          <w:cols w:num="3" w:space="708"/>
          <w:docGrid w:linePitch="360"/>
        </w:sectPr>
      </w:pPr>
    </w:p>
    <w:p w14:paraId="175608CD" w14:textId="77777777" w:rsidR="00235ED5" w:rsidRDefault="00235ED5" w:rsidP="00382817">
      <w:pPr>
        <w:rPr>
          <w:b/>
        </w:rPr>
      </w:pPr>
    </w:p>
    <w:p w14:paraId="59885E21" w14:textId="2C73D594" w:rsidR="00176ABB" w:rsidRDefault="00176ABB" w:rsidP="00176ABB">
      <w:pPr>
        <w:rPr>
          <w:b/>
        </w:rPr>
      </w:pPr>
      <w:r w:rsidRPr="00176ABB">
        <w:rPr>
          <w:b/>
        </w:rPr>
        <w:t>The Finalisation of the Integrated Ecosystems Condition Assessment</w:t>
      </w:r>
      <w:r>
        <w:rPr>
          <w:b/>
        </w:rPr>
        <w:t xml:space="preserve"> </w:t>
      </w:r>
      <w:r w:rsidRPr="00176ABB">
        <w:rPr>
          <w:b/>
        </w:rPr>
        <w:t xml:space="preserve">Framework and Manual </w:t>
      </w:r>
      <w:r>
        <w:rPr>
          <w:b/>
        </w:rPr>
        <w:t>wa</w:t>
      </w:r>
      <w:r w:rsidRPr="00176ABB">
        <w:rPr>
          <w:b/>
        </w:rPr>
        <w:t>s supported through funding from the Australian</w:t>
      </w:r>
      <w:r>
        <w:rPr>
          <w:b/>
        </w:rPr>
        <w:t xml:space="preserve"> </w:t>
      </w:r>
      <w:r w:rsidRPr="00176ABB">
        <w:rPr>
          <w:b/>
        </w:rPr>
        <w:t>Government's Water Resources Assessment and Research Grants Program</w:t>
      </w:r>
      <w:r>
        <w:rPr>
          <w:b/>
        </w:rPr>
        <w:t>.</w:t>
      </w:r>
    </w:p>
    <w:p w14:paraId="5F8FFEDD" w14:textId="77777777" w:rsidR="00176ABB" w:rsidRPr="004E7EB5" w:rsidRDefault="00176ABB" w:rsidP="00382817">
      <w:pPr>
        <w:rPr>
          <w:b/>
        </w:rPr>
      </w:pPr>
    </w:p>
    <w:p w14:paraId="449D3BDE" w14:textId="77777777" w:rsidR="00382817" w:rsidRPr="004E7EB5" w:rsidRDefault="00382817" w:rsidP="00382817">
      <w:pPr>
        <w:rPr>
          <w:b/>
        </w:rPr>
      </w:pPr>
      <w:r w:rsidRPr="004E7EB5">
        <w:rPr>
          <w:b/>
        </w:rPr>
        <w:t>Photo credit:</w:t>
      </w:r>
    </w:p>
    <w:p w14:paraId="5F0E83AC" w14:textId="77777777" w:rsidR="00E24185" w:rsidRPr="004E7EB5" w:rsidRDefault="00382817" w:rsidP="00382817">
      <w:r w:rsidRPr="004E7EB5">
        <w:t>Freshwater meadow, West Wimmera, R. Butcher</w:t>
      </w:r>
    </w:p>
    <w:p w14:paraId="4ADE3706" w14:textId="77777777" w:rsidR="00042B02" w:rsidRPr="004E7EB5" w:rsidRDefault="00042B02" w:rsidP="00E24185"/>
    <w:p w14:paraId="49F1BD57" w14:textId="77777777" w:rsidR="00042B02" w:rsidRPr="004E7EB5" w:rsidRDefault="00042B02">
      <w:r w:rsidRPr="004E7EB5">
        <w:br w:type="page"/>
      </w:r>
    </w:p>
    <w:sdt>
      <w:sdtPr>
        <w:rPr>
          <w:rFonts w:eastAsiaTheme="minorHAnsi"/>
          <w:b w:val="0"/>
          <w:bCs/>
          <w:smallCaps w:val="0"/>
          <w:color w:val="auto"/>
          <w:spacing w:val="0"/>
          <w:sz w:val="22"/>
          <w:szCs w:val="22"/>
          <w:lang w:bidi="ar-SA"/>
        </w:rPr>
        <w:id w:val="1916895346"/>
        <w:docPartObj>
          <w:docPartGallery w:val="Table of Contents"/>
          <w:docPartUnique/>
        </w:docPartObj>
      </w:sdtPr>
      <w:sdtEndPr>
        <w:rPr>
          <w:rFonts w:eastAsiaTheme="minorEastAsia"/>
          <w:bCs w:val="0"/>
          <w:sz w:val="20"/>
          <w:szCs w:val="20"/>
        </w:rPr>
      </w:sdtEndPr>
      <w:sdtContent>
        <w:p w14:paraId="59F99C7A" w14:textId="77777777" w:rsidR="00042B02" w:rsidRPr="004E7EB5" w:rsidRDefault="00042B02" w:rsidP="00042B02">
          <w:pPr>
            <w:pStyle w:val="TOCHeading"/>
            <w:rPr>
              <w:color w:val="675E47" w:themeColor="text2"/>
            </w:rPr>
          </w:pPr>
          <w:r w:rsidRPr="004E7EB5">
            <w:rPr>
              <w:color w:val="675E47" w:themeColor="text2"/>
            </w:rPr>
            <w:t>Contents</w:t>
          </w:r>
        </w:p>
        <w:p w14:paraId="6B97A509" w14:textId="77777777" w:rsidR="00C810C6" w:rsidRDefault="00190607">
          <w:pPr>
            <w:pStyle w:val="TOC1"/>
            <w:tabs>
              <w:tab w:val="right" w:leader="dot" w:pos="9016"/>
            </w:tabs>
            <w:rPr>
              <w:rFonts w:asciiTheme="minorHAnsi" w:hAnsiTheme="minorHAnsi"/>
              <w:noProof/>
              <w:sz w:val="22"/>
              <w:szCs w:val="22"/>
              <w:lang w:eastAsia="en-AU"/>
            </w:rPr>
          </w:pPr>
          <w:r w:rsidRPr="004E7EB5">
            <w:fldChar w:fldCharType="begin"/>
          </w:r>
          <w:r w:rsidR="00042B02" w:rsidRPr="004E7EB5">
            <w:instrText xml:space="preserve"> TOC \o "1-3" \h \z \u </w:instrText>
          </w:r>
          <w:r w:rsidRPr="004E7EB5">
            <w:fldChar w:fldCharType="separate"/>
          </w:r>
          <w:hyperlink w:anchor="_Toc493774196" w:history="1">
            <w:r w:rsidR="00C810C6" w:rsidRPr="00CF3EEC">
              <w:rPr>
                <w:rStyle w:val="Hyperlink"/>
                <w:noProof/>
                <w:lang w:eastAsia="en-AU"/>
              </w:rPr>
              <w:t>Abbreviations</w:t>
            </w:r>
            <w:r w:rsidR="00C810C6">
              <w:rPr>
                <w:noProof/>
                <w:webHidden/>
              </w:rPr>
              <w:tab/>
            </w:r>
            <w:r w:rsidR="00C810C6">
              <w:rPr>
                <w:noProof/>
                <w:webHidden/>
              </w:rPr>
              <w:fldChar w:fldCharType="begin"/>
            </w:r>
            <w:r w:rsidR="00C810C6">
              <w:rPr>
                <w:noProof/>
                <w:webHidden/>
              </w:rPr>
              <w:instrText xml:space="preserve"> PAGEREF _Toc493774196 \h </w:instrText>
            </w:r>
            <w:r w:rsidR="00C810C6">
              <w:rPr>
                <w:noProof/>
                <w:webHidden/>
              </w:rPr>
            </w:r>
            <w:r w:rsidR="00C810C6">
              <w:rPr>
                <w:noProof/>
                <w:webHidden/>
              </w:rPr>
              <w:fldChar w:fldCharType="separate"/>
            </w:r>
            <w:r w:rsidR="00C810C6">
              <w:rPr>
                <w:noProof/>
                <w:webHidden/>
              </w:rPr>
              <w:t>6</w:t>
            </w:r>
            <w:r w:rsidR="00C810C6">
              <w:rPr>
                <w:noProof/>
                <w:webHidden/>
              </w:rPr>
              <w:fldChar w:fldCharType="end"/>
            </w:r>
          </w:hyperlink>
        </w:p>
        <w:p w14:paraId="33A32DED" w14:textId="77777777" w:rsidR="00C810C6" w:rsidRDefault="00174B32">
          <w:pPr>
            <w:pStyle w:val="TOC1"/>
            <w:tabs>
              <w:tab w:val="left" w:pos="440"/>
              <w:tab w:val="right" w:leader="dot" w:pos="9016"/>
            </w:tabs>
            <w:rPr>
              <w:rFonts w:asciiTheme="minorHAnsi" w:hAnsiTheme="minorHAnsi"/>
              <w:noProof/>
              <w:sz w:val="22"/>
              <w:szCs w:val="22"/>
              <w:lang w:eastAsia="en-AU"/>
            </w:rPr>
          </w:pPr>
          <w:hyperlink w:anchor="_Toc493774197" w:history="1">
            <w:r w:rsidR="00C810C6" w:rsidRPr="00CF3EEC">
              <w:rPr>
                <w:rStyle w:val="Hyperlink"/>
                <w:noProof/>
              </w:rPr>
              <w:t>1</w:t>
            </w:r>
            <w:r w:rsidR="00C810C6">
              <w:rPr>
                <w:rFonts w:asciiTheme="minorHAnsi" w:hAnsiTheme="minorHAnsi"/>
                <w:noProof/>
                <w:sz w:val="22"/>
                <w:szCs w:val="22"/>
                <w:lang w:eastAsia="en-AU"/>
              </w:rPr>
              <w:tab/>
            </w:r>
            <w:r w:rsidR="00C810C6" w:rsidRPr="00CF3EEC">
              <w:rPr>
                <w:rStyle w:val="Hyperlink"/>
                <w:noProof/>
              </w:rPr>
              <w:t>Introduction</w:t>
            </w:r>
            <w:r w:rsidR="00C810C6">
              <w:rPr>
                <w:noProof/>
                <w:webHidden/>
              </w:rPr>
              <w:tab/>
            </w:r>
            <w:r w:rsidR="00C810C6">
              <w:rPr>
                <w:noProof/>
                <w:webHidden/>
              </w:rPr>
              <w:fldChar w:fldCharType="begin"/>
            </w:r>
            <w:r w:rsidR="00C810C6">
              <w:rPr>
                <w:noProof/>
                <w:webHidden/>
              </w:rPr>
              <w:instrText xml:space="preserve"> PAGEREF _Toc493774197 \h </w:instrText>
            </w:r>
            <w:r w:rsidR="00C810C6">
              <w:rPr>
                <w:noProof/>
                <w:webHidden/>
              </w:rPr>
            </w:r>
            <w:r w:rsidR="00C810C6">
              <w:rPr>
                <w:noProof/>
                <w:webHidden/>
              </w:rPr>
              <w:fldChar w:fldCharType="separate"/>
            </w:r>
            <w:r w:rsidR="00C810C6">
              <w:rPr>
                <w:noProof/>
                <w:webHidden/>
              </w:rPr>
              <w:t>8</w:t>
            </w:r>
            <w:r w:rsidR="00C810C6">
              <w:rPr>
                <w:noProof/>
                <w:webHidden/>
              </w:rPr>
              <w:fldChar w:fldCharType="end"/>
            </w:r>
          </w:hyperlink>
        </w:p>
        <w:p w14:paraId="1625A6E8"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198" w:history="1">
            <w:r w:rsidR="00C810C6" w:rsidRPr="00CF3EEC">
              <w:rPr>
                <w:rStyle w:val="Hyperlink"/>
                <w:noProof/>
              </w:rPr>
              <w:t>1.1</w:t>
            </w:r>
            <w:r w:rsidR="00C810C6">
              <w:rPr>
                <w:rFonts w:asciiTheme="minorHAnsi" w:hAnsiTheme="minorHAnsi"/>
                <w:noProof/>
                <w:sz w:val="22"/>
                <w:szCs w:val="22"/>
                <w:lang w:eastAsia="en-AU"/>
              </w:rPr>
              <w:tab/>
            </w:r>
            <w:r w:rsidR="00C810C6" w:rsidRPr="00CF3EEC">
              <w:rPr>
                <w:rStyle w:val="Hyperlink"/>
                <w:noProof/>
              </w:rPr>
              <w:t>The Australian Aquatic Ecosystems Toolkit</w:t>
            </w:r>
            <w:r w:rsidR="00C810C6">
              <w:rPr>
                <w:noProof/>
                <w:webHidden/>
              </w:rPr>
              <w:tab/>
            </w:r>
            <w:r w:rsidR="00C810C6">
              <w:rPr>
                <w:noProof/>
                <w:webHidden/>
              </w:rPr>
              <w:fldChar w:fldCharType="begin"/>
            </w:r>
            <w:r w:rsidR="00C810C6">
              <w:rPr>
                <w:noProof/>
                <w:webHidden/>
              </w:rPr>
              <w:instrText xml:space="preserve"> PAGEREF _Toc493774198 \h </w:instrText>
            </w:r>
            <w:r w:rsidR="00C810C6">
              <w:rPr>
                <w:noProof/>
                <w:webHidden/>
              </w:rPr>
            </w:r>
            <w:r w:rsidR="00C810C6">
              <w:rPr>
                <w:noProof/>
                <w:webHidden/>
              </w:rPr>
              <w:fldChar w:fldCharType="separate"/>
            </w:r>
            <w:r w:rsidR="00C810C6">
              <w:rPr>
                <w:noProof/>
                <w:webHidden/>
              </w:rPr>
              <w:t>8</w:t>
            </w:r>
            <w:r w:rsidR="00C810C6">
              <w:rPr>
                <w:noProof/>
                <w:webHidden/>
              </w:rPr>
              <w:fldChar w:fldCharType="end"/>
            </w:r>
          </w:hyperlink>
        </w:p>
        <w:p w14:paraId="3D80C289"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199" w:history="1">
            <w:r w:rsidR="00C810C6" w:rsidRPr="00CF3EEC">
              <w:rPr>
                <w:rStyle w:val="Hyperlink"/>
                <w:noProof/>
              </w:rPr>
              <w:t>1.2</w:t>
            </w:r>
            <w:r w:rsidR="00C810C6">
              <w:rPr>
                <w:rFonts w:asciiTheme="minorHAnsi" w:hAnsiTheme="minorHAnsi"/>
                <w:noProof/>
                <w:sz w:val="22"/>
                <w:szCs w:val="22"/>
                <w:lang w:eastAsia="en-AU"/>
              </w:rPr>
              <w:tab/>
            </w:r>
            <w:r w:rsidR="00C810C6" w:rsidRPr="00CF3EEC">
              <w:rPr>
                <w:rStyle w:val="Hyperlink"/>
                <w:noProof/>
              </w:rPr>
              <w:t>Target audience</w:t>
            </w:r>
            <w:r w:rsidR="00C810C6">
              <w:rPr>
                <w:noProof/>
                <w:webHidden/>
              </w:rPr>
              <w:tab/>
            </w:r>
            <w:r w:rsidR="00C810C6">
              <w:rPr>
                <w:noProof/>
                <w:webHidden/>
              </w:rPr>
              <w:fldChar w:fldCharType="begin"/>
            </w:r>
            <w:r w:rsidR="00C810C6">
              <w:rPr>
                <w:noProof/>
                <w:webHidden/>
              </w:rPr>
              <w:instrText xml:space="preserve"> PAGEREF _Toc493774199 \h </w:instrText>
            </w:r>
            <w:r w:rsidR="00C810C6">
              <w:rPr>
                <w:noProof/>
                <w:webHidden/>
              </w:rPr>
            </w:r>
            <w:r w:rsidR="00C810C6">
              <w:rPr>
                <w:noProof/>
                <w:webHidden/>
              </w:rPr>
              <w:fldChar w:fldCharType="separate"/>
            </w:r>
            <w:r w:rsidR="00C810C6">
              <w:rPr>
                <w:noProof/>
                <w:webHidden/>
              </w:rPr>
              <w:t>9</w:t>
            </w:r>
            <w:r w:rsidR="00C810C6">
              <w:rPr>
                <w:noProof/>
                <w:webHidden/>
              </w:rPr>
              <w:fldChar w:fldCharType="end"/>
            </w:r>
          </w:hyperlink>
        </w:p>
        <w:p w14:paraId="0FB3DAB6"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200" w:history="1">
            <w:r w:rsidR="00C810C6" w:rsidRPr="00CF3EEC">
              <w:rPr>
                <w:rStyle w:val="Hyperlink"/>
                <w:noProof/>
              </w:rPr>
              <w:t>1.3</w:t>
            </w:r>
            <w:r w:rsidR="00C810C6">
              <w:rPr>
                <w:rFonts w:asciiTheme="minorHAnsi" w:hAnsiTheme="minorHAnsi"/>
                <w:noProof/>
                <w:sz w:val="22"/>
                <w:szCs w:val="22"/>
                <w:lang w:eastAsia="en-AU"/>
              </w:rPr>
              <w:tab/>
            </w:r>
            <w:r w:rsidR="00C810C6" w:rsidRPr="00CF3EEC">
              <w:rPr>
                <w:rStyle w:val="Hyperlink"/>
                <w:noProof/>
              </w:rPr>
              <w:t>Definitions</w:t>
            </w:r>
            <w:r w:rsidR="00C810C6">
              <w:rPr>
                <w:noProof/>
                <w:webHidden/>
              </w:rPr>
              <w:tab/>
            </w:r>
            <w:r w:rsidR="00C810C6">
              <w:rPr>
                <w:noProof/>
                <w:webHidden/>
              </w:rPr>
              <w:fldChar w:fldCharType="begin"/>
            </w:r>
            <w:r w:rsidR="00C810C6">
              <w:rPr>
                <w:noProof/>
                <w:webHidden/>
              </w:rPr>
              <w:instrText xml:space="preserve"> PAGEREF _Toc493774200 \h </w:instrText>
            </w:r>
            <w:r w:rsidR="00C810C6">
              <w:rPr>
                <w:noProof/>
                <w:webHidden/>
              </w:rPr>
            </w:r>
            <w:r w:rsidR="00C810C6">
              <w:rPr>
                <w:noProof/>
                <w:webHidden/>
              </w:rPr>
              <w:fldChar w:fldCharType="separate"/>
            </w:r>
            <w:r w:rsidR="00C810C6">
              <w:rPr>
                <w:noProof/>
                <w:webHidden/>
              </w:rPr>
              <w:t>9</w:t>
            </w:r>
            <w:r w:rsidR="00C810C6">
              <w:rPr>
                <w:noProof/>
                <w:webHidden/>
              </w:rPr>
              <w:fldChar w:fldCharType="end"/>
            </w:r>
          </w:hyperlink>
        </w:p>
        <w:p w14:paraId="01DA42E6"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201" w:history="1">
            <w:r w:rsidR="00C810C6" w:rsidRPr="00CF3EEC">
              <w:rPr>
                <w:rStyle w:val="Hyperlink"/>
                <w:noProof/>
              </w:rPr>
              <w:t>1.4</w:t>
            </w:r>
            <w:r w:rsidR="00C810C6">
              <w:rPr>
                <w:rFonts w:asciiTheme="minorHAnsi" w:hAnsiTheme="minorHAnsi"/>
                <w:noProof/>
                <w:sz w:val="22"/>
                <w:szCs w:val="22"/>
                <w:lang w:eastAsia="en-AU"/>
              </w:rPr>
              <w:tab/>
            </w:r>
            <w:r w:rsidR="00C810C6" w:rsidRPr="00CF3EEC">
              <w:rPr>
                <w:rStyle w:val="Hyperlink"/>
                <w:noProof/>
              </w:rPr>
              <w:t>Overview of the IECA Framework</w:t>
            </w:r>
            <w:r w:rsidR="00C810C6">
              <w:rPr>
                <w:noProof/>
                <w:webHidden/>
              </w:rPr>
              <w:tab/>
            </w:r>
            <w:r w:rsidR="00C810C6">
              <w:rPr>
                <w:noProof/>
                <w:webHidden/>
              </w:rPr>
              <w:fldChar w:fldCharType="begin"/>
            </w:r>
            <w:r w:rsidR="00C810C6">
              <w:rPr>
                <w:noProof/>
                <w:webHidden/>
              </w:rPr>
              <w:instrText xml:space="preserve"> PAGEREF _Toc493774201 \h </w:instrText>
            </w:r>
            <w:r w:rsidR="00C810C6">
              <w:rPr>
                <w:noProof/>
                <w:webHidden/>
              </w:rPr>
            </w:r>
            <w:r w:rsidR="00C810C6">
              <w:rPr>
                <w:noProof/>
                <w:webHidden/>
              </w:rPr>
              <w:fldChar w:fldCharType="separate"/>
            </w:r>
            <w:r w:rsidR="00C810C6">
              <w:rPr>
                <w:noProof/>
                <w:webHidden/>
              </w:rPr>
              <w:t>10</w:t>
            </w:r>
            <w:r w:rsidR="00C810C6">
              <w:rPr>
                <w:noProof/>
                <w:webHidden/>
              </w:rPr>
              <w:fldChar w:fldCharType="end"/>
            </w:r>
          </w:hyperlink>
        </w:p>
        <w:p w14:paraId="2D452FAC"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202" w:history="1">
            <w:r w:rsidR="00C810C6" w:rsidRPr="00CF3EEC">
              <w:rPr>
                <w:rStyle w:val="Hyperlink"/>
                <w:noProof/>
              </w:rPr>
              <w:t>1.5</w:t>
            </w:r>
            <w:r w:rsidR="00C810C6">
              <w:rPr>
                <w:rFonts w:asciiTheme="minorHAnsi" w:hAnsiTheme="minorHAnsi"/>
                <w:noProof/>
                <w:sz w:val="22"/>
                <w:szCs w:val="22"/>
                <w:lang w:eastAsia="en-AU"/>
              </w:rPr>
              <w:tab/>
            </w:r>
            <w:r w:rsidR="00C810C6" w:rsidRPr="00CF3EEC">
              <w:rPr>
                <w:rStyle w:val="Hyperlink"/>
                <w:noProof/>
              </w:rPr>
              <w:t>How to use this manual</w:t>
            </w:r>
            <w:r w:rsidR="00C810C6">
              <w:rPr>
                <w:noProof/>
                <w:webHidden/>
              </w:rPr>
              <w:tab/>
            </w:r>
            <w:r w:rsidR="00C810C6">
              <w:rPr>
                <w:noProof/>
                <w:webHidden/>
              </w:rPr>
              <w:fldChar w:fldCharType="begin"/>
            </w:r>
            <w:r w:rsidR="00C810C6">
              <w:rPr>
                <w:noProof/>
                <w:webHidden/>
              </w:rPr>
              <w:instrText xml:space="preserve"> PAGEREF _Toc493774202 \h </w:instrText>
            </w:r>
            <w:r w:rsidR="00C810C6">
              <w:rPr>
                <w:noProof/>
                <w:webHidden/>
              </w:rPr>
            </w:r>
            <w:r w:rsidR="00C810C6">
              <w:rPr>
                <w:noProof/>
                <w:webHidden/>
              </w:rPr>
              <w:fldChar w:fldCharType="separate"/>
            </w:r>
            <w:r w:rsidR="00C810C6">
              <w:rPr>
                <w:noProof/>
                <w:webHidden/>
              </w:rPr>
              <w:t>14</w:t>
            </w:r>
            <w:r w:rsidR="00C810C6">
              <w:rPr>
                <w:noProof/>
                <w:webHidden/>
              </w:rPr>
              <w:fldChar w:fldCharType="end"/>
            </w:r>
          </w:hyperlink>
        </w:p>
        <w:p w14:paraId="5242A337" w14:textId="77777777" w:rsidR="00C810C6" w:rsidRDefault="00174B32">
          <w:pPr>
            <w:pStyle w:val="TOC1"/>
            <w:tabs>
              <w:tab w:val="left" w:pos="440"/>
              <w:tab w:val="right" w:leader="dot" w:pos="9016"/>
            </w:tabs>
            <w:rPr>
              <w:rFonts w:asciiTheme="minorHAnsi" w:hAnsiTheme="minorHAnsi"/>
              <w:noProof/>
              <w:sz w:val="22"/>
              <w:szCs w:val="22"/>
              <w:lang w:eastAsia="en-AU"/>
            </w:rPr>
          </w:pPr>
          <w:hyperlink w:anchor="_Toc493774203" w:history="1">
            <w:r w:rsidR="00C810C6" w:rsidRPr="00CF3EEC">
              <w:rPr>
                <w:rStyle w:val="Hyperlink"/>
                <w:noProof/>
              </w:rPr>
              <w:t>2</w:t>
            </w:r>
            <w:r w:rsidR="00C810C6">
              <w:rPr>
                <w:rFonts w:asciiTheme="minorHAnsi" w:hAnsiTheme="minorHAnsi"/>
                <w:noProof/>
                <w:sz w:val="22"/>
                <w:szCs w:val="22"/>
                <w:lang w:eastAsia="en-AU"/>
              </w:rPr>
              <w:tab/>
            </w:r>
            <w:r w:rsidR="00C810C6" w:rsidRPr="00CF3EEC">
              <w:rPr>
                <w:rStyle w:val="Hyperlink"/>
                <w:noProof/>
              </w:rPr>
              <w:t>Part A: Context and Current understanding</w:t>
            </w:r>
            <w:r w:rsidR="00C810C6">
              <w:rPr>
                <w:noProof/>
                <w:webHidden/>
              </w:rPr>
              <w:tab/>
            </w:r>
            <w:r w:rsidR="00C810C6">
              <w:rPr>
                <w:noProof/>
                <w:webHidden/>
              </w:rPr>
              <w:fldChar w:fldCharType="begin"/>
            </w:r>
            <w:r w:rsidR="00C810C6">
              <w:rPr>
                <w:noProof/>
                <w:webHidden/>
              </w:rPr>
              <w:instrText xml:space="preserve"> PAGEREF _Toc493774203 \h </w:instrText>
            </w:r>
            <w:r w:rsidR="00C810C6">
              <w:rPr>
                <w:noProof/>
                <w:webHidden/>
              </w:rPr>
            </w:r>
            <w:r w:rsidR="00C810C6">
              <w:rPr>
                <w:noProof/>
                <w:webHidden/>
              </w:rPr>
              <w:fldChar w:fldCharType="separate"/>
            </w:r>
            <w:r w:rsidR="00C810C6">
              <w:rPr>
                <w:noProof/>
                <w:webHidden/>
              </w:rPr>
              <w:t>16</w:t>
            </w:r>
            <w:r w:rsidR="00C810C6">
              <w:rPr>
                <w:noProof/>
                <w:webHidden/>
              </w:rPr>
              <w:fldChar w:fldCharType="end"/>
            </w:r>
          </w:hyperlink>
        </w:p>
        <w:p w14:paraId="617C5BA1"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204" w:history="1">
            <w:r w:rsidR="00C810C6" w:rsidRPr="00CF3EEC">
              <w:rPr>
                <w:rStyle w:val="Hyperlink"/>
                <w:noProof/>
              </w:rPr>
              <w:t>2.1</w:t>
            </w:r>
            <w:r w:rsidR="00C810C6">
              <w:rPr>
                <w:rFonts w:asciiTheme="minorHAnsi" w:hAnsiTheme="minorHAnsi"/>
                <w:noProof/>
                <w:sz w:val="22"/>
                <w:szCs w:val="22"/>
                <w:lang w:eastAsia="en-AU"/>
              </w:rPr>
              <w:tab/>
            </w:r>
            <w:r w:rsidR="00C810C6" w:rsidRPr="00CF3EEC">
              <w:rPr>
                <w:rStyle w:val="Hyperlink"/>
                <w:noProof/>
              </w:rPr>
              <w:t>Framing the question</w:t>
            </w:r>
            <w:r w:rsidR="00C810C6">
              <w:rPr>
                <w:noProof/>
                <w:webHidden/>
              </w:rPr>
              <w:tab/>
            </w:r>
            <w:r w:rsidR="00C810C6">
              <w:rPr>
                <w:noProof/>
                <w:webHidden/>
              </w:rPr>
              <w:fldChar w:fldCharType="begin"/>
            </w:r>
            <w:r w:rsidR="00C810C6">
              <w:rPr>
                <w:noProof/>
                <w:webHidden/>
              </w:rPr>
              <w:instrText xml:space="preserve"> PAGEREF _Toc493774204 \h </w:instrText>
            </w:r>
            <w:r w:rsidR="00C810C6">
              <w:rPr>
                <w:noProof/>
                <w:webHidden/>
              </w:rPr>
            </w:r>
            <w:r w:rsidR="00C810C6">
              <w:rPr>
                <w:noProof/>
                <w:webHidden/>
              </w:rPr>
              <w:fldChar w:fldCharType="separate"/>
            </w:r>
            <w:r w:rsidR="00C810C6">
              <w:rPr>
                <w:noProof/>
                <w:webHidden/>
              </w:rPr>
              <w:t>16</w:t>
            </w:r>
            <w:r w:rsidR="00C810C6">
              <w:rPr>
                <w:noProof/>
                <w:webHidden/>
              </w:rPr>
              <w:fldChar w:fldCharType="end"/>
            </w:r>
          </w:hyperlink>
        </w:p>
        <w:p w14:paraId="7AD429D8" w14:textId="77777777" w:rsidR="00C810C6" w:rsidRDefault="00174B32">
          <w:pPr>
            <w:pStyle w:val="TOC3"/>
            <w:tabs>
              <w:tab w:val="left" w:pos="1100"/>
              <w:tab w:val="right" w:leader="dot" w:pos="9016"/>
            </w:tabs>
            <w:rPr>
              <w:rFonts w:asciiTheme="minorHAnsi" w:hAnsiTheme="minorHAnsi"/>
              <w:noProof/>
              <w:sz w:val="22"/>
              <w:szCs w:val="22"/>
              <w:lang w:eastAsia="en-AU"/>
            </w:rPr>
          </w:pPr>
          <w:hyperlink w:anchor="_Toc493774205" w:history="1">
            <w:r w:rsidR="00C810C6" w:rsidRPr="00CF3EEC">
              <w:rPr>
                <w:rStyle w:val="Hyperlink"/>
                <w:noProof/>
              </w:rPr>
              <w:t>2.1.1</w:t>
            </w:r>
            <w:r w:rsidR="00C810C6">
              <w:rPr>
                <w:rFonts w:asciiTheme="minorHAnsi" w:hAnsiTheme="minorHAnsi"/>
                <w:noProof/>
                <w:sz w:val="22"/>
                <w:szCs w:val="22"/>
                <w:lang w:eastAsia="en-AU"/>
              </w:rPr>
              <w:tab/>
            </w:r>
            <w:r w:rsidR="00C810C6" w:rsidRPr="00CF3EEC">
              <w:rPr>
                <w:rStyle w:val="Hyperlink"/>
                <w:noProof/>
              </w:rPr>
              <w:t>Clarify objectives</w:t>
            </w:r>
            <w:r w:rsidR="00C810C6">
              <w:rPr>
                <w:noProof/>
                <w:webHidden/>
              </w:rPr>
              <w:tab/>
            </w:r>
            <w:r w:rsidR="00C810C6">
              <w:rPr>
                <w:noProof/>
                <w:webHidden/>
              </w:rPr>
              <w:fldChar w:fldCharType="begin"/>
            </w:r>
            <w:r w:rsidR="00C810C6">
              <w:rPr>
                <w:noProof/>
                <w:webHidden/>
              </w:rPr>
              <w:instrText xml:space="preserve"> PAGEREF _Toc493774205 \h </w:instrText>
            </w:r>
            <w:r w:rsidR="00C810C6">
              <w:rPr>
                <w:noProof/>
                <w:webHidden/>
              </w:rPr>
            </w:r>
            <w:r w:rsidR="00C810C6">
              <w:rPr>
                <w:noProof/>
                <w:webHidden/>
              </w:rPr>
              <w:fldChar w:fldCharType="separate"/>
            </w:r>
            <w:r w:rsidR="00C810C6">
              <w:rPr>
                <w:noProof/>
                <w:webHidden/>
              </w:rPr>
              <w:t>16</w:t>
            </w:r>
            <w:r w:rsidR="00C810C6">
              <w:rPr>
                <w:noProof/>
                <w:webHidden/>
              </w:rPr>
              <w:fldChar w:fldCharType="end"/>
            </w:r>
          </w:hyperlink>
        </w:p>
        <w:p w14:paraId="38563510" w14:textId="77777777" w:rsidR="00C810C6" w:rsidRDefault="00174B32">
          <w:pPr>
            <w:pStyle w:val="TOC3"/>
            <w:tabs>
              <w:tab w:val="left" w:pos="1100"/>
              <w:tab w:val="right" w:leader="dot" w:pos="9016"/>
            </w:tabs>
            <w:rPr>
              <w:rFonts w:asciiTheme="minorHAnsi" w:hAnsiTheme="minorHAnsi"/>
              <w:noProof/>
              <w:sz w:val="22"/>
              <w:szCs w:val="22"/>
              <w:lang w:eastAsia="en-AU"/>
            </w:rPr>
          </w:pPr>
          <w:hyperlink w:anchor="_Toc493774206" w:history="1">
            <w:r w:rsidR="00C810C6" w:rsidRPr="00CF3EEC">
              <w:rPr>
                <w:rStyle w:val="Hyperlink"/>
                <w:noProof/>
              </w:rPr>
              <w:t>2.1.2</w:t>
            </w:r>
            <w:r w:rsidR="00C810C6">
              <w:rPr>
                <w:rFonts w:asciiTheme="minorHAnsi" w:hAnsiTheme="minorHAnsi"/>
                <w:noProof/>
                <w:sz w:val="22"/>
                <w:szCs w:val="22"/>
                <w:lang w:eastAsia="en-AU"/>
              </w:rPr>
              <w:tab/>
            </w:r>
            <w:r w:rsidR="00C810C6" w:rsidRPr="00CF3EEC">
              <w:rPr>
                <w:rStyle w:val="Hyperlink"/>
                <w:noProof/>
              </w:rPr>
              <w:t>Identify Triggers, Targets and Thresholds</w:t>
            </w:r>
            <w:r w:rsidR="00C810C6">
              <w:rPr>
                <w:noProof/>
                <w:webHidden/>
              </w:rPr>
              <w:tab/>
            </w:r>
            <w:r w:rsidR="00C810C6">
              <w:rPr>
                <w:noProof/>
                <w:webHidden/>
              </w:rPr>
              <w:fldChar w:fldCharType="begin"/>
            </w:r>
            <w:r w:rsidR="00C810C6">
              <w:rPr>
                <w:noProof/>
                <w:webHidden/>
              </w:rPr>
              <w:instrText xml:space="preserve"> PAGEREF _Toc493774206 \h </w:instrText>
            </w:r>
            <w:r w:rsidR="00C810C6">
              <w:rPr>
                <w:noProof/>
                <w:webHidden/>
              </w:rPr>
            </w:r>
            <w:r w:rsidR="00C810C6">
              <w:rPr>
                <w:noProof/>
                <w:webHidden/>
              </w:rPr>
              <w:fldChar w:fldCharType="separate"/>
            </w:r>
            <w:r w:rsidR="00C810C6">
              <w:rPr>
                <w:noProof/>
                <w:webHidden/>
              </w:rPr>
              <w:t>17</w:t>
            </w:r>
            <w:r w:rsidR="00C810C6">
              <w:rPr>
                <w:noProof/>
                <w:webHidden/>
              </w:rPr>
              <w:fldChar w:fldCharType="end"/>
            </w:r>
          </w:hyperlink>
        </w:p>
        <w:p w14:paraId="5E3E6860" w14:textId="77777777" w:rsidR="00C810C6" w:rsidRDefault="00174B32">
          <w:pPr>
            <w:pStyle w:val="TOC3"/>
            <w:tabs>
              <w:tab w:val="left" w:pos="1100"/>
              <w:tab w:val="right" w:leader="dot" w:pos="9016"/>
            </w:tabs>
            <w:rPr>
              <w:rFonts w:asciiTheme="minorHAnsi" w:hAnsiTheme="minorHAnsi"/>
              <w:noProof/>
              <w:sz w:val="22"/>
              <w:szCs w:val="22"/>
              <w:lang w:eastAsia="en-AU"/>
            </w:rPr>
          </w:pPr>
          <w:hyperlink w:anchor="_Toc493774207" w:history="1">
            <w:r w:rsidR="00C810C6" w:rsidRPr="00CF3EEC">
              <w:rPr>
                <w:rStyle w:val="Hyperlink"/>
                <w:noProof/>
              </w:rPr>
              <w:t>2.1.3</w:t>
            </w:r>
            <w:r w:rsidR="00C810C6">
              <w:rPr>
                <w:rFonts w:asciiTheme="minorHAnsi" w:hAnsiTheme="minorHAnsi"/>
                <w:noProof/>
                <w:sz w:val="22"/>
                <w:szCs w:val="22"/>
                <w:lang w:eastAsia="en-AU"/>
              </w:rPr>
              <w:tab/>
            </w:r>
            <w:r w:rsidR="00C810C6" w:rsidRPr="00CF3EEC">
              <w:rPr>
                <w:rStyle w:val="Hyperlink"/>
                <w:noProof/>
              </w:rPr>
              <w:t>Stakeholder engagement</w:t>
            </w:r>
            <w:r w:rsidR="00C810C6">
              <w:rPr>
                <w:noProof/>
                <w:webHidden/>
              </w:rPr>
              <w:tab/>
            </w:r>
            <w:r w:rsidR="00C810C6">
              <w:rPr>
                <w:noProof/>
                <w:webHidden/>
              </w:rPr>
              <w:fldChar w:fldCharType="begin"/>
            </w:r>
            <w:r w:rsidR="00C810C6">
              <w:rPr>
                <w:noProof/>
                <w:webHidden/>
              </w:rPr>
              <w:instrText xml:space="preserve"> PAGEREF _Toc493774207 \h </w:instrText>
            </w:r>
            <w:r w:rsidR="00C810C6">
              <w:rPr>
                <w:noProof/>
                <w:webHidden/>
              </w:rPr>
            </w:r>
            <w:r w:rsidR="00C810C6">
              <w:rPr>
                <w:noProof/>
                <w:webHidden/>
              </w:rPr>
              <w:fldChar w:fldCharType="separate"/>
            </w:r>
            <w:r w:rsidR="00C810C6">
              <w:rPr>
                <w:noProof/>
                <w:webHidden/>
              </w:rPr>
              <w:t>18</w:t>
            </w:r>
            <w:r w:rsidR="00C810C6">
              <w:rPr>
                <w:noProof/>
                <w:webHidden/>
              </w:rPr>
              <w:fldChar w:fldCharType="end"/>
            </w:r>
          </w:hyperlink>
        </w:p>
        <w:p w14:paraId="1B37023E" w14:textId="77777777" w:rsidR="00C810C6" w:rsidRDefault="00174B32">
          <w:pPr>
            <w:pStyle w:val="TOC3"/>
            <w:tabs>
              <w:tab w:val="left" w:pos="1100"/>
              <w:tab w:val="right" w:leader="dot" w:pos="9016"/>
            </w:tabs>
            <w:rPr>
              <w:rFonts w:asciiTheme="minorHAnsi" w:hAnsiTheme="minorHAnsi"/>
              <w:noProof/>
              <w:sz w:val="22"/>
              <w:szCs w:val="22"/>
              <w:lang w:eastAsia="en-AU"/>
            </w:rPr>
          </w:pPr>
          <w:hyperlink w:anchor="_Toc493774208" w:history="1">
            <w:r w:rsidR="00C810C6" w:rsidRPr="00CF3EEC">
              <w:rPr>
                <w:rStyle w:val="Hyperlink"/>
                <w:noProof/>
              </w:rPr>
              <w:t>2.1.4</w:t>
            </w:r>
            <w:r w:rsidR="00C810C6">
              <w:rPr>
                <w:rFonts w:asciiTheme="minorHAnsi" w:hAnsiTheme="minorHAnsi"/>
                <w:noProof/>
                <w:sz w:val="22"/>
                <w:szCs w:val="22"/>
                <w:lang w:eastAsia="en-AU"/>
              </w:rPr>
              <w:tab/>
            </w:r>
            <w:r w:rsidR="00C810C6" w:rsidRPr="00CF3EEC">
              <w:rPr>
                <w:rStyle w:val="Hyperlink"/>
                <w:noProof/>
              </w:rPr>
              <w:t>Establish the spatial boundaries of the assessment unit</w:t>
            </w:r>
            <w:r w:rsidR="00C810C6">
              <w:rPr>
                <w:noProof/>
                <w:webHidden/>
              </w:rPr>
              <w:tab/>
            </w:r>
            <w:r w:rsidR="00C810C6">
              <w:rPr>
                <w:noProof/>
                <w:webHidden/>
              </w:rPr>
              <w:fldChar w:fldCharType="begin"/>
            </w:r>
            <w:r w:rsidR="00C810C6">
              <w:rPr>
                <w:noProof/>
                <w:webHidden/>
              </w:rPr>
              <w:instrText xml:space="preserve"> PAGEREF _Toc493774208 \h </w:instrText>
            </w:r>
            <w:r w:rsidR="00C810C6">
              <w:rPr>
                <w:noProof/>
                <w:webHidden/>
              </w:rPr>
            </w:r>
            <w:r w:rsidR="00C810C6">
              <w:rPr>
                <w:noProof/>
                <w:webHidden/>
              </w:rPr>
              <w:fldChar w:fldCharType="separate"/>
            </w:r>
            <w:r w:rsidR="00C810C6">
              <w:rPr>
                <w:noProof/>
                <w:webHidden/>
              </w:rPr>
              <w:t>19</w:t>
            </w:r>
            <w:r w:rsidR="00C810C6">
              <w:rPr>
                <w:noProof/>
                <w:webHidden/>
              </w:rPr>
              <w:fldChar w:fldCharType="end"/>
            </w:r>
          </w:hyperlink>
        </w:p>
        <w:p w14:paraId="285DD66C"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209" w:history="1">
            <w:r w:rsidR="00C810C6" w:rsidRPr="00CF3EEC">
              <w:rPr>
                <w:rStyle w:val="Hyperlink"/>
                <w:noProof/>
              </w:rPr>
              <w:t>2.2</w:t>
            </w:r>
            <w:r w:rsidR="00C810C6">
              <w:rPr>
                <w:rFonts w:asciiTheme="minorHAnsi" w:hAnsiTheme="minorHAnsi"/>
                <w:noProof/>
                <w:sz w:val="22"/>
                <w:szCs w:val="22"/>
                <w:lang w:eastAsia="en-AU"/>
              </w:rPr>
              <w:tab/>
            </w:r>
            <w:r w:rsidR="00C810C6" w:rsidRPr="00CF3EEC">
              <w:rPr>
                <w:rStyle w:val="Hyperlink"/>
                <w:noProof/>
              </w:rPr>
              <w:t>Purpose of IECA</w:t>
            </w:r>
            <w:r w:rsidR="00C810C6">
              <w:rPr>
                <w:noProof/>
                <w:webHidden/>
              </w:rPr>
              <w:tab/>
            </w:r>
            <w:r w:rsidR="00C810C6">
              <w:rPr>
                <w:noProof/>
                <w:webHidden/>
              </w:rPr>
              <w:fldChar w:fldCharType="begin"/>
            </w:r>
            <w:r w:rsidR="00C810C6">
              <w:rPr>
                <w:noProof/>
                <w:webHidden/>
              </w:rPr>
              <w:instrText xml:space="preserve"> PAGEREF _Toc493774209 \h </w:instrText>
            </w:r>
            <w:r w:rsidR="00C810C6">
              <w:rPr>
                <w:noProof/>
                <w:webHidden/>
              </w:rPr>
            </w:r>
            <w:r w:rsidR="00C810C6">
              <w:rPr>
                <w:noProof/>
                <w:webHidden/>
              </w:rPr>
              <w:fldChar w:fldCharType="separate"/>
            </w:r>
            <w:r w:rsidR="00C810C6">
              <w:rPr>
                <w:noProof/>
                <w:webHidden/>
              </w:rPr>
              <w:t>20</w:t>
            </w:r>
            <w:r w:rsidR="00C810C6">
              <w:rPr>
                <w:noProof/>
                <w:webHidden/>
              </w:rPr>
              <w:fldChar w:fldCharType="end"/>
            </w:r>
          </w:hyperlink>
        </w:p>
        <w:p w14:paraId="32F7B52B"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210" w:history="1">
            <w:r w:rsidR="00C810C6" w:rsidRPr="00CF3EEC">
              <w:rPr>
                <w:rStyle w:val="Hyperlink"/>
                <w:noProof/>
              </w:rPr>
              <w:t>2.3</w:t>
            </w:r>
            <w:r w:rsidR="00C810C6">
              <w:rPr>
                <w:rFonts w:asciiTheme="minorHAnsi" w:hAnsiTheme="minorHAnsi"/>
                <w:noProof/>
                <w:sz w:val="22"/>
                <w:szCs w:val="22"/>
                <w:lang w:eastAsia="en-AU"/>
              </w:rPr>
              <w:tab/>
            </w:r>
            <w:r w:rsidR="00C810C6" w:rsidRPr="00CF3EEC">
              <w:rPr>
                <w:rStyle w:val="Hyperlink"/>
                <w:noProof/>
              </w:rPr>
              <w:t>Groundwork</w:t>
            </w:r>
            <w:r w:rsidR="00C810C6">
              <w:rPr>
                <w:noProof/>
                <w:webHidden/>
              </w:rPr>
              <w:tab/>
            </w:r>
            <w:r w:rsidR="00C810C6">
              <w:rPr>
                <w:noProof/>
                <w:webHidden/>
              </w:rPr>
              <w:fldChar w:fldCharType="begin"/>
            </w:r>
            <w:r w:rsidR="00C810C6">
              <w:rPr>
                <w:noProof/>
                <w:webHidden/>
              </w:rPr>
              <w:instrText xml:space="preserve"> PAGEREF _Toc493774210 \h </w:instrText>
            </w:r>
            <w:r w:rsidR="00C810C6">
              <w:rPr>
                <w:noProof/>
                <w:webHidden/>
              </w:rPr>
            </w:r>
            <w:r w:rsidR="00C810C6">
              <w:rPr>
                <w:noProof/>
                <w:webHidden/>
              </w:rPr>
              <w:fldChar w:fldCharType="separate"/>
            </w:r>
            <w:r w:rsidR="00C810C6">
              <w:rPr>
                <w:noProof/>
                <w:webHidden/>
              </w:rPr>
              <w:t>21</w:t>
            </w:r>
            <w:r w:rsidR="00C810C6">
              <w:rPr>
                <w:noProof/>
                <w:webHidden/>
              </w:rPr>
              <w:fldChar w:fldCharType="end"/>
            </w:r>
          </w:hyperlink>
        </w:p>
        <w:p w14:paraId="63EDF47B" w14:textId="77777777" w:rsidR="00C810C6" w:rsidRDefault="00174B32">
          <w:pPr>
            <w:pStyle w:val="TOC3"/>
            <w:tabs>
              <w:tab w:val="left" w:pos="1100"/>
              <w:tab w:val="right" w:leader="dot" w:pos="9016"/>
            </w:tabs>
            <w:rPr>
              <w:rFonts w:asciiTheme="minorHAnsi" w:hAnsiTheme="minorHAnsi"/>
              <w:noProof/>
              <w:sz w:val="22"/>
              <w:szCs w:val="22"/>
              <w:lang w:eastAsia="en-AU"/>
            </w:rPr>
          </w:pPr>
          <w:hyperlink w:anchor="_Toc493774211" w:history="1">
            <w:r w:rsidR="00C810C6" w:rsidRPr="00CF3EEC">
              <w:rPr>
                <w:rStyle w:val="Hyperlink"/>
                <w:noProof/>
              </w:rPr>
              <w:t>2.3.1</w:t>
            </w:r>
            <w:r w:rsidR="00C810C6">
              <w:rPr>
                <w:rFonts w:asciiTheme="minorHAnsi" w:hAnsiTheme="minorHAnsi"/>
                <w:noProof/>
                <w:sz w:val="22"/>
                <w:szCs w:val="22"/>
                <w:lang w:eastAsia="en-AU"/>
              </w:rPr>
              <w:tab/>
            </w:r>
            <w:r w:rsidR="00C810C6" w:rsidRPr="00CF3EEC">
              <w:rPr>
                <w:rStyle w:val="Hyperlink"/>
                <w:noProof/>
              </w:rPr>
              <w:t>Accessing expertise: Establish a TAG or other appropriate oversight body (optional)</w:t>
            </w:r>
            <w:r w:rsidR="00C810C6">
              <w:rPr>
                <w:noProof/>
                <w:webHidden/>
              </w:rPr>
              <w:tab/>
            </w:r>
            <w:r w:rsidR="00C810C6">
              <w:rPr>
                <w:noProof/>
                <w:webHidden/>
              </w:rPr>
              <w:fldChar w:fldCharType="begin"/>
            </w:r>
            <w:r w:rsidR="00C810C6">
              <w:rPr>
                <w:noProof/>
                <w:webHidden/>
              </w:rPr>
              <w:instrText xml:space="preserve"> PAGEREF _Toc493774211 \h </w:instrText>
            </w:r>
            <w:r w:rsidR="00C810C6">
              <w:rPr>
                <w:noProof/>
                <w:webHidden/>
              </w:rPr>
            </w:r>
            <w:r w:rsidR="00C810C6">
              <w:rPr>
                <w:noProof/>
                <w:webHidden/>
              </w:rPr>
              <w:fldChar w:fldCharType="separate"/>
            </w:r>
            <w:r w:rsidR="00C810C6">
              <w:rPr>
                <w:noProof/>
                <w:webHidden/>
              </w:rPr>
              <w:t>21</w:t>
            </w:r>
            <w:r w:rsidR="00C810C6">
              <w:rPr>
                <w:noProof/>
                <w:webHidden/>
              </w:rPr>
              <w:fldChar w:fldCharType="end"/>
            </w:r>
          </w:hyperlink>
        </w:p>
        <w:p w14:paraId="3AC905ED" w14:textId="77777777" w:rsidR="00C810C6" w:rsidRDefault="00174B32">
          <w:pPr>
            <w:pStyle w:val="TOC3"/>
            <w:tabs>
              <w:tab w:val="left" w:pos="1100"/>
              <w:tab w:val="right" w:leader="dot" w:pos="9016"/>
            </w:tabs>
            <w:rPr>
              <w:rFonts w:asciiTheme="minorHAnsi" w:hAnsiTheme="minorHAnsi"/>
              <w:noProof/>
              <w:sz w:val="22"/>
              <w:szCs w:val="22"/>
              <w:lang w:eastAsia="en-AU"/>
            </w:rPr>
          </w:pPr>
          <w:hyperlink w:anchor="_Toc493774212" w:history="1">
            <w:r w:rsidR="00C810C6" w:rsidRPr="00CF3EEC">
              <w:rPr>
                <w:rStyle w:val="Hyperlink"/>
                <w:noProof/>
              </w:rPr>
              <w:t>2.3.2</w:t>
            </w:r>
            <w:r w:rsidR="00C810C6">
              <w:rPr>
                <w:rFonts w:asciiTheme="minorHAnsi" w:hAnsiTheme="minorHAnsi"/>
                <w:noProof/>
                <w:sz w:val="22"/>
                <w:szCs w:val="22"/>
                <w:lang w:eastAsia="en-AU"/>
              </w:rPr>
              <w:tab/>
            </w:r>
            <w:r w:rsidR="00C810C6" w:rsidRPr="00CF3EEC">
              <w:rPr>
                <w:rStyle w:val="Hyperlink"/>
                <w:noProof/>
              </w:rPr>
              <w:t>Collating existing information</w:t>
            </w:r>
            <w:r w:rsidR="00C810C6">
              <w:rPr>
                <w:noProof/>
                <w:webHidden/>
              </w:rPr>
              <w:tab/>
            </w:r>
            <w:r w:rsidR="00C810C6">
              <w:rPr>
                <w:noProof/>
                <w:webHidden/>
              </w:rPr>
              <w:fldChar w:fldCharType="begin"/>
            </w:r>
            <w:r w:rsidR="00C810C6">
              <w:rPr>
                <w:noProof/>
                <w:webHidden/>
              </w:rPr>
              <w:instrText xml:space="preserve"> PAGEREF _Toc493774212 \h </w:instrText>
            </w:r>
            <w:r w:rsidR="00C810C6">
              <w:rPr>
                <w:noProof/>
                <w:webHidden/>
              </w:rPr>
            </w:r>
            <w:r w:rsidR="00C810C6">
              <w:rPr>
                <w:noProof/>
                <w:webHidden/>
              </w:rPr>
              <w:fldChar w:fldCharType="separate"/>
            </w:r>
            <w:r w:rsidR="00C810C6">
              <w:rPr>
                <w:noProof/>
                <w:webHidden/>
              </w:rPr>
              <w:t>21</w:t>
            </w:r>
            <w:r w:rsidR="00C810C6">
              <w:rPr>
                <w:noProof/>
                <w:webHidden/>
              </w:rPr>
              <w:fldChar w:fldCharType="end"/>
            </w:r>
          </w:hyperlink>
        </w:p>
        <w:p w14:paraId="4CF51682" w14:textId="77777777" w:rsidR="00C810C6" w:rsidRDefault="00174B32">
          <w:pPr>
            <w:pStyle w:val="TOC3"/>
            <w:tabs>
              <w:tab w:val="left" w:pos="1100"/>
              <w:tab w:val="right" w:leader="dot" w:pos="9016"/>
            </w:tabs>
            <w:rPr>
              <w:rFonts w:asciiTheme="minorHAnsi" w:hAnsiTheme="minorHAnsi"/>
              <w:noProof/>
              <w:sz w:val="22"/>
              <w:szCs w:val="22"/>
              <w:lang w:eastAsia="en-AU"/>
            </w:rPr>
          </w:pPr>
          <w:hyperlink w:anchor="_Toc493774213" w:history="1">
            <w:r w:rsidR="00C810C6" w:rsidRPr="00CF3EEC">
              <w:rPr>
                <w:rStyle w:val="Hyperlink"/>
                <w:noProof/>
              </w:rPr>
              <w:t>2.3.3</w:t>
            </w:r>
            <w:r w:rsidR="00C810C6">
              <w:rPr>
                <w:rFonts w:asciiTheme="minorHAnsi" w:hAnsiTheme="minorHAnsi"/>
                <w:noProof/>
                <w:sz w:val="22"/>
                <w:szCs w:val="22"/>
                <w:lang w:eastAsia="en-AU"/>
              </w:rPr>
              <w:tab/>
            </w:r>
            <w:r w:rsidR="00C810C6" w:rsidRPr="00CF3EEC">
              <w:rPr>
                <w:rStyle w:val="Hyperlink"/>
                <w:noProof/>
              </w:rPr>
              <w:t>Define the scale of assessment</w:t>
            </w:r>
            <w:r w:rsidR="00C810C6">
              <w:rPr>
                <w:noProof/>
                <w:webHidden/>
              </w:rPr>
              <w:tab/>
            </w:r>
            <w:r w:rsidR="00C810C6">
              <w:rPr>
                <w:noProof/>
                <w:webHidden/>
              </w:rPr>
              <w:fldChar w:fldCharType="begin"/>
            </w:r>
            <w:r w:rsidR="00C810C6">
              <w:rPr>
                <w:noProof/>
                <w:webHidden/>
              </w:rPr>
              <w:instrText xml:space="preserve"> PAGEREF _Toc493774213 \h </w:instrText>
            </w:r>
            <w:r w:rsidR="00C810C6">
              <w:rPr>
                <w:noProof/>
                <w:webHidden/>
              </w:rPr>
            </w:r>
            <w:r w:rsidR="00C810C6">
              <w:rPr>
                <w:noProof/>
                <w:webHidden/>
              </w:rPr>
              <w:fldChar w:fldCharType="separate"/>
            </w:r>
            <w:r w:rsidR="00C810C6">
              <w:rPr>
                <w:noProof/>
                <w:webHidden/>
              </w:rPr>
              <w:t>21</w:t>
            </w:r>
            <w:r w:rsidR="00C810C6">
              <w:rPr>
                <w:noProof/>
                <w:webHidden/>
              </w:rPr>
              <w:fldChar w:fldCharType="end"/>
            </w:r>
          </w:hyperlink>
        </w:p>
        <w:p w14:paraId="716D6904" w14:textId="77777777" w:rsidR="00C810C6" w:rsidRDefault="00174B32">
          <w:pPr>
            <w:pStyle w:val="TOC3"/>
            <w:tabs>
              <w:tab w:val="left" w:pos="1100"/>
              <w:tab w:val="right" w:leader="dot" w:pos="9016"/>
            </w:tabs>
            <w:rPr>
              <w:rFonts w:asciiTheme="minorHAnsi" w:hAnsiTheme="minorHAnsi"/>
              <w:noProof/>
              <w:sz w:val="22"/>
              <w:szCs w:val="22"/>
              <w:lang w:eastAsia="en-AU"/>
            </w:rPr>
          </w:pPr>
          <w:hyperlink w:anchor="_Toc493774214" w:history="1">
            <w:r w:rsidR="00C810C6" w:rsidRPr="00CF3EEC">
              <w:rPr>
                <w:rStyle w:val="Hyperlink"/>
                <w:noProof/>
              </w:rPr>
              <w:t>2.3.4</w:t>
            </w:r>
            <w:r w:rsidR="00C810C6">
              <w:rPr>
                <w:rFonts w:asciiTheme="minorHAnsi" w:hAnsiTheme="minorHAnsi"/>
                <w:noProof/>
                <w:sz w:val="22"/>
                <w:szCs w:val="22"/>
                <w:lang w:eastAsia="en-AU"/>
              </w:rPr>
              <w:tab/>
            </w:r>
            <w:r w:rsidR="00C810C6" w:rsidRPr="00CF3EEC">
              <w:rPr>
                <w:rStyle w:val="Hyperlink"/>
                <w:noProof/>
              </w:rPr>
              <w:t>Identify existing conceptual models</w:t>
            </w:r>
            <w:r w:rsidR="00C810C6">
              <w:rPr>
                <w:noProof/>
                <w:webHidden/>
              </w:rPr>
              <w:tab/>
            </w:r>
            <w:r w:rsidR="00C810C6">
              <w:rPr>
                <w:noProof/>
                <w:webHidden/>
              </w:rPr>
              <w:fldChar w:fldCharType="begin"/>
            </w:r>
            <w:r w:rsidR="00C810C6">
              <w:rPr>
                <w:noProof/>
                <w:webHidden/>
              </w:rPr>
              <w:instrText xml:space="preserve"> PAGEREF _Toc493774214 \h </w:instrText>
            </w:r>
            <w:r w:rsidR="00C810C6">
              <w:rPr>
                <w:noProof/>
                <w:webHidden/>
              </w:rPr>
            </w:r>
            <w:r w:rsidR="00C810C6">
              <w:rPr>
                <w:noProof/>
                <w:webHidden/>
              </w:rPr>
              <w:fldChar w:fldCharType="separate"/>
            </w:r>
            <w:r w:rsidR="00C810C6">
              <w:rPr>
                <w:noProof/>
                <w:webHidden/>
              </w:rPr>
              <w:t>23</w:t>
            </w:r>
            <w:r w:rsidR="00C810C6">
              <w:rPr>
                <w:noProof/>
                <w:webHidden/>
              </w:rPr>
              <w:fldChar w:fldCharType="end"/>
            </w:r>
          </w:hyperlink>
        </w:p>
        <w:p w14:paraId="0D62BEF5" w14:textId="77777777" w:rsidR="00C810C6" w:rsidRDefault="00174B32">
          <w:pPr>
            <w:pStyle w:val="TOC3"/>
            <w:tabs>
              <w:tab w:val="left" w:pos="1100"/>
              <w:tab w:val="right" w:leader="dot" w:pos="9016"/>
            </w:tabs>
            <w:rPr>
              <w:rFonts w:asciiTheme="minorHAnsi" w:hAnsiTheme="minorHAnsi"/>
              <w:noProof/>
              <w:sz w:val="22"/>
              <w:szCs w:val="22"/>
              <w:lang w:eastAsia="en-AU"/>
            </w:rPr>
          </w:pPr>
          <w:hyperlink w:anchor="_Toc493774215" w:history="1">
            <w:r w:rsidR="00C810C6" w:rsidRPr="00CF3EEC">
              <w:rPr>
                <w:rStyle w:val="Hyperlink"/>
                <w:noProof/>
              </w:rPr>
              <w:t>2.3.5</w:t>
            </w:r>
            <w:r w:rsidR="00C810C6">
              <w:rPr>
                <w:rFonts w:asciiTheme="minorHAnsi" w:hAnsiTheme="minorHAnsi"/>
                <w:noProof/>
                <w:sz w:val="22"/>
                <w:szCs w:val="22"/>
                <w:lang w:eastAsia="en-AU"/>
              </w:rPr>
              <w:tab/>
            </w:r>
            <w:r w:rsidR="00C810C6" w:rsidRPr="00CF3EEC">
              <w:rPr>
                <w:rStyle w:val="Hyperlink"/>
                <w:noProof/>
              </w:rPr>
              <w:t>Identify externalities likely to affect the assessment</w:t>
            </w:r>
            <w:r w:rsidR="00C810C6">
              <w:rPr>
                <w:noProof/>
                <w:webHidden/>
              </w:rPr>
              <w:tab/>
            </w:r>
            <w:r w:rsidR="00C810C6">
              <w:rPr>
                <w:noProof/>
                <w:webHidden/>
              </w:rPr>
              <w:fldChar w:fldCharType="begin"/>
            </w:r>
            <w:r w:rsidR="00C810C6">
              <w:rPr>
                <w:noProof/>
                <w:webHidden/>
              </w:rPr>
              <w:instrText xml:space="preserve"> PAGEREF _Toc493774215 \h </w:instrText>
            </w:r>
            <w:r w:rsidR="00C810C6">
              <w:rPr>
                <w:noProof/>
                <w:webHidden/>
              </w:rPr>
            </w:r>
            <w:r w:rsidR="00C810C6">
              <w:rPr>
                <w:noProof/>
                <w:webHidden/>
              </w:rPr>
              <w:fldChar w:fldCharType="separate"/>
            </w:r>
            <w:r w:rsidR="00C810C6">
              <w:rPr>
                <w:noProof/>
                <w:webHidden/>
              </w:rPr>
              <w:t>24</w:t>
            </w:r>
            <w:r w:rsidR="00C810C6">
              <w:rPr>
                <w:noProof/>
                <w:webHidden/>
              </w:rPr>
              <w:fldChar w:fldCharType="end"/>
            </w:r>
          </w:hyperlink>
        </w:p>
        <w:p w14:paraId="20448443"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216" w:history="1">
            <w:r w:rsidR="00C810C6" w:rsidRPr="00CF3EEC">
              <w:rPr>
                <w:rStyle w:val="Hyperlink"/>
                <w:noProof/>
              </w:rPr>
              <w:t>2.4</w:t>
            </w:r>
            <w:r w:rsidR="00C810C6">
              <w:rPr>
                <w:rFonts w:asciiTheme="minorHAnsi" w:hAnsiTheme="minorHAnsi"/>
                <w:noProof/>
                <w:sz w:val="22"/>
                <w:szCs w:val="22"/>
                <w:lang w:eastAsia="en-AU"/>
              </w:rPr>
              <w:tab/>
            </w:r>
            <w:r w:rsidR="00C810C6" w:rsidRPr="00CF3EEC">
              <w:rPr>
                <w:rStyle w:val="Hyperlink"/>
                <w:noProof/>
              </w:rPr>
              <w:t>Part A: Outputs</w:t>
            </w:r>
            <w:r w:rsidR="00C810C6">
              <w:rPr>
                <w:noProof/>
                <w:webHidden/>
              </w:rPr>
              <w:tab/>
            </w:r>
            <w:r w:rsidR="00C810C6">
              <w:rPr>
                <w:noProof/>
                <w:webHidden/>
              </w:rPr>
              <w:fldChar w:fldCharType="begin"/>
            </w:r>
            <w:r w:rsidR="00C810C6">
              <w:rPr>
                <w:noProof/>
                <w:webHidden/>
              </w:rPr>
              <w:instrText xml:space="preserve"> PAGEREF _Toc493774216 \h </w:instrText>
            </w:r>
            <w:r w:rsidR="00C810C6">
              <w:rPr>
                <w:noProof/>
                <w:webHidden/>
              </w:rPr>
            </w:r>
            <w:r w:rsidR="00C810C6">
              <w:rPr>
                <w:noProof/>
                <w:webHidden/>
              </w:rPr>
              <w:fldChar w:fldCharType="separate"/>
            </w:r>
            <w:r w:rsidR="00C810C6">
              <w:rPr>
                <w:noProof/>
                <w:webHidden/>
              </w:rPr>
              <w:t>25</w:t>
            </w:r>
            <w:r w:rsidR="00C810C6">
              <w:rPr>
                <w:noProof/>
                <w:webHidden/>
              </w:rPr>
              <w:fldChar w:fldCharType="end"/>
            </w:r>
          </w:hyperlink>
        </w:p>
        <w:p w14:paraId="7F92CE36" w14:textId="77777777" w:rsidR="00C810C6" w:rsidRDefault="00174B32">
          <w:pPr>
            <w:pStyle w:val="TOC1"/>
            <w:tabs>
              <w:tab w:val="left" w:pos="440"/>
              <w:tab w:val="right" w:leader="dot" w:pos="9016"/>
            </w:tabs>
            <w:rPr>
              <w:rFonts w:asciiTheme="minorHAnsi" w:hAnsiTheme="minorHAnsi"/>
              <w:noProof/>
              <w:sz w:val="22"/>
              <w:szCs w:val="22"/>
              <w:lang w:eastAsia="en-AU"/>
            </w:rPr>
          </w:pPr>
          <w:hyperlink w:anchor="_Toc493774217" w:history="1">
            <w:r w:rsidR="00C810C6" w:rsidRPr="00CF3EEC">
              <w:rPr>
                <w:rStyle w:val="Hyperlink"/>
                <w:noProof/>
              </w:rPr>
              <w:t>3</w:t>
            </w:r>
            <w:r w:rsidR="00C810C6">
              <w:rPr>
                <w:rFonts w:asciiTheme="minorHAnsi" w:hAnsiTheme="minorHAnsi"/>
                <w:noProof/>
                <w:sz w:val="22"/>
                <w:szCs w:val="22"/>
                <w:lang w:eastAsia="en-AU"/>
              </w:rPr>
              <w:tab/>
            </w:r>
            <w:r w:rsidR="00C810C6" w:rsidRPr="00CF3EEC">
              <w:rPr>
                <w:rStyle w:val="Hyperlink"/>
                <w:noProof/>
              </w:rPr>
              <w:t>Part B: Workflow</w:t>
            </w:r>
            <w:r w:rsidR="00C810C6">
              <w:rPr>
                <w:noProof/>
                <w:webHidden/>
              </w:rPr>
              <w:tab/>
            </w:r>
            <w:r w:rsidR="00C810C6">
              <w:rPr>
                <w:noProof/>
                <w:webHidden/>
              </w:rPr>
              <w:fldChar w:fldCharType="begin"/>
            </w:r>
            <w:r w:rsidR="00C810C6">
              <w:rPr>
                <w:noProof/>
                <w:webHidden/>
              </w:rPr>
              <w:instrText xml:space="preserve"> PAGEREF _Toc493774217 \h </w:instrText>
            </w:r>
            <w:r w:rsidR="00C810C6">
              <w:rPr>
                <w:noProof/>
                <w:webHidden/>
              </w:rPr>
            </w:r>
            <w:r w:rsidR="00C810C6">
              <w:rPr>
                <w:noProof/>
                <w:webHidden/>
              </w:rPr>
              <w:fldChar w:fldCharType="separate"/>
            </w:r>
            <w:r w:rsidR="00C810C6">
              <w:rPr>
                <w:noProof/>
                <w:webHidden/>
              </w:rPr>
              <w:t>26</w:t>
            </w:r>
            <w:r w:rsidR="00C810C6">
              <w:rPr>
                <w:noProof/>
                <w:webHidden/>
              </w:rPr>
              <w:fldChar w:fldCharType="end"/>
            </w:r>
          </w:hyperlink>
        </w:p>
        <w:p w14:paraId="3DFDDF95"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218" w:history="1">
            <w:r w:rsidR="00C810C6" w:rsidRPr="00CF3EEC">
              <w:rPr>
                <w:rStyle w:val="Hyperlink"/>
                <w:noProof/>
              </w:rPr>
              <w:t>3.1</w:t>
            </w:r>
            <w:r w:rsidR="00C810C6">
              <w:rPr>
                <w:rFonts w:asciiTheme="minorHAnsi" w:hAnsiTheme="minorHAnsi"/>
                <w:noProof/>
                <w:sz w:val="22"/>
                <w:szCs w:val="22"/>
                <w:lang w:eastAsia="en-AU"/>
              </w:rPr>
              <w:tab/>
            </w:r>
            <w:r w:rsidR="00C810C6" w:rsidRPr="00CF3EEC">
              <w:rPr>
                <w:rStyle w:val="Hyperlink"/>
                <w:noProof/>
              </w:rPr>
              <w:t>Step 1: Identify and prioritise values</w:t>
            </w:r>
            <w:r w:rsidR="00C810C6">
              <w:rPr>
                <w:noProof/>
                <w:webHidden/>
              </w:rPr>
              <w:tab/>
            </w:r>
            <w:r w:rsidR="00C810C6">
              <w:rPr>
                <w:noProof/>
                <w:webHidden/>
              </w:rPr>
              <w:fldChar w:fldCharType="begin"/>
            </w:r>
            <w:r w:rsidR="00C810C6">
              <w:rPr>
                <w:noProof/>
                <w:webHidden/>
              </w:rPr>
              <w:instrText xml:space="preserve"> PAGEREF _Toc493774218 \h </w:instrText>
            </w:r>
            <w:r w:rsidR="00C810C6">
              <w:rPr>
                <w:noProof/>
                <w:webHidden/>
              </w:rPr>
            </w:r>
            <w:r w:rsidR="00C810C6">
              <w:rPr>
                <w:noProof/>
                <w:webHidden/>
              </w:rPr>
              <w:fldChar w:fldCharType="separate"/>
            </w:r>
            <w:r w:rsidR="00C810C6">
              <w:rPr>
                <w:noProof/>
                <w:webHidden/>
              </w:rPr>
              <w:t>26</w:t>
            </w:r>
            <w:r w:rsidR="00C810C6">
              <w:rPr>
                <w:noProof/>
                <w:webHidden/>
              </w:rPr>
              <w:fldChar w:fldCharType="end"/>
            </w:r>
          </w:hyperlink>
        </w:p>
        <w:p w14:paraId="4F773B9B"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219" w:history="1">
            <w:r w:rsidR="00C810C6" w:rsidRPr="00CF3EEC">
              <w:rPr>
                <w:rStyle w:val="Hyperlink"/>
                <w:noProof/>
              </w:rPr>
              <w:t>3.2</w:t>
            </w:r>
            <w:r w:rsidR="00C810C6">
              <w:rPr>
                <w:rFonts w:asciiTheme="minorHAnsi" w:hAnsiTheme="minorHAnsi"/>
                <w:noProof/>
                <w:sz w:val="22"/>
                <w:szCs w:val="22"/>
                <w:lang w:eastAsia="en-AU"/>
              </w:rPr>
              <w:tab/>
            </w:r>
            <w:r w:rsidR="00C810C6" w:rsidRPr="00CF3EEC">
              <w:rPr>
                <w:rStyle w:val="Hyperlink"/>
                <w:noProof/>
              </w:rPr>
              <w:t>Step 2: Identify and prioritise threats</w:t>
            </w:r>
            <w:r w:rsidR="00C810C6">
              <w:rPr>
                <w:noProof/>
                <w:webHidden/>
              </w:rPr>
              <w:tab/>
            </w:r>
            <w:r w:rsidR="00C810C6">
              <w:rPr>
                <w:noProof/>
                <w:webHidden/>
              </w:rPr>
              <w:fldChar w:fldCharType="begin"/>
            </w:r>
            <w:r w:rsidR="00C810C6">
              <w:rPr>
                <w:noProof/>
                <w:webHidden/>
              </w:rPr>
              <w:instrText xml:space="preserve"> PAGEREF _Toc493774219 \h </w:instrText>
            </w:r>
            <w:r w:rsidR="00C810C6">
              <w:rPr>
                <w:noProof/>
                <w:webHidden/>
              </w:rPr>
            </w:r>
            <w:r w:rsidR="00C810C6">
              <w:rPr>
                <w:noProof/>
                <w:webHidden/>
              </w:rPr>
              <w:fldChar w:fldCharType="separate"/>
            </w:r>
            <w:r w:rsidR="00C810C6">
              <w:rPr>
                <w:noProof/>
                <w:webHidden/>
              </w:rPr>
              <w:t>33</w:t>
            </w:r>
            <w:r w:rsidR="00C810C6">
              <w:rPr>
                <w:noProof/>
                <w:webHidden/>
              </w:rPr>
              <w:fldChar w:fldCharType="end"/>
            </w:r>
          </w:hyperlink>
        </w:p>
        <w:p w14:paraId="2C369967"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220" w:history="1">
            <w:r w:rsidR="00C810C6" w:rsidRPr="00CF3EEC">
              <w:rPr>
                <w:rStyle w:val="Hyperlink"/>
                <w:noProof/>
              </w:rPr>
              <w:t>3.3</w:t>
            </w:r>
            <w:r w:rsidR="00C810C6">
              <w:rPr>
                <w:rFonts w:asciiTheme="minorHAnsi" w:hAnsiTheme="minorHAnsi"/>
                <w:noProof/>
                <w:sz w:val="22"/>
                <w:szCs w:val="22"/>
                <w:lang w:eastAsia="en-AU"/>
              </w:rPr>
              <w:tab/>
            </w:r>
            <w:r w:rsidR="00C810C6" w:rsidRPr="00CF3EEC">
              <w:rPr>
                <w:rStyle w:val="Hyperlink"/>
                <w:noProof/>
              </w:rPr>
              <w:t>Step 3: Develop Key Evaluation Questions (KEQs)</w:t>
            </w:r>
            <w:r w:rsidR="00C810C6">
              <w:rPr>
                <w:noProof/>
                <w:webHidden/>
              </w:rPr>
              <w:tab/>
            </w:r>
            <w:r w:rsidR="00C810C6">
              <w:rPr>
                <w:noProof/>
                <w:webHidden/>
              </w:rPr>
              <w:fldChar w:fldCharType="begin"/>
            </w:r>
            <w:r w:rsidR="00C810C6">
              <w:rPr>
                <w:noProof/>
                <w:webHidden/>
              </w:rPr>
              <w:instrText xml:space="preserve"> PAGEREF _Toc493774220 \h </w:instrText>
            </w:r>
            <w:r w:rsidR="00C810C6">
              <w:rPr>
                <w:noProof/>
                <w:webHidden/>
              </w:rPr>
            </w:r>
            <w:r w:rsidR="00C810C6">
              <w:rPr>
                <w:noProof/>
                <w:webHidden/>
              </w:rPr>
              <w:fldChar w:fldCharType="separate"/>
            </w:r>
            <w:r w:rsidR="00C810C6">
              <w:rPr>
                <w:noProof/>
                <w:webHidden/>
              </w:rPr>
              <w:t>40</w:t>
            </w:r>
            <w:r w:rsidR="00C810C6">
              <w:rPr>
                <w:noProof/>
                <w:webHidden/>
              </w:rPr>
              <w:fldChar w:fldCharType="end"/>
            </w:r>
          </w:hyperlink>
        </w:p>
        <w:p w14:paraId="45A7D411"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221" w:history="1">
            <w:r w:rsidR="00C810C6" w:rsidRPr="00CF3EEC">
              <w:rPr>
                <w:rStyle w:val="Hyperlink"/>
                <w:noProof/>
              </w:rPr>
              <w:t>3.4</w:t>
            </w:r>
            <w:r w:rsidR="00C810C6">
              <w:rPr>
                <w:rFonts w:asciiTheme="minorHAnsi" w:hAnsiTheme="minorHAnsi"/>
                <w:noProof/>
                <w:sz w:val="22"/>
                <w:szCs w:val="22"/>
                <w:lang w:eastAsia="en-AU"/>
              </w:rPr>
              <w:tab/>
            </w:r>
            <w:r w:rsidR="00C810C6" w:rsidRPr="00CF3EEC">
              <w:rPr>
                <w:rStyle w:val="Hyperlink"/>
                <w:noProof/>
              </w:rPr>
              <w:t>Step 4: Identify and prioritise indicators</w:t>
            </w:r>
            <w:r w:rsidR="00C810C6">
              <w:rPr>
                <w:noProof/>
                <w:webHidden/>
              </w:rPr>
              <w:tab/>
            </w:r>
            <w:r w:rsidR="00C810C6">
              <w:rPr>
                <w:noProof/>
                <w:webHidden/>
              </w:rPr>
              <w:fldChar w:fldCharType="begin"/>
            </w:r>
            <w:r w:rsidR="00C810C6">
              <w:rPr>
                <w:noProof/>
                <w:webHidden/>
              </w:rPr>
              <w:instrText xml:space="preserve"> PAGEREF _Toc493774221 \h </w:instrText>
            </w:r>
            <w:r w:rsidR="00C810C6">
              <w:rPr>
                <w:noProof/>
                <w:webHidden/>
              </w:rPr>
            </w:r>
            <w:r w:rsidR="00C810C6">
              <w:rPr>
                <w:noProof/>
                <w:webHidden/>
              </w:rPr>
              <w:fldChar w:fldCharType="separate"/>
            </w:r>
            <w:r w:rsidR="00C810C6">
              <w:rPr>
                <w:noProof/>
                <w:webHidden/>
              </w:rPr>
              <w:t>44</w:t>
            </w:r>
            <w:r w:rsidR="00C810C6">
              <w:rPr>
                <w:noProof/>
                <w:webHidden/>
              </w:rPr>
              <w:fldChar w:fldCharType="end"/>
            </w:r>
          </w:hyperlink>
        </w:p>
        <w:p w14:paraId="527F6D3C"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222" w:history="1">
            <w:r w:rsidR="00C810C6" w:rsidRPr="00CF3EEC">
              <w:rPr>
                <w:rStyle w:val="Hyperlink"/>
                <w:noProof/>
              </w:rPr>
              <w:t>3.5</w:t>
            </w:r>
            <w:r w:rsidR="00C810C6">
              <w:rPr>
                <w:rFonts w:asciiTheme="minorHAnsi" w:hAnsiTheme="minorHAnsi"/>
                <w:noProof/>
                <w:sz w:val="22"/>
                <w:szCs w:val="22"/>
                <w:lang w:eastAsia="en-AU"/>
              </w:rPr>
              <w:tab/>
            </w:r>
            <w:r w:rsidR="00C810C6" w:rsidRPr="00CF3EEC">
              <w:rPr>
                <w:rStyle w:val="Hyperlink"/>
                <w:noProof/>
              </w:rPr>
              <w:t>Step 5: Design assessment and implementation</w:t>
            </w:r>
            <w:r w:rsidR="00C810C6">
              <w:rPr>
                <w:noProof/>
                <w:webHidden/>
              </w:rPr>
              <w:tab/>
            </w:r>
            <w:r w:rsidR="00C810C6">
              <w:rPr>
                <w:noProof/>
                <w:webHidden/>
              </w:rPr>
              <w:fldChar w:fldCharType="begin"/>
            </w:r>
            <w:r w:rsidR="00C810C6">
              <w:rPr>
                <w:noProof/>
                <w:webHidden/>
              </w:rPr>
              <w:instrText xml:space="preserve"> PAGEREF _Toc493774222 \h </w:instrText>
            </w:r>
            <w:r w:rsidR="00C810C6">
              <w:rPr>
                <w:noProof/>
                <w:webHidden/>
              </w:rPr>
            </w:r>
            <w:r w:rsidR="00C810C6">
              <w:rPr>
                <w:noProof/>
                <w:webHidden/>
              </w:rPr>
              <w:fldChar w:fldCharType="separate"/>
            </w:r>
            <w:r w:rsidR="00C810C6">
              <w:rPr>
                <w:noProof/>
                <w:webHidden/>
              </w:rPr>
              <w:t>48</w:t>
            </w:r>
            <w:r w:rsidR="00C810C6">
              <w:rPr>
                <w:noProof/>
                <w:webHidden/>
              </w:rPr>
              <w:fldChar w:fldCharType="end"/>
            </w:r>
          </w:hyperlink>
        </w:p>
        <w:p w14:paraId="7D8E878F"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223" w:history="1">
            <w:r w:rsidR="00C810C6" w:rsidRPr="00CF3EEC">
              <w:rPr>
                <w:rStyle w:val="Hyperlink"/>
                <w:noProof/>
              </w:rPr>
              <w:t>3.6</w:t>
            </w:r>
            <w:r w:rsidR="00C810C6">
              <w:rPr>
                <w:rFonts w:asciiTheme="minorHAnsi" w:hAnsiTheme="minorHAnsi"/>
                <w:noProof/>
                <w:sz w:val="22"/>
                <w:szCs w:val="22"/>
                <w:lang w:eastAsia="en-AU"/>
              </w:rPr>
              <w:tab/>
            </w:r>
            <w:r w:rsidR="00C810C6" w:rsidRPr="00CF3EEC">
              <w:rPr>
                <w:rStyle w:val="Hyperlink"/>
                <w:noProof/>
              </w:rPr>
              <w:t>Step 6: Analyse and Aggregate</w:t>
            </w:r>
            <w:r w:rsidR="00C810C6">
              <w:rPr>
                <w:noProof/>
                <w:webHidden/>
              </w:rPr>
              <w:tab/>
            </w:r>
            <w:r w:rsidR="00C810C6">
              <w:rPr>
                <w:noProof/>
                <w:webHidden/>
              </w:rPr>
              <w:fldChar w:fldCharType="begin"/>
            </w:r>
            <w:r w:rsidR="00C810C6">
              <w:rPr>
                <w:noProof/>
                <w:webHidden/>
              </w:rPr>
              <w:instrText xml:space="preserve"> PAGEREF _Toc493774223 \h </w:instrText>
            </w:r>
            <w:r w:rsidR="00C810C6">
              <w:rPr>
                <w:noProof/>
                <w:webHidden/>
              </w:rPr>
            </w:r>
            <w:r w:rsidR="00C810C6">
              <w:rPr>
                <w:noProof/>
                <w:webHidden/>
              </w:rPr>
              <w:fldChar w:fldCharType="separate"/>
            </w:r>
            <w:r w:rsidR="00C810C6">
              <w:rPr>
                <w:noProof/>
                <w:webHidden/>
              </w:rPr>
              <w:t>52</w:t>
            </w:r>
            <w:r w:rsidR="00C810C6">
              <w:rPr>
                <w:noProof/>
                <w:webHidden/>
              </w:rPr>
              <w:fldChar w:fldCharType="end"/>
            </w:r>
          </w:hyperlink>
        </w:p>
        <w:p w14:paraId="5FF38750"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224" w:history="1">
            <w:r w:rsidR="00C810C6" w:rsidRPr="00CF3EEC">
              <w:rPr>
                <w:rStyle w:val="Hyperlink"/>
                <w:noProof/>
              </w:rPr>
              <w:t>3.7</w:t>
            </w:r>
            <w:r w:rsidR="00C810C6">
              <w:rPr>
                <w:rFonts w:asciiTheme="minorHAnsi" w:hAnsiTheme="minorHAnsi"/>
                <w:noProof/>
                <w:sz w:val="22"/>
                <w:szCs w:val="22"/>
                <w:lang w:eastAsia="en-AU"/>
              </w:rPr>
              <w:tab/>
            </w:r>
            <w:r w:rsidR="00C810C6" w:rsidRPr="00CF3EEC">
              <w:rPr>
                <w:rStyle w:val="Hyperlink"/>
                <w:noProof/>
              </w:rPr>
              <w:t>Step 7: Harmonise and Integrate</w:t>
            </w:r>
            <w:r w:rsidR="00C810C6">
              <w:rPr>
                <w:noProof/>
                <w:webHidden/>
              </w:rPr>
              <w:tab/>
            </w:r>
            <w:r w:rsidR="00C810C6">
              <w:rPr>
                <w:noProof/>
                <w:webHidden/>
              </w:rPr>
              <w:fldChar w:fldCharType="begin"/>
            </w:r>
            <w:r w:rsidR="00C810C6">
              <w:rPr>
                <w:noProof/>
                <w:webHidden/>
              </w:rPr>
              <w:instrText xml:space="preserve"> PAGEREF _Toc493774224 \h </w:instrText>
            </w:r>
            <w:r w:rsidR="00C810C6">
              <w:rPr>
                <w:noProof/>
                <w:webHidden/>
              </w:rPr>
            </w:r>
            <w:r w:rsidR="00C810C6">
              <w:rPr>
                <w:noProof/>
                <w:webHidden/>
              </w:rPr>
              <w:fldChar w:fldCharType="separate"/>
            </w:r>
            <w:r w:rsidR="00C810C6">
              <w:rPr>
                <w:noProof/>
                <w:webHidden/>
              </w:rPr>
              <w:t>59</w:t>
            </w:r>
            <w:r w:rsidR="00C810C6">
              <w:rPr>
                <w:noProof/>
                <w:webHidden/>
              </w:rPr>
              <w:fldChar w:fldCharType="end"/>
            </w:r>
          </w:hyperlink>
        </w:p>
        <w:p w14:paraId="1C9AE666" w14:textId="77777777" w:rsidR="00C810C6" w:rsidRDefault="00174B32">
          <w:pPr>
            <w:pStyle w:val="TOC2"/>
            <w:tabs>
              <w:tab w:val="left" w:pos="880"/>
              <w:tab w:val="right" w:leader="dot" w:pos="9016"/>
            </w:tabs>
            <w:rPr>
              <w:rFonts w:asciiTheme="minorHAnsi" w:hAnsiTheme="minorHAnsi"/>
              <w:noProof/>
              <w:sz w:val="22"/>
              <w:szCs w:val="22"/>
              <w:lang w:eastAsia="en-AU"/>
            </w:rPr>
          </w:pPr>
          <w:hyperlink w:anchor="_Toc493774225" w:history="1">
            <w:r w:rsidR="00C810C6" w:rsidRPr="00CF3EEC">
              <w:rPr>
                <w:rStyle w:val="Hyperlink"/>
                <w:noProof/>
              </w:rPr>
              <w:t>3.8</w:t>
            </w:r>
            <w:r w:rsidR="00C810C6">
              <w:rPr>
                <w:rFonts w:asciiTheme="minorHAnsi" w:hAnsiTheme="minorHAnsi"/>
                <w:noProof/>
                <w:sz w:val="22"/>
                <w:szCs w:val="22"/>
                <w:lang w:eastAsia="en-AU"/>
              </w:rPr>
              <w:tab/>
            </w:r>
            <w:r w:rsidR="00C810C6" w:rsidRPr="00CF3EEC">
              <w:rPr>
                <w:rStyle w:val="Hyperlink"/>
                <w:noProof/>
              </w:rPr>
              <w:t>Step 8: Develop Report Card</w:t>
            </w:r>
            <w:r w:rsidR="00C810C6">
              <w:rPr>
                <w:noProof/>
                <w:webHidden/>
              </w:rPr>
              <w:tab/>
            </w:r>
            <w:r w:rsidR="00C810C6">
              <w:rPr>
                <w:noProof/>
                <w:webHidden/>
              </w:rPr>
              <w:fldChar w:fldCharType="begin"/>
            </w:r>
            <w:r w:rsidR="00C810C6">
              <w:rPr>
                <w:noProof/>
                <w:webHidden/>
              </w:rPr>
              <w:instrText xml:space="preserve"> PAGEREF _Toc493774225 \h </w:instrText>
            </w:r>
            <w:r w:rsidR="00C810C6">
              <w:rPr>
                <w:noProof/>
                <w:webHidden/>
              </w:rPr>
            </w:r>
            <w:r w:rsidR="00C810C6">
              <w:rPr>
                <w:noProof/>
                <w:webHidden/>
              </w:rPr>
              <w:fldChar w:fldCharType="separate"/>
            </w:r>
            <w:r w:rsidR="00C810C6">
              <w:rPr>
                <w:noProof/>
                <w:webHidden/>
              </w:rPr>
              <w:t>68</w:t>
            </w:r>
            <w:r w:rsidR="00C810C6">
              <w:rPr>
                <w:noProof/>
                <w:webHidden/>
              </w:rPr>
              <w:fldChar w:fldCharType="end"/>
            </w:r>
          </w:hyperlink>
        </w:p>
        <w:p w14:paraId="7D85A4D4" w14:textId="77777777" w:rsidR="00C810C6" w:rsidRDefault="00174B32">
          <w:pPr>
            <w:pStyle w:val="TOC1"/>
            <w:tabs>
              <w:tab w:val="left" w:pos="440"/>
              <w:tab w:val="right" w:leader="dot" w:pos="9016"/>
            </w:tabs>
            <w:rPr>
              <w:rFonts w:asciiTheme="minorHAnsi" w:hAnsiTheme="minorHAnsi"/>
              <w:noProof/>
              <w:sz w:val="22"/>
              <w:szCs w:val="22"/>
              <w:lang w:eastAsia="en-AU"/>
            </w:rPr>
          </w:pPr>
          <w:hyperlink w:anchor="_Toc493774226" w:history="1">
            <w:r w:rsidR="00C810C6" w:rsidRPr="00CF3EEC">
              <w:rPr>
                <w:rStyle w:val="Hyperlink"/>
                <w:noProof/>
              </w:rPr>
              <w:t>4</w:t>
            </w:r>
            <w:r w:rsidR="00C810C6">
              <w:rPr>
                <w:rFonts w:asciiTheme="minorHAnsi" w:hAnsiTheme="minorHAnsi"/>
                <w:noProof/>
                <w:sz w:val="22"/>
                <w:szCs w:val="22"/>
                <w:lang w:eastAsia="en-AU"/>
              </w:rPr>
              <w:tab/>
            </w:r>
            <w:r w:rsidR="00C810C6" w:rsidRPr="00CF3EEC">
              <w:rPr>
                <w:rStyle w:val="Hyperlink"/>
                <w:noProof/>
              </w:rPr>
              <w:t>References cited</w:t>
            </w:r>
            <w:r w:rsidR="00C810C6">
              <w:rPr>
                <w:noProof/>
                <w:webHidden/>
              </w:rPr>
              <w:tab/>
            </w:r>
            <w:r w:rsidR="00C810C6">
              <w:rPr>
                <w:noProof/>
                <w:webHidden/>
              </w:rPr>
              <w:fldChar w:fldCharType="begin"/>
            </w:r>
            <w:r w:rsidR="00C810C6">
              <w:rPr>
                <w:noProof/>
                <w:webHidden/>
              </w:rPr>
              <w:instrText xml:space="preserve"> PAGEREF _Toc493774226 \h </w:instrText>
            </w:r>
            <w:r w:rsidR="00C810C6">
              <w:rPr>
                <w:noProof/>
                <w:webHidden/>
              </w:rPr>
            </w:r>
            <w:r w:rsidR="00C810C6">
              <w:rPr>
                <w:noProof/>
                <w:webHidden/>
              </w:rPr>
              <w:fldChar w:fldCharType="separate"/>
            </w:r>
            <w:r w:rsidR="00C810C6">
              <w:rPr>
                <w:noProof/>
                <w:webHidden/>
              </w:rPr>
              <w:t>72</w:t>
            </w:r>
            <w:r w:rsidR="00C810C6">
              <w:rPr>
                <w:noProof/>
                <w:webHidden/>
              </w:rPr>
              <w:fldChar w:fldCharType="end"/>
            </w:r>
          </w:hyperlink>
        </w:p>
        <w:p w14:paraId="0B1147B0" w14:textId="77777777" w:rsidR="00C810C6" w:rsidRDefault="00174B32">
          <w:pPr>
            <w:pStyle w:val="TOC1"/>
            <w:tabs>
              <w:tab w:val="left" w:pos="440"/>
              <w:tab w:val="right" w:leader="dot" w:pos="9016"/>
            </w:tabs>
            <w:rPr>
              <w:rFonts w:asciiTheme="minorHAnsi" w:hAnsiTheme="minorHAnsi"/>
              <w:noProof/>
              <w:sz w:val="22"/>
              <w:szCs w:val="22"/>
              <w:lang w:eastAsia="en-AU"/>
            </w:rPr>
          </w:pPr>
          <w:hyperlink w:anchor="_Toc493774227" w:history="1">
            <w:r w:rsidR="00C810C6" w:rsidRPr="00CF3EEC">
              <w:rPr>
                <w:rStyle w:val="Hyperlink"/>
                <w:noProof/>
              </w:rPr>
              <w:t>5</w:t>
            </w:r>
            <w:r w:rsidR="00C810C6">
              <w:rPr>
                <w:rFonts w:asciiTheme="minorHAnsi" w:hAnsiTheme="minorHAnsi"/>
                <w:noProof/>
                <w:sz w:val="22"/>
                <w:szCs w:val="22"/>
                <w:lang w:eastAsia="en-AU"/>
              </w:rPr>
              <w:tab/>
            </w:r>
            <w:r w:rsidR="00C810C6" w:rsidRPr="00CF3EEC">
              <w:rPr>
                <w:rStyle w:val="Hyperlink"/>
                <w:noProof/>
              </w:rPr>
              <w:t>Glossary</w:t>
            </w:r>
            <w:r w:rsidR="00C810C6">
              <w:rPr>
                <w:noProof/>
                <w:webHidden/>
              </w:rPr>
              <w:tab/>
            </w:r>
            <w:r w:rsidR="00C810C6">
              <w:rPr>
                <w:noProof/>
                <w:webHidden/>
              </w:rPr>
              <w:fldChar w:fldCharType="begin"/>
            </w:r>
            <w:r w:rsidR="00C810C6">
              <w:rPr>
                <w:noProof/>
                <w:webHidden/>
              </w:rPr>
              <w:instrText xml:space="preserve"> PAGEREF _Toc493774227 \h </w:instrText>
            </w:r>
            <w:r w:rsidR="00C810C6">
              <w:rPr>
                <w:noProof/>
                <w:webHidden/>
              </w:rPr>
            </w:r>
            <w:r w:rsidR="00C810C6">
              <w:rPr>
                <w:noProof/>
                <w:webHidden/>
              </w:rPr>
              <w:fldChar w:fldCharType="separate"/>
            </w:r>
            <w:r w:rsidR="00C810C6">
              <w:rPr>
                <w:noProof/>
                <w:webHidden/>
              </w:rPr>
              <w:t>76</w:t>
            </w:r>
            <w:r w:rsidR="00C810C6">
              <w:rPr>
                <w:noProof/>
                <w:webHidden/>
              </w:rPr>
              <w:fldChar w:fldCharType="end"/>
            </w:r>
          </w:hyperlink>
        </w:p>
        <w:p w14:paraId="30F7E95B" w14:textId="77777777" w:rsidR="00C810C6" w:rsidRDefault="00174B32">
          <w:pPr>
            <w:pStyle w:val="TOC1"/>
            <w:tabs>
              <w:tab w:val="right" w:leader="dot" w:pos="9016"/>
            </w:tabs>
            <w:rPr>
              <w:rFonts w:asciiTheme="minorHAnsi" w:hAnsiTheme="minorHAnsi"/>
              <w:noProof/>
              <w:sz w:val="22"/>
              <w:szCs w:val="22"/>
              <w:lang w:eastAsia="en-AU"/>
            </w:rPr>
          </w:pPr>
          <w:hyperlink w:anchor="_Toc493774228" w:history="1">
            <w:r w:rsidR="00C810C6" w:rsidRPr="00CF3EEC">
              <w:rPr>
                <w:rStyle w:val="Hyperlink"/>
                <w:noProof/>
              </w:rPr>
              <w:t>Appendix A: Comparison of existing Australian condition assessment methods with the IECA Framework</w:t>
            </w:r>
            <w:r w:rsidR="00C810C6">
              <w:rPr>
                <w:noProof/>
                <w:webHidden/>
              </w:rPr>
              <w:tab/>
            </w:r>
            <w:r w:rsidR="00C810C6">
              <w:rPr>
                <w:noProof/>
                <w:webHidden/>
              </w:rPr>
              <w:fldChar w:fldCharType="begin"/>
            </w:r>
            <w:r w:rsidR="00C810C6">
              <w:rPr>
                <w:noProof/>
                <w:webHidden/>
              </w:rPr>
              <w:instrText xml:space="preserve"> PAGEREF _Toc493774228 \h </w:instrText>
            </w:r>
            <w:r w:rsidR="00C810C6">
              <w:rPr>
                <w:noProof/>
                <w:webHidden/>
              </w:rPr>
            </w:r>
            <w:r w:rsidR="00C810C6">
              <w:rPr>
                <w:noProof/>
                <w:webHidden/>
              </w:rPr>
              <w:fldChar w:fldCharType="separate"/>
            </w:r>
            <w:r w:rsidR="00C810C6">
              <w:rPr>
                <w:noProof/>
                <w:webHidden/>
              </w:rPr>
              <w:t>81</w:t>
            </w:r>
            <w:r w:rsidR="00C810C6">
              <w:rPr>
                <w:noProof/>
                <w:webHidden/>
              </w:rPr>
              <w:fldChar w:fldCharType="end"/>
            </w:r>
          </w:hyperlink>
        </w:p>
        <w:p w14:paraId="31C0074D" w14:textId="77777777" w:rsidR="00C810C6" w:rsidRDefault="00174B32">
          <w:pPr>
            <w:pStyle w:val="TOC1"/>
            <w:tabs>
              <w:tab w:val="right" w:leader="dot" w:pos="9016"/>
            </w:tabs>
            <w:rPr>
              <w:rFonts w:asciiTheme="minorHAnsi" w:hAnsiTheme="minorHAnsi"/>
              <w:noProof/>
              <w:sz w:val="22"/>
              <w:szCs w:val="22"/>
              <w:lang w:eastAsia="en-AU"/>
            </w:rPr>
          </w:pPr>
          <w:hyperlink w:anchor="_Toc493774229" w:history="1">
            <w:r w:rsidR="00C810C6" w:rsidRPr="00CF3EEC">
              <w:rPr>
                <w:rStyle w:val="Hyperlink"/>
                <w:noProof/>
              </w:rPr>
              <w:t>Appendix B: Peel-Yalgorup Case Study</w:t>
            </w:r>
            <w:r w:rsidR="00C810C6">
              <w:rPr>
                <w:noProof/>
                <w:webHidden/>
              </w:rPr>
              <w:tab/>
            </w:r>
            <w:r w:rsidR="00C810C6">
              <w:rPr>
                <w:noProof/>
                <w:webHidden/>
              </w:rPr>
              <w:fldChar w:fldCharType="begin"/>
            </w:r>
            <w:r w:rsidR="00C810C6">
              <w:rPr>
                <w:noProof/>
                <w:webHidden/>
              </w:rPr>
              <w:instrText xml:space="preserve"> PAGEREF _Toc493774229 \h </w:instrText>
            </w:r>
            <w:r w:rsidR="00C810C6">
              <w:rPr>
                <w:noProof/>
                <w:webHidden/>
              </w:rPr>
            </w:r>
            <w:r w:rsidR="00C810C6">
              <w:rPr>
                <w:noProof/>
                <w:webHidden/>
              </w:rPr>
              <w:fldChar w:fldCharType="separate"/>
            </w:r>
            <w:r w:rsidR="00C810C6">
              <w:rPr>
                <w:noProof/>
                <w:webHidden/>
              </w:rPr>
              <w:t>86</w:t>
            </w:r>
            <w:r w:rsidR="00C810C6">
              <w:rPr>
                <w:noProof/>
                <w:webHidden/>
              </w:rPr>
              <w:fldChar w:fldCharType="end"/>
            </w:r>
          </w:hyperlink>
        </w:p>
        <w:p w14:paraId="2EE4D423" w14:textId="77777777" w:rsidR="00C810C6" w:rsidRDefault="00174B32">
          <w:pPr>
            <w:pStyle w:val="TOC2"/>
            <w:tabs>
              <w:tab w:val="right" w:leader="dot" w:pos="9016"/>
            </w:tabs>
            <w:rPr>
              <w:rFonts w:asciiTheme="minorHAnsi" w:hAnsiTheme="minorHAnsi"/>
              <w:noProof/>
              <w:sz w:val="22"/>
              <w:szCs w:val="22"/>
              <w:lang w:eastAsia="en-AU"/>
            </w:rPr>
          </w:pPr>
          <w:hyperlink w:anchor="_Toc493774230" w:history="1">
            <w:r w:rsidR="00C810C6" w:rsidRPr="00CF3EEC">
              <w:rPr>
                <w:rStyle w:val="Hyperlink"/>
                <w:noProof/>
              </w:rPr>
              <w:t>Introduction</w:t>
            </w:r>
            <w:r w:rsidR="00C810C6">
              <w:rPr>
                <w:noProof/>
                <w:webHidden/>
              </w:rPr>
              <w:tab/>
            </w:r>
            <w:r w:rsidR="00C810C6">
              <w:rPr>
                <w:noProof/>
                <w:webHidden/>
              </w:rPr>
              <w:fldChar w:fldCharType="begin"/>
            </w:r>
            <w:r w:rsidR="00C810C6">
              <w:rPr>
                <w:noProof/>
                <w:webHidden/>
              </w:rPr>
              <w:instrText xml:space="preserve"> PAGEREF _Toc493774230 \h </w:instrText>
            </w:r>
            <w:r w:rsidR="00C810C6">
              <w:rPr>
                <w:noProof/>
                <w:webHidden/>
              </w:rPr>
            </w:r>
            <w:r w:rsidR="00C810C6">
              <w:rPr>
                <w:noProof/>
                <w:webHidden/>
              </w:rPr>
              <w:fldChar w:fldCharType="separate"/>
            </w:r>
            <w:r w:rsidR="00C810C6">
              <w:rPr>
                <w:noProof/>
                <w:webHidden/>
              </w:rPr>
              <w:t>86</w:t>
            </w:r>
            <w:r w:rsidR="00C810C6">
              <w:rPr>
                <w:noProof/>
                <w:webHidden/>
              </w:rPr>
              <w:fldChar w:fldCharType="end"/>
            </w:r>
          </w:hyperlink>
        </w:p>
        <w:p w14:paraId="1BAB2147" w14:textId="77777777" w:rsidR="00C810C6" w:rsidRDefault="00174B32">
          <w:pPr>
            <w:pStyle w:val="TOC1"/>
            <w:tabs>
              <w:tab w:val="right" w:leader="dot" w:pos="9016"/>
            </w:tabs>
            <w:rPr>
              <w:rFonts w:asciiTheme="minorHAnsi" w:hAnsiTheme="minorHAnsi"/>
              <w:noProof/>
              <w:sz w:val="22"/>
              <w:szCs w:val="22"/>
              <w:lang w:eastAsia="en-AU"/>
            </w:rPr>
          </w:pPr>
          <w:hyperlink w:anchor="_Toc493774231" w:history="1">
            <w:r w:rsidR="00C810C6" w:rsidRPr="00CF3EEC">
              <w:rPr>
                <w:rStyle w:val="Hyperlink"/>
                <w:noProof/>
              </w:rPr>
              <w:t>Part A: Context and Current Understanding</w:t>
            </w:r>
            <w:r w:rsidR="00C810C6">
              <w:rPr>
                <w:noProof/>
                <w:webHidden/>
              </w:rPr>
              <w:tab/>
            </w:r>
            <w:r w:rsidR="00C810C6">
              <w:rPr>
                <w:noProof/>
                <w:webHidden/>
              </w:rPr>
              <w:fldChar w:fldCharType="begin"/>
            </w:r>
            <w:r w:rsidR="00C810C6">
              <w:rPr>
                <w:noProof/>
                <w:webHidden/>
              </w:rPr>
              <w:instrText xml:space="preserve"> PAGEREF _Toc493774231 \h </w:instrText>
            </w:r>
            <w:r w:rsidR="00C810C6">
              <w:rPr>
                <w:noProof/>
                <w:webHidden/>
              </w:rPr>
            </w:r>
            <w:r w:rsidR="00C810C6">
              <w:rPr>
                <w:noProof/>
                <w:webHidden/>
              </w:rPr>
              <w:fldChar w:fldCharType="separate"/>
            </w:r>
            <w:r w:rsidR="00C810C6">
              <w:rPr>
                <w:noProof/>
                <w:webHidden/>
              </w:rPr>
              <w:t>86</w:t>
            </w:r>
            <w:r w:rsidR="00C810C6">
              <w:rPr>
                <w:noProof/>
                <w:webHidden/>
              </w:rPr>
              <w:fldChar w:fldCharType="end"/>
            </w:r>
          </w:hyperlink>
        </w:p>
        <w:p w14:paraId="0F285D1D" w14:textId="77777777" w:rsidR="00C810C6" w:rsidRDefault="00174B32">
          <w:pPr>
            <w:pStyle w:val="TOC3"/>
            <w:tabs>
              <w:tab w:val="right" w:leader="dot" w:pos="9016"/>
            </w:tabs>
            <w:rPr>
              <w:rFonts w:asciiTheme="minorHAnsi" w:hAnsiTheme="minorHAnsi"/>
              <w:noProof/>
              <w:sz w:val="22"/>
              <w:szCs w:val="22"/>
              <w:lang w:eastAsia="en-AU"/>
            </w:rPr>
          </w:pPr>
          <w:hyperlink w:anchor="_Toc493774232" w:history="1">
            <w:r w:rsidR="00C810C6" w:rsidRPr="00CF3EEC">
              <w:rPr>
                <w:rStyle w:val="Hyperlink"/>
                <w:noProof/>
              </w:rPr>
              <w:t>Defining the management context</w:t>
            </w:r>
            <w:r w:rsidR="00C810C6">
              <w:rPr>
                <w:noProof/>
                <w:webHidden/>
              </w:rPr>
              <w:tab/>
            </w:r>
            <w:r w:rsidR="00C810C6">
              <w:rPr>
                <w:noProof/>
                <w:webHidden/>
              </w:rPr>
              <w:fldChar w:fldCharType="begin"/>
            </w:r>
            <w:r w:rsidR="00C810C6">
              <w:rPr>
                <w:noProof/>
                <w:webHidden/>
              </w:rPr>
              <w:instrText xml:space="preserve"> PAGEREF _Toc493774232 \h </w:instrText>
            </w:r>
            <w:r w:rsidR="00C810C6">
              <w:rPr>
                <w:noProof/>
                <w:webHidden/>
              </w:rPr>
            </w:r>
            <w:r w:rsidR="00C810C6">
              <w:rPr>
                <w:noProof/>
                <w:webHidden/>
              </w:rPr>
              <w:fldChar w:fldCharType="separate"/>
            </w:r>
            <w:r w:rsidR="00C810C6">
              <w:rPr>
                <w:noProof/>
                <w:webHidden/>
              </w:rPr>
              <w:t>86</w:t>
            </w:r>
            <w:r w:rsidR="00C810C6">
              <w:rPr>
                <w:noProof/>
                <w:webHidden/>
              </w:rPr>
              <w:fldChar w:fldCharType="end"/>
            </w:r>
          </w:hyperlink>
        </w:p>
        <w:p w14:paraId="1A88DD7B" w14:textId="77777777" w:rsidR="00C810C6" w:rsidRDefault="00174B32">
          <w:pPr>
            <w:pStyle w:val="TOC2"/>
            <w:tabs>
              <w:tab w:val="right" w:leader="dot" w:pos="9016"/>
            </w:tabs>
            <w:rPr>
              <w:rFonts w:asciiTheme="minorHAnsi" w:hAnsiTheme="minorHAnsi"/>
              <w:noProof/>
              <w:sz w:val="22"/>
              <w:szCs w:val="22"/>
              <w:lang w:eastAsia="en-AU"/>
            </w:rPr>
          </w:pPr>
          <w:hyperlink w:anchor="_Toc493774233" w:history="1">
            <w:r w:rsidR="00C810C6" w:rsidRPr="00CF3EEC">
              <w:rPr>
                <w:rStyle w:val="Hyperlink"/>
                <w:noProof/>
              </w:rPr>
              <w:t>Framing the question and purpose</w:t>
            </w:r>
            <w:r w:rsidR="00C810C6">
              <w:rPr>
                <w:noProof/>
                <w:webHidden/>
              </w:rPr>
              <w:tab/>
            </w:r>
            <w:r w:rsidR="00C810C6">
              <w:rPr>
                <w:noProof/>
                <w:webHidden/>
              </w:rPr>
              <w:fldChar w:fldCharType="begin"/>
            </w:r>
            <w:r w:rsidR="00C810C6">
              <w:rPr>
                <w:noProof/>
                <w:webHidden/>
              </w:rPr>
              <w:instrText xml:space="preserve"> PAGEREF _Toc493774233 \h </w:instrText>
            </w:r>
            <w:r w:rsidR="00C810C6">
              <w:rPr>
                <w:noProof/>
                <w:webHidden/>
              </w:rPr>
            </w:r>
            <w:r w:rsidR="00C810C6">
              <w:rPr>
                <w:noProof/>
                <w:webHidden/>
              </w:rPr>
              <w:fldChar w:fldCharType="separate"/>
            </w:r>
            <w:r w:rsidR="00C810C6">
              <w:rPr>
                <w:noProof/>
                <w:webHidden/>
              </w:rPr>
              <w:t>86</w:t>
            </w:r>
            <w:r w:rsidR="00C810C6">
              <w:rPr>
                <w:noProof/>
                <w:webHidden/>
              </w:rPr>
              <w:fldChar w:fldCharType="end"/>
            </w:r>
          </w:hyperlink>
        </w:p>
        <w:p w14:paraId="0FA57727" w14:textId="77777777" w:rsidR="00C810C6" w:rsidRDefault="00174B32">
          <w:pPr>
            <w:pStyle w:val="TOC3"/>
            <w:tabs>
              <w:tab w:val="right" w:leader="dot" w:pos="9016"/>
            </w:tabs>
            <w:rPr>
              <w:rFonts w:asciiTheme="minorHAnsi" w:hAnsiTheme="minorHAnsi"/>
              <w:noProof/>
              <w:sz w:val="22"/>
              <w:szCs w:val="22"/>
              <w:lang w:eastAsia="en-AU"/>
            </w:rPr>
          </w:pPr>
          <w:hyperlink w:anchor="_Toc493774234" w:history="1">
            <w:r w:rsidR="00C810C6" w:rsidRPr="00CF3EEC">
              <w:rPr>
                <w:rStyle w:val="Hyperlink"/>
                <w:noProof/>
              </w:rPr>
              <w:t>Stakeholder engagement</w:t>
            </w:r>
            <w:r w:rsidR="00C810C6">
              <w:rPr>
                <w:noProof/>
                <w:webHidden/>
              </w:rPr>
              <w:tab/>
            </w:r>
            <w:r w:rsidR="00C810C6">
              <w:rPr>
                <w:noProof/>
                <w:webHidden/>
              </w:rPr>
              <w:fldChar w:fldCharType="begin"/>
            </w:r>
            <w:r w:rsidR="00C810C6">
              <w:rPr>
                <w:noProof/>
                <w:webHidden/>
              </w:rPr>
              <w:instrText xml:space="preserve"> PAGEREF _Toc493774234 \h </w:instrText>
            </w:r>
            <w:r w:rsidR="00C810C6">
              <w:rPr>
                <w:noProof/>
                <w:webHidden/>
              </w:rPr>
            </w:r>
            <w:r w:rsidR="00C810C6">
              <w:rPr>
                <w:noProof/>
                <w:webHidden/>
              </w:rPr>
              <w:fldChar w:fldCharType="separate"/>
            </w:r>
            <w:r w:rsidR="00C810C6">
              <w:rPr>
                <w:noProof/>
                <w:webHidden/>
              </w:rPr>
              <w:t>86</w:t>
            </w:r>
            <w:r w:rsidR="00C810C6">
              <w:rPr>
                <w:noProof/>
                <w:webHidden/>
              </w:rPr>
              <w:fldChar w:fldCharType="end"/>
            </w:r>
          </w:hyperlink>
        </w:p>
        <w:p w14:paraId="59D8C0DF" w14:textId="77777777" w:rsidR="00C810C6" w:rsidRDefault="00174B32">
          <w:pPr>
            <w:pStyle w:val="TOC3"/>
            <w:tabs>
              <w:tab w:val="right" w:leader="dot" w:pos="9016"/>
            </w:tabs>
            <w:rPr>
              <w:rFonts w:asciiTheme="minorHAnsi" w:hAnsiTheme="minorHAnsi"/>
              <w:noProof/>
              <w:sz w:val="22"/>
              <w:szCs w:val="22"/>
              <w:lang w:eastAsia="en-AU"/>
            </w:rPr>
          </w:pPr>
          <w:hyperlink w:anchor="_Toc493774235" w:history="1">
            <w:r w:rsidR="00C810C6" w:rsidRPr="00CF3EEC">
              <w:rPr>
                <w:rStyle w:val="Hyperlink"/>
                <w:noProof/>
              </w:rPr>
              <w:t>Identify Triggers, targets and Thresholds</w:t>
            </w:r>
            <w:r w:rsidR="00C810C6">
              <w:rPr>
                <w:noProof/>
                <w:webHidden/>
              </w:rPr>
              <w:tab/>
            </w:r>
            <w:r w:rsidR="00C810C6">
              <w:rPr>
                <w:noProof/>
                <w:webHidden/>
              </w:rPr>
              <w:fldChar w:fldCharType="begin"/>
            </w:r>
            <w:r w:rsidR="00C810C6">
              <w:rPr>
                <w:noProof/>
                <w:webHidden/>
              </w:rPr>
              <w:instrText xml:space="preserve"> PAGEREF _Toc493774235 \h </w:instrText>
            </w:r>
            <w:r w:rsidR="00C810C6">
              <w:rPr>
                <w:noProof/>
                <w:webHidden/>
              </w:rPr>
            </w:r>
            <w:r w:rsidR="00C810C6">
              <w:rPr>
                <w:noProof/>
                <w:webHidden/>
              </w:rPr>
              <w:fldChar w:fldCharType="separate"/>
            </w:r>
            <w:r w:rsidR="00C810C6">
              <w:rPr>
                <w:noProof/>
                <w:webHidden/>
              </w:rPr>
              <w:t>87</w:t>
            </w:r>
            <w:r w:rsidR="00C810C6">
              <w:rPr>
                <w:noProof/>
                <w:webHidden/>
              </w:rPr>
              <w:fldChar w:fldCharType="end"/>
            </w:r>
          </w:hyperlink>
        </w:p>
        <w:p w14:paraId="6B6C2392" w14:textId="77777777" w:rsidR="00C810C6" w:rsidRDefault="00174B32">
          <w:pPr>
            <w:pStyle w:val="TOC3"/>
            <w:tabs>
              <w:tab w:val="right" w:leader="dot" w:pos="9016"/>
            </w:tabs>
            <w:rPr>
              <w:rFonts w:asciiTheme="minorHAnsi" w:hAnsiTheme="minorHAnsi"/>
              <w:noProof/>
              <w:sz w:val="22"/>
              <w:szCs w:val="22"/>
              <w:lang w:eastAsia="en-AU"/>
            </w:rPr>
          </w:pPr>
          <w:hyperlink w:anchor="_Toc493774236" w:history="1">
            <w:r w:rsidR="00C810C6" w:rsidRPr="00CF3EEC">
              <w:rPr>
                <w:rStyle w:val="Hyperlink"/>
                <w:noProof/>
              </w:rPr>
              <w:t>Establish the spatial boundaries of the assessment unit</w:t>
            </w:r>
            <w:r w:rsidR="00C810C6">
              <w:rPr>
                <w:noProof/>
                <w:webHidden/>
              </w:rPr>
              <w:tab/>
            </w:r>
            <w:r w:rsidR="00C810C6">
              <w:rPr>
                <w:noProof/>
                <w:webHidden/>
              </w:rPr>
              <w:fldChar w:fldCharType="begin"/>
            </w:r>
            <w:r w:rsidR="00C810C6">
              <w:rPr>
                <w:noProof/>
                <w:webHidden/>
              </w:rPr>
              <w:instrText xml:space="preserve"> PAGEREF _Toc493774236 \h </w:instrText>
            </w:r>
            <w:r w:rsidR="00C810C6">
              <w:rPr>
                <w:noProof/>
                <w:webHidden/>
              </w:rPr>
            </w:r>
            <w:r w:rsidR="00C810C6">
              <w:rPr>
                <w:noProof/>
                <w:webHidden/>
              </w:rPr>
              <w:fldChar w:fldCharType="separate"/>
            </w:r>
            <w:r w:rsidR="00C810C6">
              <w:rPr>
                <w:noProof/>
                <w:webHidden/>
              </w:rPr>
              <w:t>88</w:t>
            </w:r>
            <w:r w:rsidR="00C810C6">
              <w:rPr>
                <w:noProof/>
                <w:webHidden/>
              </w:rPr>
              <w:fldChar w:fldCharType="end"/>
            </w:r>
          </w:hyperlink>
        </w:p>
        <w:p w14:paraId="2E9D7BD8" w14:textId="77777777" w:rsidR="00C810C6" w:rsidRDefault="00174B32">
          <w:pPr>
            <w:pStyle w:val="TOC2"/>
            <w:tabs>
              <w:tab w:val="right" w:leader="dot" w:pos="9016"/>
            </w:tabs>
            <w:rPr>
              <w:rFonts w:asciiTheme="minorHAnsi" w:hAnsiTheme="minorHAnsi"/>
              <w:noProof/>
              <w:sz w:val="22"/>
              <w:szCs w:val="22"/>
              <w:lang w:eastAsia="en-AU"/>
            </w:rPr>
          </w:pPr>
          <w:hyperlink w:anchor="_Toc493774237" w:history="1">
            <w:r w:rsidR="00C810C6" w:rsidRPr="00CF3EEC">
              <w:rPr>
                <w:rStyle w:val="Hyperlink"/>
                <w:noProof/>
              </w:rPr>
              <w:t>Purpose</w:t>
            </w:r>
            <w:r w:rsidR="00C810C6">
              <w:rPr>
                <w:noProof/>
                <w:webHidden/>
              </w:rPr>
              <w:tab/>
            </w:r>
            <w:r w:rsidR="00C810C6">
              <w:rPr>
                <w:noProof/>
                <w:webHidden/>
              </w:rPr>
              <w:fldChar w:fldCharType="begin"/>
            </w:r>
            <w:r w:rsidR="00C810C6">
              <w:rPr>
                <w:noProof/>
                <w:webHidden/>
              </w:rPr>
              <w:instrText xml:space="preserve"> PAGEREF _Toc493774237 \h </w:instrText>
            </w:r>
            <w:r w:rsidR="00C810C6">
              <w:rPr>
                <w:noProof/>
                <w:webHidden/>
              </w:rPr>
            </w:r>
            <w:r w:rsidR="00C810C6">
              <w:rPr>
                <w:noProof/>
                <w:webHidden/>
              </w:rPr>
              <w:fldChar w:fldCharType="separate"/>
            </w:r>
            <w:r w:rsidR="00C810C6">
              <w:rPr>
                <w:noProof/>
                <w:webHidden/>
              </w:rPr>
              <w:t>90</w:t>
            </w:r>
            <w:r w:rsidR="00C810C6">
              <w:rPr>
                <w:noProof/>
                <w:webHidden/>
              </w:rPr>
              <w:fldChar w:fldCharType="end"/>
            </w:r>
          </w:hyperlink>
        </w:p>
        <w:p w14:paraId="6AA4E535" w14:textId="77777777" w:rsidR="00C810C6" w:rsidRDefault="00174B32">
          <w:pPr>
            <w:pStyle w:val="TOC2"/>
            <w:tabs>
              <w:tab w:val="right" w:leader="dot" w:pos="9016"/>
            </w:tabs>
            <w:rPr>
              <w:rFonts w:asciiTheme="minorHAnsi" w:hAnsiTheme="minorHAnsi"/>
              <w:noProof/>
              <w:sz w:val="22"/>
              <w:szCs w:val="22"/>
              <w:lang w:eastAsia="en-AU"/>
            </w:rPr>
          </w:pPr>
          <w:hyperlink w:anchor="_Toc493774238" w:history="1">
            <w:r w:rsidR="00C810C6" w:rsidRPr="00CF3EEC">
              <w:rPr>
                <w:rStyle w:val="Hyperlink"/>
                <w:noProof/>
              </w:rPr>
              <w:t>Groundwork</w:t>
            </w:r>
            <w:r w:rsidR="00C810C6">
              <w:rPr>
                <w:noProof/>
                <w:webHidden/>
              </w:rPr>
              <w:tab/>
            </w:r>
            <w:r w:rsidR="00C810C6">
              <w:rPr>
                <w:noProof/>
                <w:webHidden/>
              </w:rPr>
              <w:fldChar w:fldCharType="begin"/>
            </w:r>
            <w:r w:rsidR="00C810C6">
              <w:rPr>
                <w:noProof/>
                <w:webHidden/>
              </w:rPr>
              <w:instrText xml:space="preserve"> PAGEREF _Toc493774238 \h </w:instrText>
            </w:r>
            <w:r w:rsidR="00C810C6">
              <w:rPr>
                <w:noProof/>
                <w:webHidden/>
              </w:rPr>
            </w:r>
            <w:r w:rsidR="00C810C6">
              <w:rPr>
                <w:noProof/>
                <w:webHidden/>
              </w:rPr>
              <w:fldChar w:fldCharType="separate"/>
            </w:r>
            <w:r w:rsidR="00C810C6">
              <w:rPr>
                <w:noProof/>
                <w:webHidden/>
              </w:rPr>
              <w:t>90</w:t>
            </w:r>
            <w:r w:rsidR="00C810C6">
              <w:rPr>
                <w:noProof/>
                <w:webHidden/>
              </w:rPr>
              <w:fldChar w:fldCharType="end"/>
            </w:r>
          </w:hyperlink>
        </w:p>
        <w:p w14:paraId="52FA16FE" w14:textId="77777777" w:rsidR="00C810C6" w:rsidRDefault="00174B32">
          <w:pPr>
            <w:pStyle w:val="TOC3"/>
            <w:tabs>
              <w:tab w:val="right" w:leader="dot" w:pos="9016"/>
            </w:tabs>
            <w:rPr>
              <w:rFonts w:asciiTheme="minorHAnsi" w:hAnsiTheme="minorHAnsi"/>
              <w:noProof/>
              <w:sz w:val="22"/>
              <w:szCs w:val="22"/>
              <w:lang w:eastAsia="en-AU"/>
            </w:rPr>
          </w:pPr>
          <w:hyperlink w:anchor="_Toc493774239" w:history="1">
            <w:r w:rsidR="00C810C6" w:rsidRPr="00CF3EEC">
              <w:rPr>
                <w:rStyle w:val="Hyperlink"/>
                <w:noProof/>
              </w:rPr>
              <w:t>Accessing expertise: Establish a TAG or other appropriate oversight body (optional)</w:t>
            </w:r>
            <w:r w:rsidR="00C810C6">
              <w:rPr>
                <w:noProof/>
                <w:webHidden/>
              </w:rPr>
              <w:tab/>
            </w:r>
            <w:r w:rsidR="00C810C6">
              <w:rPr>
                <w:noProof/>
                <w:webHidden/>
              </w:rPr>
              <w:fldChar w:fldCharType="begin"/>
            </w:r>
            <w:r w:rsidR="00C810C6">
              <w:rPr>
                <w:noProof/>
                <w:webHidden/>
              </w:rPr>
              <w:instrText xml:space="preserve"> PAGEREF _Toc493774239 \h </w:instrText>
            </w:r>
            <w:r w:rsidR="00C810C6">
              <w:rPr>
                <w:noProof/>
                <w:webHidden/>
              </w:rPr>
            </w:r>
            <w:r w:rsidR="00C810C6">
              <w:rPr>
                <w:noProof/>
                <w:webHidden/>
              </w:rPr>
              <w:fldChar w:fldCharType="separate"/>
            </w:r>
            <w:r w:rsidR="00C810C6">
              <w:rPr>
                <w:noProof/>
                <w:webHidden/>
              </w:rPr>
              <w:t>90</w:t>
            </w:r>
            <w:r w:rsidR="00C810C6">
              <w:rPr>
                <w:noProof/>
                <w:webHidden/>
              </w:rPr>
              <w:fldChar w:fldCharType="end"/>
            </w:r>
          </w:hyperlink>
        </w:p>
        <w:p w14:paraId="5F50E7F6" w14:textId="77777777" w:rsidR="00C810C6" w:rsidRDefault="00174B32">
          <w:pPr>
            <w:pStyle w:val="TOC3"/>
            <w:tabs>
              <w:tab w:val="right" w:leader="dot" w:pos="9016"/>
            </w:tabs>
            <w:rPr>
              <w:rFonts w:asciiTheme="minorHAnsi" w:hAnsiTheme="minorHAnsi"/>
              <w:noProof/>
              <w:sz w:val="22"/>
              <w:szCs w:val="22"/>
              <w:lang w:eastAsia="en-AU"/>
            </w:rPr>
          </w:pPr>
          <w:hyperlink w:anchor="_Toc493774240" w:history="1">
            <w:r w:rsidR="00C810C6" w:rsidRPr="00CF3EEC">
              <w:rPr>
                <w:rStyle w:val="Hyperlink"/>
                <w:noProof/>
              </w:rPr>
              <w:t>Collating existing information</w:t>
            </w:r>
            <w:r w:rsidR="00C810C6">
              <w:rPr>
                <w:noProof/>
                <w:webHidden/>
              </w:rPr>
              <w:tab/>
            </w:r>
            <w:r w:rsidR="00C810C6">
              <w:rPr>
                <w:noProof/>
                <w:webHidden/>
              </w:rPr>
              <w:fldChar w:fldCharType="begin"/>
            </w:r>
            <w:r w:rsidR="00C810C6">
              <w:rPr>
                <w:noProof/>
                <w:webHidden/>
              </w:rPr>
              <w:instrText xml:space="preserve"> PAGEREF _Toc493774240 \h </w:instrText>
            </w:r>
            <w:r w:rsidR="00C810C6">
              <w:rPr>
                <w:noProof/>
                <w:webHidden/>
              </w:rPr>
            </w:r>
            <w:r w:rsidR="00C810C6">
              <w:rPr>
                <w:noProof/>
                <w:webHidden/>
              </w:rPr>
              <w:fldChar w:fldCharType="separate"/>
            </w:r>
            <w:r w:rsidR="00C810C6">
              <w:rPr>
                <w:noProof/>
                <w:webHidden/>
              </w:rPr>
              <w:t>91</w:t>
            </w:r>
            <w:r w:rsidR="00C810C6">
              <w:rPr>
                <w:noProof/>
                <w:webHidden/>
              </w:rPr>
              <w:fldChar w:fldCharType="end"/>
            </w:r>
          </w:hyperlink>
        </w:p>
        <w:p w14:paraId="3DDFB277" w14:textId="77777777" w:rsidR="00C810C6" w:rsidRDefault="00174B32">
          <w:pPr>
            <w:pStyle w:val="TOC3"/>
            <w:tabs>
              <w:tab w:val="right" w:leader="dot" w:pos="9016"/>
            </w:tabs>
            <w:rPr>
              <w:rFonts w:asciiTheme="minorHAnsi" w:hAnsiTheme="minorHAnsi"/>
              <w:noProof/>
              <w:sz w:val="22"/>
              <w:szCs w:val="22"/>
              <w:lang w:eastAsia="en-AU"/>
            </w:rPr>
          </w:pPr>
          <w:hyperlink w:anchor="_Toc493774241" w:history="1">
            <w:r w:rsidR="00C810C6" w:rsidRPr="00CF3EEC">
              <w:rPr>
                <w:rStyle w:val="Hyperlink"/>
                <w:noProof/>
              </w:rPr>
              <w:t>Define the spatial and temporal scale of the assessment</w:t>
            </w:r>
            <w:r w:rsidR="00C810C6">
              <w:rPr>
                <w:noProof/>
                <w:webHidden/>
              </w:rPr>
              <w:tab/>
            </w:r>
            <w:r w:rsidR="00C810C6">
              <w:rPr>
                <w:noProof/>
                <w:webHidden/>
              </w:rPr>
              <w:fldChar w:fldCharType="begin"/>
            </w:r>
            <w:r w:rsidR="00C810C6">
              <w:rPr>
                <w:noProof/>
                <w:webHidden/>
              </w:rPr>
              <w:instrText xml:space="preserve"> PAGEREF _Toc493774241 \h </w:instrText>
            </w:r>
            <w:r w:rsidR="00C810C6">
              <w:rPr>
                <w:noProof/>
                <w:webHidden/>
              </w:rPr>
            </w:r>
            <w:r w:rsidR="00C810C6">
              <w:rPr>
                <w:noProof/>
                <w:webHidden/>
              </w:rPr>
              <w:fldChar w:fldCharType="separate"/>
            </w:r>
            <w:r w:rsidR="00C810C6">
              <w:rPr>
                <w:noProof/>
                <w:webHidden/>
              </w:rPr>
              <w:t>91</w:t>
            </w:r>
            <w:r w:rsidR="00C810C6">
              <w:rPr>
                <w:noProof/>
                <w:webHidden/>
              </w:rPr>
              <w:fldChar w:fldCharType="end"/>
            </w:r>
          </w:hyperlink>
        </w:p>
        <w:p w14:paraId="49CE60DD" w14:textId="77777777" w:rsidR="00C810C6" w:rsidRDefault="00174B32">
          <w:pPr>
            <w:pStyle w:val="TOC3"/>
            <w:tabs>
              <w:tab w:val="right" w:leader="dot" w:pos="9016"/>
            </w:tabs>
            <w:rPr>
              <w:rFonts w:asciiTheme="minorHAnsi" w:hAnsiTheme="minorHAnsi"/>
              <w:noProof/>
              <w:sz w:val="22"/>
              <w:szCs w:val="22"/>
              <w:lang w:eastAsia="en-AU"/>
            </w:rPr>
          </w:pPr>
          <w:hyperlink w:anchor="_Toc493774242" w:history="1">
            <w:r w:rsidR="00C810C6" w:rsidRPr="00CF3EEC">
              <w:rPr>
                <w:rStyle w:val="Hyperlink"/>
                <w:noProof/>
              </w:rPr>
              <w:t>Identify existing conceptual models</w:t>
            </w:r>
            <w:r w:rsidR="00C810C6">
              <w:rPr>
                <w:noProof/>
                <w:webHidden/>
              </w:rPr>
              <w:tab/>
            </w:r>
            <w:r w:rsidR="00C810C6">
              <w:rPr>
                <w:noProof/>
                <w:webHidden/>
              </w:rPr>
              <w:fldChar w:fldCharType="begin"/>
            </w:r>
            <w:r w:rsidR="00C810C6">
              <w:rPr>
                <w:noProof/>
                <w:webHidden/>
              </w:rPr>
              <w:instrText xml:space="preserve"> PAGEREF _Toc493774242 \h </w:instrText>
            </w:r>
            <w:r w:rsidR="00C810C6">
              <w:rPr>
                <w:noProof/>
                <w:webHidden/>
              </w:rPr>
            </w:r>
            <w:r w:rsidR="00C810C6">
              <w:rPr>
                <w:noProof/>
                <w:webHidden/>
              </w:rPr>
              <w:fldChar w:fldCharType="separate"/>
            </w:r>
            <w:r w:rsidR="00C810C6">
              <w:rPr>
                <w:noProof/>
                <w:webHidden/>
              </w:rPr>
              <w:t>92</w:t>
            </w:r>
            <w:r w:rsidR="00C810C6">
              <w:rPr>
                <w:noProof/>
                <w:webHidden/>
              </w:rPr>
              <w:fldChar w:fldCharType="end"/>
            </w:r>
          </w:hyperlink>
        </w:p>
        <w:p w14:paraId="0D66CBC4" w14:textId="77777777" w:rsidR="00C810C6" w:rsidRDefault="00174B32">
          <w:pPr>
            <w:pStyle w:val="TOC3"/>
            <w:tabs>
              <w:tab w:val="right" w:leader="dot" w:pos="9016"/>
            </w:tabs>
            <w:rPr>
              <w:rFonts w:asciiTheme="minorHAnsi" w:hAnsiTheme="minorHAnsi"/>
              <w:noProof/>
              <w:sz w:val="22"/>
              <w:szCs w:val="22"/>
              <w:lang w:eastAsia="en-AU"/>
            </w:rPr>
          </w:pPr>
          <w:hyperlink w:anchor="_Toc493774243" w:history="1">
            <w:r w:rsidR="00C810C6" w:rsidRPr="00CF3EEC">
              <w:rPr>
                <w:rStyle w:val="Hyperlink"/>
                <w:noProof/>
              </w:rPr>
              <w:t>Identify externalities likely to affect the assessment</w:t>
            </w:r>
            <w:r w:rsidR="00C810C6">
              <w:rPr>
                <w:noProof/>
                <w:webHidden/>
              </w:rPr>
              <w:tab/>
            </w:r>
            <w:r w:rsidR="00C810C6">
              <w:rPr>
                <w:noProof/>
                <w:webHidden/>
              </w:rPr>
              <w:fldChar w:fldCharType="begin"/>
            </w:r>
            <w:r w:rsidR="00C810C6">
              <w:rPr>
                <w:noProof/>
                <w:webHidden/>
              </w:rPr>
              <w:instrText xml:space="preserve"> PAGEREF _Toc493774243 \h </w:instrText>
            </w:r>
            <w:r w:rsidR="00C810C6">
              <w:rPr>
                <w:noProof/>
                <w:webHidden/>
              </w:rPr>
            </w:r>
            <w:r w:rsidR="00C810C6">
              <w:rPr>
                <w:noProof/>
                <w:webHidden/>
              </w:rPr>
              <w:fldChar w:fldCharType="separate"/>
            </w:r>
            <w:r w:rsidR="00C810C6">
              <w:rPr>
                <w:noProof/>
                <w:webHidden/>
              </w:rPr>
              <w:t>93</w:t>
            </w:r>
            <w:r w:rsidR="00C810C6">
              <w:rPr>
                <w:noProof/>
                <w:webHidden/>
              </w:rPr>
              <w:fldChar w:fldCharType="end"/>
            </w:r>
          </w:hyperlink>
        </w:p>
        <w:p w14:paraId="3BA3CAA3" w14:textId="77777777" w:rsidR="00C810C6" w:rsidRDefault="00174B32">
          <w:pPr>
            <w:pStyle w:val="TOC3"/>
            <w:tabs>
              <w:tab w:val="right" w:leader="dot" w:pos="9016"/>
            </w:tabs>
            <w:rPr>
              <w:rFonts w:asciiTheme="minorHAnsi" w:hAnsiTheme="minorHAnsi"/>
              <w:noProof/>
              <w:sz w:val="22"/>
              <w:szCs w:val="22"/>
              <w:lang w:eastAsia="en-AU"/>
            </w:rPr>
          </w:pPr>
          <w:hyperlink w:anchor="_Toc493774244" w:history="1">
            <w:r w:rsidR="00C810C6" w:rsidRPr="00CF3EEC">
              <w:rPr>
                <w:rStyle w:val="Hyperlink"/>
                <w:noProof/>
              </w:rPr>
              <w:t>Assumptions</w:t>
            </w:r>
            <w:r w:rsidR="00C810C6">
              <w:rPr>
                <w:noProof/>
                <w:webHidden/>
              </w:rPr>
              <w:tab/>
            </w:r>
            <w:r w:rsidR="00C810C6">
              <w:rPr>
                <w:noProof/>
                <w:webHidden/>
              </w:rPr>
              <w:fldChar w:fldCharType="begin"/>
            </w:r>
            <w:r w:rsidR="00C810C6">
              <w:rPr>
                <w:noProof/>
                <w:webHidden/>
              </w:rPr>
              <w:instrText xml:space="preserve"> PAGEREF _Toc493774244 \h </w:instrText>
            </w:r>
            <w:r w:rsidR="00C810C6">
              <w:rPr>
                <w:noProof/>
                <w:webHidden/>
              </w:rPr>
            </w:r>
            <w:r w:rsidR="00C810C6">
              <w:rPr>
                <w:noProof/>
                <w:webHidden/>
              </w:rPr>
              <w:fldChar w:fldCharType="separate"/>
            </w:r>
            <w:r w:rsidR="00C810C6">
              <w:rPr>
                <w:noProof/>
                <w:webHidden/>
              </w:rPr>
              <w:t>93</w:t>
            </w:r>
            <w:r w:rsidR="00C810C6">
              <w:rPr>
                <w:noProof/>
                <w:webHidden/>
              </w:rPr>
              <w:fldChar w:fldCharType="end"/>
            </w:r>
          </w:hyperlink>
        </w:p>
        <w:p w14:paraId="15A19E0B" w14:textId="77777777" w:rsidR="00C810C6" w:rsidRDefault="00174B32">
          <w:pPr>
            <w:pStyle w:val="TOC1"/>
            <w:tabs>
              <w:tab w:val="right" w:leader="dot" w:pos="9016"/>
            </w:tabs>
            <w:rPr>
              <w:rFonts w:asciiTheme="minorHAnsi" w:hAnsiTheme="minorHAnsi"/>
              <w:noProof/>
              <w:sz w:val="22"/>
              <w:szCs w:val="22"/>
              <w:lang w:eastAsia="en-AU"/>
            </w:rPr>
          </w:pPr>
          <w:hyperlink w:anchor="_Toc493774245" w:history="1">
            <w:r w:rsidR="00C810C6" w:rsidRPr="00CF3EEC">
              <w:rPr>
                <w:rStyle w:val="Hyperlink"/>
                <w:noProof/>
              </w:rPr>
              <w:t>Part A: Outputs</w:t>
            </w:r>
            <w:r w:rsidR="00C810C6">
              <w:rPr>
                <w:noProof/>
                <w:webHidden/>
              </w:rPr>
              <w:tab/>
            </w:r>
            <w:r w:rsidR="00C810C6">
              <w:rPr>
                <w:noProof/>
                <w:webHidden/>
              </w:rPr>
              <w:fldChar w:fldCharType="begin"/>
            </w:r>
            <w:r w:rsidR="00C810C6">
              <w:rPr>
                <w:noProof/>
                <w:webHidden/>
              </w:rPr>
              <w:instrText xml:space="preserve"> PAGEREF _Toc493774245 \h </w:instrText>
            </w:r>
            <w:r w:rsidR="00C810C6">
              <w:rPr>
                <w:noProof/>
                <w:webHidden/>
              </w:rPr>
            </w:r>
            <w:r w:rsidR="00C810C6">
              <w:rPr>
                <w:noProof/>
                <w:webHidden/>
              </w:rPr>
              <w:fldChar w:fldCharType="separate"/>
            </w:r>
            <w:r w:rsidR="00C810C6">
              <w:rPr>
                <w:noProof/>
                <w:webHidden/>
              </w:rPr>
              <w:t>93</w:t>
            </w:r>
            <w:r w:rsidR="00C810C6">
              <w:rPr>
                <w:noProof/>
                <w:webHidden/>
              </w:rPr>
              <w:fldChar w:fldCharType="end"/>
            </w:r>
          </w:hyperlink>
        </w:p>
        <w:p w14:paraId="7438C2C4" w14:textId="77777777" w:rsidR="00C810C6" w:rsidRDefault="00174B32">
          <w:pPr>
            <w:pStyle w:val="TOC1"/>
            <w:tabs>
              <w:tab w:val="right" w:leader="dot" w:pos="9016"/>
            </w:tabs>
            <w:rPr>
              <w:rFonts w:asciiTheme="minorHAnsi" w:hAnsiTheme="minorHAnsi"/>
              <w:noProof/>
              <w:sz w:val="22"/>
              <w:szCs w:val="22"/>
              <w:lang w:eastAsia="en-AU"/>
            </w:rPr>
          </w:pPr>
          <w:hyperlink w:anchor="_Toc493774246" w:history="1">
            <w:r w:rsidR="00C810C6" w:rsidRPr="00CF3EEC">
              <w:rPr>
                <w:rStyle w:val="Hyperlink"/>
                <w:noProof/>
              </w:rPr>
              <w:t>Part B: Workflow</w:t>
            </w:r>
            <w:r w:rsidR="00C810C6">
              <w:rPr>
                <w:noProof/>
                <w:webHidden/>
              </w:rPr>
              <w:tab/>
            </w:r>
            <w:r w:rsidR="00C810C6">
              <w:rPr>
                <w:noProof/>
                <w:webHidden/>
              </w:rPr>
              <w:fldChar w:fldCharType="begin"/>
            </w:r>
            <w:r w:rsidR="00C810C6">
              <w:rPr>
                <w:noProof/>
                <w:webHidden/>
              </w:rPr>
              <w:instrText xml:space="preserve"> PAGEREF _Toc493774246 \h </w:instrText>
            </w:r>
            <w:r w:rsidR="00C810C6">
              <w:rPr>
                <w:noProof/>
                <w:webHidden/>
              </w:rPr>
            </w:r>
            <w:r w:rsidR="00C810C6">
              <w:rPr>
                <w:noProof/>
                <w:webHidden/>
              </w:rPr>
              <w:fldChar w:fldCharType="separate"/>
            </w:r>
            <w:r w:rsidR="00C810C6">
              <w:rPr>
                <w:noProof/>
                <w:webHidden/>
              </w:rPr>
              <w:t>94</w:t>
            </w:r>
            <w:r w:rsidR="00C810C6">
              <w:rPr>
                <w:noProof/>
                <w:webHidden/>
              </w:rPr>
              <w:fldChar w:fldCharType="end"/>
            </w:r>
          </w:hyperlink>
        </w:p>
        <w:p w14:paraId="4094D0F0" w14:textId="77777777" w:rsidR="00C810C6" w:rsidRDefault="00174B32">
          <w:pPr>
            <w:pStyle w:val="TOC2"/>
            <w:tabs>
              <w:tab w:val="right" w:leader="dot" w:pos="9016"/>
            </w:tabs>
            <w:rPr>
              <w:rFonts w:asciiTheme="minorHAnsi" w:hAnsiTheme="minorHAnsi"/>
              <w:noProof/>
              <w:sz w:val="22"/>
              <w:szCs w:val="22"/>
              <w:lang w:eastAsia="en-AU"/>
            </w:rPr>
          </w:pPr>
          <w:hyperlink w:anchor="_Toc493774247" w:history="1">
            <w:r w:rsidR="00C810C6" w:rsidRPr="00CF3EEC">
              <w:rPr>
                <w:rStyle w:val="Hyperlink"/>
                <w:noProof/>
              </w:rPr>
              <w:t>Step 1: Identify and prioritise values</w:t>
            </w:r>
            <w:r w:rsidR="00C810C6">
              <w:rPr>
                <w:noProof/>
                <w:webHidden/>
              </w:rPr>
              <w:tab/>
            </w:r>
            <w:r w:rsidR="00C810C6">
              <w:rPr>
                <w:noProof/>
                <w:webHidden/>
              </w:rPr>
              <w:fldChar w:fldCharType="begin"/>
            </w:r>
            <w:r w:rsidR="00C810C6">
              <w:rPr>
                <w:noProof/>
                <w:webHidden/>
              </w:rPr>
              <w:instrText xml:space="preserve"> PAGEREF _Toc493774247 \h </w:instrText>
            </w:r>
            <w:r w:rsidR="00C810C6">
              <w:rPr>
                <w:noProof/>
                <w:webHidden/>
              </w:rPr>
            </w:r>
            <w:r w:rsidR="00C810C6">
              <w:rPr>
                <w:noProof/>
                <w:webHidden/>
              </w:rPr>
              <w:fldChar w:fldCharType="separate"/>
            </w:r>
            <w:r w:rsidR="00C810C6">
              <w:rPr>
                <w:noProof/>
                <w:webHidden/>
              </w:rPr>
              <w:t>94</w:t>
            </w:r>
            <w:r w:rsidR="00C810C6">
              <w:rPr>
                <w:noProof/>
                <w:webHidden/>
              </w:rPr>
              <w:fldChar w:fldCharType="end"/>
            </w:r>
          </w:hyperlink>
        </w:p>
        <w:p w14:paraId="28206B12" w14:textId="77777777" w:rsidR="00C810C6" w:rsidRDefault="00174B32">
          <w:pPr>
            <w:pStyle w:val="TOC2"/>
            <w:tabs>
              <w:tab w:val="right" w:leader="dot" w:pos="9016"/>
            </w:tabs>
            <w:rPr>
              <w:rFonts w:asciiTheme="minorHAnsi" w:hAnsiTheme="minorHAnsi"/>
              <w:noProof/>
              <w:sz w:val="22"/>
              <w:szCs w:val="22"/>
              <w:lang w:eastAsia="en-AU"/>
            </w:rPr>
          </w:pPr>
          <w:hyperlink w:anchor="_Toc493774248" w:history="1">
            <w:r w:rsidR="00C810C6" w:rsidRPr="00CF3EEC">
              <w:rPr>
                <w:rStyle w:val="Hyperlink"/>
                <w:noProof/>
              </w:rPr>
              <w:t>Step 2: Identify and prioritise threats</w:t>
            </w:r>
            <w:r w:rsidR="00C810C6">
              <w:rPr>
                <w:noProof/>
                <w:webHidden/>
              </w:rPr>
              <w:tab/>
            </w:r>
            <w:r w:rsidR="00C810C6">
              <w:rPr>
                <w:noProof/>
                <w:webHidden/>
              </w:rPr>
              <w:fldChar w:fldCharType="begin"/>
            </w:r>
            <w:r w:rsidR="00C810C6">
              <w:rPr>
                <w:noProof/>
                <w:webHidden/>
              </w:rPr>
              <w:instrText xml:space="preserve"> PAGEREF _Toc493774248 \h </w:instrText>
            </w:r>
            <w:r w:rsidR="00C810C6">
              <w:rPr>
                <w:noProof/>
                <w:webHidden/>
              </w:rPr>
            </w:r>
            <w:r w:rsidR="00C810C6">
              <w:rPr>
                <w:noProof/>
                <w:webHidden/>
              </w:rPr>
              <w:fldChar w:fldCharType="separate"/>
            </w:r>
            <w:r w:rsidR="00C810C6">
              <w:rPr>
                <w:noProof/>
                <w:webHidden/>
              </w:rPr>
              <w:t>96</w:t>
            </w:r>
            <w:r w:rsidR="00C810C6">
              <w:rPr>
                <w:noProof/>
                <w:webHidden/>
              </w:rPr>
              <w:fldChar w:fldCharType="end"/>
            </w:r>
          </w:hyperlink>
        </w:p>
        <w:p w14:paraId="7EB849E2" w14:textId="77777777" w:rsidR="00C810C6" w:rsidRDefault="00174B32">
          <w:pPr>
            <w:pStyle w:val="TOC2"/>
            <w:tabs>
              <w:tab w:val="right" w:leader="dot" w:pos="9016"/>
            </w:tabs>
            <w:rPr>
              <w:rFonts w:asciiTheme="minorHAnsi" w:hAnsiTheme="minorHAnsi"/>
              <w:noProof/>
              <w:sz w:val="22"/>
              <w:szCs w:val="22"/>
              <w:lang w:eastAsia="en-AU"/>
            </w:rPr>
          </w:pPr>
          <w:hyperlink w:anchor="_Toc493774249" w:history="1">
            <w:r w:rsidR="00C810C6" w:rsidRPr="00CF3EEC">
              <w:rPr>
                <w:rStyle w:val="Hyperlink"/>
                <w:noProof/>
              </w:rPr>
              <w:t>Step 3: Develop Key Evaluation Questions (KEQs)</w:t>
            </w:r>
            <w:r w:rsidR="00C810C6">
              <w:rPr>
                <w:noProof/>
                <w:webHidden/>
              </w:rPr>
              <w:tab/>
            </w:r>
            <w:r w:rsidR="00C810C6">
              <w:rPr>
                <w:noProof/>
                <w:webHidden/>
              </w:rPr>
              <w:fldChar w:fldCharType="begin"/>
            </w:r>
            <w:r w:rsidR="00C810C6">
              <w:rPr>
                <w:noProof/>
                <w:webHidden/>
              </w:rPr>
              <w:instrText xml:space="preserve"> PAGEREF _Toc493774249 \h </w:instrText>
            </w:r>
            <w:r w:rsidR="00C810C6">
              <w:rPr>
                <w:noProof/>
                <w:webHidden/>
              </w:rPr>
            </w:r>
            <w:r w:rsidR="00C810C6">
              <w:rPr>
                <w:noProof/>
                <w:webHidden/>
              </w:rPr>
              <w:fldChar w:fldCharType="separate"/>
            </w:r>
            <w:r w:rsidR="00C810C6">
              <w:rPr>
                <w:noProof/>
                <w:webHidden/>
              </w:rPr>
              <w:t>98</w:t>
            </w:r>
            <w:r w:rsidR="00C810C6">
              <w:rPr>
                <w:noProof/>
                <w:webHidden/>
              </w:rPr>
              <w:fldChar w:fldCharType="end"/>
            </w:r>
          </w:hyperlink>
        </w:p>
        <w:p w14:paraId="7EF753B7" w14:textId="77777777" w:rsidR="00C810C6" w:rsidRDefault="00174B32">
          <w:pPr>
            <w:pStyle w:val="TOC2"/>
            <w:tabs>
              <w:tab w:val="right" w:leader="dot" w:pos="9016"/>
            </w:tabs>
            <w:rPr>
              <w:rFonts w:asciiTheme="minorHAnsi" w:hAnsiTheme="minorHAnsi"/>
              <w:noProof/>
              <w:sz w:val="22"/>
              <w:szCs w:val="22"/>
              <w:lang w:eastAsia="en-AU"/>
            </w:rPr>
          </w:pPr>
          <w:hyperlink w:anchor="_Toc493774250" w:history="1">
            <w:r w:rsidR="00C810C6" w:rsidRPr="00CF3EEC">
              <w:rPr>
                <w:rStyle w:val="Hyperlink"/>
                <w:noProof/>
              </w:rPr>
              <w:t>Step 4: Identify and prioritise indicators</w:t>
            </w:r>
            <w:r w:rsidR="00C810C6">
              <w:rPr>
                <w:noProof/>
                <w:webHidden/>
              </w:rPr>
              <w:tab/>
            </w:r>
            <w:r w:rsidR="00C810C6">
              <w:rPr>
                <w:noProof/>
                <w:webHidden/>
              </w:rPr>
              <w:fldChar w:fldCharType="begin"/>
            </w:r>
            <w:r w:rsidR="00C810C6">
              <w:rPr>
                <w:noProof/>
                <w:webHidden/>
              </w:rPr>
              <w:instrText xml:space="preserve"> PAGEREF _Toc493774250 \h </w:instrText>
            </w:r>
            <w:r w:rsidR="00C810C6">
              <w:rPr>
                <w:noProof/>
                <w:webHidden/>
              </w:rPr>
            </w:r>
            <w:r w:rsidR="00C810C6">
              <w:rPr>
                <w:noProof/>
                <w:webHidden/>
              </w:rPr>
              <w:fldChar w:fldCharType="separate"/>
            </w:r>
            <w:r w:rsidR="00C810C6">
              <w:rPr>
                <w:noProof/>
                <w:webHidden/>
              </w:rPr>
              <w:t>100</w:t>
            </w:r>
            <w:r w:rsidR="00C810C6">
              <w:rPr>
                <w:noProof/>
                <w:webHidden/>
              </w:rPr>
              <w:fldChar w:fldCharType="end"/>
            </w:r>
          </w:hyperlink>
        </w:p>
        <w:p w14:paraId="715393FB" w14:textId="77777777" w:rsidR="00C810C6" w:rsidRDefault="00174B32">
          <w:pPr>
            <w:pStyle w:val="TOC2"/>
            <w:tabs>
              <w:tab w:val="right" w:leader="dot" w:pos="9016"/>
            </w:tabs>
            <w:rPr>
              <w:rFonts w:asciiTheme="minorHAnsi" w:hAnsiTheme="minorHAnsi"/>
              <w:noProof/>
              <w:sz w:val="22"/>
              <w:szCs w:val="22"/>
              <w:lang w:eastAsia="en-AU"/>
            </w:rPr>
          </w:pPr>
          <w:hyperlink w:anchor="_Toc493774251" w:history="1">
            <w:r w:rsidR="00C810C6" w:rsidRPr="00CF3EEC">
              <w:rPr>
                <w:rStyle w:val="Hyperlink"/>
                <w:noProof/>
              </w:rPr>
              <w:t>Step 5: Design assessment and implementation</w:t>
            </w:r>
            <w:r w:rsidR="00C810C6">
              <w:rPr>
                <w:noProof/>
                <w:webHidden/>
              </w:rPr>
              <w:tab/>
            </w:r>
            <w:r w:rsidR="00C810C6">
              <w:rPr>
                <w:noProof/>
                <w:webHidden/>
              </w:rPr>
              <w:fldChar w:fldCharType="begin"/>
            </w:r>
            <w:r w:rsidR="00C810C6">
              <w:rPr>
                <w:noProof/>
                <w:webHidden/>
              </w:rPr>
              <w:instrText xml:space="preserve"> PAGEREF _Toc493774251 \h </w:instrText>
            </w:r>
            <w:r w:rsidR="00C810C6">
              <w:rPr>
                <w:noProof/>
                <w:webHidden/>
              </w:rPr>
            </w:r>
            <w:r w:rsidR="00C810C6">
              <w:rPr>
                <w:noProof/>
                <w:webHidden/>
              </w:rPr>
              <w:fldChar w:fldCharType="separate"/>
            </w:r>
            <w:r w:rsidR="00C810C6">
              <w:rPr>
                <w:noProof/>
                <w:webHidden/>
              </w:rPr>
              <w:t>101</w:t>
            </w:r>
            <w:r w:rsidR="00C810C6">
              <w:rPr>
                <w:noProof/>
                <w:webHidden/>
              </w:rPr>
              <w:fldChar w:fldCharType="end"/>
            </w:r>
          </w:hyperlink>
        </w:p>
        <w:p w14:paraId="2E60F1CE" w14:textId="77777777" w:rsidR="00C810C6" w:rsidRDefault="00174B32">
          <w:pPr>
            <w:pStyle w:val="TOC2"/>
            <w:tabs>
              <w:tab w:val="right" w:leader="dot" w:pos="9016"/>
            </w:tabs>
            <w:rPr>
              <w:rFonts w:asciiTheme="minorHAnsi" w:hAnsiTheme="minorHAnsi"/>
              <w:noProof/>
              <w:sz w:val="22"/>
              <w:szCs w:val="22"/>
              <w:lang w:eastAsia="en-AU"/>
            </w:rPr>
          </w:pPr>
          <w:hyperlink w:anchor="_Toc493774252" w:history="1">
            <w:r w:rsidR="00C810C6" w:rsidRPr="00CF3EEC">
              <w:rPr>
                <w:rStyle w:val="Hyperlink"/>
                <w:noProof/>
              </w:rPr>
              <w:t>Step 6: Analyse and Aggregate</w:t>
            </w:r>
            <w:r w:rsidR="00C810C6">
              <w:rPr>
                <w:noProof/>
                <w:webHidden/>
              </w:rPr>
              <w:tab/>
            </w:r>
            <w:r w:rsidR="00C810C6">
              <w:rPr>
                <w:noProof/>
                <w:webHidden/>
              </w:rPr>
              <w:fldChar w:fldCharType="begin"/>
            </w:r>
            <w:r w:rsidR="00C810C6">
              <w:rPr>
                <w:noProof/>
                <w:webHidden/>
              </w:rPr>
              <w:instrText xml:space="preserve"> PAGEREF _Toc493774252 \h </w:instrText>
            </w:r>
            <w:r w:rsidR="00C810C6">
              <w:rPr>
                <w:noProof/>
                <w:webHidden/>
              </w:rPr>
            </w:r>
            <w:r w:rsidR="00C810C6">
              <w:rPr>
                <w:noProof/>
                <w:webHidden/>
              </w:rPr>
              <w:fldChar w:fldCharType="separate"/>
            </w:r>
            <w:r w:rsidR="00C810C6">
              <w:rPr>
                <w:noProof/>
                <w:webHidden/>
              </w:rPr>
              <w:t>102</w:t>
            </w:r>
            <w:r w:rsidR="00C810C6">
              <w:rPr>
                <w:noProof/>
                <w:webHidden/>
              </w:rPr>
              <w:fldChar w:fldCharType="end"/>
            </w:r>
          </w:hyperlink>
        </w:p>
        <w:p w14:paraId="58293BC9" w14:textId="77777777" w:rsidR="00C810C6" w:rsidRDefault="00174B32">
          <w:pPr>
            <w:pStyle w:val="TOC2"/>
            <w:tabs>
              <w:tab w:val="right" w:leader="dot" w:pos="9016"/>
            </w:tabs>
            <w:rPr>
              <w:rFonts w:asciiTheme="minorHAnsi" w:hAnsiTheme="minorHAnsi"/>
              <w:noProof/>
              <w:sz w:val="22"/>
              <w:szCs w:val="22"/>
              <w:lang w:eastAsia="en-AU"/>
            </w:rPr>
          </w:pPr>
          <w:hyperlink w:anchor="_Toc493774253" w:history="1">
            <w:r w:rsidR="00C810C6" w:rsidRPr="00CF3EEC">
              <w:rPr>
                <w:rStyle w:val="Hyperlink"/>
                <w:noProof/>
              </w:rPr>
              <w:t>Step 7: Harmonise and Integrate</w:t>
            </w:r>
            <w:r w:rsidR="00C810C6">
              <w:rPr>
                <w:noProof/>
                <w:webHidden/>
              </w:rPr>
              <w:tab/>
            </w:r>
            <w:r w:rsidR="00C810C6">
              <w:rPr>
                <w:noProof/>
                <w:webHidden/>
              </w:rPr>
              <w:fldChar w:fldCharType="begin"/>
            </w:r>
            <w:r w:rsidR="00C810C6">
              <w:rPr>
                <w:noProof/>
                <w:webHidden/>
              </w:rPr>
              <w:instrText xml:space="preserve"> PAGEREF _Toc493774253 \h </w:instrText>
            </w:r>
            <w:r w:rsidR="00C810C6">
              <w:rPr>
                <w:noProof/>
                <w:webHidden/>
              </w:rPr>
            </w:r>
            <w:r w:rsidR="00C810C6">
              <w:rPr>
                <w:noProof/>
                <w:webHidden/>
              </w:rPr>
              <w:fldChar w:fldCharType="separate"/>
            </w:r>
            <w:r w:rsidR="00C810C6">
              <w:rPr>
                <w:noProof/>
                <w:webHidden/>
              </w:rPr>
              <w:t>105</w:t>
            </w:r>
            <w:r w:rsidR="00C810C6">
              <w:rPr>
                <w:noProof/>
                <w:webHidden/>
              </w:rPr>
              <w:fldChar w:fldCharType="end"/>
            </w:r>
          </w:hyperlink>
        </w:p>
        <w:p w14:paraId="40E76097" w14:textId="77777777" w:rsidR="00C810C6" w:rsidRDefault="00174B32">
          <w:pPr>
            <w:pStyle w:val="TOC2"/>
            <w:tabs>
              <w:tab w:val="right" w:leader="dot" w:pos="9016"/>
            </w:tabs>
            <w:rPr>
              <w:rFonts w:asciiTheme="minorHAnsi" w:hAnsiTheme="minorHAnsi"/>
              <w:noProof/>
              <w:sz w:val="22"/>
              <w:szCs w:val="22"/>
              <w:lang w:eastAsia="en-AU"/>
            </w:rPr>
          </w:pPr>
          <w:hyperlink w:anchor="_Toc493774254" w:history="1">
            <w:r w:rsidR="00C810C6" w:rsidRPr="00CF3EEC">
              <w:rPr>
                <w:rStyle w:val="Hyperlink"/>
                <w:noProof/>
              </w:rPr>
              <w:t>Step 8: Report Card</w:t>
            </w:r>
            <w:r w:rsidR="00C810C6">
              <w:rPr>
                <w:noProof/>
                <w:webHidden/>
              </w:rPr>
              <w:tab/>
            </w:r>
            <w:r w:rsidR="00C810C6">
              <w:rPr>
                <w:noProof/>
                <w:webHidden/>
              </w:rPr>
              <w:fldChar w:fldCharType="begin"/>
            </w:r>
            <w:r w:rsidR="00C810C6">
              <w:rPr>
                <w:noProof/>
                <w:webHidden/>
              </w:rPr>
              <w:instrText xml:space="preserve"> PAGEREF _Toc493774254 \h </w:instrText>
            </w:r>
            <w:r w:rsidR="00C810C6">
              <w:rPr>
                <w:noProof/>
                <w:webHidden/>
              </w:rPr>
            </w:r>
            <w:r w:rsidR="00C810C6">
              <w:rPr>
                <w:noProof/>
                <w:webHidden/>
              </w:rPr>
              <w:fldChar w:fldCharType="separate"/>
            </w:r>
            <w:r w:rsidR="00C810C6">
              <w:rPr>
                <w:noProof/>
                <w:webHidden/>
              </w:rPr>
              <w:t>108</w:t>
            </w:r>
            <w:r w:rsidR="00C810C6">
              <w:rPr>
                <w:noProof/>
                <w:webHidden/>
              </w:rPr>
              <w:fldChar w:fldCharType="end"/>
            </w:r>
          </w:hyperlink>
        </w:p>
        <w:p w14:paraId="07716124" w14:textId="77777777" w:rsidR="00C810C6" w:rsidRDefault="00174B32">
          <w:pPr>
            <w:pStyle w:val="TOC1"/>
            <w:tabs>
              <w:tab w:val="right" w:leader="dot" w:pos="9016"/>
            </w:tabs>
            <w:rPr>
              <w:rFonts w:asciiTheme="minorHAnsi" w:hAnsiTheme="minorHAnsi"/>
              <w:noProof/>
              <w:sz w:val="22"/>
              <w:szCs w:val="22"/>
              <w:lang w:eastAsia="en-AU"/>
            </w:rPr>
          </w:pPr>
          <w:hyperlink w:anchor="_Toc493774255" w:history="1">
            <w:r w:rsidR="00C810C6" w:rsidRPr="00CF3EEC">
              <w:rPr>
                <w:rStyle w:val="Hyperlink"/>
                <w:noProof/>
              </w:rPr>
              <w:t>References cited</w:t>
            </w:r>
            <w:r w:rsidR="00C810C6">
              <w:rPr>
                <w:noProof/>
                <w:webHidden/>
              </w:rPr>
              <w:tab/>
            </w:r>
            <w:r w:rsidR="00C810C6">
              <w:rPr>
                <w:noProof/>
                <w:webHidden/>
              </w:rPr>
              <w:fldChar w:fldCharType="begin"/>
            </w:r>
            <w:r w:rsidR="00C810C6">
              <w:rPr>
                <w:noProof/>
                <w:webHidden/>
              </w:rPr>
              <w:instrText xml:space="preserve"> PAGEREF _Toc493774255 \h </w:instrText>
            </w:r>
            <w:r w:rsidR="00C810C6">
              <w:rPr>
                <w:noProof/>
                <w:webHidden/>
              </w:rPr>
            </w:r>
            <w:r w:rsidR="00C810C6">
              <w:rPr>
                <w:noProof/>
                <w:webHidden/>
              </w:rPr>
              <w:fldChar w:fldCharType="separate"/>
            </w:r>
            <w:r w:rsidR="00C810C6">
              <w:rPr>
                <w:noProof/>
                <w:webHidden/>
              </w:rPr>
              <w:t>108</w:t>
            </w:r>
            <w:r w:rsidR="00C810C6">
              <w:rPr>
                <w:noProof/>
                <w:webHidden/>
              </w:rPr>
              <w:fldChar w:fldCharType="end"/>
            </w:r>
          </w:hyperlink>
        </w:p>
        <w:p w14:paraId="23A86537" w14:textId="77777777" w:rsidR="00C810C6" w:rsidRDefault="00174B32">
          <w:pPr>
            <w:pStyle w:val="TOC1"/>
            <w:tabs>
              <w:tab w:val="right" w:leader="dot" w:pos="9016"/>
            </w:tabs>
            <w:rPr>
              <w:rFonts w:asciiTheme="minorHAnsi" w:hAnsiTheme="minorHAnsi"/>
              <w:noProof/>
              <w:sz w:val="22"/>
              <w:szCs w:val="22"/>
              <w:lang w:eastAsia="en-AU"/>
            </w:rPr>
          </w:pPr>
          <w:hyperlink w:anchor="_Toc493774256" w:history="1">
            <w:r w:rsidR="00C810C6" w:rsidRPr="00CF3EEC">
              <w:rPr>
                <w:rStyle w:val="Hyperlink"/>
                <w:noProof/>
              </w:rPr>
              <w:t>Appendix C: CICES – a standard approach to classifying services</w:t>
            </w:r>
            <w:r w:rsidR="00C810C6">
              <w:rPr>
                <w:noProof/>
                <w:webHidden/>
              </w:rPr>
              <w:tab/>
            </w:r>
            <w:r w:rsidR="00C810C6">
              <w:rPr>
                <w:noProof/>
                <w:webHidden/>
              </w:rPr>
              <w:fldChar w:fldCharType="begin"/>
            </w:r>
            <w:r w:rsidR="00C810C6">
              <w:rPr>
                <w:noProof/>
                <w:webHidden/>
              </w:rPr>
              <w:instrText xml:space="preserve"> PAGEREF _Toc493774256 \h </w:instrText>
            </w:r>
            <w:r w:rsidR="00C810C6">
              <w:rPr>
                <w:noProof/>
                <w:webHidden/>
              </w:rPr>
            </w:r>
            <w:r w:rsidR="00C810C6">
              <w:rPr>
                <w:noProof/>
                <w:webHidden/>
              </w:rPr>
              <w:fldChar w:fldCharType="separate"/>
            </w:r>
            <w:r w:rsidR="00C810C6">
              <w:rPr>
                <w:noProof/>
                <w:webHidden/>
              </w:rPr>
              <w:t>110</w:t>
            </w:r>
            <w:r w:rsidR="00C810C6">
              <w:rPr>
                <w:noProof/>
                <w:webHidden/>
              </w:rPr>
              <w:fldChar w:fldCharType="end"/>
            </w:r>
          </w:hyperlink>
        </w:p>
        <w:p w14:paraId="0E3FBF3B" w14:textId="77777777" w:rsidR="00C810C6" w:rsidRDefault="00174B32">
          <w:pPr>
            <w:pStyle w:val="TOC1"/>
            <w:tabs>
              <w:tab w:val="right" w:leader="dot" w:pos="9016"/>
            </w:tabs>
            <w:rPr>
              <w:rFonts w:asciiTheme="minorHAnsi" w:hAnsiTheme="minorHAnsi"/>
              <w:noProof/>
              <w:sz w:val="22"/>
              <w:szCs w:val="22"/>
              <w:lang w:eastAsia="en-AU"/>
            </w:rPr>
          </w:pPr>
          <w:hyperlink w:anchor="_Toc493774257" w:history="1">
            <w:r w:rsidR="00C810C6" w:rsidRPr="00CF3EEC">
              <w:rPr>
                <w:rStyle w:val="Hyperlink"/>
                <w:noProof/>
              </w:rPr>
              <w:t>Appendix D: Example set of Components, Processes, Functions and Services</w:t>
            </w:r>
            <w:r w:rsidR="00C810C6">
              <w:rPr>
                <w:noProof/>
                <w:webHidden/>
              </w:rPr>
              <w:tab/>
            </w:r>
            <w:r w:rsidR="00C810C6">
              <w:rPr>
                <w:noProof/>
                <w:webHidden/>
              </w:rPr>
              <w:fldChar w:fldCharType="begin"/>
            </w:r>
            <w:r w:rsidR="00C810C6">
              <w:rPr>
                <w:noProof/>
                <w:webHidden/>
              </w:rPr>
              <w:instrText xml:space="preserve"> PAGEREF _Toc493774257 \h </w:instrText>
            </w:r>
            <w:r w:rsidR="00C810C6">
              <w:rPr>
                <w:noProof/>
                <w:webHidden/>
              </w:rPr>
            </w:r>
            <w:r w:rsidR="00C810C6">
              <w:rPr>
                <w:noProof/>
                <w:webHidden/>
              </w:rPr>
              <w:fldChar w:fldCharType="separate"/>
            </w:r>
            <w:r w:rsidR="00C810C6">
              <w:rPr>
                <w:noProof/>
                <w:webHidden/>
              </w:rPr>
              <w:t>111</w:t>
            </w:r>
            <w:r w:rsidR="00C810C6">
              <w:rPr>
                <w:noProof/>
                <w:webHidden/>
              </w:rPr>
              <w:fldChar w:fldCharType="end"/>
            </w:r>
          </w:hyperlink>
        </w:p>
        <w:p w14:paraId="3E980284" w14:textId="77777777" w:rsidR="00C810C6" w:rsidRDefault="00174B32">
          <w:pPr>
            <w:pStyle w:val="TOC1"/>
            <w:tabs>
              <w:tab w:val="right" w:leader="dot" w:pos="9016"/>
            </w:tabs>
            <w:rPr>
              <w:rFonts w:asciiTheme="minorHAnsi" w:hAnsiTheme="minorHAnsi"/>
              <w:noProof/>
              <w:sz w:val="22"/>
              <w:szCs w:val="22"/>
              <w:lang w:eastAsia="en-AU"/>
            </w:rPr>
          </w:pPr>
          <w:hyperlink w:anchor="_Toc493774258" w:history="1">
            <w:r w:rsidR="00C810C6" w:rsidRPr="00CF3EEC">
              <w:rPr>
                <w:rStyle w:val="Hyperlink"/>
                <w:noProof/>
              </w:rPr>
              <w:t>Appendix E: IUCN-CMP Threat Classification V2.0</w:t>
            </w:r>
            <w:r w:rsidR="00C810C6">
              <w:rPr>
                <w:noProof/>
                <w:webHidden/>
              </w:rPr>
              <w:tab/>
            </w:r>
            <w:r w:rsidR="00C810C6">
              <w:rPr>
                <w:noProof/>
                <w:webHidden/>
              </w:rPr>
              <w:fldChar w:fldCharType="begin"/>
            </w:r>
            <w:r w:rsidR="00C810C6">
              <w:rPr>
                <w:noProof/>
                <w:webHidden/>
              </w:rPr>
              <w:instrText xml:space="preserve"> PAGEREF _Toc493774258 \h </w:instrText>
            </w:r>
            <w:r w:rsidR="00C810C6">
              <w:rPr>
                <w:noProof/>
                <w:webHidden/>
              </w:rPr>
            </w:r>
            <w:r w:rsidR="00C810C6">
              <w:rPr>
                <w:noProof/>
                <w:webHidden/>
              </w:rPr>
              <w:fldChar w:fldCharType="separate"/>
            </w:r>
            <w:r w:rsidR="00C810C6">
              <w:rPr>
                <w:noProof/>
                <w:webHidden/>
              </w:rPr>
              <w:t>113</w:t>
            </w:r>
            <w:r w:rsidR="00C810C6">
              <w:rPr>
                <w:noProof/>
                <w:webHidden/>
              </w:rPr>
              <w:fldChar w:fldCharType="end"/>
            </w:r>
          </w:hyperlink>
        </w:p>
        <w:p w14:paraId="68A551C0" w14:textId="77777777" w:rsidR="00C810C6" w:rsidRDefault="00174B32">
          <w:pPr>
            <w:pStyle w:val="TOC1"/>
            <w:tabs>
              <w:tab w:val="right" w:leader="dot" w:pos="9016"/>
            </w:tabs>
            <w:rPr>
              <w:rFonts w:asciiTheme="minorHAnsi" w:hAnsiTheme="minorHAnsi"/>
              <w:noProof/>
              <w:sz w:val="22"/>
              <w:szCs w:val="22"/>
              <w:lang w:eastAsia="en-AU"/>
            </w:rPr>
          </w:pPr>
          <w:hyperlink w:anchor="_Toc493774259" w:history="1">
            <w:r w:rsidR="00C810C6" w:rsidRPr="00CF3EEC">
              <w:rPr>
                <w:rStyle w:val="Hyperlink"/>
                <w:noProof/>
              </w:rPr>
              <w:t>Appendix F: Potential indicators</w:t>
            </w:r>
            <w:r w:rsidR="00C810C6">
              <w:rPr>
                <w:noProof/>
                <w:webHidden/>
              </w:rPr>
              <w:tab/>
            </w:r>
            <w:r w:rsidR="00C810C6">
              <w:rPr>
                <w:noProof/>
                <w:webHidden/>
              </w:rPr>
              <w:fldChar w:fldCharType="begin"/>
            </w:r>
            <w:r w:rsidR="00C810C6">
              <w:rPr>
                <w:noProof/>
                <w:webHidden/>
              </w:rPr>
              <w:instrText xml:space="preserve"> PAGEREF _Toc493774259 \h </w:instrText>
            </w:r>
            <w:r w:rsidR="00C810C6">
              <w:rPr>
                <w:noProof/>
                <w:webHidden/>
              </w:rPr>
            </w:r>
            <w:r w:rsidR="00C810C6">
              <w:rPr>
                <w:noProof/>
                <w:webHidden/>
              </w:rPr>
              <w:fldChar w:fldCharType="separate"/>
            </w:r>
            <w:r w:rsidR="00C810C6">
              <w:rPr>
                <w:noProof/>
                <w:webHidden/>
              </w:rPr>
              <w:t>114</w:t>
            </w:r>
            <w:r w:rsidR="00C810C6">
              <w:rPr>
                <w:noProof/>
                <w:webHidden/>
              </w:rPr>
              <w:fldChar w:fldCharType="end"/>
            </w:r>
          </w:hyperlink>
        </w:p>
        <w:p w14:paraId="293E1DC0" w14:textId="77777777" w:rsidR="00C810C6" w:rsidRDefault="00174B32">
          <w:pPr>
            <w:pStyle w:val="TOC1"/>
            <w:tabs>
              <w:tab w:val="right" w:leader="dot" w:pos="9016"/>
            </w:tabs>
            <w:rPr>
              <w:rFonts w:asciiTheme="minorHAnsi" w:hAnsiTheme="minorHAnsi"/>
              <w:noProof/>
              <w:sz w:val="22"/>
              <w:szCs w:val="22"/>
              <w:lang w:eastAsia="en-AU"/>
            </w:rPr>
          </w:pPr>
          <w:hyperlink w:anchor="_Toc493774260" w:history="1">
            <w:r w:rsidR="00C810C6" w:rsidRPr="00CF3EEC">
              <w:rPr>
                <w:rStyle w:val="Hyperlink"/>
                <w:noProof/>
              </w:rPr>
              <w:t>Appendix G: Advantages and disadvantages of different taxa as indicators for assessing condition</w:t>
            </w:r>
            <w:r w:rsidR="00C810C6">
              <w:rPr>
                <w:noProof/>
                <w:webHidden/>
              </w:rPr>
              <w:tab/>
            </w:r>
            <w:r w:rsidR="00C810C6">
              <w:rPr>
                <w:noProof/>
                <w:webHidden/>
              </w:rPr>
              <w:fldChar w:fldCharType="begin"/>
            </w:r>
            <w:r w:rsidR="00C810C6">
              <w:rPr>
                <w:noProof/>
                <w:webHidden/>
              </w:rPr>
              <w:instrText xml:space="preserve"> PAGEREF _Toc493774260 \h </w:instrText>
            </w:r>
            <w:r w:rsidR="00C810C6">
              <w:rPr>
                <w:noProof/>
                <w:webHidden/>
              </w:rPr>
            </w:r>
            <w:r w:rsidR="00C810C6">
              <w:rPr>
                <w:noProof/>
                <w:webHidden/>
              </w:rPr>
              <w:fldChar w:fldCharType="separate"/>
            </w:r>
            <w:r w:rsidR="00C810C6">
              <w:rPr>
                <w:noProof/>
                <w:webHidden/>
              </w:rPr>
              <w:t>117</w:t>
            </w:r>
            <w:r w:rsidR="00C810C6">
              <w:rPr>
                <w:noProof/>
                <w:webHidden/>
              </w:rPr>
              <w:fldChar w:fldCharType="end"/>
            </w:r>
          </w:hyperlink>
        </w:p>
        <w:p w14:paraId="5A96BA2D" w14:textId="63C930F2" w:rsidR="00042B02" w:rsidRPr="004E7EB5" w:rsidRDefault="00190607">
          <w:r w:rsidRPr="004E7EB5">
            <w:rPr>
              <w:b/>
              <w:bCs/>
            </w:rPr>
            <w:fldChar w:fldCharType="end"/>
          </w:r>
        </w:p>
      </w:sdtContent>
    </w:sdt>
    <w:p w14:paraId="637126E3" w14:textId="77777777" w:rsidR="00042B02" w:rsidRPr="004E7EB5" w:rsidRDefault="00042B02" w:rsidP="00E24185"/>
    <w:p w14:paraId="06EDCACE" w14:textId="77777777" w:rsidR="00CA2773" w:rsidRPr="004E7EB5" w:rsidRDefault="00CA2773" w:rsidP="00E24185">
      <w:pPr>
        <w:sectPr w:rsidR="00CA2773" w:rsidRPr="004E7EB5" w:rsidSect="00382817">
          <w:headerReference w:type="even" r:id="rId14"/>
          <w:headerReference w:type="default" r:id="rId15"/>
          <w:headerReference w:type="first" r:id="rId16"/>
          <w:type w:val="continuous"/>
          <w:pgSz w:w="11906" w:h="16838"/>
          <w:pgMar w:top="1440" w:right="1440" w:bottom="1440" w:left="1440" w:header="708" w:footer="708" w:gutter="0"/>
          <w:cols w:space="708"/>
          <w:docGrid w:linePitch="360"/>
        </w:sectPr>
      </w:pPr>
    </w:p>
    <w:p w14:paraId="6B89E95F" w14:textId="77777777" w:rsidR="00CA2773" w:rsidRPr="004E7EB5" w:rsidRDefault="00CA2773" w:rsidP="00DC70B2">
      <w:pPr>
        <w:pStyle w:val="Heading1"/>
        <w:numPr>
          <w:ilvl w:val="0"/>
          <w:numId w:val="0"/>
        </w:numPr>
        <w:ind w:left="432" w:hanging="432"/>
        <w:rPr>
          <w:lang w:eastAsia="en-AU"/>
        </w:rPr>
      </w:pPr>
      <w:bookmarkStart w:id="3" w:name="_Toc493774196"/>
      <w:r w:rsidRPr="004E7EB5">
        <w:rPr>
          <w:lang w:eastAsia="en-AU"/>
        </w:rPr>
        <w:lastRenderedPageBreak/>
        <w:t>Abbreviations</w:t>
      </w:r>
      <w:bookmarkEnd w:id="3"/>
    </w:p>
    <w:tbl>
      <w:tblPr>
        <w:tblW w:w="9638" w:type="dxa"/>
        <w:tblInd w:w="113" w:type="dxa"/>
        <w:shd w:val="clear" w:color="auto" w:fill="FFFFFF" w:themeFill="background1"/>
        <w:tblLayout w:type="fixed"/>
        <w:tblCellMar>
          <w:left w:w="0" w:type="dxa"/>
          <w:right w:w="0" w:type="dxa"/>
        </w:tblCellMar>
        <w:tblLook w:val="0000" w:firstRow="0" w:lastRow="0" w:firstColumn="0" w:lastColumn="0" w:noHBand="0" w:noVBand="0"/>
      </w:tblPr>
      <w:tblGrid>
        <w:gridCol w:w="1701"/>
        <w:gridCol w:w="7937"/>
      </w:tblGrid>
      <w:tr w:rsidR="005C69BC" w:rsidRPr="004E7EB5" w14:paraId="7327C38E"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24CAC59E"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Style w:val="Medium"/>
                <w:rFonts w:asciiTheme="minorHAnsi" w:hAnsiTheme="minorHAnsi" w:cstheme="minorHAnsi"/>
                <w:lang w:val="en-AU"/>
              </w:rPr>
              <w:t>ANAE</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120C0BA7"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Fonts w:asciiTheme="minorHAnsi" w:hAnsiTheme="minorHAnsi" w:cstheme="minorHAnsi"/>
                <w:lang w:val="en-AU"/>
              </w:rPr>
              <w:t>(Interim) Australian National Aquatic Ecosystems (Classification Framework)</w:t>
            </w:r>
          </w:p>
        </w:tc>
      </w:tr>
      <w:tr w:rsidR="005C69BC" w:rsidRPr="004E7EB5" w14:paraId="3E8A2D61"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57862023"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Style w:val="Medium"/>
                <w:rFonts w:asciiTheme="minorHAnsi" w:hAnsiTheme="minorHAnsi" w:cstheme="minorHAnsi"/>
                <w:color w:val="auto"/>
                <w:lang w:val="en-AU"/>
              </w:rPr>
              <w:t>AquaBAMM</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4F8BBACD"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Aquatic Biodiversity Assessment Mapping Methodology</w:t>
            </w:r>
          </w:p>
        </w:tc>
      </w:tr>
      <w:tr w:rsidR="005C69BC" w:rsidRPr="004E7EB5" w14:paraId="384059B3"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55FBB316"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CEWO</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34122C75"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Commonwealth Environmental Water Office</w:t>
            </w:r>
          </w:p>
        </w:tc>
      </w:tr>
      <w:tr w:rsidR="005C69BC" w:rsidRPr="004E7EB5" w14:paraId="4F3066BF"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17BDEFA9" w14:textId="77777777" w:rsidR="005C69BC" w:rsidRPr="004E7EB5" w:rsidRDefault="005C69BC" w:rsidP="005C69BC">
            <w:pPr>
              <w:pStyle w:val="Tabletext"/>
              <w:spacing w:before="100" w:beforeAutospacing="1" w:after="100" w:afterAutospacing="1" w:line="240" w:lineRule="auto"/>
              <w:contextualSpacing/>
              <w:rPr>
                <w:rStyle w:val="Medium"/>
                <w:rFonts w:asciiTheme="minorHAnsi" w:hAnsiTheme="minorHAnsi" w:cstheme="minorHAnsi"/>
                <w:lang w:val="en-AU"/>
              </w:rPr>
            </w:pPr>
            <w:r w:rsidRPr="004E7EB5">
              <w:rPr>
                <w:rStyle w:val="Medium"/>
                <w:rFonts w:asciiTheme="minorHAnsi" w:hAnsiTheme="minorHAnsi" w:cstheme="minorHAnsi"/>
                <w:lang w:val="en-AU"/>
              </w:rPr>
              <w:t>CPS</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6C9FF2BE"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Fonts w:asciiTheme="minorHAnsi" w:hAnsiTheme="minorHAnsi" w:cstheme="minorHAnsi"/>
                <w:lang w:val="en-AU"/>
              </w:rPr>
              <w:t>Components, processes and ecosystem services</w:t>
            </w:r>
          </w:p>
        </w:tc>
      </w:tr>
      <w:tr w:rsidR="005C69BC" w:rsidRPr="004E7EB5" w14:paraId="2802090C"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0EE293D1" w14:textId="77777777" w:rsidR="005C69BC" w:rsidRPr="004E7EB5" w:rsidRDefault="005C69BC" w:rsidP="005C69BC">
            <w:pPr>
              <w:pStyle w:val="Tabletext"/>
              <w:spacing w:before="100" w:beforeAutospacing="1" w:after="100" w:afterAutospacing="1" w:line="240" w:lineRule="auto"/>
              <w:contextualSpacing/>
              <w:rPr>
                <w:rStyle w:val="Medium"/>
                <w:rFonts w:asciiTheme="minorHAnsi" w:hAnsiTheme="minorHAnsi" w:cstheme="minorHAnsi"/>
                <w:color w:val="auto"/>
                <w:lang w:val="en-AU"/>
              </w:rPr>
            </w:pPr>
            <w:r w:rsidRPr="004E7EB5">
              <w:rPr>
                <w:rStyle w:val="Medium"/>
                <w:rFonts w:asciiTheme="minorHAnsi" w:hAnsiTheme="minorHAnsi" w:cstheme="minorHAnsi"/>
                <w:color w:val="auto"/>
                <w:lang w:val="en-AU"/>
              </w:rPr>
              <w:t>DEHP</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254D7804"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Department of Environment and Heritage Protection, Queensland</w:t>
            </w:r>
          </w:p>
        </w:tc>
      </w:tr>
      <w:tr w:rsidR="005C69BC" w:rsidRPr="004E7EB5" w14:paraId="26E9A60F"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7121D1CC" w14:textId="77777777" w:rsidR="005C69BC" w:rsidRPr="004E7EB5" w:rsidRDefault="005C69BC" w:rsidP="005C69BC">
            <w:pPr>
              <w:pStyle w:val="Tabletext"/>
              <w:spacing w:before="100" w:beforeAutospacing="1" w:after="100" w:afterAutospacing="1" w:line="240" w:lineRule="auto"/>
              <w:contextualSpacing/>
              <w:rPr>
                <w:rStyle w:val="Medium"/>
                <w:rFonts w:asciiTheme="minorHAnsi" w:hAnsiTheme="minorHAnsi" w:cstheme="minorHAnsi"/>
                <w:color w:val="auto"/>
                <w:lang w:val="en-AU"/>
              </w:rPr>
            </w:pPr>
            <w:r w:rsidRPr="004E7EB5">
              <w:rPr>
                <w:rStyle w:val="Medium"/>
                <w:rFonts w:asciiTheme="minorHAnsi" w:hAnsiTheme="minorHAnsi" w:cstheme="minorHAnsi"/>
                <w:color w:val="auto"/>
                <w:lang w:val="en-AU"/>
              </w:rPr>
              <w:t>DELWP</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397A610B"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Department of Environment, Land, Water and Planning</w:t>
            </w:r>
          </w:p>
        </w:tc>
      </w:tr>
      <w:tr w:rsidR="005C69BC" w:rsidRPr="004E7EB5" w14:paraId="7607DE36"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6C9456BA" w14:textId="77777777" w:rsidR="005C69BC" w:rsidRPr="004E7EB5" w:rsidRDefault="005C69BC" w:rsidP="005C69BC">
            <w:pPr>
              <w:pStyle w:val="Tabletext"/>
              <w:spacing w:before="100" w:beforeAutospacing="1" w:after="100" w:afterAutospacing="1" w:line="240" w:lineRule="auto"/>
              <w:contextualSpacing/>
              <w:rPr>
                <w:rStyle w:val="Medium"/>
                <w:rFonts w:asciiTheme="minorHAnsi" w:hAnsiTheme="minorHAnsi" w:cstheme="minorHAnsi"/>
                <w:color w:val="auto"/>
                <w:lang w:val="en-AU"/>
              </w:rPr>
            </w:pPr>
            <w:r w:rsidRPr="004E7EB5">
              <w:rPr>
                <w:rStyle w:val="Medium"/>
                <w:rFonts w:asciiTheme="minorHAnsi" w:hAnsiTheme="minorHAnsi" w:cstheme="minorHAnsi"/>
                <w:color w:val="auto"/>
                <w:lang w:val="en-AU"/>
              </w:rPr>
              <w:t>DEWNR</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11D01024"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Department of Environment, Water and Natural Resources, South Australia</w:t>
            </w:r>
          </w:p>
        </w:tc>
      </w:tr>
      <w:tr w:rsidR="005C69BC" w:rsidRPr="004E7EB5" w14:paraId="5FEA7A64"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26E4B31B" w14:textId="77777777" w:rsidR="005C69BC" w:rsidRPr="004E7EB5" w:rsidRDefault="005C69BC" w:rsidP="005C69BC">
            <w:pPr>
              <w:pStyle w:val="Tabletext"/>
              <w:spacing w:before="100" w:beforeAutospacing="1" w:after="100" w:afterAutospacing="1" w:line="240" w:lineRule="auto"/>
              <w:contextualSpacing/>
              <w:rPr>
                <w:rStyle w:val="Medium"/>
                <w:rFonts w:asciiTheme="minorHAnsi" w:hAnsiTheme="minorHAnsi" w:cstheme="minorHAnsi"/>
                <w:color w:val="auto"/>
                <w:lang w:val="en-AU"/>
              </w:rPr>
            </w:pPr>
            <w:r w:rsidRPr="004E7EB5">
              <w:rPr>
                <w:rStyle w:val="Medium"/>
                <w:rFonts w:asciiTheme="minorHAnsi" w:hAnsiTheme="minorHAnsi" w:cstheme="minorHAnsi"/>
                <w:color w:val="auto"/>
                <w:lang w:val="en-AU"/>
              </w:rPr>
              <w:t>DoEE</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2EB7E575" w14:textId="1DF4943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 xml:space="preserve">Department of </w:t>
            </w:r>
            <w:r w:rsidR="00716565">
              <w:rPr>
                <w:rFonts w:asciiTheme="minorHAnsi" w:hAnsiTheme="minorHAnsi" w:cstheme="minorHAnsi"/>
                <w:color w:val="auto"/>
                <w:lang w:val="en-AU"/>
              </w:rPr>
              <w:t xml:space="preserve">the </w:t>
            </w:r>
            <w:r w:rsidRPr="004E7EB5">
              <w:rPr>
                <w:rFonts w:asciiTheme="minorHAnsi" w:hAnsiTheme="minorHAnsi" w:cstheme="minorHAnsi"/>
                <w:color w:val="auto"/>
                <w:lang w:val="en-AU"/>
              </w:rPr>
              <w:t>Environment and Energy, Commonwealth</w:t>
            </w:r>
          </w:p>
        </w:tc>
      </w:tr>
      <w:tr w:rsidR="007641D9" w:rsidRPr="004E7EB5" w14:paraId="6A318280"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2649A39E" w14:textId="0868468A" w:rsidR="007641D9" w:rsidRPr="004E7EB5" w:rsidRDefault="007641D9" w:rsidP="005C69BC">
            <w:pPr>
              <w:pStyle w:val="Tabletext"/>
              <w:spacing w:before="100" w:beforeAutospacing="1" w:after="100" w:afterAutospacing="1" w:line="240" w:lineRule="auto"/>
              <w:contextualSpacing/>
              <w:rPr>
                <w:rStyle w:val="Medium"/>
                <w:rFonts w:asciiTheme="minorHAnsi" w:hAnsiTheme="minorHAnsi" w:cstheme="minorHAnsi"/>
                <w:color w:val="auto"/>
                <w:lang w:val="en-AU"/>
              </w:rPr>
            </w:pPr>
            <w:r>
              <w:rPr>
                <w:rStyle w:val="Medium"/>
                <w:rFonts w:asciiTheme="minorHAnsi" w:hAnsiTheme="minorHAnsi" w:cstheme="minorHAnsi"/>
                <w:color w:val="auto"/>
                <w:lang w:val="en-AU"/>
              </w:rPr>
              <w:t>DOF</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7216A7D5" w14:textId="39FB080F" w:rsidR="007641D9" w:rsidRPr="004E7EB5" w:rsidRDefault="007641D9" w:rsidP="007641D9">
            <w:pPr>
              <w:pStyle w:val="Tabletext"/>
              <w:spacing w:before="100" w:beforeAutospacing="1" w:after="100" w:afterAutospacing="1" w:line="240" w:lineRule="auto"/>
              <w:contextualSpacing/>
              <w:rPr>
                <w:rFonts w:asciiTheme="minorHAnsi" w:hAnsiTheme="minorHAnsi" w:cstheme="minorHAnsi"/>
                <w:color w:val="auto"/>
                <w:lang w:val="en-AU"/>
              </w:rPr>
            </w:pPr>
            <w:r>
              <w:rPr>
                <w:rFonts w:asciiTheme="minorHAnsi" w:hAnsiTheme="minorHAnsi" w:cstheme="minorHAnsi"/>
                <w:color w:val="auto"/>
                <w:lang w:val="en-AU"/>
              </w:rPr>
              <w:t>Department of Fisheries, Western Australia</w:t>
            </w:r>
          </w:p>
        </w:tc>
      </w:tr>
      <w:tr w:rsidR="005C69BC" w:rsidRPr="004E7EB5" w14:paraId="402288CC"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416633B5" w14:textId="77777777" w:rsidR="005C69BC" w:rsidRPr="004E7EB5" w:rsidRDefault="005C69BC" w:rsidP="005C69BC">
            <w:pPr>
              <w:pStyle w:val="Tabletext"/>
              <w:spacing w:before="100" w:beforeAutospacing="1" w:after="100" w:afterAutospacing="1" w:line="240" w:lineRule="auto"/>
              <w:contextualSpacing/>
              <w:rPr>
                <w:rStyle w:val="Medium"/>
                <w:rFonts w:asciiTheme="minorHAnsi" w:hAnsiTheme="minorHAnsi" w:cstheme="minorHAnsi"/>
                <w:color w:val="auto"/>
                <w:lang w:val="en-AU"/>
              </w:rPr>
            </w:pPr>
            <w:r w:rsidRPr="004E7EB5">
              <w:rPr>
                <w:rStyle w:val="Medium"/>
                <w:rFonts w:asciiTheme="minorHAnsi" w:hAnsiTheme="minorHAnsi" w:cstheme="minorHAnsi"/>
                <w:color w:val="auto"/>
                <w:lang w:val="en-AU"/>
              </w:rPr>
              <w:t>DoW</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08DA7761"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Department of Water, Western Australia</w:t>
            </w:r>
          </w:p>
        </w:tc>
      </w:tr>
      <w:tr w:rsidR="005C69BC" w:rsidRPr="004E7EB5" w14:paraId="342CF868"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07E6DBAB"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DPI</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3E85F5A1"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Department of Primary Industry, New South Wales</w:t>
            </w:r>
          </w:p>
        </w:tc>
      </w:tr>
      <w:tr w:rsidR="005C69BC" w:rsidRPr="004E7EB5" w14:paraId="15038C56"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3C427C3B" w14:textId="77777777" w:rsidR="005C69BC" w:rsidRPr="004E7EB5" w:rsidRDefault="005C69BC" w:rsidP="005C69BC">
            <w:pPr>
              <w:pStyle w:val="Tabletext"/>
              <w:spacing w:before="100" w:beforeAutospacing="1" w:after="100" w:afterAutospacing="1" w:line="240" w:lineRule="auto"/>
              <w:contextualSpacing/>
              <w:rPr>
                <w:rStyle w:val="Medium"/>
                <w:rFonts w:asciiTheme="minorHAnsi" w:hAnsiTheme="minorHAnsi" w:cstheme="minorHAnsi"/>
                <w:lang w:val="en-AU"/>
              </w:rPr>
            </w:pPr>
            <w:r w:rsidRPr="004E7EB5">
              <w:rPr>
                <w:rStyle w:val="Medium"/>
                <w:rFonts w:asciiTheme="minorHAnsi" w:hAnsiTheme="minorHAnsi" w:cstheme="minorHAnsi"/>
                <w:lang w:val="en-AU"/>
              </w:rPr>
              <w:t>DPSIR</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5DA4C417"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Fonts w:asciiTheme="minorHAnsi" w:hAnsiTheme="minorHAnsi" w:cstheme="minorHAnsi"/>
                <w:lang w:val="en-AU"/>
              </w:rPr>
              <w:t>Driver-Pressure-State-Impact-Response</w:t>
            </w:r>
          </w:p>
        </w:tc>
      </w:tr>
      <w:tr w:rsidR="005C69BC" w:rsidRPr="004E7EB5" w14:paraId="12E68D6E"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442B7AE3"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Style w:val="Medium"/>
                <w:rFonts w:asciiTheme="minorHAnsi" w:hAnsiTheme="minorHAnsi" w:cstheme="minorHAnsi"/>
                <w:lang w:val="en-AU"/>
              </w:rPr>
              <w:t>DSEWPaC</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5316206B" w14:textId="4AE6BD06"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Fonts w:asciiTheme="minorHAnsi" w:hAnsiTheme="minorHAnsi" w:cstheme="minorHAnsi"/>
                <w:lang w:val="en-AU"/>
              </w:rPr>
              <w:t>Department of Sustainability, Environment, Water, Population and Communities</w:t>
            </w:r>
            <w:r w:rsidR="00716565">
              <w:rPr>
                <w:rFonts w:asciiTheme="minorHAnsi" w:hAnsiTheme="minorHAnsi" w:cstheme="minorHAnsi"/>
                <w:lang w:val="en-AU"/>
              </w:rPr>
              <w:t xml:space="preserve"> (now DoEE)</w:t>
            </w:r>
          </w:p>
        </w:tc>
      </w:tr>
      <w:tr w:rsidR="005C69BC" w:rsidRPr="004E7EB5" w14:paraId="666EC626"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31CC5F4C"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DSITI</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0870B224"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Department of Science, Information Technology and Innovation, Queensland</w:t>
            </w:r>
          </w:p>
        </w:tc>
      </w:tr>
      <w:tr w:rsidR="005C69BC" w:rsidRPr="004E7EB5" w14:paraId="7FAF021A"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42B48D0D"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Style w:val="Medium"/>
                <w:rFonts w:asciiTheme="minorHAnsi" w:hAnsiTheme="minorHAnsi" w:cstheme="minorHAnsi"/>
                <w:lang w:val="en-AU"/>
              </w:rPr>
              <w:t>EPBC</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2393FF1F"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Style w:val="ital"/>
                <w:rFonts w:asciiTheme="minorHAnsi" w:hAnsiTheme="minorHAnsi" w:cstheme="minorHAnsi"/>
                <w:lang w:val="en-AU"/>
              </w:rPr>
              <w:t>Environment Protection and Biodiversity Conservation Act 1999</w:t>
            </w:r>
          </w:p>
        </w:tc>
      </w:tr>
      <w:tr w:rsidR="007E550D" w:rsidRPr="004E7EB5" w14:paraId="2D186C84"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51F68EB2" w14:textId="2A04C2D2" w:rsidR="007E550D" w:rsidRPr="004E7EB5" w:rsidRDefault="007E550D" w:rsidP="005C69BC">
            <w:pPr>
              <w:pStyle w:val="Tabletext"/>
              <w:spacing w:before="100" w:beforeAutospacing="1" w:after="100" w:afterAutospacing="1" w:line="240" w:lineRule="auto"/>
              <w:contextualSpacing/>
              <w:rPr>
                <w:rFonts w:asciiTheme="minorHAnsi" w:hAnsiTheme="minorHAnsi" w:cstheme="minorHAnsi"/>
                <w:lang w:val="en-AU"/>
              </w:rPr>
            </w:pPr>
            <w:r w:rsidRPr="007E550D">
              <w:rPr>
                <w:rFonts w:asciiTheme="minorHAnsi" w:hAnsiTheme="minorHAnsi" w:cstheme="minorHAnsi"/>
                <w:iCs/>
                <w:lang w:val="en-AU"/>
              </w:rPr>
              <w:t>EPSDD</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7ACD3287" w14:textId="4A6B20E6" w:rsidR="007E550D" w:rsidRPr="004E7EB5" w:rsidRDefault="007E550D" w:rsidP="005C69BC">
            <w:pPr>
              <w:pStyle w:val="Tabletext"/>
              <w:spacing w:before="100" w:beforeAutospacing="1" w:after="100" w:afterAutospacing="1" w:line="240" w:lineRule="auto"/>
              <w:contextualSpacing/>
              <w:rPr>
                <w:rFonts w:asciiTheme="minorHAnsi" w:hAnsiTheme="minorHAnsi" w:cstheme="minorHAnsi"/>
                <w:iCs/>
                <w:lang w:val="en-AU"/>
              </w:rPr>
            </w:pPr>
            <w:r w:rsidRPr="007E550D">
              <w:rPr>
                <w:rFonts w:asciiTheme="minorHAnsi" w:hAnsiTheme="minorHAnsi" w:cstheme="minorHAnsi"/>
                <w:iCs/>
                <w:lang w:val="en-AU"/>
              </w:rPr>
              <w:t>Environment, Planning and Sustainable Development Directorate</w:t>
            </w:r>
            <w:r>
              <w:rPr>
                <w:rFonts w:asciiTheme="minorHAnsi" w:hAnsiTheme="minorHAnsi" w:cstheme="minorHAnsi"/>
                <w:iCs/>
                <w:lang w:val="en-AU"/>
              </w:rPr>
              <w:t>, Australian Capital Territory</w:t>
            </w:r>
          </w:p>
        </w:tc>
      </w:tr>
      <w:tr w:rsidR="005C69BC" w:rsidRPr="004E7EB5" w14:paraId="7A644F78"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77F0A856" w14:textId="77777777" w:rsidR="005C69BC" w:rsidRPr="004E7EB5" w:rsidRDefault="005C69BC" w:rsidP="005C69BC">
            <w:pPr>
              <w:pStyle w:val="Tabletext"/>
              <w:spacing w:before="100" w:beforeAutospacing="1" w:after="100" w:afterAutospacing="1" w:line="240" w:lineRule="auto"/>
              <w:contextualSpacing/>
              <w:rPr>
                <w:rStyle w:val="Medium"/>
                <w:rFonts w:asciiTheme="minorHAnsi" w:hAnsiTheme="minorHAnsi" w:cstheme="minorHAnsi"/>
                <w:lang w:val="en-AU"/>
              </w:rPr>
            </w:pPr>
            <w:r w:rsidRPr="004E7EB5">
              <w:rPr>
                <w:rFonts w:asciiTheme="minorHAnsi" w:hAnsiTheme="minorHAnsi" w:cstheme="minorHAnsi"/>
                <w:lang w:val="en-AU"/>
              </w:rPr>
              <w:t>FARWH</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6676E60C" w14:textId="77777777" w:rsidR="005C69BC" w:rsidRPr="004E7EB5" w:rsidRDefault="005C69BC" w:rsidP="005C69BC">
            <w:pPr>
              <w:pStyle w:val="Tabletext"/>
              <w:spacing w:before="100" w:beforeAutospacing="1" w:after="100" w:afterAutospacing="1" w:line="240" w:lineRule="auto"/>
              <w:contextualSpacing/>
              <w:rPr>
                <w:rStyle w:val="ital"/>
                <w:rFonts w:asciiTheme="minorHAnsi" w:hAnsiTheme="minorHAnsi" w:cstheme="minorHAnsi"/>
                <w:lang w:val="en-AU"/>
              </w:rPr>
            </w:pPr>
            <w:r w:rsidRPr="004E7EB5">
              <w:rPr>
                <w:rFonts w:asciiTheme="minorHAnsi" w:hAnsiTheme="minorHAnsi" w:cstheme="minorHAnsi"/>
                <w:iCs/>
                <w:lang w:val="en-AU"/>
              </w:rPr>
              <w:t>Framework for the Assessment of River and Wetland Health</w:t>
            </w:r>
          </w:p>
        </w:tc>
      </w:tr>
      <w:tr w:rsidR="005C69BC" w:rsidRPr="004E7EB5" w14:paraId="1D7AE239"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7549AB1F"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Style w:val="Medium"/>
                <w:rFonts w:asciiTheme="minorHAnsi" w:hAnsiTheme="minorHAnsi" w:cstheme="minorHAnsi"/>
                <w:lang w:val="en-AU"/>
              </w:rPr>
              <w:t>HEVAE</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2636C045"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Fonts w:asciiTheme="minorHAnsi" w:hAnsiTheme="minorHAnsi" w:cstheme="minorHAnsi"/>
                <w:lang w:val="en-AU"/>
              </w:rPr>
              <w:t>High Ecological Value Aquatic Ecosystems</w:t>
            </w:r>
          </w:p>
        </w:tc>
      </w:tr>
      <w:tr w:rsidR="005C69BC" w:rsidRPr="004E7EB5" w14:paraId="5E93C863"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0E455F4E" w14:textId="77777777" w:rsidR="005C69BC" w:rsidRPr="004E7EB5" w:rsidRDefault="005C69BC" w:rsidP="005C69BC">
            <w:pPr>
              <w:pStyle w:val="Tabletext"/>
              <w:spacing w:before="100" w:beforeAutospacing="1" w:after="100" w:afterAutospacing="1" w:line="240" w:lineRule="auto"/>
              <w:contextualSpacing/>
              <w:rPr>
                <w:rStyle w:val="Medium"/>
                <w:rFonts w:asciiTheme="minorHAnsi" w:hAnsiTheme="minorHAnsi" w:cstheme="minorHAnsi"/>
                <w:lang w:val="en-AU"/>
              </w:rPr>
            </w:pPr>
            <w:r w:rsidRPr="004E7EB5">
              <w:rPr>
                <w:rStyle w:val="Medium"/>
                <w:rFonts w:asciiTheme="minorHAnsi" w:hAnsiTheme="minorHAnsi" w:cstheme="minorHAnsi"/>
                <w:lang w:val="en-AU"/>
              </w:rPr>
              <w:t>IECA</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1665E877"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Fonts w:asciiTheme="minorHAnsi" w:hAnsiTheme="minorHAnsi" w:cstheme="minorHAnsi"/>
                <w:lang w:val="en-AU"/>
              </w:rPr>
              <w:t>Integrated Ecosystem Condition Assessment</w:t>
            </w:r>
          </w:p>
        </w:tc>
      </w:tr>
      <w:tr w:rsidR="005C69BC" w:rsidRPr="004E7EB5" w14:paraId="3D35F0A1"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667B6FC7"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Style w:val="Medium"/>
                <w:rFonts w:asciiTheme="minorHAnsi" w:hAnsiTheme="minorHAnsi" w:cstheme="minorHAnsi"/>
                <w:lang w:val="en-AU"/>
              </w:rPr>
              <w:t>IMCRA</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287C2220"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Fonts w:asciiTheme="minorHAnsi" w:hAnsiTheme="minorHAnsi" w:cstheme="minorHAnsi"/>
                <w:lang w:val="en-AU"/>
              </w:rPr>
              <w:t>Integrated Marine and Coastal Regionalisation of Australia</w:t>
            </w:r>
          </w:p>
        </w:tc>
      </w:tr>
      <w:tr w:rsidR="005C69BC" w:rsidRPr="004E7EB5" w14:paraId="4DDF28C7"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595D2382" w14:textId="77777777" w:rsidR="005C69BC" w:rsidRPr="004E7EB5" w:rsidRDefault="005C69BC" w:rsidP="005C69BC">
            <w:pPr>
              <w:pStyle w:val="Tabletext"/>
              <w:spacing w:before="100" w:beforeAutospacing="1" w:after="100" w:afterAutospacing="1" w:line="240" w:lineRule="auto"/>
              <w:contextualSpacing/>
              <w:rPr>
                <w:rStyle w:val="Medium"/>
                <w:rFonts w:asciiTheme="minorHAnsi" w:hAnsiTheme="minorHAnsi" w:cstheme="minorHAnsi"/>
                <w:lang w:val="en-AU"/>
              </w:rPr>
            </w:pPr>
            <w:r w:rsidRPr="004E7EB5">
              <w:rPr>
                <w:rStyle w:val="Medium"/>
                <w:rFonts w:asciiTheme="minorHAnsi" w:hAnsiTheme="minorHAnsi" w:cstheme="minorHAnsi"/>
                <w:lang w:val="en-AU"/>
              </w:rPr>
              <w:t>MCA</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652815F4"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Fonts w:asciiTheme="minorHAnsi" w:hAnsiTheme="minorHAnsi" w:cstheme="minorHAnsi"/>
                <w:lang w:val="en-AU"/>
              </w:rPr>
              <w:t>Multi-Criteria Analysis</w:t>
            </w:r>
          </w:p>
        </w:tc>
      </w:tr>
      <w:tr w:rsidR="005C69BC" w:rsidRPr="004E7EB5" w14:paraId="60700C48"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052C2CCB"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Style w:val="Medium"/>
                <w:rFonts w:asciiTheme="minorHAnsi" w:hAnsiTheme="minorHAnsi" w:cstheme="minorHAnsi"/>
                <w:lang w:val="en-AU"/>
              </w:rPr>
              <w:t>NRM</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0ABF1AB3"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Fonts w:asciiTheme="minorHAnsi" w:hAnsiTheme="minorHAnsi" w:cstheme="minorHAnsi"/>
                <w:lang w:val="en-AU"/>
              </w:rPr>
              <w:t>Natural Resource Management</w:t>
            </w:r>
          </w:p>
        </w:tc>
      </w:tr>
      <w:tr w:rsidR="005C69BC" w:rsidRPr="004E7EB5" w14:paraId="778793A6"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45941C65"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Style w:val="Medium"/>
                <w:rFonts w:asciiTheme="minorHAnsi" w:hAnsiTheme="minorHAnsi" w:cstheme="minorHAnsi"/>
                <w:lang w:val="en-AU"/>
              </w:rPr>
              <w:t>NWI</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5E121A4B"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Fonts w:asciiTheme="minorHAnsi" w:hAnsiTheme="minorHAnsi" w:cstheme="minorHAnsi"/>
                <w:lang w:val="en-AU"/>
              </w:rPr>
              <w:t>National Water Initiative</w:t>
            </w:r>
          </w:p>
        </w:tc>
      </w:tr>
      <w:tr w:rsidR="005C69BC" w:rsidRPr="004E7EB5" w14:paraId="6519257D"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2738306E"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OEH</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31A6BFCF"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Office of Environment and Heritage, New South Wales</w:t>
            </w:r>
          </w:p>
        </w:tc>
      </w:tr>
      <w:tr w:rsidR="005C69BC" w:rsidRPr="004E7EB5" w14:paraId="08EDF88C"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10C01C95" w14:textId="77777777" w:rsidR="005C69BC" w:rsidRPr="004E7EB5" w:rsidRDefault="005C69BC" w:rsidP="005C69BC">
            <w:pPr>
              <w:pStyle w:val="Tabletext"/>
              <w:spacing w:before="100" w:beforeAutospacing="1" w:after="100" w:afterAutospacing="1" w:line="240" w:lineRule="auto"/>
              <w:contextualSpacing/>
              <w:rPr>
                <w:rStyle w:val="Medium"/>
                <w:rFonts w:asciiTheme="minorHAnsi" w:hAnsiTheme="minorHAnsi" w:cstheme="minorHAnsi"/>
                <w:lang w:val="en-AU"/>
              </w:rPr>
            </w:pPr>
            <w:r w:rsidRPr="004E7EB5">
              <w:rPr>
                <w:rStyle w:val="Medium"/>
                <w:rFonts w:asciiTheme="minorHAnsi" w:hAnsiTheme="minorHAnsi" w:cstheme="minorHAnsi"/>
                <w:lang w:val="en-AU"/>
              </w:rPr>
              <w:t>OWS</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35153062"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lang w:val="en-AU"/>
              </w:rPr>
            </w:pPr>
            <w:r w:rsidRPr="004E7EB5">
              <w:rPr>
                <w:rFonts w:asciiTheme="minorHAnsi" w:hAnsiTheme="minorHAnsi" w:cstheme="minorHAnsi"/>
                <w:lang w:val="en-AU"/>
              </w:rPr>
              <w:t>Office of Water Science, Commonwealth</w:t>
            </w:r>
          </w:p>
        </w:tc>
      </w:tr>
      <w:tr w:rsidR="005C69BC" w:rsidRPr="004E7EB5" w14:paraId="2A42A060"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2C64B747" w14:textId="77777777" w:rsidR="005C69BC" w:rsidRPr="004E7EB5" w:rsidRDefault="005C69BC" w:rsidP="005C69BC">
            <w:pPr>
              <w:pStyle w:val="Tabletext"/>
              <w:tabs>
                <w:tab w:val="left" w:pos="1335"/>
              </w:tabs>
              <w:spacing w:before="100" w:beforeAutospacing="1" w:after="100" w:afterAutospacing="1" w:line="240" w:lineRule="auto"/>
              <w:contextualSpacing/>
              <w:rPr>
                <w:rFonts w:asciiTheme="minorHAnsi" w:hAnsiTheme="minorHAnsi" w:cstheme="minorHAnsi"/>
                <w:color w:val="auto"/>
                <w:lang w:val="en-AU"/>
              </w:rPr>
            </w:pPr>
            <w:r w:rsidRPr="004E7EB5">
              <w:rPr>
                <w:rStyle w:val="Medium"/>
                <w:rFonts w:asciiTheme="minorHAnsi" w:hAnsiTheme="minorHAnsi" w:cstheme="minorHAnsi"/>
                <w:color w:val="auto"/>
                <w:lang w:val="en-AU"/>
              </w:rPr>
              <w:t>SRA</w:t>
            </w:r>
            <w:r w:rsidRPr="004E7EB5">
              <w:rPr>
                <w:rStyle w:val="Medium"/>
                <w:rFonts w:asciiTheme="minorHAnsi" w:hAnsiTheme="minorHAnsi" w:cstheme="minorHAnsi"/>
                <w:color w:val="auto"/>
                <w:lang w:val="en-AU"/>
              </w:rPr>
              <w:tab/>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2ED7DCE9"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Sustainable Rivers Audit</w:t>
            </w:r>
          </w:p>
        </w:tc>
      </w:tr>
      <w:tr w:rsidR="005C69BC" w:rsidRPr="004E7EB5" w14:paraId="4478326D"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590F5286" w14:textId="77777777" w:rsidR="005C69BC" w:rsidRPr="004E7EB5" w:rsidRDefault="005C69BC" w:rsidP="005C69BC">
            <w:pPr>
              <w:pStyle w:val="Tabletext"/>
              <w:tabs>
                <w:tab w:val="left" w:pos="1335"/>
              </w:tabs>
              <w:spacing w:before="100" w:beforeAutospacing="1" w:after="100" w:afterAutospacing="1" w:line="240" w:lineRule="auto"/>
              <w:contextualSpacing/>
              <w:rPr>
                <w:rStyle w:val="Medium"/>
                <w:rFonts w:asciiTheme="minorHAnsi" w:hAnsiTheme="minorHAnsi" w:cstheme="minorHAnsi"/>
                <w:color w:val="auto"/>
                <w:lang w:val="en-AU"/>
              </w:rPr>
            </w:pPr>
            <w:r w:rsidRPr="004E7EB5">
              <w:rPr>
                <w:rStyle w:val="Medium"/>
                <w:rFonts w:asciiTheme="minorHAnsi" w:hAnsiTheme="minorHAnsi" w:cstheme="minorHAnsi"/>
                <w:color w:val="auto"/>
                <w:lang w:val="en-AU"/>
              </w:rPr>
              <w:t>TAG</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3BDDBBBE"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Technical Advisory Group</w:t>
            </w:r>
          </w:p>
        </w:tc>
      </w:tr>
      <w:tr w:rsidR="005C69BC" w:rsidRPr="004E7EB5" w14:paraId="1DB9A326" w14:textId="77777777" w:rsidTr="00CA2773">
        <w:trPr>
          <w:trHeight w:val="60"/>
        </w:trPr>
        <w:tc>
          <w:tcPr>
            <w:tcW w:w="1701" w:type="dxa"/>
            <w:tcBorders>
              <w:top w:val="nil"/>
              <w:left w:val="nil"/>
              <w:bottom w:val="nil"/>
              <w:right w:val="nil"/>
            </w:tcBorders>
            <w:shd w:val="clear" w:color="auto" w:fill="FFFFFF" w:themeFill="background1"/>
            <w:tcMar>
              <w:top w:w="113" w:type="dxa"/>
              <w:left w:w="113" w:type="dxa"/>
              <w:bottom w:w="113" w:type="dxa"/>
              <w:right w:w="113" w:type="dxa"/>
            </w:tcMar>
          </w:tcPr>
          <w:p w14:paraId="52336799"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WAESC</w:t>
            </w:r>
          </w:p>
        </w:tc>
        <w:tc>
          <w:tcPr>
            <w:tcW w:w="7937" w:type="dxa"/>
            <w:tcBorders>
              <w:top w:val="nil"/>
              <w:left w:val="nil"/>
              <w:bottom w:val="nil"/>
              <w:right w:val="nil"/>
            </w:tcBorders>
            <w:shd w:val="clear" w:color="auto" w:fill="FFFFFF" w:themeFill="background1"/>
            <w:tcMar>
              <w:top w:w="113" w:type="dxa"/>
              <w:left w:w="113" w:type="dxa"/>
              <w:bottom w:w="113" w:type="dxa"/>
              <w:right w:w="113" w:type="dxa"/>
            </w:tcMar>
          </w:tcPr>
          <w:p w14:paraId="191A36EB" w14:textId="77777777" w:rsidR="005C69BC" w:rsidRPr="004E7EB5" w:rsidRDefault="005C69BC" w:rsidP="005C69BC">
            <w:pPr>
              <w:pStyle w:val="Tabletext"/>
              <w:spacing w:before="100" w:beforeAutospacing="1" w:after="100" w:afterAutospacing="1" w:line="240" w:lineRule="auto"/>
              <w:contextualSpacing/>
              <w:rPr>
                <w:rFonts w:asciiTheme="minorHAnsi" w:hAnsiTheme="minorHAnsi" w:cstheme="minorHAnsi"/>
                <w:color w:val="auto"/>
                <w:lang w:val="en-AU"/>
              </w:rPr>
            </w:pPr>
            <w:r w:rsidRPr="004E7EB5">
              <w:rPr>
                <w:rFonts w:asciiTheme="minorHAnsi" w:hAnsiTheme="minorHAnsi" w:cstheme="minorHAnsi"/>
                <w:color w:val="auto"/>
                <w:lang w:val="en-AU"/>
              </w:rPr>
              <w:t>Wetlands and Aquatic Ecosystem Sub Committee</w:t>
            </w:r>
          </w:p>
        </w:tc>
      </w:tr>
    </w:tbl>
    <w:p w14:paraId="75B4B11C" w14:textId="77777777" w:rsidR="00E24185" w:rsidRPr="004E7EB5" w:rsidRDefault="00E24185" w:rsidP="00E24185"/>
    <w:p w14:paraId="2FFB63E0" w14:textId="77777777" w:rsidR="00042B02" w:rsidRPr="004E7EB5" w:rsidRDefault="00042B02">
      <w:r w:rsidRPr="004E7EB5">
        <w:br w:type="page"/>
      </w:r>
    </w:p>
    <w:p w14:paraId="0103A161" w14:textId="7D43DF8B" w:rsidR="000245FD" w:rsidRDefault="00B27B0F" w:rsidP="00B27B0F">
      <w:pPr>
        <w:pStyle w:val="Heading1"/>
      </w:pPr>
      <w:bookmarkStart w:id="4" w:name="_Toc493774197"/>
      <w:r w:rsidRPr="004E7EB5">
        <w:lastRenderedPageBreak/>
        <w:t>Introduction</w:t>
      </w:r>
      <w:bookmarkEnd w:id="4"/>
    </w:p>
    <w:p w14:paraId="68501F9D" w14:textId="27767742" w:rsidR="00594AEA" w:rsidRDefault="00E07D3B" w:rsidP="00594AEA">
      <w:pPr>
        <w:pStyle w:val="Heading2"/>
      </w:pPr>
      <w:bookmarkStart w:id="5" w:name="_Toc493774198"/>
      <w:r>
        <w:t xml:space="preserve">The </w:t>
      </w:r>
      <w:r w:rsidR="00594AEA">
        <w:t>Australian Aquatic Ecosystems Toolkit</w:t>
      </w:r>
      <w:bookmarkEnd w:id="5"/>
      <w:r w:rsidR="00594AEA">
        <w:t xml:space="preserve"> </w:t>
      </w:r>
    </w:p>
    <w:p w14:paraId="771E19DA" w14:textId="35E12309" w:rsidR="006D757F" w:rsidRDefault="006D757F" w:rsidP="00716565">
      <w:r w:rsidRPr="006D757F">
        <w:t>The Aquatic Ec</w:t>
      </w:r>
      <w:r>
        <w:t>osystems Toolkit was developed i</w:t>
      </w:r>
      <w:r w:rsidRPr="006D757F">
        <w:t xml:space="preserve">n response to requirements of the </w:t>
      </w:r>
      <w:r>
        <w:t>National Water Initiative (NWI)</w:t>
      </w:r>
      <w:r w:rsidRPr="006D757F">
        <w:t xml:space="preserve">. The Toolkit contains practical tools and guidance </w:t>
      </w:r>
      <w:r w:rsidR="00426E46">
        <w:t>for</w:t>
      </w:r>
      <w:r w:rsidRPr="006D757F">
        <w:t xml:space="preserve"> identifying high ecological value aquatic ecosystems (HEVAE), and classifying, delineating, describing and determining the condition of aquatic ecosystems in a nationally consistent manner. The Toolkit is presented in five Modules that are based on or compatible with, existing jurisdictional tools and approaches to identifying, classifying and assessing the condition of aquatic ecosystems. These include:</w:t>
      </w:r>
    </w:p>
    <w:p w14:paraId="6CEC27CF" w14:textId="342236CD" w:rsidR="00716565" w:rsidRDefault="00716565" w:rsidP="006D757F">
      <w:pPr>
        <w:ind w:left="720"/>
      </w:pPr>
      <w:r>
        <w:t>Module 1</w:t>
      </w:r>
      <w:r w:rsidRPr="00743678">
        <w:rPr>
          <w:i/>
          <w:iCs/>
        </w:rPr>
        <w:t xml:space="preserve"> </w:t>
      </w:r>
      <w:r w:rsidRPr="00743678">
        <w:rPr>
          <w:iCs/>
        </w:rPr>
        <w:t>Aquatic Ecosystems Toolkit Guidance Paper</w:t>
      </w:r>
      <w:r>
        <w:t>:</w:t>
      </w:r>
      <w:r w:rsidRPr="004E7EB5">
        <w:t xml:space="preserve"> Information on the </w:t>
      </w:r>
      <w:r>
        <w:t>T</w:t>
      </w:r>
      <w:r w:rsidRPr="004E7EB5">
        <w:t xml:space="preserve">oolkit including the drivers, its potential use, and history of the </w:t>
      </w:r>
      <w:r>
        <w:t>T</w:t>
      </w:r>
      <w:r w:rsidRPr="004E7EB5">
        <w:t xml:space="preserve">oolkit development </w:t>
      </w:r>
      <w:r w:rsidR="00CD70C3">
        <w:fldChar w:fldCharType="begin"/>
      </w:r>
      <w:r w:rsidR="00CD70C3">
        <w:instrText xml:space="preserve"> ADDIN ZOTERO_ITEM CSL_CITATION {"citationID":"ael6e6j70","properties":{"formattedCitation":"(AETG 2012a)","plainCitation":"(AETG 2012a)"},"citationItems":[{"id":3417,"uris":["http://zotero.org/users/3119797/items/7TV9884R"],"uri":["http://zotero.org/users/3119797/items/7TV9884R"],"itemData":{"id":3417,"type":"article","title":"Aquatic Ecosystems Toolkit. Module 1: Aquatic Ecosystems Toolkit Guidance Paper. Australian Government Department of Sustainability, Environment, Water, Population and Communities, Canberra. http://www.environment.gov.au/water/publications/environmental/ecosystems/ae-toolkit-mod-1.html","author":[{"family":"AETG","given":""}],"issued":{"date-parts":[["2012"]]}}}],"schema":"https://github.com/citation-style-language/schema/raw/master/csl-citation.json"} </w:instrText>
      </w:r>
      <w:r w:rsidR="00CD70C3">
        <w:fldChar w:fldCharType="separate"/>
      </w:r>
      <w:r w:rsidR="00CD70C3" w:rsidRPr="00CD70C3">
        <w:rPr>
          <w:rFonts w:cs="Calibri"/>
        </w:rPr>
        <w:t>(AETG 2012a)</w:t>
      </w:r>
      <w:r w:rsidR="00CD70C3">
        <w:fldChar w:fldCharType="end"/>
      </w:r>
      <w:r w:rsidRPr="004E7EB5">
        <w:t>.</w:t>
      </w:r>
      <w:r>
        <w:t xml:space="preserve"> </w:t>
      </w:r>
    </w:p>
    <w:p w14:paraId="3AC0289C" w14:textId="7CDF4DDA" w:rsidR="00716565" w:rsidRPr="00743678" w:rsidRDefault="00716565" w:rsidP="006D757F">
      <w:pPr>
        <w:ind w:left="720"/>
      </w:pPr>
      <w:r>
        <w:t xml:space="preserve">Module 2 </w:t>
      </w:r>
      <w:r w:rsidRPr="00743678">
        <w:t>Interim Australian National Aquatic Ecosystem (ANAE) Classification Framework: broad-scale, semi-hierarchical, attribute-based scheme, which provides a nationally consistent, flexible framework for classifying different aquatic ecosystems and habitats including rivers, floodplains, lakes, palustrine wetlands, estuar</w:t>
      </w:r>
      <w:r>
        <w:t xml:space="preserve">ies and subterranean ecosystems </w:t>
      </w:r>
      <w:r w:rsidR="00CD70C3">
        <w:fldChar w:fldCharType="begin"/>
      </w:r>
      <w:r w:rsidR="00CD70C3">
        <w:instrText xml:space="preserve"> ADDIN ZOTERO_ITEM CSL_CITATION {"citationID":"25ona7be90","properties":{"formattedCitation":"(AETG 2012b)","plainCitation":"(AETG 2012b)"},"citationItems":[{"id":3418,"uris":["http://zotero.org/users/3119797/items/T9PIE5QB"],"uri":["http://zotero.org/users/3119797/items/T9PIE5QB"],"itemData":{"id":3418,"type":"article","title":"Aquatic Ecosystems Toolkit. Module 2. Interim Australian National Aquatic Ecosystem Classification Framework. Australian Government Department of Sustainability, Environment, Water, Population and Communities, Canberra. http://www.environment.gov.au/water/publications/environmental/ecosystems/ae-toolkit-mod-2.html","author":[{"family":"AETG","given":""}],"issued":{"date-parts":[["2012"]]}}}],"schema":"https://github.com/citation-style-language/schema/raw/master/csl-citation.json"} </w:instrText>
      </w:r>
      <w:r w:rsidR="00CD70C3">
        <w:fldChar w:fldCharType="separate"/>
      </w:r>
      <w:r w:rsidR="00CD70C3" w:rsidRPr="00CD70C3">
        <w:rPr>
          <w:rFonts w:cs="Calibri"/>
        </w:rPr>
        <w:t>(AETG 2012b)</w:t>
      </w:r>
      <w:r w:rsidR="00CD70C3">
        <w:fldChar w:fldCharType="end"/>
      </w:r>
      <w:r w:rsidR="00CD70C3">
        <w:t>.</w:t>
      </w:r>
    </w:p>
    <w:p w14:paraId="78E2BE9D" w14:textId="0775D27B" w:rsidR="00716565" w:rsidRPr="00743678" w:rsidRDefault="00716565" w:rsidP="006D757F">
      <w:pPr>
        <w:ind w:left="720"/>
      </w:pPr>
      <w:r w:rsidRPr="00743678">
        <w:t>Module 3 Guidelines for Identifying High Ecological Value Aquatic Ecosystems (HEVAE): guidance to identify HEVAE across a range of scales and ecosystem types including descriptions of the five HEVAE criteria and guidance on applying those criteria to identify ecosystems of high ecological value</w:t>
      </w:r>
      <w:r>
        <w:t xml:space="preserve"> </w:t>
      </w:r>
      <w:r w:rsidR="00CD70C3">
        <w:fldChar w:fldCharType="begin"/>
      </w:r>
      <w:r w:rsidR="00CD70C3">
        <w:instrText xml:space="preserve"> ADDIN ZOTERO_ITEM CSL_CITATION {"citationID":"hioj79mdb","properties":{"formattedCitation":"(AETG 2012c)","plainCitation":"(AETG 2012c)"},"citationItems":[{"id":3419,"uris":["http://zotero.org/users/3119797/items/TVSEZWWN"],"uri":["http://zotero.org/users/3119797/items/TVSEZWWN"],"itemData":{"id":3419,"type":"article","title":"Aquatic Ecosystems Toolkit. Module 3: Guidelines for Identifying High Ecological Value Aquatic Ecosystems (HEVAE). Australian Government Department of Sustainability, Environment, Water, Population and Communities, Canberra. http://www.environment.gov.au/water/publications/environmental/ecosystems/ae-toolkit-mod-3.html","author":[{"family":"AETG","given":""}],"issued":{"date-parts":[["2012"]]}}}],"schema":"https://github.com/citation-style-language/schema/raw/master/csl-citation.json"} </w:instrText>
      </w:r>
      <w:r w:rsidR="00CD70C3">
        <w:fldChar w:fldCharType="separate"/>
      </w:r>
      <w:r w:rsidR="00CD70C3" w:rsidRPr="00CD70C3">
        <w:rPr>
          <w:rFonts w:cs="Calibri"/>
        </w:rPr>
        <w:t>(AETG 2012c)</w:t>
      </w:r>
      <w:r w:rsidR="00CD70C3">
        <w:fldChar w:fldCharType="end"/>
      </w:r>
      <w:r>
        <w:t>.</w:t>
      </w:r>
    </w:p>
    <w:p w14:paraId="39F34327" w14:textId="7FEB5E2C" w:rsidR="0015781A" w:rsidRPr="004E7EB5" w:rsidRDefault="00716565" w:rsidP="006D757F">
      <w:pPr>
        <w:ind w:left="720"/>
      </w:pPr>
      <w:r w:rsidRPr="00743678">
        <w:t>Module 4 Aquatic Ecosystem Delineation and Description Guidelines: steps to guide users through the process of delineating and describing aquatic ecosystems</w:t>
      </w:r>
      <w:r>
        <w:t xml:space="preserve"> which have been identified as having high ecological values </w:t>
      </w:r>
      <w:r w:rsidR="00CD70C3">
        <w:fldChar w:fldCharType="begin"/>
      </w:r>
      <w:r w:rsidR="00CD70C3">
        <w:instrText xml:space="preserve"> ADDIN ZOTERO_ITEM CSL_CITATION {"citationID":"1cksgbn3r1","properties":{"formattedCitation":"(AETG 2012d)","plainCitation":"(AETG 2012d)"},"citationItems":[{"id":3420,"uris":["http://zotero.org/users/3119797/items/M7RBMZ9R"],"uri":["http://zotero.org/users/3119797/items/M7RBMZ9R"],"itemData":{"id":3420,"type":"article","title":"Aquatic Ecosystems Toolkit. Module 4: Aquatic Ecosystem Delineation and Description Guidelines. Australian Government Department of Sustainability, Environment, Water, Population and Communities, Canberra http://www.environment.gov.au/water/publications/environmental/ecosystems/ae-toolkit-mod-4.html","author":[{"family":"AETG","given":""}],"issued":{"date-parts":[["2012"]]}}}],"schema":"https://github.com/citation-style-language/schema/raw/master/csl-citation.json"} </w:instrText>
      </w:r>
      <w:r w:rsidR="00CD70C3">
        <w:fldChar w:fldCharType="separate"/>
      </w:r>
      <w:r w:rsidR="00CD70C3" w:rsidRPr="00CD70C3">
        <w:rPr>
          <w:rFonts w:cs="Calibri"/>
        </w:rPr>
        <w:t>(AETG 2012d)</w:t>
      </w:r>
      <w:r w:rsidR="00CD70C3">
        <w:fldChar w:fldCharType="end"/>
      </w:r>
      <w:r>
        <w:t>.</w:t>
      </w:r>
    </w:p>
    <w:p w14:paraId="4C83C5DB" w14:textId="170715EB" w:rsidR="0015781A" w:rsidRDefault="0015781A" w:rsidP="0015781A">
      <w:r w:rsidRPr="004E7EB5">
        <w:t xml:space="preserve">This document is Module 5, the </w:t>
      </w:r>
      <w:r w:rsidRPr="004E7EB5">
        <w:rPr>
          <w:i/>
        </w:rPr>
        <w:t>Integrated Ecosystem Condition Assessment</w:t>
      </w:r>
      <w:r w:rsidRPr="004E7EB5">
        <w:t xml:space="preserve"> (IECA) </w:t>
      </w:r>
      <w:r w:rsidRPr="004E7EB5">
        <w:rPr>
          <w:i/>
        </w:rPr>
        <w:t>Framework</w:t>
      </w:r>
      <w:r w:rsidRPr="004E7EB5">
        <w:t xml:space="preserve">. It provides a </w:t>
      </w:r>
      <w:r w:rsidR="003573CE">
        <w:t>flexible method</w:t>
      </w:r>
      <w:r w:rsidRPr="004E7EB5">
        <w:t xml:space="preserve"> </w:t>
      </w:r>
      <w:r w:rsidR="00DB7A5B">
        <w:t>for undertaking</w:t>
      </w:r>
      <w:r w:rsidRPr="004E7EB5">
        <w:t xml:space="preserve"> an integrated ecosystem condition assessment</w:t>
      </w:r>
      <w:r w:rsidR="007852F0">
        <w:t xml:space="preserve"> for aquatic ecosystems</w:t>
      </w:r>
      <w:r w:rsidRPr="004E7EB5">
        <w:t xml:space="preserve">. The relationship between this module and the others in the </w:t>
      </w:r>
      <w:r w:rsidR="00673F64">
        <w:t>Toolkit</w:t>
      </w:r>
      <w:r w:rsidR="00DB7A5B">
        <w:t>,</w:t>
      </w:r>
      <w:r w:rsidRPr="004E7EB5">
        <w:t xml:space="preserve"> and the potential use </w:t>
      </w:r>
      <w:r w:rsidR="00DB7A5B">
        <w:t xml:space="preserve">of the IECA Framework </w:t>
      </w:r>
      <w:r w:rsidRPr="004E7EB5">
        <w:t xml:space="preserve">as part of an adaptive management process is illustrated in </w:t>
      </w:r>
      <w:r w:rsidRPr="004E7EB5">
        <w:fldChar w:fldCharType="begin"/>
      </w:r>
      <w:r w:rsidRPr="004E7EB5">
        <w:instrText xml:space="preserve"> REF _Ref345147843 \h </w:instrText>
      </w:r>
      <w:r w:rsidRPr="004E7EB5">
        <w:fldChar w:fldCharType="separate"/>
      </w:r>
      <w:r w:rsidR="005F359C" w:rsidRPr="004E7EB5">
        <w:t xml:space="preserve">Figure </w:t>
      </w:r>
      <w:r w:rsidR="005F359C">
        <w:rPr>
          <w:noProof/>
        </w:rPr>
        <w:t>1</w:t>
      </w:r>
      <w:r w:rsidRPr="004E7EB5">
        <w:fldChar w:fldCharType="end"/>
      </w:r>
      <w:r w:rsidRPr="004E7EB5">
        <w:t>.</w:t>
      </w:r>
    </w:p>
    <w:p w14:paraId="29B3B505" w14:textId="224070E4" w:rsidR="00A33248" w:rsidRDefault="00A33248" w:rsidP="00A33248">
      <w:r w:rsidRPr="004E7EB5">
        <w:t xml:space="preserve">The IECA Framework development has been guided and overseen by the IECA Technical Steering Committee (IECA TSC), under the multi-jurisdictional Wetlands and Aquatic Ecosystems Sub </w:t>
      </w:r>
      <w:r>
        <w:t>Committee</w:t>
      </w:r>
      <w:r w:rsidRPr="004E7EB5">
        <w:t xml:space="preserve"> (WAES</w:t>
      </w:r>
      <w:r>
        <w:t xml:space="preserve">C) </w:t>
      </w:r>
      <w:r w:rsidRPr="004E7EB5">
        <w:t xml:space="preserve">and the </w:t>
      </w:r>
      <w:r>
        <w:t xml:space="preserve">former </w:t>
      </w:r>
      <w:r w:rsidRPr="004E7EB5">
        <w:t>Aquatic Ecosystems Task Group (AETG). The WAES</w:t>
      </w:r>
      <w:r>
        <w:t>C</w:t>
      </w:r>
      <w:r w:rsidRPr="004E7EB5">
        <w:t xml:space="preserve"> reports to the National Water Reform Committee.</w:t>
      </w:r>
      <w:r>
        <w:t xml:space="preserve"> The IECA Framework is intended to be of use to Commonwealth, state and regional agencies tasked with assessing and reporting on the condition of aquatic ecosystems, or setting standards/guidelines for such assessments, and </w:t>
      </w:r>
      <w:r w:rsidR="006D757F">
        <w:t xml:space="preserve">contribute to the assessment of management </w:t>
      </w:r>
      <w:r>
        <w:t xml:space="preserve">intervention </w:t>
      </w:r>
      <w:r w:rsidR="006D757F">
        <w:t>outcomes</w:t>
      </w:r>
      <w:r>
        <w:t xml:space="preserve">. </w:t>
      </w:r>
    </w:p>
    <w:p w14:paraId="6BFB7B3D" w14:textId="77777777" w:rsidR="00A33248" w:rsidRPr="004E7EB5" w:rsidRDefault="00A33248" w:rsidP="0015781A"/>
    <w:p w14:paraId="436CB1ED" w14:textId="23A56B7E" w:rsidR="00B27B0F" w:rsidRPr="004E7EB5" w:rsidRDefault="00BF5A2E" w:rsidP="00BF5A2E">
      <w:pPr>
        <w:ind w:left="360"/>
        <w:jc w:val="left"/>
      </w:pPr>
      <w:r>
        <w:rPr>
          <w:noProof/>
          <w:lang w:eastAsia="en-AU"/>
        </w:rPr>
        <w:lastRenderedPageBreak/>
        <w:drawing>
          <wp:inline distT="0" distB="0" distL="0" distR="0" wp14:anchorId="1C199692" wp14:editId="44316721">
            <wp:extent cx="5407200" cy="519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1-Fig1-O_v2.png"/>
                    <pic:cNvPicPr/>
                  </pic:nvPicPr>
                  <pic:blipFill rotWithShape="1">
                    <a:blip r:embed="rId17">
                      <a:extLst>
                        <a:ext uri="{28A0092B-C50C-407E-A947-70E740481C1C}">
                          <a14:useLocalDpi xmlns:a14="http://schemas.microsoft.com/office/drawing/2010/main" val="0"/>
                        </a:ext>
                      </a:extLst>
                    </a:blip>
                    <a:srcRect l="15960" t="4003" r="16975" b="4856"/>
                    <a:stretch/>
                  </pic:blipFill>
                  <pic:spPr bwMode="auto">
                    <a:xfrm>
                      <a:off x="0" y="0"/>
                      <a:ext cx="5407200" cy="5191200"/>
                    </a:xfrm>
                    <a:prstGeom prst="rect">
                      <a:avLst/>
                    </a:prstGeom>
                    <a:ln>
                      <a:noFill/>
                    </a:ln>
                    <a:extLst>
                      <a:ext uri="{53640926-AAD7-44D8-BBD7-CCE9431645EC}">
                        <a14:shadowObscured xmlns:a14="http://schemas.microsoft.com/office/drawing/2010/main"/>
                      </a:ext>
                    </a:extLst>
                  </pic:spPr>
                </pic:pic>
              </a:graphicData>
            </a:graphic>
          </wp:inline>
        </w:drawing>
      </w:r>
    </w:p>
    <w:p w14:paraId="3BF2AE4F" w14:textId="5152421D" w:rsidR="00B27B0F" w:rsidRPr="004E7EB5" w:rsidRDefault="00C9331E" w:rsidP="00B27B0F">
      <w:pPr>
        <w:pStyle w:val="Caption"/>
      </w:pPr>
      <w:bookmarkStart w:id="6" w:name="_Ref345147843"/>
      <w:r w:rsidRPr="004E7EB5">
        <w:t xml:space="preserve">Figure </w:t>
      </w:r>
      <w:fldSimple w:instr=" SEQ Figure \* ARABIC ">
        <w:r w:rsidR="005F359C">
          <w:rPr>
            <w:noProof/>
          </w:rPr>
          <w:t>1</w:t>
        </w:r>
      </w:fldSimple>
      <w:bookmarkEnd w:id="6"/>
      <w:r w:rsidRPr="004E7EB5">
        <w:t xml:space="preserve">: </w:t>
      </w:r>
      <w:r w:rsidR="00B27B0F" w:rsidRPr="004E7EB5">
        <w:t>Potential process for implementing the Aquatic Ecosystems Toolkit within an adaptive management framework (outer and inner circles), highlighting Module 5.</w:t>
      </w:r>
      <w:r w:rsidR="00234600">
        <w:t xml:space="preserve"> </w:t>
      </w:r>
    </w:p>
    <w:p w14:paraId="346EA00F" w14:textId="18594B18" w:rsidR="00716565" w:rsidRDefault="0089513D" w:rsidP="00716565">
      <w:pPr>
        <w:pStyle w:val="Heading2"/>
      </w:pPr>
      <w:bookmarkStart w:id="7" w:name="_Toc493774199"/>
      <w:r>
        <w:t>T</w:t>
      </w:r>
      <w:r w:rsidR="00716565">
        <w:t>arget audience</w:t>
      </w:r>
      <w:bookmarkEnd w:id="7"/>
      <w:r w:rsidR="00716565">
        <w:t xml:space="preserve"> </w:t>
      </w:r>
    </w:p>
    <w:p w14:paraId="12FF2AC1" w14:textId="68CC1E20" w:rsidR="00716565" w:rsidRDefault="00716565" w:rsidP="00716565">
      <w:pPr>
        <w:jc w:val="left"/>
      </w:pPr>
      <w:r>
        <w:t xml:space="preserve">A target audience for the document is catchment management authorities and natural resource management agencies operating at a regional level, which are most responsible for </w:t>
      </w:r>
      <w:r w:rsidR="004E70FC">
        <w:t xml:space="preserve">designing and </w:t>
      </w:r>
      <w:r>
        <w:t>implement</w:t>
      </w:r>
      <w:r w:rsidR="006D757F">
        <w:t>ing</w:t>
      </w:r>
      <w:r>
        <w:t xml:space="preserve"> monitoring and condition assessments. The IECA </w:t>
      </w:r>
      <w:r w:rsidR="006D757F">
        <w:t xml:space="preserve">Framework </w:t>
      </w:r>
      <w:r>
        <w:t xml:space="preserve">is also of use for Commonwealth, state and territory government agencies, who set standards for monitoring, evaluation and reporting of aquatic ecosystems. </w:t>
      </w:r>
    </w:p>
    <w:p w14:paraId="7004C7BF" w14:textId="1CA8E3C6" w:rsidR="006A5ECF" w:rsidRPr="004E7EB5" w:rsidRDefault="00716565" w:rsidP="00627082">
      <w:pPr>
        <w:jc w:val="left"/>
      </w:pPr>
      <w:r>
        <w:t>The IECA</w:t>
      </w:r>
      <w:r w:rsidR="006D757F">
        <w:t xml:space="preserve"> Framework is flexible and</w:t>
      </w:r>
      <w:r>
        <w:t xml:space="preserve"> can be applied beyond </w:t>
      </w:r>
      <w:r w:rsidR="006D757F">
        <w:t>condition reporting</w:t>
      </w:r>
      <w:r>
        <w:t>, for example</w:t>
      </w:r>
      <w:r w:rsidR="006D757F">
        <w:t xml:space="preserve"> as part of </w:t>
      </w:r>
      <w:r>
        <w:t xml:space="preserve">Environmental Impact Assessments and other planning processes. </w:t>
      </w:r>
      <w:r w:rsidR="006A5ECF">
        <w:t xml:space="preserve"> </w:t>
      </w:r>
    </w:p>
    <w:p w14:paraId="5AE1FD84" w14:textId="08D4B77C" w:rsidR="004E7EB5" w:rsidRDefault="0027366D" w:rsidP="004E7EB5">
      <w:pPr>
        <w:pStyle w:val="Heading2"/>
      </w:pPr>
      <w:bookmarkStart w:id="8" w:name="_Toc493774200"/>
      <w:r>
        <w:t>Definitions</w:t>
      </w:r>
      <w:bookmarkEnd w:id="8"/>
    </w:p>
    <w:p w14:paraId="5C9FC22C" w14:textId="2FC8AFC1" w:rsidR="00B90D68" w:rsidRDefault="0027366D" w:rsidP="0027366D">
      <w:r>
        <w:t>A common language relevant to the identification, assessment and management of aquatic ecosystems has been developed and utilised in the Aquatic Ecosystem Toolkit</w:t>
      </w:r>
      <w:r w:rsidR="00B90D68">
        <w:t xml:space="preserve"> </w:t>
      </w:r>
      <w:r w:rsidR="006777E5">
        <w:fldChar w:fldCharType="begin"/>
      </w:r>
      <w:r w:rsidR="006777E5">
        <w:instrText xml:space="preserve"> ADDIN ZOTERO_ITEM CSL_CITATION {"citationID":"8u19rrq72","properties":{"formattedCitation":"(AETG 2012a)","plainCitation":"(AETG 2012a)"},"citationItems":[{"id":3417,"uris":["http://zotero.org/users/3119797/items/7TV9884R"],"uri":["http://zotero.org/users/3119797/items/7TV9884R"],"itemData":{"id":3417,"type":"article","title":"Aquatic Ecosystems Toolkit. Module 1: Aquatic Ecosystems Toolkit Guidance Paper. Australian Government Department of Sustainability, Environment, Water, Population and Communities, Canberra. http://www.environment.gov.au/water/publications/environmental/ecosystems/ae-toolkit-mod-1.html","author":[{"family":"AETG","given":""}],"issued":{"date-parts":[["2012"]]}}}],"schema":"https://github.com/citation-style-language/schema/raw/master/csl-citation.json"} </w:instrText>
      </w:r>
      <w:r w:rsidR="006777E5">
        <w:fldChar w:fldCharType="separate"/>
      </w:r>
      <w:r w:rsidR="006777E5" w:rsidRPr="006777E5">
        <w:rPr>
          <w:rFonts w:cs="Calibri"/>
        </w:rPr>
        <w:t>(AETG 2012a)</w:t>
      </w:r>
      <w:r w:rsidR="006777E5">
        <w:fldChar w:fldCharType="end"/>
      </w:r>
      <w:r>
        <w:t xml:space="preserve">. </w:t>
      </w:r>
      <w:r w:rsidR="003B1F08">
        <w:t xml:space="preserve">While a glossary of terms is provided in Chapter </w:t>
      </w:r>
      <w:r w:rsidR="0077691D">
        <w:t>5</w:t>
      </w:r>
      <w:r w:rsidR="003B1F08">
        <w:t>, s</w:t>
      </w:r>
      <w:r w:rsidR="00B90D68">
        <w:t xml:space="preserve">ome of the terms of most relevance to </w:t>
      </w:r>
      <w:r w:rsidR="006D757F">
        <w:t xml:space="preserve">the </w:t>
      </w:r>
      <w:r w:rsidR="00B90D68">
        <w:t xml:space="preserve">IECA </w:t>
      </w:r>
      <w:r w:rsidR="00BC6887">
        <w:t xml:space="preserve">Framework </w:t>
      </w:r>
      <w:r w:rsidR="00B90D68">
        <w:t xml:space="preserve">and </w:t>
      </w:r>
      <w:r w:rsidR="003B1F08">
        <w:t>that will assist readers as they progress through this manual include</w:t>
      </w:r>
      <w:r w:rsidR="00B90D68">
        <w:t>:</w:t>
      </w:r>
    </w:p>
    <w:p w14:paraId="38EEBB8C" w14:textId="139860BC" w:rsidR="00CA5260" w:rsidRPr="00CA5260" w:rsidRDefault="00CA5260" w:rsidP="0027366D">
      <w:pPr>
        <w:rPr>
          <w:b/>
        </w:rPr>
      </w:pPr>
      <w:r>
        <w:rPr>
          <w:b/>
        </w:rPr>
        <w:lastRenderedPageBreak/>
        <w:t>Aggregation</w:t>
      </w:r>
      <w:r>
        <w:t xml:space="preserve"> –</w:t>
      </w:r>
      <w:r>
        <w:rPr>
          <w:b/>
        </w:rPr>
        <w:t xml:space="preserve"> </w:t>
      </w:r>
      <w:r w:rsidR="00776ACC">
        <w:rPr>
          <w:b/>
        </w:rPr>
        <w:t>t</w:t>
      </w:r>
      <w:r w:rsidRPr="00CA5260">
        <w:rPr>
          <w:i/>
        </w:rPr>
        <w:t>he process of combining scores from the same index</w:t>
      </w:r>
      <w:r>
        <w:rPr>
          <w:i/>
        </w:rPr>
        <w:t xml:space="preserve">, </w:t>
      </w:r>
      <w:r w:rsidRPr="00CA5260">
        <w:rPr>
          <w:i/>
        </w:rPr>
        <w:t>sub-index</w:t>
      </w:r>
      <w:r>
        <w:rPr>
          <w:i/>
        </w:rPr>
        <w:t xml:space="preserve">, or indicator </w:t>
      </w:r>
      <w:r w:rsidRPr="00CA5260">
        <w:rPr>
          <w:i/>
        </w:rPr>
        <w:t xml:space="preserve">in different locations to provide a single score at a larger spatial scale </w:t>
      </w:r>
      <w:r w:rsidR="0055555E" w:rsidRPr="00CA5260">
        <w:rPr>
          <w:i/>
        </w:rPr>
        <w:t>(</w:t>
      </w:r>
      <w:r w:rsidR="0055555E">
        <w:rPr>
          <w:i/>
        </w:rPr>
        <w:t>modified</w:t>
      </w:r>
      <w:r>
        <w:rPr>
          <w:i/>
        </w:rPr>
        <w:t xml:space="preserve"> from </w:t>
      </w:r>
      <w:r w:rsidRPr="00CA5260">
        <w:rPr>
          <w:i/>
        </w:rPr>
        <w:t>Alluvium 2011).</w:t>
      </w:r>
    </w:p>
    <w:p w14:paraId="071F0198" w14:textId="52135595" w:rsidR="00B90D68" w:rsidRDefault="00B90D68" w:rsidP="0027366D">
      <w:r>
        <w:rPr>
          <w:b/>
        </w:rPr>
        <w:t xml:space="preserve">Aquatic ecosystem </w:t>
      </w:r>
      <w:r w:rsidRPr="00F8780B">
        <w:t xml:space="preserve">– </w:t>
      </w:r>
      <w:r w:rsidR="00F8780B" w:rsidRPr="00F8780B">
        <w:rPr>
          <w:i/>
        </w:rPr>
        <w:t xml:space="preserve">ecosystems </w:t>
      </w:r>
      <w:r w:rsidR="00F8780B" w:rsidRPr="00F8780B">
        <w:rPr>
          <w:i/>
          <w:lang w:val="en-GB"/>
        </w:rPr>
        <w:t xml:space="preserve">dependent on flows, or periodic or sustained inundation/waterlogging for their ecological integrity </w:t>
      </w:r>
      <w:r w:rsidR="006D757F">
        <w:rPr>
          <w:i/>
          <w:lang w:val="en-GB"/>
        </w:rPr>
        <w:t>(</w:t>
      </w:r>
      <w:r w:rsidR="00F8780B" w:rsidRPr="00F8780B">
        <w:rPr>
          <w:i/>
          <w:lang w:val="en-GB"/>
        </w:rPr>
        <w:t>e.g. wetlands, rivers, karst and other groundwater-dependent ecosystems, saltmarshes, estuaries and areas of marine water the depth of which at low tide does not exceed six metres</w:t>
      </w:r>
      <w:r w:rsidR="006D757F">
        <w:rPr>
          <w:i/>
          <w:lang w:val="en-GB"/>
        </w:rPr>
        <w:t>)</w:t>
      </w:r>
      <w:r w:rsidR="00F8780B">
        <w:rPr>
          <w:lang w:val="en-GB"/>
        </w:rPr>
        <w:t>.</w:t>
      </w:r>
    </w:p>
    <w:p w14:paraId="09E92233" w14:textId="7374C1D3" w:rsidR="00F8780B" w:rsidRDefault="00F8780B" w:rsidP="0027366D">
      <w:r w:rsidRPr="00F8780B">
        <w:rPr>
          <w:b/>
        </w:rPr>
        <w:t>Ecological value</w:t>
      </w:r>
      <w:r>
        <w:t xml:space="preserve"> – </w:t>
      </w:r>
      <w:r w:rsidRPr="00F8780B">
        <w:rPr>
          <w:i/>
        </w:rPr>
        <w:t>the perceived importance of an ecosystem, which is underpinned by the biotic and/or abiotic components, processes, functions and services that characterise that ecosystem</w:t>
      </w:r>
      <w:r w:rsidR="00E2238E">
        <w:rPr>
          <w:i/>
        </w:rPr>
        <w:t>.</w:t>
      </w:r>
    </w:p>
    <w:p w14:paraId="4FD1B4A0" w14:textId="133715D4" w:rsidR="00F8780B" w:rsidRDefault="00F8780B" w:rsidP="0027366D">
      <w:r w:rsidRPr="00F8780B">
        <w:rPr>
          <w:b/>
        </w:rPr>
        <w:t>Ecosystem services</w:t>
      </w:r>
      <w:r>
        <w:t xml:space="preserve"> –</w:t>
      </w:r>
      <w:r>
        <w:rPr>
          <w:i/>
        </w:rPr>
        <w:t xml:space="preserve"> t</w:t>
      </w:r>
      <w:r w:rsidRPr="00F8780B">
        <w:rPr>
          <w:i/>
        </w:rPr>
        <w:t>he contributions that ecosystems make to human well-being</w:t>
      </w:r>
      <w:r w:rsidR="00E2238E">
        <w:rPr>
          <w:i/>
        </w:rPr>
        <w:t>.</w:t>
      </w:r>
    </w:p>
    <w:p w14:paraId="69C27A6D" w14:textId="170BAAD0" w:rsidR="00F8780B" w:rsidRDefault="00F8780B" w:rsidP="0027366D">
      <w:r w:rsidRPr="00F8780B">
        <w:rPr>
          <w:b/>
        </w:rPr>
        <w:t>Assessment unit</w:t>
      </w:r>
      <w:r>
        <w:t xml:space="preserve"> – </w:t>
      </w:r>
      <w:r w:rsidR="008B6C64" w:rsidRPr="008B6C64">
        <w:rPr>
          <w:i/>
        </w:rPr>
        <w:t>the</w:t>
      </w:r>
      <w:r w:rsidR="008B6C64">
        <w:t xml:space="preserve"> </w:t>
      </w:r>
      <w:r w:rsidRPr="00F8780B">
        <w:rPr>
          <w:i/>
          <w:lang w:val="en-GB"/>
        </w:rPr>
        <w:t xml:space="preserve">part of an aquatic ecosystem, entire aquatic ecosystem, group of ecosystems, </w:t>
      </w:r>
      <w:r w:rsidR="00AC6F18" w:rsidRPr="00AC6F18">
        <w:rPr>
          <w:i/>
        </w:rPr>
        <w:t>sub-catchm</w:t>
      </w:r>
      <w:r w:rsidR="00AC6F18">
        <w:rPr>
          <w:i/>
        </w:rPr>
        <w:t xml:space="preserve">ent, catchment/valley, region, or </w:t>
      </w:r>
      <w:r w:rsidR="00AC6F18" w:rsidRPr="00AC6F18">
        <w:rPr>
          <w:i/>
        </w:rPr>
        <w:t>basin</w:t>
      </w:r>
      <w:r w:rsidRPr="00F8780B">
        <w:rPr>
          <w:i/>
          <w:lang w:val="en-GB"/>
        </w:rPr>
        <w:t xml:space="preserve"> that is being assessed</w:t>
      </w:r>
      <w:r>
        <w:rPr>
          <w:i/>
          <w:lang w:val="en-GB"/>
        </w:rPr>
        <w:t>.</w:t>
      </w:r>
    </w:p>
    <w:p w14:paraId="7BF247A8" w14:textId="4F7CCD81" w:rsidR="0077691D" w:rsidRPr="0077691D" w:rsidRDefault="0077691D" w:rsidP="0027366D">
      <w:pPr>
        <w:rPr>
          <w:i/>
        </w:rPr>
      </w:pPr>
      <w:r w:rsidRPr="0077691D">
        <w:rPr>
          <w:b/>
        </w:rPr>
        <w:t>Baseline condition</w:t>
      </w:r>
      <w:r w:rsidR="00A46DEA">
        <w:t xml:space="preserve"> – </w:t>
      </w:r>
      <w:r w:rsidR="00A46DEA">
        <w:rPr>
          <w:i/>
        </w:rPr>
        <w:t>a</w:t>
      </w:r>
      <w:r w:rsidRPr="0077691D">
        <w:rPr>
          <w:i/>
        </w:rPr>
        <w:t xml:space="preserve"> quantitative level or value, at a stated point of time that must be defined by the user (e.g. current condition, Ramsar “at the time of listing”, pre-European, a predetermined time), to which other data and observations of a comparable nature are compared.</w:t>
      </w:r>
    </w:p>
    <w:p w14:paraId="56810E24" w14:textId="3B086150" w:rsidR="0027366D" w:rsidRDefault="00B90D68" w:rsidP="0027366D">
      <w:r w:rsidRPr="00B90D68">
        <w:rPr>
          <w:b/>
        </w:rPr>
        <w:t>Condition</w:t>
      </w:r>
      <w:r>
        <w:t xml:space="preserve"> </w:t>
      </w:r>
      <w:r w:rsidR="00E2238E" w:rsidRPr="00E46DC8">
        <w:rPr>
          <w:b/>
        </w:rPr>
        <w:t>assessment</w:t>
      </w:r>
      <w:r w:rsidR="00A46DEA">
        <w:t xml:space="preserve"> – </w:t>
      </w:r>
      <w:r w:rsidR="004637B3">
        <w:rPr>
          <w:i/>
        </w:rPr>
        <w:t>a</w:t>
      </w:r>
      <w:r w:rsidR="004637B3" w:rsidRPr="004637B3">
        <w:rPr>
          <w:i/>
        </w:rPr>
        <w:t xml:space="preserve"> means to assess the state of an </w:t>
      </w:r>
      <w:r w:rsidR="004637B3">
        <w:rPr>
          <w:i/>
        </w:rPr>
        <w:t>eco</w:t>
      </w:r>
      <w:r w:rsidR="004637B3" w:rsidRPr="004637B3">
        <w:rPr>
          <w:i/>
        </w:rPr>
        <w:t>system, generally using several ecological measures/indicators, often used to assess long-term changes resulting from widespread anthropogenic activity.</w:t>
      </w:r>
      <w:r>
        <w:t xml:space="preserve"> </w:t>
      </w:r>
    </w:p>
    <w:p w14:paraId="1B1DE4AF" w14:textId="51DA503F" w:rsidR="00A46DEA" w:rsidRPr="00A46DEA" w:rsidRDefault="00A46DEA" w:rsidP="0027366D">
      <w:pPr>
        <w:rPr>
          <w:i/>
        </w:rPr>
      </w:pPr>
      <w:r w:rsidRPr="00A46DEA">
        <w:rPr>
          <w:b/>
          <w:lang w:val="en-GB"/>
        </w:rPr>
        <w:t>Threat</w:t>
      </w:r>
      <w:r>
        <w:rPr>
          <w:b/>
          <w:lang w:val="en-GB"/>
        </w:rPr>
        <w:t>(s)</w:t>
      </w:r>
      <w:r w:rsidR="00580904">
        <w:rPr>
          <w:rStyle w:val="FootnoteReference"/>
          <w:b/>
          <w:lang w:val="en-GB"/>
        </w:rPr>
        <w:footnoteReference w:id="1"/>
      </w:r>
      <w:r>
        <w:t xml:space="preserve"> – </w:t>
      </w:r>
      <w:r>
        <w:rPr>
          <w:i/>
        </w:rPr>
        <w:t>a</w:t>
      </w:r>
      <w:r w:rsidRPr="00A46DEA">
        <w:rPr>
          <w:i/>
        </w:rPr>
        <w:t xml:space="preserve"> generic term that includes the combination of a pressure and all its associated stressors.</w:t>
      </w:r>
      <w:r w:rsidR="00580904">
        <w:rPr>
          <w:i/>
        </w:rPr>
        <w:t xml:space="preserve"> </w:t>
      </w:r>
    </w:p>
    <w:p w14:paraId="1C02569D" w14:textId="0891F0BB" w:rsidR="00CA7D9F" w:rsidRDefault="00CA7D9F" w:rsidP="0027366D">
      <w:pPr>
        <w:rPr>
          <w:i/>
          <w:lang w:val="en-GB"/>
        </w:rPr>
      </w:pPr>
      <w:r>
        <w:rPr>
          <w:b/>
          <w:lang w:val="en-GB"/>
        </w:rPr>
        <w:t xml:space="preserve">Integrated </w:t>
      </w:r>
      <w:r w:rsidR="006D757F">
        <w:rPr>
          <w:b/>
          <w:lang w:val="en-GB"/>
        </w:rPr>
        <w:t>e</w:t>
      </w:r>
      <w:r>
        <w:rPr>
          <w:b/>
          <w:lang w:val="en-GB"/>
        </w:rPr>
        <w:t>cosystem assessment</w:t>
      </w:r>
      <w:r w:rsidR="00A46DEA">
        <w:t xml:space="preserve"> – </w:t>
      </w:r>
      <w:r w:rsidRPr="00F8780B">
        <w:rPr>
          <w:i/>
          <w:lang w:val="en-GB"/>
        </w:rPr>
        <w:t>a</w:t>
      </w:r>
      <w:r w:rsidRPr="00CA7D9F">
        <w:rPr>
          <w:i/>
          <w:lang w:val="en-GB"/>
        </w:rPr>
        <w:t xml:space="preserve"> formal synthesis and quantitative analysis of information </w:t>
      </w:r>
      <w:r w:rsidR="00F4362A">
        <w:rPr>
          <w:i/>
          <w:lang w:val="en-GB"/>
        </w:rPr>
        <w:t>o</w:t>
      </w:r>
      <w:r w:rsidRPr="00CA7D9F">
        <w:rPr>
          <w:i/>
          <w:lang w:val="en-GB"/>
        </w:rPr>
        <w:t xml:space="preserve">n relevant natural and socioeconomic factors, in relation to specified ecosystem management objectives </w:t>
      </w:r>
      <w:r w:rsidR="006777E5" w:rsidRPr="006777E5">
        <w:rPr>
          <w:i/>
          <w:lang w:val="en-GB"/>
        </w:rPr>
        <w:fldChar w:fldCharType="begin"/>
      </w:r>
      <w:r w:rsidR="006777E5" w:rsidRPr="006777E5">
        <w:rPr>
          <w:i/>
          <w:lang w:val="en-GB"/>
        </w:rPr>
        <w:instrText xml:space="preserve"> ADDIN ZOTERO_ITEM CSL_CITATION {"citationID":"vt6rmknq8","properties":{"formattedCitation":"(Levin et al. 2014)","plainCitation":"(Levin et al. 2014)"},"citationItems":[{"id":3229,"uris":["http://zotero.org/users/3119797/items/2UD55SAP"],"uri":["http://zotero.org/users/3119797/items/2UD55SAP"],"itemData":{"id":3229,"type":"article-journal","title":"Guidance for implementation of integrated ecosystem assessments: a US perspective","container-title":"ICES Journal of Marine Science","page":"1198-1204","volume":"71","issue":"5","source":"CrossRef","DOI":"10.1093/icesjms/fst112","ISSN":"1054-3139, 1095-9289","shortTitle":"Guidance for implementation of integrated ecosystem assessments","language":"en","author":[{"family":"Levin","given":"P. S."},{"family":"Kelble","given":"C. R."},{"family":"Shuford","given":"R. L."},{"family":"Ainsworth","given":"C."},{"family":"deReynier","given":"Y."},{"family":"Dunsmore","given":"R."},{"family":"Fogarty","given":"M. J."},{"family":"Holsman","given":"K."},{"family":"Howell","given":"E. A."},{"family":"Monaco","given":"M. E."},{"family":"Oakes","given":"S. A."},{"family":"Werner","given":"F."}],"issued":{"date-parts":[["2014",8,1]]}}}],"schema":"https://github.com/citation-style-language/schema/raw/master/csl-citation.json"} </w:instrText>
      </w:r>
      <w:r w:rsidR="006777E5" w:rsidRPr="006777E5">
        <w:rPr>
          <w:i/>
          <w:lang w:val="en-GB"/>
        </w:rPr>
        <w:fldChar w:fldCharType="separate"/>
      </w:r>
      <w:r w:rsidR="006777E5" w:rsidRPr="006777E5">
        <w:rPr>
          <w:rFonts w:cs="Calibri"/>
          <w:i/>
        </w:rPr>
        <w:t>(Levin et al. 2014)</w:t>
      </w:r>
      <w:r w:rsidR="006777E5" w:rsidRPr="006777E5">
        <w:rPr>
          <w:i/>
          <w:lang w:val="en-GB"/>
        </w:rPr>
        <w:fldChar w:fldCharType="end"/>
      </w:r>
      <w:r w:rsidRPr="00CA7D9F">
        <w:rPr>
          <w:i/>
          <w:lang w:val="en-GB"/>
        </w:rPr>
        <w:t>.</w:t>
      </w:r>
    </w:p>
    <w:p w14:paraId="06148AF0" w14:textId="73DD36F3" w:rsidR="00CA5260" w:rsidRPr="00CA5260" w:rsidRDefault="00CA5260" w:rsidP="0027366D">
      <w:pPr>
        <w:rPr>
          <w:i/>
          <w:lang w:val="en-GB"/>
        </w:rPr>
      </w:pPr>
      <w:r w:rsidRPr="00CA5260">
        <w:rPr>
          <w:b/>
          <w:lang w:val="en-GB"/>
        </w:rPr>
        <w:t>Integration</w:t>
      </w:r>
      <w:r>
        <w:rPr>
          <w:lang w:val="en-GB"/>
        </w:rPr>
        <w:t xml:space="preserve"> </w:t>
      </w:r>
      <w:r w:rsidR="00A46DEA">
        <w:t xml:space="preserve">– </w:t>
      </w:r>
      <w:r w:rsidR="00A46DEA">
        <w:rPr>
          <w:i/>
          <w:lang w:val="en-GB"/>
        </w:rPr>
        <w:t>t</w:t>
      </w:r>
      <w:r w:rsidRPr="00CA5260">
        <w:rPr>
          <w:i/>
          <w:lang w:val="en-GB"/>
        </w:rPr>
        <w:t xml:space="preserve">he process of combining scores from several indices, sub-indices or </w:t>
      </w:r>
      <w:r>
        <w:rPr>
          <w:i/>
          <w:lang w:val="en-GB"/>
        </w:rPr>
        <w:t>indicators</w:t>
      </w:r>
      <w:r w:rsidRPr="00CA5260">
        <w:rPr>
          <w:i/>
          <w:lang w:val="en-GB"/>
        </w:rPr>
        <w:t xml:space="preserve"> to provide a single score at the same spatial scale (Alluvium 2011).</w:t>
      </w:r>
    </w:p>
    <w:p w14:paraId="1D5341F0" w14:textId="5843099F" w:rsidR="00F4362A" w:rsidRDefault="00F4362A" w:rsidP="0027366D">
      <w:pPr>
        <w:rPr>
          <w:lang w:val="en-GB"/>
        </w:rPr>
      </w:pPr>
      <w:r w:rsidRPr="004637B3">
        <w:rPr>
          <w:b/>
          <w:lang w:val="en-GB"/>
        </w:rPr>
        <w:t>Surveillance monitoring</w:t>
      </w:r>
      <w:r w:rsidR="00A46DEA">
        <w:t xml:space="preserve"> – </w:t>
      </w:r>
      <w:r w:rsidRPr="00CA7D9F">
        <w:rPr>
          <w:i/>
        </w:rPr>
        <w:t>a program to monitor</w:t>
      </w:r>
      <w:r>
        <w:rPr>
          <w:i/>
        </w:rPr>
        <w:t xml:space="preserve"> trends in ecological condition, often over large spatial scales (e.g. regions/catchments) and over long time periods (years to decades), generally without detailed assessments of management interventions.</w:t>
      </w:r>
    </w:p>
    <w:p w14:paraId="6A0BAD95" w14:textId="0B346396" w:rsidR="00F34D84" w:rsidRPr="00CA7D9F" w:rsidRDefault="00F34D84" w:rsidP="0027366D">
      <w:pPr>
        <w:rPr>
          <w:lang w:val="en-GB"/>
        </w:rPr>
      </w:pPr>
      <w:r w:rsidRPr="00CA7D9F">
        <w:rPr>
          <w:b/>
        </w:rPr>
        <w:t xml:space="preserve">Intervention monitoring </w:t>
      </w:r>
      <w:r w:rsidR="00A46DEA">
        <w:t xml:space="preserve">– </w:t>
      </w:r>
      <w:r w:rsidRPr="00CA7D9F">
        <w:rPr>
          <w:i/>
        </w:rPr>
        <w:t>a program to monitor one or more indicators of interest in response to one or more specific interventions, usual</w:t>
      </w:r>
      <w:r w:rsidR="00633E5B" w:rsidRPr="00CA7D9F">
        <w:rPr>
          <w:i/>
        </w:rPr>
        <w:t>ly for a single asset/ecosystem</w:t>
      </w:r>
      <w:r w:rsidRPr="00CA7D9F">
        <w:rPr>
          <w:i/>
        </w:rPr>
        <w:t>.</w:t>
      </w:r>
      <w:r w:rsidR="00E2238E" w:rsidRPr="00CA7D9F">
        <w:rPr>
          <w:i/>
        </w:rPr>
        <w:t xml:space="preserve"> It aims to report on the</w:t>
      </w:r>
      <w:r w:rsidR="00E2238E" w:rsidRPr="00E2238E">
        <w:rPr>
          <w:i/>
        </w:rPr>
        <w:t xml:space="preserve"> influence of an intervention, </w:t>
      </w:r>
      <w:r w:rsidR="00E2238E">
        <w:rPr>
          <w:i/>
        </w:rPr>
        <w:t xml:space="preserve">and </w:t>
      </w:r>
      <w:r w:rsidR="00E2238E" w:rsidRPr="00E2238E">
        <w:rPr>
          <w:i/>
        </w:rPr>
        <w:t>often operates under an experimental framework that focusses on the response to the intervention</w:t>
      </w:r>
      <w:r w:rsidR="00E2238E">
        <w:rPr>
          <w:i/>
        </w:rPr>
        <w:t>,</w:t>
      </w:r>
      <w:r w:rsidR="00E2238E" w:rsidRPr="00E2238E">
        <w:rPr>
          <w:i/>
        </w:rPr>
        <w:t xml:space="preserve"> </w:t>
      </w:r>
      <w:r w:rsidR="004637B3">
        <w:rPr>
          <w:i/>
        </w:rPr>
        <w:t xml:space="preserve">which may or may not be accompanied by </w:t>
      </w:r>
      <w:r w:rsidR="00E2238E" w:rsidRPr="00E2238E">
        <w:rPr>
          <w:i/>
        </w:rPr>
        <w:t>reporting on condition.</w:t>
      </w:r>
    </w:p>
    <w:p w14:paraId="7F1EC40C" w14:textId="5C94274F" w:rsidR="00C31388" w:rsidRDefault="00C31388" w:rsidP="00C31388">
      <w:pPr>
        <w:pStyle w:val="Heading2"/>
      </w:pPr>
      <w:bookmarkStart w:id="9" w:name="_Toc493774201"/>
      <w:r>
        <w:t xml:space="preserve">Overview of </w:t>
      </w:r>
      <w:r w:rsidR="00F7587A">
        <w:t xml:space="preserve">the </w:t>
      </w:r>
      <w:r>
        <w:t>IECA</w:t>
      </w:r>
      <w:r w:rsidR="00F7587A">
        <w:t xml:space="preserve"> Framework</w:t>
      </w:r>
      <w:bookmarkEnd w:id="9"/>
    </w:p>
    <w:p w14:paraId="465D58EC" w14:textId="77777777" w:rsidR="00627082" w:rsidRDefault="00627082" w:rsidP="00627082">
      <w:pPr>
        <w:jc w:val="left"/>
      </w:pPr>
      <w:r>
        <w:t>The IECA Framework can be used to:</w:t>
      </w:r>
    </w:p>
    <w:p w14:paraId="6B16C8AA" w14:textId="36182ACF" w:rsidR="00627082" w:rsidRDefault="00627082" w:rsidP="00DA2C26">
      <w:pPr>
        <w:pStyle w:val="ListParagraph"/>
        <w:numPr>
          <w:ilvl w:val="0"/>
          <w:numId w:val="76"/>
        </w:numPr>
        <w:jc w:val="left"/>
      </w:pPr>
      <w:r>
        <w:t xml:space="preserve">Assess and report on status and trends in condition and threats, relating to predetermined baseline or reference point for priority ecological values of aquatic ecosystems (condition assessment, surveillance monitoring); and </w:t>
      </w:r>
    </w:p>
    <w:p w14:paraId="25256A73" w14:textId="641D161F" w:rsidR="00627082" w:rsidRDefault="00627082" w:rsidP="00DA2C26">
      <w:pPr>
        <w:pStyle w:val="ListParagraph"/>
        <w:numPr>
          <w:ilvl w:val="0"/>
          <w:numId w:val="76"/>
        </w:numPr>
        <w:jc w:val="left"/>
      </w:pPr>
      <w:r>
        <w:t>Assess and report on effectiveness of management activities on condition and threats affecting aquatic ecosystems (intervention monitoring).</w:t>
      </w:r>
    </w:p>
    <w:p w14:paraId="306D82AF" w14:textId="5DEF620B" w:rsidR="00673F64" w:rsidRDefault="00673F64" w:rsidP="00673F64">
      <w:r>
        <w:t xml:space="preserve">It is important to note that the IECA Framework primarily focuses on </w:t>
      </w:r>
      <w:r w:rsidR="00BA71A0">
        <w:t>condition assessment</w:t>
      </w:r>
      <w:r>
        <w:t xml:space="preserve"> </w:t>
      </w:r>
      <w:r w:rsidR="00BA71A0">
        <w:t>and</w:t>
      </w:r>
      <w:r w:rsidR="007A1FFF">
        <w:t xml:space="preserve"> surveillance monitoring</w:t>
      </w:r>
      <w:r w:rsidR="00BA71A0" w:rsidRPr="00BA71A0">
        <w:t xml:space="preserve"> </w:t>
      </w:r>
      <w:r w:rsidR="00BA71A0">
        <w:t>of aquatic ecosystems</w:t>
      </w:r>
      <w:r w:rsidR="00BA09E3">
        <w:t xml:space="preserve">. </w:t>
      </w:r>
      <w:r w:rsidR="00BA71A0">
        <w:t xml:space="preserve">Condition assessment and surveillance monitoring can be undertaken for a </w:t>
      </w:r>
      <w:r w:rsidR="00BA71A0">
        <w:lastRenderedPageBreak/>
        <w:t xml:space="preserve">variety of purposes, but only become useful if they accurately reflect ecological condition and support or inform management needs </w:t>
      </w:r>
      <w:r w:rsidR="00BA71A0">
        <w:fldChar w:fldCharType="begin"/>
      </w:r>
      <w:r w:rsidR="00BA71A0">
        <w:instrText xml:space="preserve"> ADDIN ZOTERO_ITEM CSL_CITATION {"citationID":"2e4h8lqsta","properties":{"formattedCitation":"(Kuehne et al. 2017)","plainCitation":"(Kuehne et al. 2017)"},"citationItems":[{"id":3542,"uris":["http://zotero.org/users/3119797/items/AT75TI25"],"uri":["http://zotero.org/users/3119797/items/AT75TI25"],"itemData":{"id":3542,"type":"article-journal","title":"Past, present, and future of ecological integrity assessment for fresh waters","container-title":"Frontiers in Ecology and the Environment","page":"197-205","volume":"15","issue":"4","source":"CrossRef","DOI":"10.1002/fee.1483","ISSN":"15409295","language":"en","author":[{"family":"Kuehne","given":"Lauren M"},{"family":"Olden","given":"Julian D"},{"family":"Strecker","given":"Angela L"},{"family":"Lawler","given":"Joshua J"},{"family":"Theobald","given":"David M"}],"issued":{"date-parts":[["2017",5]]}}}],"schema":"https://github.com/citation-style-language/schema/raw/master/csl-citation.json"} </w:instrText>
      </w:r>
      <w:r w:rsidR="00BA71A0">
        <w:fldChar w:fldCharType="separate"/>
      </w:r>
      <w:r w:rsidR="00BA71A0" w:rsidRPr="00BA71A0">
        <w:rPr>
          <w:rFonts w:cs="Calibri"/>
        </w:rPr>
        <w:t>(Kuehne et al. 2017)</w:t>
      </w:r>
      <w:r w:rsidR="00BA71A0">
        <w:fldChar w:fldCharType="end"/>
      </w:r>
      <w:r w:rsidR="00BA71A0">
        <w:t xml:space="preserve">. </w:t>
      </w:r>
      <w:r w:rsidR="00BA09E3">
        <w:t>This</w:t>
      </w:r>
      <w:r>
        <w:t xml:space="preserve"> should not be confused with intervention monitoring</w:t>
      </w:r>
      <w:r w:rsidR="00F7587A">
        <w:t xml:space="preserve"> (see above)</w:t>
      </w:r>
      <w:r w:rsidR="00BA09E3">
        <w:t>, a</w:t>
      </w:r>
      <w:r>
        <w:t xml:space="preserve">lthough assessment of aquatic ecosystem condition can be useful as part of a program that assesses management interventions (see </w:t>
      </w:r>
      <w:r w:rsidR="00AD356B">
        <w:t>S</w:t>
      </w:r>
      <w:r>
        <w:t>ection 2.2).</w:t>
      </w:r>
    </w:p>
    <w:p w14:paraId="5A53FF96" w14:textId="585D5D6C" w:rsidR="00C31388" w:rsidRDefault="00C31388" w:rsidP="00C31388">
      <w:r>
        <w:t xml:space="preserve">The IECA Framework </w:t>
      </w:r>
      <w:r w:rsidR="00673F64">
        <w:t xml:space="preserve">can be </w:t>
      </w:r>
      <w:r>
        <w:t>appli</w:t>
      </w:r>
      <w:r w:rsidR="00673F64">
        <w:t>ed</w:t>
      </w:r>
      <w:r>
        <w:t xml:space="preserve"> to all </w:t>
      </w:r>
      <w:r w:rsidR="002641EB">
        <w:t xml:space="preserve">inland and estuarine </w:t>
      </w:r>
      <w:r>
        <w:t xml:space="preserve">aquatic ecosystem types and can operate at multiple spatial scales (e.g. individual wetland or an entire catchment). Central to </w:t>
      </w:r>
      <w:r w:rsidR="00987890">
        <w:t xml:space="preserve">the </w:t>
      </w:r>
      <w:r>
        <w:t xml:space="preserve">IECA </w:t>
      </w:r>
      <w:r w:rsidR="00987890">
        <w:t xml:space="preserve">Framework </w:t>
      </w:r>
      <w:r>
        <w:t>(as with all modules in the Toolkit) is the principle of building on existing methods and programs</w:t>
      </w:r>
      <w:r w:rsidR="00673F64">
        <w:t>, particularly those developed and adopted by Australian jurisdictions</w:t>
      </w:r>
      <w:r>
        <w:t xml:space="preserve">. </w:t>
      </w:r>
      <w:r w:rsidR="004F7EF8">
        <w:t xml:space="preserve">For new condition assessments or </w:t>
      </w:r>
      <w:r w:rsidR="00D71C00">
        <w:t>surveillance</w:t>
      </w:r>
      <w:r w:rsidR="004F7EF8">
        <w:t xml:space="preserve"> monitoring programs the IECA Framework provide</w:t>
      </w:r>
      <w:r w:rsidR="00D71C00">
        <w:t>s</w:t>
      </w:r>
      <w:r w:rsidR="004F7EF8">
        <w:t xml:space="preserve"> a consistent </w:t>
      </w:r>
      <w:r w:rsidR="00D71C00">
        <w:t xml:space="preserve">logic and approach able to be adapted to many situations, particularly in cross boundary or jurisdictional assessments/programs. </w:t>
      </w:r>
    </w:p>
    <w:p w14:paraId="18C061D9" w14:textId="77777777" w:rsidR="00E07D3B" w:rsidRDefault="00E07D3B" w:rsidP="00E07D3B">
      <w:pPr>
        <w:jc w:val="left"/>
      </w:pPr>
      <w:r>
        <w:t xml:space="preserve">The nested or hierarchical nature of the IECA Framework is a key feature. When undertaking integrative ecosystem level condition assessments, it is critical to include both biotic and abiotic elements of the ecosystem and, where appropriate to the purpose of the assessment, a range of ecosystem services and benefits. Ideally data should be included in the assessment from different organisational levels (e.g., species, communities, biotopes) even though the assessments of the different levels may serve different purposes </w:t>
      </w:r>
      <w:r>
        <w:fldChar w:fldCharType="begin"/>
      </w:r>
      <w:r>
        <w:instrText xml:space="preserve"> ADDIN ZOTERO_ITEM CSL_CITATION {"citationID":"3mmjdvmhb","properties":{"formattedCitation":"(Borja et al. 2016)","plainCitation":"(Borja et al. 2016)"},"citationItems":[{"id":1412,"uris":["http://zotero.org/users/3119797/items/T95T62V5"],"uri":["http://zotero.org/users/3119797/items/T95T62V5"],"itemData":{"id":1412,"type":"article-journal","title":"Overview of Integrative Assessment of Marine Systems: The Ecosystem Approach in Practice","container-title":"Frontiers in Marine Science","volume":"3","source":"CrossRef","URL":"http://journal.frontiersin.org/article/10.3389/fmars.2016.00020","DOI":"10.3389/fmars.2016.00020","ISSN":"2296-7745","shortTitle":"Overview of Integrative Assessment of Marine Systems","author":[{"family":"Borja","given":"Angel"},{"family":"Elliott","given":"Michael"},{"family":"Andersen","given":"Jesper H."},{"family":"Berg","given":"Torsten"},{"family":"Carstensen","given":"Jacob"},{"family":"Halpern","given":"Benjamin S."},{"family":"Heiskanen","given":"Anna-Stiina"},{"family":"Korpinen","given":"Samuli"},{"family":"Lowndes","given":"Julia S. Stewart"},{"family":"Martin","given":"Georg"},{"family":"Rodriguez-Ezpeleta","given":"Naiara"}],"issued":{"date-parts":[["2016",3,1]]},"accessed":{"date-parts":[["2016",10,12]]}}}],"schema":"https://github.com/citation-style-language/schema/raw/master/csl-citation.json"} </w:instrText>
      </w:r>
      <w:r>
        <w:fldChar w:fldCharType="separate"/>
      </w:r>
      <w:r w:rsidRPr="00E07D3B">
        <w:rPr>
          <w:rFonts w:cs="Calibri"/>
        </w:rPr>
        <w:t>(Borja et al. 2016)</w:t>
      </w:r>
      <w:r>
        <w:fldChar w:fldCharType="end"/>
      </w:r>
      <w:r>
        <w:t>.</w:t>
      </w:r>
    </w:p>
    <w:p w14:paraId="638107D0" w14:textId="4E842F6D" w:rsidR="00C31388" w:rsidRDefault="00C31388" w:rsidP="00C31388">
      <w:r>
        <w:t xml:space="preserve">The IECA Framework is comprised of an eight-step process, which </w:t>
      </w:r>
      <w:r w:rsidR="00916966">
        <w:t xml:space="preserve">is </w:t>
      </w:r>
      <w:r>
        <w:t xml:space="preserve">preceded by a planning </w:t>
      </w:r>
      <w:r w:rsidR="004E70FC">
        <w:t xml:space="preserve">phase which establishes the context and current understanding regarding the assessment unit </w:t>
      </w:r>
      <w:r>
        <w:t>(</w:t>
      </w:r>
      <w:r w:rsidR="00AD356B">
        <w:fldChar w:fldCharType="begin"/>
      </w:r>
      <w:r w:rsidR="00AD356B">
        <w:instrText xml:space="preserve"> REF _Ref471464931 \h </w:instrText>
      </w:r>
      <w:r w:rsidR="00AD356B">
        <w:fldChar w:fldCharType="separate"/>
      </w:r>
      <w:r w:rsidR="005F359C">
        <w:t xml:space="preserve">Figure </w:t>
      </w:r>
      <w:r w:rsidR="005F359C">
        <w:rPr>
          <w:noProof/>
        </w:rPr>
        <w:t>2</w:t>
      </w:r>
      <w:r w:rsidR="00AD356B">
        <w:fldChar w:fldCharType="end"/>
      </w:r>
      <w:r>
        <w:t xml:space="preserve">). </w:t>
      </w:r>
      <w:r w:rsidRPr="00F34D84">
        <w:rPr>
          <w:lang w:val="en-GB"/>
        </w:rPr>
        <w:t>Many of the preliminary steps are common to all modules in the Toolkit</w:t>
      </w:r>
      <w:r w:rsidR="00673F64">
        <w:rPr>
          <w:lang w:val="en-GB"/>
        </w:rPr>
        <w:t>;</w:t>
      </w:r>
      <w:r w:rsidRPr="00F34D84">
        <w:rPr>
          <w:lang w:val="en-GB"/>
        </w:rPr>
        <w:t xml:space="preserve"> these modules should be consulted for relevant details</w:t>
      </w:r>
      <w:r>
        <w:rPr>
          <w:lang w:val="en-GB"/>
        </w:rPr>
        <w:t>.</w:t>
      </w:r>
      <w:r w:rsidRPr="004E7EB5">
        <w:t xml:space="preserve"> </w:t>
      </w:r>
      <w:r w:rsidR="00F7587A">
        <w:t>At every stage, assumptions and knowledge gaps should be documented to ensure transparency.</w:t>
      </w:r>
    </w:p>
    <w:p w14:paraId="6815AD19" w14:textId="57A177AC" w:rsidR="00C31388" w:rsidRDefault="005F0515" w:rsidP="00E36247">
      <w:pPr>
        <w:jc w:val="center"/>
      </w:pPr>
      <w:r>
        <w:rPr>
          <w:noProof/>
          <w:lang w:eastAsia="en-AU"/>
        </w:rPr>
        <w:lastRenderedPageBreak/>
        <w:drawing>
          <wp:inline distT="0" distB="0" distL="0" distR="0" wp14:anchorId="6878DDCB" wp14:editId="6221B2E9">
            <wp:extent cx="5731510" cy="8035925"/>
            <wp:effectExtent l="0" t="0" r="254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A Framework portrait v9 step 5 updated 040617.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8035925"/>
                    </a:xfrm>
                    <a:prstGeom prst="rect">
                      <a:avLst/>
                    </a:prstGeom>
                  </pic:spPr>
                </pic:pic>
              </a:graphicData>
            </a:graphic>
          </wp:inline>
        </w:drawing>
      </w:r>
    </w:p>
    <w:p w14:paraId="229E7F8F" w14:textId="3682BE82" w:rsidR="00C31388" w:rsidRDefault="00C31388" w:rsidP="00C31388">
      <w:pPr>
        <w:pStyle w:val="Caption"/>
      </w:pPr>
      <w:bookmarkStart w:id="10" w:name="_Ref471464931"/>
      <w:r>
        <w:t xml:space="preserve">Figure </w:t>
      </w:r>
      <w:fldSimple w:instr=" SEQ Figure \* ARABIC ">
        <w:r w:rsidR="005F359C">
          <w:rPr>
            <w:noProof/>
          </w:rPr>
          <w:t>2</w:t>
        </w:r>
      </w:fldSimple>
      <w:bookmarkEnd w:id="10"/>
      <w:r>
        <w:t xml:space="preserve">: IECA </w:t>
      </w:r>
      <w:r w:rsidR="00DD6123">
        <w:t>F</w:t>
      </w:r>
      <w:r>
        <w:t>ramework.</w:t>
      </w:r>
    </w:p>
    <w:p w14:paraId="66F2BCC9" w14:textId="77777777" w:rsidR="00E07D3B" w:rsidRDefault="00E07D3B" w:rsidP="00E07D3B">
      <w:r>
        <w:t xml:space="preserve">One of the aims of the IECA Framework is to assist multi-jurisdictional collaboration, by providing a consistent means by which to define, assess and report on the condition of aquatic ecosystems at varying scales (i.e. from </w:t>
      </w:r>
      <w:r>
        <w:lastRenderedPageBreak/>
        <w:t xml:space="preserve">regional to multi-jurisdictional and national scales). </w:t>
      </w:r>
      <w:r w:rsidRPr="005B084D">
        <w:t xml:space="preserve">A benefit of this approach is that it can allow </w:t>
      </w:r>
      <w:r>
        <w:t xml:space="preserve">jurisdictions to assess and </w:t>
      </w:r>
      <w:r w:rsidRPr="005B084D">
        <w:t>manage aquatic ecosystems</w:t>
      </w:r>
      <w:r>
        <w:t xml:space="preserve"> that exist across s</w:t>
      </w:r>
      <w:r w:rsidRPr="005B084D">
        <w:t>tate boundaries</w:t>
      </w:r>
      <w:r>
        <w:t xml:space="preserve"> from a common understanding and in a coordinated manner. </w:t>
      </w:r>
    </w:p>
    <w:p w14:paraId="09415EB6" w14:textId="4F6F1D80" w:rsidR="00E07D3B" w:rsidRPr="004E7EB5" w:rsidRDefault="00E07D3B" w:rsidP="00E07D3B">
      <w:r>
        <w:t>One mechanism for facilitating consistent assessment and reporting is the adoption of a common set of themes that summarise the nature of aquatic ecosystems, along with associated indicators. The IECA Framework has six themes (hydrology, water quality, structural integrity, aquatic ecosystem connectivity, biodiversity and ecosystem services), each with associated indicator groups (</w:t>
      </w:r>
      <w:r>
        <w:fldChar w:fldCharType="begin"/>
      </w:r>
      <w:r>
        <w:instrText xml:space="preserve"> REF _Ref478993299 \h </w:instrText>
      </w:r>
      <w:r>
        <w:fldChar w:fldCharType="separate"/>
      </w:r>
      <w:r w:rsidR="005F359C" w:rsidRPr="004E7EB5">
        <w:t xml:space="preserve">Table </w:t>
      </w:r>
      <w:r w:rsidR="005F359C">
        <w:rPr>
          <w:noProof/>
        </w:rPr>
        <w:t>1</w:t>
      </w:r>
      <w:r>
        <w:fldChar w:fldCharType="end"/>
      </w:r>
      <w:r>
        <w:t>). Including several of the indicator groups in an assessment is recommended, with some being highly desirable and others optional (</w:t>
      </w:r>
      <w:r>
        <w:fldChar w:fldCharType="begin"/>
      </w:r>
      <w:r>
        <w:instrText xml:space="preserve"> REF _Ref478993299 \h  \* MERGEFORMAT </w:instrText>
      </w:r>
      <w:r>
        <w:fldChar w:fldCharType="separate"/>
      </w:r>
      <w:r w:rsidR="005F359C" w:rsidRPr="004E7EB5">
        <w:t xml:space="preserve">Table </w:t>
      </w:r>
      <w:r w:rsidR="005F359C">
        <w:t>1</w:t>
      </w:r>
      <w:r>
        <w:fldChar w:fldCharType="end"/>
      </w:r>
      <w:r>
        <w:t>). Having consistent themes assessed is particularly important when assessment units span several jurisdictions or comparisons across jurisdictions is an intended outcome. The structure of the IECA Framework i</w:t>
      </w:r>
      <w:r w:rsidR="00B02D54">
        <w:t>s</w:t>
      </w:r>
      <w:r>
        <w:t xml:space="preserve"> flexible and will allow it to be tailored to the needs of different programs (see Section 3.4 for further information on themes and indicators).</w:t>
      </w:r>
    </w:p>
    <w:p w14:paraId="40F44E89" w14:textId="77777777" w:rsidR="00080F55" w:rsidRPr="004E7EB5" w:rsidRDefault="00080F55" w:rsidP="00C31388">
      <w:pPr>
        <w:pStyle w:val="NoSpacing"/>
      </w:pPr>
    </w:p>
    <w:p w14:paraId="18D60D35" w14:textId="7F866C47" w:rsidR="00C31388" w:rsidRPr="004E7EB5" w:rsidRDefault="00C31388" w:rsidP="00C31388">
      <w:pPr>
        <w:pStyle w:val="Caption"/>
      </w:pPr>
      <w:bookmarkStart w:id="11" w:name="_Ref478993299"/>
      <w:r w:rsidRPr="004E7EB5">
        <w:t xml:space="preserve">Table </w:t>
      </w:r>
      <w:fldSimple w:instr=" SEQ Table \* ARABIC ">
        <w:r w:rsidR="005F359C">
          <w:rPr>
            <w:noProof/>
          </w:rPr>
          <w:t>1</w:t>
        </w:r>
      </w:fldSimple>
      <w:bookmarkEnd w:id="11"/>
      <w:r w:rsidRPr="004E7EB5">
        <w:t xml:space="preserve">: </w:t>
      </w:r>
      <w:r w:rsidR="00395233">
        <w:t xml:space="preserve">IECA Framework </w:t>
      </w:r>
      <w:r w:rsidRPr="004E7EB5">
        <w:t>Themes and Indicator groups</w:t>
      </w:r>
      <w:r w:rsidR="001B602A">
        <w:t>.</w:t>
      </w:r>
      <w:r w:rsidRPr="004E7EB5">
        <w:t xml:space="preserve">  </w:t>
      </w:r>
    </w:p>
    <w:tbl>
      <w:tblPr>
        <w:tblStyle w:val="LightList-Accent2"/>
        <w:tblW w:w="0" w:type="auto"/>
        <w:tblBorders>
          <w:top w:val="single" w:sz="4" w:space="0" w:color="9CBEBD" w:themeColor="accent2"/>
          <w:left w:val="single" w:sz="4" w:space="0" w:color="9CBEBD" w:themeColor="accent2"/>
          <w:bottom w:val="single" w:sz="4" w:space="0" w:color="9CBEBD" w:themeColor="accent2"/>
          <w:right w:val="single" w:sz="4" w:space="0" w:color="9CBEBD" w:themeColor="accent2"/>
          <w:insideH w:val="single" w:sz="4" w:space="0" w:color="9CBEBD" w:themeColor="accent2"/>
          <w:insideV w:val="single" w:sz="4" w:space="0" w:color="9CBEBD" w:themeColor="accent2"/>
        </w:tblBorders>
        <w:tblLook w:val="04A0" w:firstRow="1" w:lastRow="0" w:firstColumn="1" w:lastColumn="0" w:noHBand="0" w:noVBand="1"/>
      </w:tblPr>
      <w:tblGrid>
        <w:gridCol w:w="1465"/>
        <w:gridCol w:w="1446"/>
        <w:gridCol w:w="1299"/>
        <w:gridCol w:w="4806"/>
      </w:tblGrid>
      <w:tr w:rsidR="00395233" w:rsidRPr="004E7EB5" w14:paraId="228DD036" w14:textId="77777777" w:rsidTr="00F96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C5582F" w14:textId="77777777" w:rsidR="00C31388" w:rsidRPr="004E7EB5" w:rsidRDefault="00C31388" w:rsidP="00DD6B5E">
            <w:pPr>
              <w:jc w:val="left"/>
            </w:pPr>
            <w:r w:rsidRPr="004E7EB5">
              <w:t>Theme</w:t>
            </w:r>
          </w:p>
        </w:tc>
        <w:tc>
          <w:tcPr>
            <w:tcW w:w="0" w:type="auto"/>
          </w:tcPr>
          <w:p w14:paraId="3BD4EA2D" w14:textId="77777777" w:rsidR="00C31388" w:rsidRPr="004E7EB5" w:rsidRDefault="00C31388" w:rsidP="00DD6B5E">
            <w:pPr>
              <w:jc w:val="left"/>
              <w:cnfStyle w:val="100000000000" w:firstRow="1" w:lastRow="0" w:firstColumn="0" w:lastColumn="0" w:oddVBand="0" w:evenVBand="0" w:oddHBand="0" w:evenHBand="0" w:firstRowFirstColumn="0" w:firstRowLastColumn="0" w:lastRowFirstColumn="0" w:lastRowLastColumn="0"/>
            </w:pPr>
            <w:r w:rsidRPr="004E7EB5">
              <w:t>Indicator group</w:t>
            </w:r>
          </w:p>
        </w:tc>
        <w:tc>
          <w:tcPr>
            <w:tcW w:w="0" w:type="auto"/>
          </w:tcPr>
          <w:p w14:paraId="722897C9" w14:textId="301B262A" w:rsidR="00C31388" w:rsidRPr="004E7EB5" w:rsidRDefault="00C84109" w:rsidP="00DD6B5E">
            <w:pPr>
              <w:jc w:val="left"/>
              <w:cnfStyle w:val="100000000000" w:firstRow="1" w:lastRow="0" w:firstColumn="0" w:lastColumn="0" w:oddVBand="0" w:evenVBand="0" w:oddHBand="0" w:evenHBand="0" w:firstRowFirstColumn="0" w:firstRowLastColumn="0" w:lastRowFirstColumn="0" w:lastRowLastColumn="0"/>
            </w:pPr>
            <w:r>
              <w:t>Include in assessment</w:t>
            </w:r>
          </w:p>
        </w:tc>
        <w:tc>
          <w:tcPr>
            <w:tcW w:w="0" w:type="auto"/>
          </w:tcPr>
          <w:p w14:paraId="1A53F940" w14:textId="77777777" w:rsidR="00C31388" w:rsidRPr="004E7EB5" w:rsidRDefault="00C31388" w:rsidP="00DD6B5E">
            <w:pPr>
              <w:jc w:val="left"/>
              <w:cnfStyle w:val="100000000000" w:firstRow="1" w:lastRow="0" w:firstColumn="0" w:lastColumn="0" w:oddVBand="0" w:evenVBand="0" w:oddHBand="0" w:evenHBand="0" w:firstRowFirstColumn="0" w:firstRowLastColumn="0" w:lastRowFirstColumn="0" w:lastRowLastColumn="0"/>
            </w:pPr>
            <w:r w:rsidRPr="004E7EB5">
              <w:t>Brief description</w:t>
            </w:r>
          </w:p>
        </w:tc>
      </w:tr>
      <w:tr w:rsidR="00CA4636" w:rsidRPr="004E7EB5" w14:paraId="35B08B9E" w14:textId="77777777" w:rsidTr="00F9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57977CB" w14:textId="77777777" w:rsidR="00CA4636" w:rsidRPr="004E7EB5" w:rsidRDefault="00CA4636" w:rsidP="00DD6B5E">
            <w:pPr>
              <w:jc w:val="left"/>
            </w:pPr>
            <w:r w:rsidRPr="004E7EB5">
              <w:t>Hydrology</w:t>
            </w:r>
          </w:p>
        </w:tc>
        <w:tc>
          <w:tcPr>
            <w:tcW w:w="0" w:type="auto"/>
          </w:tcPr>
          <w:p w14:paraId="0FF567DD" w14:textId="0784843D" w:rsidR="00CA4636" w:rsidRPr="004E7EB5" w:rsidRDefault="00CA4636" w:rsidP="00DD6B5E">
            <w:pPr>
              <w:jc w:val="left"/>
              <w:cnfStyle w:val="000000100000" w:firstRow="0" w:lastRow="0" w:firstColumn="0" w:lastColumn="0" w:oddVBand="0" w:evenVBand="0" w:oddHBand="1" w:evenHBand="0" w:firstRowFirstColumn="0" w:firstRowLastColumn="0" w:lastRowFirstColumn="0" w:lastRowLastColumn="0"/>
            </w:pPr>
            <w:r>
              <w:t>Surface water</w:t>
            </w:r>
          </w:p>
        </w:tc>
        <w:tc>
          <w:tcPr>
            <w:tcW w:w="0" w:type="auto"/>
          </w:tcPr>
          <w:p w14:paraId="549E36D7" w14:textId="548123F7" w:rsidR="00CA4636" w:rsidRPr="004E7EB5" w:rsidRDefault="00CA4636" w:rsidP="00DD6B5E">
            <w:pPr>
              <w:jc w:val="left"/>
              <w:cnfStyle w:val="000000100000" w:firstRow="0" w:lastRow="0" w:firstColumn="0" w:lastColumn="0" w:oddVBand="0" w:evenVBand="0" w:oddHBand="1" w:evenHBand="0" w:firstRowFirstColumn="0" w:firstRowLastColumn="0" w:lastRowFirstColumn="0" w:lastRowLastColumn="0"/>
            </w:pPr>
            <w:r>
              <w:t>Desirable</w:t>
            </w:r>
          </w:p>
        </w:tc>
        <w:tc>
          <w:tcPr>
            <w:tcW w:w="0" w:type="auto"/>
            <w:vMerge w:val="restart"/>
          </w:tcPr>
          <w:p w14:paraId="54AAC0BA" w14:textId="5AB2E07F" w:rsidR="00CA4636" w:rsidRPr="004E7EB5" w:rsidRDefault="00CA4636" w:rsidP="00DD6B5E">
            <w:pPr>
              <w:jc w:val="left"/>
              <w:cnfStyle w:val="000000100000" w:firstRow="0" w:lastRow="0" w:firstColumn="0" w:lastColumn="0" w:oddVBand="0" w:evenVBand="0" w:oddHBand="1" w:evenHBand="0" w:firstRowFirstColumn="0" w:firstRowLastColumn="0" w:lastRowFirstColumn="0" w:lastRowLastColumn="0"/>
            </w:pPr>
            <w:r w:rsidRPr="004E7EB5">
              <w:t>The hydrological regime of the ecosystem</w:t>
            </w:r>
            <w:r>
              <w:t>(</w:t>
            </w:r>
            <w:r w:rsidRPr="004E7EB5">
              <w:t>s</w:t>
            </w:r>
            <w:r>
              <w:t>)</w:t>
            </w:r>
            <w:r w:rsidRPr="004E7EB5">
              <w:t xml:space="preserve"> in the assessment unit. The timing, movement and distribution of water through the assessment unit.</w:t>
            </w:r>
          </w:p>
        </w:tc>
      </w:tr>
      <w:tr w:rsidR="00CA4636" w:rsidRPr="004E7EB5" w14:paraId="6A667E38" w14:textId="77777777" w:rsidTr="00F963F5">
        <w:tc>
          <w:tcPr>
            <w:cnfStyle w:val="001000000000" w:firstRow="0" w:lastRow="0" w:firstColumn="1" w:lastColumn="0" w:oddVBand="0" w:evenVBand="0" w:oddHBand="0" w:evenHBand="0" w:firstRowFirstColumn="0" w:firstRowLastColumn="0" w:lastRowFirstColumn="0" w:lastRowLastColumn="0"/>
            <w:tcW w:w="0" w:type="auto"/>
            <w:vMerge/>
          </w:tcPr>
          <w:p w14:paraId="64C77BE8" w14:textId="77777777" w:rsidR="00CA4636" w:rsidRPr="004E7EB5" w:rsidRDefault="00CA4636" w:rsidP="00DD6B5E">
            <w:pPr>
              <w:jc w:val="left"/>
            </w:pPr>
          </w:p>
        </w:tc>
        <w:tc>
          <w:tcPr>
            <w:tcW w:w="0" w:type="auto"/>
          </w:tcPr>
          <w:p w14:paraId="53E96E03" w14:textId="790510FE" w:rsidR="00CA4636" w:rsidRDefault="00CA4636" w:rsidP="00DD6B5E">
            <w:pPr>
              <w:jc w:val="left"/>
              <w:cnfStyle w:val="000000000000" w:firstRow="0" w:lastRow="0" w:firstColumn="0" w:lastColumn="0" w:oddVBand="0" w:evenVBand="0" w:oddHBand="0" w:evenHBand="0" w:firstRowFirstColumn="0" w:firstRowLastColumn="0" w:lastRowFirstColumn="0" w:lastRowLastColumn="0"/>
            </w:pPr>
            <w:r>
              <w:t xml:space="preserve">Groundwater </w:t>
            </w:r>
          </w:p>
        </w:tc>
        <w:tc>
          <w:tcPr>
            <w:tcW w:w="0" w:type="auto"/>
          </w:tcPr>
          <w:p w14:paraId="3D2E5729" w14:textId="5269DAA1" w:rsidR="00CA4636" w:rsidRDefault="00CA4636" w:rsidP="00DD6B5E">
            <w:pPr>
              <w:jc w:val="left"/>
              <w:cnfStyle w:val="000000000000" w:firstRow="0" w:lastRow="0" w:firstColumn="0" w:lastColumn="0" w:oddVBand="0" w:evenVBand="0" w:oddHBand="0" w:evenHBand="0" w:firstRowFirstColumn="0" w:firstRowLastColumn="0" w:lastRowFirstColumn="0" w:lastRowLastColumn="0"/>
            </w:pPr>
            <w:r>
              <w:t>Optional</w:t>
            </w:r>
          </w:p>
        </w:tc>
        <w:tc>
          <w:tcPr>
            <w:tcW w:w="0" w:type="auto"/>
            <w:vMerge/>
          </w:tcPr>
          <w:p w14:paraId="35D29337" w14:textId="77777777" w:rsidR="00CA4636" w:rsidRPr="004E7EB5" w:rsidRDefault="00CA4636" w:rsidP="00DD6B5E">
            <w:pPr>
              <w:jc w:val="left"/>
              <w:cnfStyle w:val="000000000000" w:firstRow="0" w:lastRow="0" w:firstColumn="0" w:lastColumn="0" w:oddVBand="0" w:evenVBand="0" w:oddHBand="0" w:evenHBand="0" w:firstRowFirstColumn="0" w:firstRowLastColumn="0" w:lastRowFirstColumn="0" w:lastRowLastColumn="0"/>
            </w:pPr>
          </w:p>
        </w:tc>
      </w:tr>
      <w:tr w:rsidR="00CA4636" w:rsidRPr="004E7EB5" w14:paraId="02FA0DCE" w14:textId="77777777" w:rsidTr="00F9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DEE173E" w14:textId="17327079" w:rsidR="00CA4636" w:rsidRPr="004E7EB5" w:rsidRDefault="00CA4636" w:rsidP="00DD6B5E">
            <w:pPr>
              <w:jc w:val="left"/>
            </w:pPr>
            <w:r>
              <w:t>Water quality</w:t>
            </w:r>
          </w:p>
        </w:tc>
        <w:tc>
          <w:tcPr>
            <w:tcW w:w="0" w:type="auto"/>
          </w:tcPr>
          <w:p w14:paraId="21FE844F" w14:textId="5B8246A4" w:rsidR="00CA4636" w:rsidRPr="004E7EB5" w:rsidRDefault="00CA4636" w:rsidP="00CA4636">
            <w:pPr>
              <w:jc w:val="left"/>
              <w:cnfStyle w:val="000000100000" w:firstRow="0" w:lastRow="0" w:firstColumn="0" w:lastColumn="0" w:oddVBand="0" w:evenVBand="0" w:oddHBand="1" w:evenHBand="0" w:firstRowFirstColumn="0" w:firstRowLastColumn="0" w:lastRowFirstColumn="0" w:lastRowLastColumn="0"/>
            </w:pPr>
            <w:r>
              <w:t xml:space="preserve">Physical </w:t>
            </w:r>
          </w:p>
        </w:tc>
        <w:tc>
          <w:tcPr>
            <w:tcW w:w="0" w:type="auto"/>
          </w:tcPr>
          <w:p w14:paraId="3C269BEC" w14:textId="15253A22" w:rsidR="00CA4636" w:rsidRPr="004E7EB5" w:rsidRDefault="00CA4636" w:rsidP="00DD6B5E">
            <w:pPr>
              <w:jc w:val="left"/>
              <w:cnfStyle w:val="000000100000" w:firstRow="0" w:lastRow="0" w:firstColumn="0" w:lastColumn="0" w:oddVBand="0" w:evenVBand="0" w:oddHBand="1" w:evenHBand="0" w:firstRowFirstColumn="0" w:firstRowLastColumn="0" w:lastRowFirstColumn="0" w:lastRowLastColumn="0"/>
            </w:pPr>
            <w:r>
              <w:t>Desirable</w:t>
            </w:r>
          </w:p>
        </w:tc>
        <w:tc>
          <w:tcPr>
            <w:tcW w:w="0" w:type="auto"/>
            <w:vMerge w:val="restart"/>
          </w:tcPr>
          <w:p w14:paraId="303882AE" w14:textId="5033EC96" w:rsidR="00CA4636" w:rsidRPr="004E7EB5" w:rsidRDefault="00CA4636" w:rsidP="00DD6B5E">
            <w:pPr>
              <w:jc w:val="left"/>
              <w:cnfStyle w:val="000000100000" w:firstRow="0" w:lastRow="0" w:firstColumn="0" w:lastColumn="0" w:oddVBand="0" w:evenVBand="0" w:oddHBand="1" w:evenHBand="0" w:firstRowFirstColumn="0" w:firstRowLastColumn="0" w:lastRowFirstColumn="0" w:lastRowLastColumn="0"/>
            </w:pPr>
            <w:r w:rsidRPr="004E7EB5">
              <w:t>Physico</w:t>
            </w:r>
            <w:r>
              <w:t>-</w:t>
            </w:r>
            <w:r w:rsidRPr="004E7EB5">
              <w:t>chemical characteristics of water within each ecosystem type within the assessment unit</w:t>
            </w:r>
            <w:r>
              <w:t>.</w:t>
            </w:r>
          </w:p>
        </w:tc>
      </w:tr>
      <w:tr w:rsidR="00CA4636" w:rsidRPr="004E7EB5" w14:paraId="76B3A4C1" w14:textId="77777777" w:rsidTr="00F963F5">
        <w:tc>
          <w:tcPr>
            <w:cnfStyle w:val="001000000000" w:firstRow="0" w:lastRow="0" w:firstColumn="1" w:lastColumn="0" w:oddVBand="0" w:evenVBand="0" w:oddHBand="0" w:evenHBand="0" w:firstRowFirstColumn="0" w:firstRowLastColumn="0" w:lastRowFirstColumn="0" w:lastRowLastColumn="0"/>
            <w:tcW w:w="0" w:type="auto"/>
            <w:vMerge/>
          </w:tcPr>
          <w:p w14:paraId="3DB1590B" w14:textId="77777777" w:rsidR="00CA4636" w:rsidRDefault="00CA4636" w:rsidP="00DD6B5E">
            <w:pPr>
              <w:jc w:val="left"/>
            </w:pPr>
          </w:p>
        </w:tc>
        <w:tc>
          <w:tcPr>
            <w:tcW w:w="0" w:type="auto"/>
          </w:tcPr>
          <w:p w14:paraId="57B1C95F" w14:textId="2FDCF2F2" w:rsidR="00CA4636" w:rsidRPr="004E7EB5" w:rsidRDefault="00CA4636" w:rsidP="00DD6B5E">
            <w:pPr>
              <w:jc w:val="left"/>
              <w:cnfStyle w:val="000000000000" w:firstRow="0" w:lastRow="0" w:firstColumn="0" w:lastColumn="0" w:oddVBand="0" w:evenVBand="0" w:oddHBand="0" w:evenHBand="0" w:firstRowFirstColumn="0" w:firstRowLastColumn="0" w:lastRowFirstColumn="0" w:lastRowLastColumn="0"/>
            </w:pPr>
            <w:r>
              <w:t>Chemical</w:t>
            </w:r>
          </w:p>
        </w:tc>
        <w:tc>
          <w:tcPr>
            <w:tcW w:w="0" w:type="auto"/>
          </w:tcPr>
          <w:p w14:paraId="5A871B33" w14:textId="7956D7F0" w:rsidR="00CA4636" w:rsidRDefault="00CA4636" w:rsidP="00DD6B5E">
            <w:pPr>
              <w:jc w:val="left"/>
              <w:cnfStyle w:val="000000000000" w:firstRow="0" w:lastRow="0" w:firstColumn="0" w:lastColumn="0" w:oddVBand="0" w:evenVBand="0" w:oddHBand="0" w:evenHBand="0" w:firstRowFirstColumn="0" w:firstRowLastColumn="0" w:lastRowFirstColumn="0" w:lastRowLastColumn="0"/>
            </w:pPr>
            <w:r>
              <w:t>Desirable</w:t>
            </w:r>
          </w:p>
        </w:tc>
        <w:tc>
          <w:tcPr>
            <w:tcW w:w="0" w:type="auto"/>
            <w:vMerge/>
          </w:tcPr>
          <w:p w14:paraId="0C2B5DA1" w14:textId="77777777" w:rsidR="00CA4636" w:rsidRPr="004E7EB5" w:rsidRDefault="00CA4636" w:rsidP="00DD6B5E">
            <w:pPr>
              <w:jc w:val="left"/>
              <w:cnfStyle w:val="000000000000" w:firstRow="0" w:lastRow="0" w:firstColumn="0" w:lastColumn="0" w:oddVBand="0" w:evenVBand="0" w:oddHBand="0" w:evenHBand="0" w:firstRowFirstColumn="0" w:firstRowLastColumn="0" w:lastRowFirstColumn="0" w:lastRowLastColumn="0"/>
            </w:pPr>
          </w:p>
        </w:tc>
      </w:tr>
      <w:tr w:rsidR="00583019" w:rsidRPr="004E7EB5" w14:paraId="1254F97B" w14:textId="77777777" w:rsidTr="00F9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0E90364" w14:textId="10B5DDA7" w:rsidR="00583019" w:rsidRPr="004E7EB5" w:rsidRDefault="00583019" w:rsidP="00DD6B5E">
            <w:pPr>
              <w:jc w:val="left"/>
            </w:pPr>
            <w:r>
              <w:t>Structural integrity</w:t>
            </w:r>
          </w:p>
        </w:tc>
        <w:tc>
          <w:tcPr>
            <w:tcW w:w="0" w:type="auto"/>
          </w:tcPr>
          <w:p w14:paraId="1633E8C0" w14:textId="77777777" w:rsidR="00583019" w:rsidRPr="004E7EB5" w:rsidRDefault="00583019" w:rsidP="00DD6B5E">
            <w:pPr>
              <w:jc w:val="left"/>
              <w:cnfStyle w:val="000000100000" w:firstRow="0" w:lastRow="0" w:firstColumn="0" w:lastColumn="0" w:oddVBand="0" w:evenVBand="0" w:oddHBand="1" w:evenHBand="0" w:firstRowFirstColumn="0" w:firstRowLastColumn="0" w:lastRowFirstColumn="0" w:lastRowLastColumn="0"/>
            </w:pPr>
            <w:r w:rsidRPr="004E7EB5">
              <w:t>Physical form</w:t>
            </w:r>
          </w:p>
        </w:tc>
        <w:tc>
          <w:tcPr>
            <w:tcW w:w="0" w:type="auto"/>
          </w:tcPr>
          <w:p w14:paraId="6074C3EC" w14:textId="77777777" w:rsidR="00583019" w:rsidRPr="004E7EB5" w:rsidRDefault="00583019" w:rsidP="00DD6B5E">
            <w:pPr>
              <w:jc w:val="left"/>
              <w:cnfStyle w:val="000000100000" w:firstRow="0" w:lastRow="0" w:firstColumn="0" w:lastColumn="0" w:oddVBand="0" w:evenVBand="0" w:oddHBand="1" w:evenHBand="0" w:firstRowFirstColumn="0" w:firstRowLastColumn="0" w:lastRowFirstColumn="0" w:lastRowLastColumn="0"/>
            </w:pPr>
            <w:r w:rsidRPr="004E7EB5">
              <w:t>Optional</w:t>
            </w:r>
          </w:p>
        </w:tc>
        <w:tc>
          <w:tcPr>
            <w:tcW w:w="0" w:type="auto"/>
          </w:tcPr>
          <w:p w14:paraId="7A8D1B15" w14:textId="2C00C82D" w:rsidR="00583019" w:rsidRPr="004E7EB5" w:rsidRDefault="00583019" w:rsidP="00DD6B5E">
            <w:pPr>
              <w:jc w:val="left"/>
              <w:cnfStyle w:val="000000100000" w:firstRow="0" w:lastRow="0" w:firstColumn="0" w:lastColumn="0" w:oddVBand="0" w:evenVBand="0" w:oddHBand="1" w:evenHBand="0" w:firstRowFirstColumn="0" w:firstRowLastColumn="0" w:lastRowFirstColumn="0" w:lastRowLastColumn="0"/>
            </w:pPr>
            <w:r w:rsidRPr="004E7EB5">
              <w:t>The state of local habitat and its likely ability to support aquatic life</w:t>
            </w:r>
            <w:r>
              <w:t>.</w:t>
            </w:r>
          </w:p>
        </w:tc>
      </w:tr>
      <w:tr w:rsidR="00583019" w:rsidRPr="004E7EB5" w14:paraId="46FCF5A3" w14:textId="77777777" w:rsidTr="00F963F5">
        <w:tc>
          <w:tcPr>
            <w:cnfStyle w:val="001000000000" w:firstRow="0" w:lastRow="0" w:firstColumn="1" w:lastColumn="0" w:oddVBand="0" w:evenVBand="0" w:oddHBand="0" w:evenHBand="0" w:firstRowFirstColumn="0" w:firstRowLastColumn="0" w:lastRowFirstColumn="0" w:lastRowLastColumn="0"/>
            <w:tcW w:w="0" w:type="auto"/>
            <w:vMerge/>
          </w:tcPr>
          <w:p w14:paraId="60F3991B" w14:textId="77777777" w:rsidR="00583019" w:rsidRPr="004E7EB5" w:rsidRDefault="00583019" w:rsidP="00DD6B5E">
            <w:pPr>
              <w:jc w:val="left"/>
            </w:pPr>
          </w:p>
        </w:tc>
        <w:tc>
          <w:tcPr>
            <w:tcW w:w="0" w:type="auto"/>
          </w:tcPr>
          <w:p w14:paraId="7C458E33" w14:textId="77777777" w:rsidR="00583019" w:rsidRPr="004E7EB5" w:rsidRDefault="00583019" w:rsidP="00DD6B5E">
            <w:pPr>
              <w:jc w:val="left"/>
              <w:cnfStyle w:val="000000000000" w:firstRow="0" w:lastRow="0" w:firstColumn="0" w:lastColumn="0" w:oddVBand="0" w:evenVBand="0" w:oddHBand="0" w:evenHBand="0" w:firstRowFirstColumn="0" w:firstRowLastColumn="0" w:lastRowFirstColumn="0" w:lastRowLastColumn="0"/>
            </w:pPr>
            <w:r w:rsidRPr="004E7EB5">
              <w:t>Ecosystem extent</w:t>
            </w:r>
          </w:p>
        </w:tc>
        <w:tc>
          <w:tcPr>
            <w:tcW w:w="0" w:type="auto"/>
          </w:tcPr>
          <w:p w14:paraId="136D423A" w14:textId="6BEED288" w:rsidR="00583019" w:rsidRPr="004E7EB5" w:rsidRDefault="00583019" w:rsidP="00DD6B5E">
            <w:pPr>
              <w:jc w:val="left"/>
              <w:cnfStyle w:val="000000000000" w:firstRow="0" w:lastRow="0" w:firstColumn="0" w:lastColumn="0" w:oddVBand="0" w:evenVBand="0" w:oddHBand="0" w:evenHBand="0" w:firstRowFirstColumn="0" w:firstRowLastColumn="0" w:lastRowFirstColumn="0" w:lastRowLastColumn="0"/>
            </w:pPr>
            <w:r>
              <w:t>Desirable</w:t>
            </w:r>
          </w:p>
        </w:tc>
        <w:tc>
          <w:tcPr>
            <w:tcW w:w="0" w:type="auto"/>
          </w:tcPr>
          <w:p w14:paraId="61925CBF" w14:textId="1B9F3036" w:rsidR="00583019" w:rsidRPr="004E7EB5" w:rsidRDefault="00583019" w:rsidP="00DD6B5E">
            <w:pPr>
              <w:jc w:val="left"/>
              <w:cnfStyle w:val="000000000000" w:firstRow="0" w:lastRow="0" w:firstColumn="0" w:lastColumn="0" w:oddVBand="0" w:evenVBand="0" w:oddHBand="0" w:evenHBand="0" w:firstRowFirstColumn="0" w:firstRowLastColumn="0" w:lastRowFirstColumn="0" w:lastRowLastColumn="0"/>
            </w:pPr>
            <w:r>
              <w:t xml:space="preserve">Spatial extent </w:t>
            </w:r>
            <w:r w:rsidRPr="004E7EB5">
              <w:t>of the ecosystem</w:t>
            </w:r>
            <w:r>
              <w:t>(</w:t>
            </w:r>
            <w:r w:rsidRPr="004E7EB5">
              <w:t>s</w:t>
            </w:r>
            <w:r>
              <w:t>)</w:t>
            </w:r>
            <w:r w:rsidRPr="004E7EB5">
              <w:t xml:space="preserve"> within each assessment unit</w:t>
            </w:r>
            <w:r>
              <w:t>.</w:t>
            </w:r>
          </w:p>
        </w:tc>
      </w:tr>
      <w:tr w:rsidR="00583019" w:rsidRPr="004E7EB5" w14:paraId="2EA6ECBD" w14:textId="77777777" w:rsidTr="00F9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168376B" w14:textId="77777777" w:rsidR="00583019" w:rsidRPr="004E7EB5" w:rsidRDefault="00583019" w:rsidP="00DD6B5E">
            <w:pPr>
              <w:jc w:val="left"/>
            </w:pPr>
          </w:p>
        </w:tc>
        <w:tc>
          <w:tcPr>
            <w:tcW w:w="0" w:type="auto"/>
          </w:tcPr>
          <w:p w14:paraId="4622EF78" w14:textId="77777777" w:rsidR="00583019" w:rsidRPr="004E7EB5" w:rsidRDefault="00583019" w:rsidP="00DD6B5E">
            <w:pPr>
              <w:jc w:val="left"/>
              <w:cnfStyle w:val="000000100000" w:firstRow="0" w:lastRow="0" w:firstColumn="0" w:lastColumn="0" w:oddVBand="0" w:evenVBand="0" w:oddHBand="1" w:evenHBand="0" w:firstRowFirstColumn="0" w:firstRowLastColumn="0" w:lastRowFirstColumn="0" w:lastRowLastColumn="0"/>
            </w:pPr>
            <w:r w:rsidRPr="004E7EB5">
              <w:t>Fringing zone</w:t>
            </w:r>
          </w:p>
        </w:tc>
        <w:tc>
          <w:tcPr>
            <w:tcW w:w="0" w:type="auto"/>
          </w:tcPr>
          <w:p w14:paraId="4549A224" w14:textId="26010AD3" w:rsidR="00583019" w:rsidRPr="004E7EB5" w:rsidRDefault="00583019" w:rsidP="00DD6B5E">
            <w:pPr>
              <w:jc w:val="left"/>
              <w:cnfStyle w:val="000000100000" w:firstRow="0" w:lastRow="0" w:firstColumn="0" w:lastColumn="0" w:oddVBand="0" w:evenVBand="0" w:oddHBand="1" w:evenHBand="0" w:firstRowFirstColumn="0" w:firstRowLastColumn="0" w:lastRowFirstColumn="0" w:lastRowLastColumn="0"/>
            </w:pPr>
            <w:r>
              <w:t>Desirable</w:t>
            </w:r>
          </w:p>
        </w:tc>
        <w:tc>
          <w:tcPr>
            <w:tcW w:w="0" w:type="auto"/>
          </w:tcPr>
          <w:p w14:paraId="44BA0036" w14:textId="46AAE314" w:rsidR="00583019" w:rsidRPr="004E7EB5" w:rsidRDefault="00583019">
            <w:pPr>
              <w:jc w:val="left"/>
              <w:cnfStyle w:val="000000100000" w:firstRow="0" w:lastRow="0" w:firstColumn="0" w:lastColumn="0" w:oddVBand="0" w:evenVBand="0" w:oddHBand="1" w:evenHBand="0" w:firstRowFirstColumn="0" w:firstRowLastColumn="0" w:lastRowFirstColumn="0" w:lastRowLastColumn="0"/>
            </w:pPr>
            <w:r w:rsidRPr="004E7EB5">
              <w:t>Structural and condition features of the streamside zone, or the zone surrounding the assessment unit, or ecosystem type</w:t>
            </w:r>
            <w:r>
              <w:t>.</w:t>
            </w:r>
          </w:p>
        </w:tc>
      </w:tr>
      <w:tr w:rsidR="00583019" w:rsidRPr="004E7EB5" w14:paraId="23C89797" w14:textId="77777777" w:rsidTr="00F963F5">
        <w:tc>
          <w:tcPr>
            <w:cnfStyle w:val="001000000000" w:firstRow="0" w:lastRow="0" w:firstColumn="1" w:lastColumn="0" w:oddVBand="0" w:evenVBand="0" w:oddHBand="0" w:evenHBand="0" w:firstRowFirstColumn="0" w:firstRowLastColumn="0" w:lastRowFirstColumn="0" w:lastRowLastColumn="0"/>
            <w:tcW w:w="0" w:type="auto"/>
            <w:vMerge/>
          </w:tcPr>
          <w:p w14:paraId="456FDB3D" w14:textId="77777777" w:rsidR="00583019" w:rsidRPr="004E7EB5" w:rsidRDefault="00583019" w:rsidP="00DD6B5E">
            <w:pPr>
              <w:jc w:val="left"/>
            </w:pPr>
          </w:p>
        </w:tc>
        <w:tc>
          <w:tcPr>
            <w:tcW w:w="0" w:type="auto"/>
          </w:tcPr>
          <w:p w14:paraId="6F3A8547" w14:textId="0562A9DB" w:rsidR="00583019" w:rsidRPr="004E7EB5" w:rsidRDefault="00BF510F" w:rsidP="00DD6B5E">
            <w:pPr>
              <w:jc w:val="left"/>
              <w:cnfStyle w:val="000000000000" w:firstRow="0" w:lastRow="0" w:firstColumn="0" w:lastColumn="0" w:oddVBand="0" w:evenVBand="0" w:oddHBand="0" w:evenHBand="0" w:firstRowFirstColumn="0" w:firstRowLastColumn="0" w:lastRowFirstColumn="0" w:lastRowLastColumn="0"/>
            </w:pPr>
            <w:r>
              <w:t>Soil quality</w:t>
            </w:r>
          </w:p>
        </w:tc>
        <w:tc>
          <w:tcPr>
            <w:tcW w:w="0" w:type="auto"/>
          </w:tcPr>
          <w:p w14:paraId="3317F7FE" w14:textId="77777777" w:rsidR="00583019" w:rsidRPr="004E7EB5" w:rsidRDefault="00583019" w:rsidP="00DD6B5E">
            <w:pPr>
              <w:jc w:val="left"/>
              <w:cnfStyle w:val="000000000000" w:firstRow="0" w:lastRow="0" w:firstColumn="0" w:lastColumn="0" w:oddVBand="0" w:evenVBand="0" w:oddHBand="0" w:evenHBand="0" w:firstRowFirstColumn="0" w:firstRowLastColumn="0" w:lastRowFirstColumn="0" w:lastRowLastColumn="0"/>
            </w:pPr>
            <w:r w:rsidRPr="004E7EB5">
              <w:t>Optional</w:t>
            </w:r>
          </w:p>
        </w:tc>
        <w:tc>
          <w:tcPr>
            <w:tcW w:w="0" w:type="auto"/>
          </w:tcPr>
          <w:p w14:paraId="3991A736" w14:textId="2821F244" w:rsidR="00583019" w:rsidRPr="004E7EB5" w:rsidRDefault="00583019" w:rsidP="00DD6B5E">
            <w:pPr>
              <w:jc w:val="left"/>
              <w:cnfStyle w:val="000000000000" w:firstRow="0" w:lastRow="0" w:firstColumn="0" w:lastColumn="0" w:oddVBand="0" w:evenVBand="0" w:oddHBand="0" w:evenHBand="0" w:firstRowFirstColumn="0" w:firstRowLastColumn="0" w:lastRowFirstColumn="0" w:lastRowLastColumn="0"/>
            </w:pPr>
            <w:r w:rsidRPr="004E7EB5">
              <w:t>Physico</w:t>
            </w:r>
            <w:r>
              <w:t>-</w:t>
            </w:r>
            <w:r w:rsidRPr="004E7EB5">
              <w:t>chemical characteristics of soils within each ecosystem type within the assessment unit</w:t>
            </w:r>
            <w:r>
              <w:t>.</w:t>
            </w:r>
          </w:p>
        </w:tc>
      </w:tr>
      <w:tr w:rsidR="00583019" w:rsidRPr="004E7EB5" w14:paraId="6E0D95A1" w14:textId="77777777" w:rsidTr="00F9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tcPr>
          <w:p w14:paraId="616C2E95" w14:textId="5F7E1559" w:rsidR="00583019" w:rsidRPr="007F142B" w:rsidRDefault="00583019" w:rsidP="00DD6B5E">
            <w:pPr>
              <w:jc w:val="left"/>
              <w:rPr>
                <w:highlight w:val="yellow"/>
              </w:rPr>
            </w:pPr>
            <w:r w:rsidRPr="00F96B61">
              <w:t>Aquatic ecosystem connectivity</w:t>
            </w:r>
          </w:p>
        </w:tc>
        <w:tc>
          <w:tcPr>
            <w:tcW w:w="0" w:type="auto"/>
            <w:tcBorders>
              <w:top w:val="none" w:sz="0" w:space="0" w:color="auto"/>
              <w:bottom w:val="none" w:sz="0" w:space="0" w:color="auto"/>
            </w:tcBorders>
          </w:tcPr>
          <w:p w14:paraId="0E43E2D9" w14:textId="77777777" w:rsidR="00583019" w:rsidRPr="007F142B" w:rsidRDefault="00583019" w:rsidP="00DD6B5E">
            <w:pPr>
              <w:jc w:val="left"/>
              <w:cnfStyle w:val="000000100000" w:firstRow="0" w:lastRow="0" w:firstColumn="0" w:lastColumn="0" w:oddVBand="0" w:evenVBand="0" w:oddHBand="1" w:evenHBand="0" w:firstRowFirstColumn="0" w:firstRowLastColumn="0" w:lastRowFirstColumn="0" w:lastRowLastColumn="0"/>
              <w:rPr>
                <w:highlight w:val="yellow"/>
              </w:rPr>
            </w:pPr>
            <w:r w:rsidRPr="00FE69A8">
              <w:t>Ecological connectivity</w:t>
            </w:r>
          </w:p>
        </w:tc>
        <w:tc>
          <w:tcPr>
            <w:tcW w:w="0" w:type="auto"/>
            <w:tcBorders>
              <w:top w:val="none" w:sz="0" w:space="0" w:color="auto"/>
              <w:bottom w:val="none" w:sz="0" w:space="0" w:color="auto"/>
            </w:tcBorders>
          </w:tcPr>
          <w:p w14:paraId="5D6254B4" w14:textId="6B3AE7DB" w:rsidR="00583019" w:rsidRPr="004E7EB5" w:rsidRDefault="00583019" w:rsidP="00DD6B5E">
            <w:pPr>
              <w:jc w:val="left"/>
              <w:cnfStyle w:val="000000100000" w:firstRow="0" w:lastRow="0" w:firstColumn="0" w:lastColumn="0" w:oddVBand="0" w:evenVBand="0" w:oddHBand="1" w:evenHBand="0" w:firstRowFirstColumn="0" w:firstRowLastColumn="0" w:lastRowFirstColumn="0" w:lastRowLastColumn="0"/>
            </w:pPr>
            <w:r>
              <w:t>Desirable</w:t>
            </w:r>
          </w:p>
        </w:tc>
        <w:tc>
          <w:tcPr>
            <w:tcW w:w="0" w:type="auto"/>
            <w:tcBorders>
              <w:top w:val="none" w:sz="0" w:space="0" w:color="auto"/>
              <w:bottom w:val="none" w:sz="0" w:space="0" w:color="auto"/>
              <w:right w:val="none" w:sz="0" w:space="0" w:color="auto"/>
            </w:tcBorders>
          </w:tcPr>
          <w:p w14:paraId="7B89BC66" w14:textId="0C85DB7B" w:rsidR="00583019" w:rsidRPr="004E7EB5" w:rsidRDefault="00583019" w:rsidP="001F4582">
            <w:pPr>
              <w:jc w:val="left"/>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lang w:eastAsia="en-AU"/>
              </w:rPr>
              <w:t>Structural or functional connectivity</w:t>
            </w:r>
            <w:r w:rsidRPr="00E8232F">
              <w:rPr>
                <w:rFonts w:asciiTheme="minorHAnsi" w:hAnsiTheme="minorHAnsi" w:cstheme="minorHAnsi"/>
                <w:lang w:eastAsia="en-AU"/>
              </w:rPr>
              <w:t xml:space="preserve"> that allow materials or organisms to move between or influence habitats, populations or assemblages that are intermittently isolated in space or time</w:t>
            </w:r>
            <w:r>
              <w:rPr>
                <w:rFonts w:asciiTheme="minorHAnsi" w:hAnsiTheme="minorHAnsi" w:cstheme="minorHAnsi"/>
                <w:lang w:eastAsia="en-AU"/>
              </w:rPr>
              <w:t xml:space="preserve"> </w:t>
            </w:r>
            <w:r>
              <w:rPr>
                <w:rFonts w:asciiTheme="minorHAnsi" w:hAnsiTheme="minorHAnsi" w:cstheme="minorHAnsi"/>
                <w:lang w:eastAsia="en-AU"/>
              </w:rPr>
              <w:fldChar w:fldCharType="begin"/>
            </w:r>
            <w:r>
              <w:rPr>
                <w:rFonts w:asciiTheme="minorHAnsi" w:hAnsiTheme="minorHAnsi" w:cstheme="minorHAnsi"/>
                <w:lang w:eastAsia="en-AU"/>
              </w:rPr>
              <w:instrText xml:space="preserve"> ADDIN ZOTERO_ITEM CSL_CITATION {"citationID":"2jjp3sbvkb","properties":{"formattedCitation":"(Kindlmann and Burel 2008)","plainCitation":"(Kindlmann and Burel 2008)"},"citationItems":[{"id":3435,"uris":["http://zotero.org/users/3119797/items/S2NPZCD9"],"uri":["http://zotero.org/users/3119797/items/S2NPZCD9"],"itemData":{"id":3435,"type":"article-journal","title":"Connectivity measures: a review","container-title":"Landscape Ecology","page":"879-890","volume":"23","source":"CrossRef","DOI":"10.1007/s10980-008-9245-4","ISSN":"0921-2973, 1572-9761","shortTitle":"Connectivity measures","language":"en","author":[{"family":"Kindlmann","given":"Pavel"},{"family":"Burel","given":"Francoise"}],"issued":{"date-parts":[["2008",7,31]]}}}],"schema":"https://github.com/citation-style-language/schema/raw/master/csl-citation.json"} </w:instrText>
            </w:r>
            <w:r>
              <w:rPr>
                <w:rFonts w:asciiTheme="minorHAnsi" w:hAnsiTheme="minorHAnsi" w:cstheme="minorHAnsi"/>
                <w:lang w:eastAsia="en-AU"/>
              </w:rPr>
              <w:fldChar w:fldCharType="separate"/>
            </w:r>
            <w:r w:rsidRPr="001F4582">
              <w:rPr>
                <w:rFonts w:cs="Calibri"/>
              </w:rPr>
              <w:t>(Kindlmann and Burel 2008</w:t>
            </w:r>
            <w:r>
              <w:rPr>
                <w:rFonts w:cs="Calibri"/>
              </w:rPr>
              <w:t>,</w:t>
            </w:r>
            <w:r>
              <w:rPr>
                <w:rFonts w:asciiTheme="minorHAnsi" w:hAnsiTheme="minorHAnsi" w:cstheme="minorHAnsi"/>
                <w:lang w:eastAsia="en-AU"/>
              </w:rPr>
              <w:fldChar w:fldCharType="end"/>
            </w:r>
            <w:r w:rsidRPr="00E8232F">
              <w:rPr>
                <w:rFonts w:asciiTheme="minorHAnsi" w:hAnsiTheme="minorHAnsi" w:cstheme="minorHAnsi"/>
                <w:lang w:eastAsia="en-AU"/>
              </w:rPr>
              <w:t xml:space="preserve"> </w:t>
            </w:r>
            <w:r>
              <w:rPr>
                <w:rFonts w:asciiTheme="minorHAnsi" w:hAnsiTheme="minorHAnsi" w:cstheme="minorHAnsi"/>
                <w:lang w:eastAsia="en-AU"/>
              </w:rPr>
              <w:fldChar w:fldCharType="begin"/>
            </w:r>
            <w:r>
              <w:rPr>
                <w:rFonts w:asciiTheme="minorHAnsi" w:hAnsiTheme="minorHAnsi" w:cstheme="minorHAnsi"/>
                <w:lang w:eastAsia="en-AU"/>
              </w:rPr>
              <w:instrText xml:space="preserve"> ADDIN ZOTERO_ITEM CSL_CITATION {"citationID":"1n03v4ki39","properties":{"formattedCitation":"(Sheaves 2009)","plainCitation":"(Sheaves 2009)"},"citationItems":[{"id":3434,"uris":["http://zotero.org/users/3119797/items/A35A4CVW"],"uri":["http://zotero.org/users/3119797/items/A35A4CVW"],"itemData":{"id":3434,"type":"article-journal","title":"Consequences of ecological connectivity: the coastal ecosystem mosaic","container-title":"Marine Ecology Progress Series","page":"107-115","volume":"391","source":"CrossRef","DOI":"10.3354/meps08121","ISSN":"0171-8630, 1616-1599","shortTitle":"Consequences of ecological connectivity","language":"en","author":[{"family":"Sheaves","given":"M"}],"issued":{"date-parts":[["2009",9,28]]}}}],"schema":"https://github.com/citation-style-language/schema/raw/master/csl-citation.json"} </w:instrText>
            </w:r>
            <w:r>
              <w:rPr>
                <w:rFonts w:asciiTheme="minorHAnsi" w:hAnsiTheme="minorHAnsi" w:cstheme="minorHAnsi"/>
                <w:lang w:eastAsia="en-AU"/>
              </w:rPr>
              <w:fldChar w:fldCharType="separate"/>
            </w:r>
            <w:r w:rsidRPr="00826F0B">
              <w:rPr>
                <w:rFonts w:cs="Calibri"/>
              </w:rPr>
              <w:t>Sheaves 2009</w:t>
            </w:r>
            <w:r>
              <w:rPr>
                <w:rFonts w:asciiTheme="minorHAnsi" w:hAnsiTheme="minorHAnsi" w:cstheme="minorHAnsi"/>
                <w:lang w:eastAsia="en-AU"/>
              </w:rPr>
              <w:fldChar w:fldCharType="end"/>
            </w:r>
            <w:r>
              <w:rPr>
                <w:rFonts w:asciiTheme="minorHAnsi" w:hAnsiTheme="minorHAnsi" w:cstheme="minorHAnsi"/>
                <w:lang w:eastAsia="en-AU"/>
              </w:rPr>
              <w:t>).</w:t>
            </w:r>
          </w:p>
        </w:tc>
      </w:tr>
      <w:tr w:rsidR="00583019" w:rsidRPr="004E7EB5" w14:paraId="2716397F" w14:textId="77777777" w:rsidTr="00F963F5">
        <w:tc>
          <w:tcPr>
            <w:cnfStyle w:val="001000000000" w:firstRow="0" w:lastRow="0" w:firstColumn="1" w:lastColumn="0" w:oddVBand="0" w:evenVBand="0" w:oddHBand="0" w:evenHBand="0" w:firstRowFirstColumn="0" w:firstRowLastColumn="0" w:lastRowFirstColumn="0" w:lastRowLastColumn="0"/>
            <w:tcW w:w="0" w:type="auto"/>
            <w:vMerge/>
          </w:tcPr>
          <w:p w14:paraId="4AA3F85C" w14:textId="77777777" w:rsidR="00583019" w:rsidRPr="00F96B61" w:rsidRDefault="00583019" w:rsidP="00DD6B5E">
            <w:pPr>
              <w:jc w:val="left"/>
            </w:pPr>
          </w:p>
        </w:tc>
        <w:tc>
          <w:tcPr>
            <w:tcW w:w="0" w:type="auto"/>
          </w:tcPr>
          <w:p w14:paraId="0F7BC049" w14:textId="005BFDBC" w:rsidR="00583019" w:rsidRPr="007F142B" w:rsidRDefault="00583019" w:rsidP="00DD6B5E">
            <w:pPr>
              <w:jc w:val="left"/>
              <w:cnfStyle w:val="000000000000" w:firstRow="0" w:lastRow="0" w:firstColumn="0" w:lastColumn="0" w:oddVBand="0" w:evenVBand="0" w:oddHBand="0" w:evenHBand="0" w:firstRowFirstColumn="0" w:firstRowLastColumn="0" w:lastRowFirstColumn="0" w:lastRowLastColumn="0"/>
              <w:rPr>
                <w:highlight w:val="yellow"/>
              </w:rPr>
            </w:pPr>
            <w:r w:rsidRPr="00FE69A8">
              <w:t>Hydrological connectivity</w:t>
            </w:r>
          </w:p>
        </w:tc>
        <w:tc>
          <w:tcPr>
            <w:tcW w:w="0" w:type="auto"/>
          </w:tcPr>
          <w:p w14:paraId="198C6259" w14:textId="4C1E535A" w:rsidR="00583019" w:rsidRPr="004E7EB5" w:rsidRDefault="00583019" w:rsidP="00DD6B5E">
            <w:pPr>
              <w:jc w:val="left"/>
              <w:cnfStyle w:val="000000000000" w:firstRow="0" w:lastRow="0" w:firstColumn="0" w:lastColumn="0" w:oddVBand="0" w:evenVBand="0" w:oddHBand="0" w:evenHBand="0" w:firstRowFirstColumn="0" w:firstRowLastColumn="0" w:lastRowFirstColumn="0" w:lastRowLastColumn="0"/>
            </w:pPr>
            <w:r>
              <w:t>Desirable</w:t>
            </w:r>
          </w:p>
        </w:tc>
        <w:tc>
          <w:tcPr>
            <w:tcW w:w="0" w:type="auto"/>
          </w:tcPr>
          <w:p w14:paraId="39A5C228" w14:textId="2DB13EE7" w:rsidR="00583019" w:rsidRPr="004E7EB5" w:rsidRDefault="00583019" w:rsidP="00E8416D">
            <w:pPr>
              <w:jc w:val="left"/>
              <w:cnfStyle w:val="000000000000" w:firstRow="0" w:lastRow="0" w:firstColumn="0" w:lastColumn="0" w:oddVBand="0" w:evenVBand="0" w:oddHBand="0" w:evenHBand="0" w:firstRowFirstColumn="0" w:firstRowLastColumn="0" w:lastRowFirstColumn="0" w:lastRowLastColumn="0"/>
            </w:pPr>
            <w:r>
              <w:t>W</w:t>
            </w:r>
            <w:r w:rsidRPr="00FE69A8">
              <w:t xml:space="preserve">ater-mediated transfer of matter, energy, and/or organisms within or between elements of the hydrologic cycle </w:t>
            </w:r>
            <w:r>
              <w:fldChar w:fldCharType="begin"/>
            </w:r>
            <w:r>
              <w:instrText xml:space="preserve"> ADDIN ZOTERO_ITEM CSL_CITATION {"citationID":"a3gm8am1n","properties":{"formattedCitation":"(Pringle 2003)","plainCitation":"(Pringle 2003)"},"citationItems":[{"id":254,"uris":["http://zotero.org/users/3119797/items/85SUXHV6"],"uri":["http://zotero.org/users/3119797/items/85SUXHV6"],"itemData":{"id":254,"type":"article-journal","title":"What is hydrologic connectivity and why is it ecologically important?","container-title":"Hydrological Processes","page":"2685-2689","volume":"17","issue":"13","source":"CrossRef","DOI":"10.1002/hyp.5145","ISSN":"0885-6087, 1099-1085","language":"en","author":[{"family":"Pringle","given":"Catherine"}],"issued":{"date-parts":[["2003",9]]}}}],"schema":"https://github.com/citation-style-language/schema/raw/master/csl-citation.json"} </w:instrText>
            </w:r>
            <w:r>
              <w:fldChar w:fldCharType="separate"/>
            </w:r>
            <w:r w:rsidRPr="00E8416D">
              <w:rPr>
                <w:rFonts w:cs="Calibri"/>
              </w:rPr>
              <w:t>(Pringle 2003)</w:t>
            </w:r>
            <w:r>
              <w:fldChar w:fldCharType="end"/>
            </w:r>
            <w:r>
              <w:t>.</w:t>
            </w:r>
          </w:p>
        </w:tc>
      </w:tr>
      <w:tr w:rsidR="00583019" w:rsidRPr="004E7EB5" w14:paraId="5BB339D7" w14:textId="77777777" w:rsidTr="00F9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tcPr>
          <w:p w14:paraId="1A323601" w14:textId="77777777" w:rsidR="00583019" w:rsidRPr="004E7EB5" w:rsidRDefault="00583019" w:rsidP="00DD6B5E">
            <w:pPr>
              <w:jc w:val="left"/>
            </w:pPr>
            <w:r w:rsidRPr="004E7EB5">
              <w:t>Biodiversity</w:t>
            </w:r>
          </w:p>
        </w:tc>
        <w:tc>
          <w:tcPr>
            <w:tcW w:w="0" w:type="auto"/>
            <w:tcBorders>
              <w:top w:val="none" w:sz="0" w:space="0" w:color="auto"/>
              <w:bottom w:val="none" w:sz="0" w:space="0" w:color="auto"/>
            </w:tcBorders>
          </w:tcPr>
          <w:p w14:paraId="134E893A" w14:textId="4509571E" w:rsidR="00583019" w:rsidRPr="004E7EB5" w:rsidRDefault="00583019" w:rsidP="000A0C1A">
            <w:pPr>
              <w:jc w:val="left"/>
              <w:cnfStyle w:val="000000100000" w:firstRow="0" w:lastRow="0" w:firstColumn="0" w:lastColumn="0" w:oddVBand="0" w:evenVBand="0" w:oddHBand="1" w:evenHBand="0" w:firstRowFirstColumn="0" w:firstRowLastColumn="0" w:lastRowFirstColumn="0" w:lastRowLastColumn="0"/>
            </w:pPr>
            <w:r w:rsidRPr="004E7EB5">
              <w:t>Aquatic biota</w:t>
            </w:r>
          </w:p>
        </w:tc>
        <w:tc>
          <w:tcPr>
            <w:tcW w:w="0" w:type="auto"/>
            <w:tcBorders>
              <w:top w:val="none" w:sz="0" w:space="0" w:color="auto"/>
              <w:bottom w:val="none" w:sz="0" w:space="0" w:color="auto"/>
            </w:tcBorders>
          </w:tcPr>
          <w:p w14:paraId="46F326C6" w14:textId="70396630" w:rsidR="00583019" w:rsidRPr="004E7EB5" w:rsidRDefault="00583019" w:rsidP="00DD6B5E">
            <w:pPr>
              <w:jc w:val="left"/>
              <w:cnfStyle w:val="000000100000" w:firstRow="0" w:lastRow="0" w:firstColumn="0" w:lastColumn="0" w:oddVBand="0" w:evenVBand="0" w:oddHBand="1" w:evenHBand="0" w:firstRowFirstColumn="0" w:firstRowLastColumn="0" w:lastRowFirstColumn="0" w:lastRowLastColumn="0"/>
            </w:pPr>
            <w:r>
              <w:t>Desirable</w:t>
            </w:r>
          </w:p>
        </w:tc>
        <w:tc>
          <w:tcPr>
            <w:tcW w:w="0" w:type="auto"/>
            <w:tcBorders>
              <w:top w:val="none" w:sz="0" w:space="0" w:color="auto"/>
              <w:bottom w:val="none" w:sz="0" w:space="0" w:color="auto"/>
              <w:right w:val="none" w:sz="0" w:space="0" w:color="auto"/>
            </w:tcBorders>
          </w:tcPr>
          <w:p w14:paraId="79235650" w14:textId="2EDCF83F" w:rsidR="00583019" w:rsidRPr="004E7EB5" w:rsidRDefault="00583019" w:rsidP="000A0C1A">
            <w:pPr>
              <w:jc w:val="left"/>
              <w:cnfStyle w:val="000000100000" w:firstRow="0" w:lastRow="0" w:firstColumn="0" w:lastColumn="0" w:oddVBand="0" w:evenVBand="0" w:oddHBand="1" w:evenHBand="0" w:firstRowFirstColumn="0" w:firstRowLastColumn="0" w:lastRowFirstColumn="0" w:lastRowLastColumn="0"/>
            </w:pPr>
            <w:r>
              <w:t>Species richness, abundance, composition, critical life stages of aquatic biota.</w:t>
            </w:r>
          </w:p>
        </w:tc>
      </w:tr>
      <w:tr w:rsidR="00583019" w:rsidRPr="004E7EB5" w14:paraId="0E70CBBD" w14:textId="77777777" w:rsidTr="00F963F5">
        <w:tc>
          <w:tcPr>
            <w:cnfStyle w:val="001000000000" w:firstRow="0" w:lastRow="0" w:firstColumn="1" w:lastColumn="0" w:oddVBand="0" w:evenVBand="0" w:oddHBand="0" w:evenHBand="0" w:firstRowFirstColumn="0" w:firstRowLastColumn="0" w:lastRowFirstColumn="0" w:lastRowLastColumn="0"/>
            <w:tcW w:w="0" w:type="auto"/>
            <w:vMerge/>
          </w:tcPr>
          <w:p w14:paraId="05BED3D6" w14:textId="77777777" w:rsidR="00583019" w:rsidRPr="004E7EB5" w:rsidRDefault="00583019" w:rsidP="00DD6B5E">
            <w:pPr>
              <w:jc w:val="left"/>
            </w:pPr>
          </w:p>
        </w:tc>
        <w:tc>
          <w:tcPr>
            <w:tcW w:w="0" w:type="auto"/>
          </w:tcPr>
          <w:p w14:paraId="04D16D59" w14:textId="3F495334" w:rsidR="00583019" w:rsidRPr="004E7EB5" w:rsidRDefault="00583019" w:rsidP="00112156">
            <w:pPr>
              <w:jc w:val="left"/>
              <w:cnfStyle w:val="000000000000" w:firstRow="0" w:lastRow="0" w:firstColumn="0" w:lastColumn="0" w:oddVBand="0" w:evenVBand="0" w:oddHBand="0" w:evenHBand="0" w:firstRowFirstColumn="0" w:firstRowLastColumn="0" w:lastRowFirstColumn="0" w:lastRowLastColumn="0"/>
            </w:pPr>
            <w:r w:rsidRPr="004E7EB5">
              <w:t xml:space="preserve">Ecosystem </w:t>
            </w:r>
            <w:r>
              <w:t>diversity</w:t>
            </w:r>
          </w:p>
        </w:tc>
        <w:tc>
          <w:tcPr>
            <w:tcW w:w="0" w:type="auto"/>
          </w:tcPr>
          <w:p w14:paraId="715C9013" w14:textId="77777777" w:rsidR="00583019" w:rsidRPr="004E7EB5" w:rsidRDefault="00583019" w:rsidP="00DD6B5E">
            <w:pPr>
              <w:jc w:val="left"/>
              <w:cnfStyle w:val="000000000000" w:firstRow="0" w:lastRow="0" w:firstColumn="0" w:lastColumn="0" w:oddVBand="0" w:evenVBand="0" w:oddHBand="0" w:evenHBand="0" w:firstRowFirstColumn="0" w:firstRowLastColumn="0" w:lastRowFirstColumn="0" w:lastRowLastColumn="0"/>
            </w:pPr>
            <w:r w:rsidRPr="004E7EB5">
              <w:t>Optional</w:t>
            </w:r>
          </w:p>
        </w:tc>
        <w:tc>
          <w:tcPr>
            <w:tcW w:w="0" w:type="auto"/>
          </w:tcPr>
          <w:p w14:paraId="07101135" w14:textId="0D86075C" w:rsidR="00583019" w:rsidRPr="004E7EB5" w:rsidRDefault="00583019" w:rsidP="00DD6B5E">
            <w:pPr>
              <w:jc w:val="left"/>
              <w:cnfStyle w:val="000000000000" w:firstRow="0" w:lastRow="0" w:firstColumn="0" w:lastColumn="0" w:oddVBand="0" w:evenVBand="0" w:oddHBand="0" w:evenHBand="0" w:firstRowFirstColumn="0" w:firstRowLastColumn="0" w:lastRowFirstColumn="0" w:lastRowLastColumn="0"/>
            </w:pPr>
            <w:r>
              <w:t xml:space="preserve">Diversity </w:t>
            </w:r>
            <w:r w:rsidRPr="004E7EB5">
              <w:t>of the ecosystems within each assessment unit</w:t>
            </w:r>
            <w:r>
              <w:t>.</w:t>
            </w:r>
          </w:p>
        </w:tc>
      </w:tr>
      <w:tr w:rsidR="00583019" w:rsidRPr="004E7EB5" w14:paraId="7DF88A9B" w14:textId="77777777" w:rsidTr="00F9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tcPr>
          <w:p w14:paraId="1844CEF4" w14:textId="7E9F69A7" w:rsidR="00583019" w:rsidRPr="004E7EB5" w:rsidRDefault="00583019" w:rsidP="00DD6B5E">
            <w:pPr>
              <w:jc w:val="left"/>
            </w:pPr>
            <w:r>
              <w:t xml:space="preserve">Ecosystem </w:t>
            </w:r>
            <w:r w:rsidRPr="004E7EB5">
              <w:t>Services</w:t>
            </w:r>
          </w:p>
        </w:tc>
        <w:tc>
          <w:tcPr>
            <w:tcW w:w="0" w:type="auto"/>
            <w:tcBorders>
              <w:top w:val="none" w:sz="0" w:space="0" w:color="auto"/>
              <w:bottom w:val="none" w:sz="0" w:space="0" w:color="auto"/>
            </w:tcBorders>
          </w:tcPr>
          <w:p w14:paraId="22C43072" w14:textId="77777777" w:rsidR="00583019" w:rsidRPr="004E7EB5" w:rsidRDefault="00583019" w:rsidP="00DD6B5E">
            <w:pPr>
              <w:jc w:val="left"/>
              <w:cnfStyle w:val="000000100000" w:firstRow="0" w:lastRow="0" w:firstColumn="0" w:lastColumn="0" w:oddVBand="0" w:evenVBand="0" w:oddHBand="1" w:evenHBand="0" w:firstRowFirstColumn="0" w:firstRowLastColumn="0" w:lastRowFirstColumn="0" w:lastRowLastColumn="0"/>
            </w:pPr>
            <w:r w:rsidRPr="004E7EB5">
              <w:t>Regulating</w:t>
            </w:r>
          </w:p>
        </w:tc>
        <w:tc>
          <w:tcPr>
            <w:tcW w:w="0" w:type="auto"/>
            <w:tcBorders>
              <w:top w:val="none" w:sz="0" w:space="0" w:color="auto"/>
              <w:bottom w:val="none" w:sz="0" w:space="0" w:color="auto"/>
            </w:tcBorders>
          </w:tcPr>
          <w:p w14:paraId="5B835C08" w14:textId="77777777" w:rsidR="00583019" w:rsidRPr="004E7EB5" w:rsidRDefault="00583019" w:rsidP="00DD6B5E">
            <w:pPr>
              <w:jc w:val="left"/>
              <w:cnfStyle w:val="000000100000" w:firstRow="0" w:lastRow="0" w:firstColumn="0" w:lastColumn="0" w:oddVBand="0" w:evenVBand="0" w:oddHBand="1" w:evenHBand="0" w:firstRowFirstColumn="0" w:firstRowLastColumn="0" w:lastRowFirstColumn="0" w:lastRowLastColumn="0"/>
            </w:pPr>
            <w:r w:rsidRPr="004E7EB5">
              <w:t>Optional</w:t>
            </w:r>
          </w:p>
        </w:tc>
        <w:tc>
          <w:tcPr>
            <w:tcW w:w="0" w:type="auto"/>
            <w:vMerge w:val="restart"/>
            <w:tcBorders>
              <w:top w:val="none" w:sz="0" w:space="0" w:color="auto"/>
              <w:bottom w:val="none" w:sz="0" w:space="0" w:color="auto"/>
              <w:right w:val="none" w:sz="0" w:space="0" w:color="auto"/>
            </w:tcBorders>
          </w:tcPr>
          <w:p w14:paraId="596E77D8" w14:textId="77777777" w:rsidR="00583019" w:rsidRPr="004E7EB5" w:rsidRDefault="00583019" w:rsidP="00DD6B5E">
            <w:pPr>
              <w:jc w:val="left"/>
              <w:cnfStyle w:val="000000100000" w:firstRow="0" w:lastRow="0" w:firstColumn="0" w:lastColumn="0" w:oddVBand="0" w:evenVBand="0" w:oddHBand="1" w:evenHBand="0" w:firstRowFirstColumn="0" w:firstRowLastColumn="0" w:lastRowFirstColumn="0" w:lastRowLastColumn="0"/>
            </w:pPr>
            <w:r w:rsidRPr="004E7EB5">
              <w:t xml:space="preserve">Contributions that ecosystems make to human well-being. They are seen as arising from the interaction of biotic and abiotic processes, and refer specifically to the ‘final’ outputs or products from ecological systems. That is, the things directly consumed or used by people </w:t>
            </w:r>
            <w:r w:rsidRPr="004E7EB5">
              <w:fldChar w:fldCharType="begin"/>
            </w:r>
            <w:r w:rsidRPr="004E7EB5">
              <w:instrText xml:space="preserve"> ADDIN ZOTERO_ITEM CSL_CITATION {"citationID":"2kuvdca1fi","properties":{"formattedCitation":"(Haines-Young and Potschin 2011)","plainCitation":"(Haines-Young and Potschin 2011)"},"citationItems":[{"id":3193,"uris":["http://zotero.org/users/3119797/items/TWKV8RJP"],"uri":["http://zotero.org/users/3119797/items/TWKV8RJP"],"itemData":{"id":3193,"type":"article","title":"Common International Classification of Ecosystem Services (CICES): 2011 Update. Paper prepared for discussion at the expert meeting on ecosystem accounts organised by the UNSD, the EEA and the World Bank, London, December 2011","author":[{"family":"Haines-Young","given":"R. H."},{"family":"Potschin","given":"M. B."}],"issued":{"date-parts":[["2011"]]}}}],"schema":"https://github.com/citation-style-language/schema/raw/master/csl-citation.json"} </w:instrText>
            </w:r>
            <w:r w:rsidRPr="004E7EB5">
              <w:fldChar w:fldCharType="separate"/>
            </w:r>
            <w:r w:rsidRPr="004E7EB5">
              <w:rPr>
                <w:rFonts w:cs="Calibri"/>
              </w:rPr>
              <w:t>(Haines-Young and Potschin 2011)</w:t>
            </w:r>
            <w:r w:rsidRPr="004E7EB5">
              <w:fldChar w:fldCharType="end"/>
            </w:r>
            <w:r w:rsidRPr="004E7EB5">
              <w:t>.</w:t>
            </w:r>
          </w:p>
        </w:tc>
      </w:tr>
      <w:tr w:rsidR="00583019" w:rsidRPr="004E7EB5" w14:paraId="5746513F" w14:textId="77777777" w:rsidTr="00F963F5">
        <w:tc>
          <w:tcPr>
            <w:cnfStyle w:val="001000000000" w:firstRow="0" w:lastRow="0" w:firstColumn="1" w:lastColumn="0" w:oddVBand="0" w:evenVBand="0" w:oddHBand="0" w:evenHBand="0" w:firstRowFirstColumn="0" w:firstRowLastColumn="0" w:lastRowFirstColumn="0" w:lastRowLastColumn="0"/>
            <w:tcW w:w="0" w:type="auto"/>
            <w:vMerge/>
          </w:tcPr>
          <w:p w14:paraId="42EA6727" w14:textId="77777777" w:rsidR="00583019" w:rsidRPr="004E7EB5" w:rsidRDefault="00583019" w:rsidP="00DD6B5E">
            <w:pPr>
              <w:jc w:val="left"/>
            </w:pPr>
          </w:p>
        </w:tc>
        <w:tc>
          <w:tcPr>
            <w:tcW w:w="0" w:type="auto"/>
          </w:tcPr>
          <w:p w14:paraId="35840CF9" w14:textId="77777777" w:rsidR="00583019" w:rsidRPr="004E7EB5" w:rsidRDefault="00583019" w:rsidP="00DD6B5E">
            <w:pPr>
              <w:jc w:val="left"/>
              <w:cnfStyle w:val="000000000000" w:firstRow="0" w:lastRow="0" w:firstColumn="0" w:lastColumn="0" w:oddVBand="0" w:evenVBand="0" w:oddHBand="0" w:evenHBand="0" w:firstRowFirstColumn="0" w:firstRowLastColumn="0" w:lastRowFirstColumn="0" w:lastRowLastColumn="0"/>
            </w:pPr>
            <w:r w:rsidRPr="004E7EB5">
              <w:t>Provisioning</w:t>
            </w:r>
          </w:p>
        </w:tc>
        <w:tc>
          <w:tcPr>
            <w:tcW w:w="0" w:type="auto"/>
          </w:tcPr>
          <w:p w14:paraId="25F28313" w14:textId="77777777" w:rsidR="00583019" w:rsidRPr="004E7EB5" w:rsidRDefault="00583019" w:rsidP="00DD6B5E">
            <w:pPr>
              <w:jc w:val="left"/>
              <w:cnfStyle w:val="000000000000" w:firstRow="0" w:lastRow="0" w:firstColumn="0" w:lastColumn="0" w:oddVBand="0" w:evenVBand="0" w:oddHBand="0" w:evenHBand="0" w:firstRowFirstColumn="0" w:firstRowLastColumn="0" w:lastRowFirstColumn="0" w:lastRowLastColumn="0"/>
            </w:pPr>
            <w:r w:rsidRPr="004E7EB5">
              <w:t>Optional</w:t>
            </w:r>
          </w:p>
        </w:tc>
        <w:tc>
          <w:tcPr>
            <w:tcW w:w="0" w:type="auto"/>
            <w:vMerge/>
          </w:tcPr>
          <w:p w14:paraId="639B48D7" w14:textId="77777777" w:rsidR="00583019" w:rsidRPr="004E7EB5" w:rsidRDefault="00583019" w:rsidP="00DD6B5E">
            <w:pPr>
              <w:jc w:val="left"/>
              <w:cnfStyle w:val="000000000000" w:firstRow="0" w:lastRow="0" w:firstColumn="0" w:lastColumn="0" w:oddVBand="0" w:evenVBand="0" w:oddHBand="0" w:evenHBand="0" w:firstRowFirstColumn="0" w:firstRowLastColumn="0" w:lastRowFirstColumn="0" w:lastRowLastColumn="0"/>
            </w:pPr>
          </w:p>
        </w:tc>
      </w:tr>
      <w:tr w:rsidR="00583019" w:rsidRPr="004E7EB5" w14:paraId="04A499F3" w14:textId="77777777" w:rsidTr="00F9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3FA7C25E" w14:textId="77777777" w:rsidR="00583019" w:rsidRPr="004E7EB5" w:rsidRDefault="00583019" w:rsidP="00DD6B5E">
            <w:pPr>
              <w:jc w:val="left"/>
            </w:pPr>
          </w:p>
        </w:tc>
        <w:tc>
          <w:tcPr>
            <w:tcW w:w="0" w:type="auto"/>
            <w:tcBorders>
              <w:top w:val="none" w:sz="0" w:space="0" w:color="auto"/>
              <w:bottom w:val="none" w:sz="0" w:space="0" w:color="auto"/>
            </w:tcBorders>
          </w:tcPr>
          <w:p w14:paraId="21D859E1" w14:textId="77777777" w:rsidR="00583019" w:rsidRPr="004E7EB5" w:rsidRDefault="00583019" w:rsidP="00DD6B5E">
            <w:pPr>
              <w:jc w:val="left"/>
              <w:cnfStyle w:val="000000100000" w:firstRow="0" w:lastRow="0" w:firstColumn="0" w:lastColumn="0" w:oddVBand="0" w:evenVBand="0" w:oddHBand="1" w:evenHBand="0" w:firstRowFirstColumn="0" w:firstRowLastColumn="0" w:lastRowFirstColumn="0" w:lastRowLastColumn="0"/>
            </w:pPr>
            <w:r w:rsidRPr="004E7EB5">
              <w:t>Cultural</w:t>
            </w:r>
          </w:p>
        </w:tc>
        <w:tc>
          <w:tcPr>
            <w:tcW w:w="0" w:type="auto"/>
            <w:tcBorders>
              <w:top w:val="none" w:sz="0" w:space="0" w:color="auto"/>
              <w:bottom w:val="none" w:sz="0" w:space="0" w:color="auto"/>
            </w:tcBorders>
          </w:tcPr>
          <w:p w14:paraId="03FCDC64" w14:textId="77777777" w:rsidR="00583019" w:rsidRPr="004E7EB5" w:rsidRDefault="00583019" w:rsidP="00DD6B5E">
            <w:pPr>
              <w:jc w:val="left"/>
              <w:cnfStyle w:val="000000100000" w:firstRow="0" w:lastRow="0" w:firstColumn="0" w:lastColumn="0" w:oddVBand="0" w:evenVBand="0" w:oddHBand="1" w:evenHBand="0" w:firstRowFirstColumn="0" w:firstRowLastColumn="0" w:lastRowFirstColumn="0" w:lastRowLastColumn="0"/>
            </w:pPr>
            <w:r w:rsidRPr="004E7EB5">
              <w:t>Optional</w:t>
            </w:r>
          </w:p>
        </w:tc>
        <w:tc>
          <w:tcPr>
            <w:tcW w:w="0" w:type="auto"/>
            <w:vMerge/>
            <w:tcBorders>
              <w:top w:val="none" w:sz="0" w:space="0" w:color="auto"/>
              <w:bottom w:val="none" w:sz="0" w:space="0" w:color="auto"/>
              <w:right w:val="none" w:sz="0" w:space="0" w:color="auto"/>
            </w:tcBorders>
          </w:tcPr>
          <w:p w14:paraId="169F9F07" w14:textId="77777777" w:rsidR="00583019" w:rsidRPr="004E7EB5" w:rsidRDefault="00583019" w:rsidP="00DD6B5E">
            <w:pPr>
              <w:jc w:val="left"/>
              <w:cnfStyle w:val="000000100000" w:firstRow="0" w:lastRow="0" w:firstColumn="0" w:lastColumn="0" w:oddVBand="0" w:evenVBand="0" w:oddHBand="1" w:evenHBand="0" w:firstRowFirstColumn="0" w:firstRowLastColumn="0" w:lastRowFirstColumn="0" w:lastRowLastColumn="0"/>
            </w:pPr>
          </w:p>
        </w:tc>
      </w:tr>
    </w:tbl>
    <w:p w14:paraId="39B2C0EA" w14:textId="4BF1774F" w:rsidR="00C31388" w:rsidRDefault="00C31388" w:rsidP="00164A0D"/>
    <w:p w14:paraId="26E44030" w14:textId="77777777" w:rsidR="00F963F5" w:rsidRPr="004E7EB5" w:rsidRDefault="00F963F5" w:rsidP="00164A0D"/>
    <w:p w14:paraId="4CF0D21A" w14:textId="2B0EAABD" w:rsidR="0027366D" w:rsidRDefault="0027366D" w:rsidP="0027366D">
      <w:pPr>
        <w:pStyle w:val="Heading2"/>
      </w:pPr>
      <w:bookmarkStart w:id="12" w:name="_Toc493774202"/>
      <w:r>
        <w:lastRenderedPageBreak/>
        <w:t>How to use this manual</w:t>
      </w:r>
      <w:bookmarkEnd w:id="12"/>
    </w:p>
    <w:p w14:paraId="3DE1FD0E" w14:textId="1F97DFDE" w:rsidR="002641EB" w:rsidRDefault="00EE7FDA" w:rsidP="0027366D">
      <w:r>
        <w:t>This manual</w:t>
      </w:r>
      <w:r w:rsidR="00BC416F">
        <w:t xml:space="preserve"> is structured </w:t>
      </w:r>
      <w:r w:rsidR="00080F55">
        <w:t>in two parts</w:t>
      </w:r>
      <w:r w:rsidR="000A0C1A">
        <w:t xml:space="preserve"> (</w:t>
      </w:r>
      <w:r w:rsidR="00BC416F">
        <w:fldChar w:fldCharType="begin"/>
      </w:r>
      <w:r w:rsidR="00BC416F">
        <w:instrText xml:space="preserve"> REF _Ref471464931 \h </w:instrText>
      </w:r>
      <w:r w:rsidR="00BC416F">
        <w:fldChar w:fldCharType="separate"/>
      </w:r>
      <w:r w:rsidR="005F359C">
        <w:t xml:space="preserve">Figure </w:t>
      </w:r>
      <w:r w:rsidR="005F359C">
        <w:rPr>
          <w:noProof/>
        </w:rPr>
        <w:t>2</w:t>
      </w:r>
      <w:r w:rsidR="00BC416F">
        <w:fldChar w:fldCharType="end"/>
      </w:r>
      <w:r w:rsidR="000A0C1A">
        <w:t>)</w:t>
      </w:r>
      <w:r w:rsidR="00BC416F">
        <w:t xml:space="preserve">, </w:t>
      </w:r>
      <w:r>
        <w:t>designed to be flexible</w:t>
      </w:r>
      <w:r w:rsidR="00BC416F">
        <w:t xml:space="preserve"> </w:t>
      </w:r>
      <w:r w:rsidR="002641EB">
        <w:t xml:space="preserve">in order </w:t>
      </w:r>
      <w:r w:rsidR="00BC416F">
        <w:t xml:space="preserve">to take advantage of </w:t>
      </w:r>
      <w:r>
        <w:t xml:space="preserve">existing methods and information relevant to the aquatic ecosystems </w:t>
      </w:r>
      <w:r w:rsidR="002641EB">
        <w:t>being considered</w:t>
      </w:r>
      <w:r>
        <w:t xml:space="preserve">. </w:t>
      </w:r>
      <w:r w:rsidR="002641EB">
        <w:t xml:space="preserve">The intent is that users can use the IECA Framework at any point in the adaptive management process identified in </w:t>
      </w:r>
      <w:r w:rsidR="002641EB">
        <w:fldChar w:fldCharType="begin"/>
      </w:r>
      <w:r w:rsidR="002641EB">
        <w:instrText xml:space="preserve"> REF _Ref345147843 \h </w:instrText>
      </w:r>
      <w:r w:rsidR="002641EB">
        <w:fldChar w:fldCharType="separate"/>
      </w:r>
      <w:r w:rsidR="005F359C" w:rsidRPr="004E7EB5">
        <w:t xml:space="preserve">Figure </w:t>
      </w:r>
      <w:r w:rsidR="005F359C">
        <w:rPr>
          <w:noProof/>
        </w:rPr>
        <w:t>1</w:t>
      </w:r>
      <w:r w:rsidR="002641EB">
        <w:fldChar w:fldCharType="end"/>
      </w:r>
      <w:r w:rsidR="002641EB">
        <w:t xml:space="preserve">. </w:t>
      </w:r>
    </w:p>
    <w:p w14:paraId="6C0CF859" w14:textId="637130CA" w:rsidR="00B8676B" w:rsidRDefault="00B8676B" w:rsidP="0027366D">
      <w:r>
        <w:t xml:space="preserve">Many </w:t>
      </w:r>
      <w:r w:rsidR="000A0C1A">
        <w:t xml:space="preserve">existing </w:t>
      </w:r>
      <w:r w:rsidR="001B602A">
        <w:t>s</w:t>
      </w:r>
      <w:r>
        <w:t>tate and regional condition assessment methods and frameworks are compatible with</w:t>
      </w:r>
      <w:r w:rsidR="00916966">
        <w:t xml:space="preserve"> the</w:t>
      </w:r>
      <w:r>
        <w:t xml:space="preserve"> IECA </w:t>
      </w:r>
      <w:r w:rsidR="00916966">
        <w:t>Framework</w:t>
      </w:r>
      <w:r w:rsidR="000A0C1A">
        <w:t xml:space="preserve">; these </w:t>
      </w:r>
      <w:r>
        <w:t xml:space="preserve">may require only minor additions/modifications to meet the requirements of IECA (see Appendix </w:t>
      </w:r>
      <w:r w:rsidR="00B15BB8">
        <w:t>A</w:t>
      </w:r>
      <w:r>
        <w:t xml:space="preserve">). </w:t>
      </w:r>
      <w:r w:rsidR="00E557B7">
        <w:t>I</w:t>
      </w:r>
      <w:r w:rsidR="007C0C45">
        <w:t>n</w:t>
      </w:r>
      <w:r>
        <w:t xml:space="preserve"> </w:t>
      </w:r>
      <w:r w:rsidR="00E557B7">
        <w:t>some</w:t>
      </w:r>
      <w:r>
        <w:t xml:space="preserve"> instances existing information will fulfil </w:t>
      </w:r>
      <w:r w:rsidR="00E557B7">
        <w:t>the requirements of a particular step in the Framework. F</w:t>
      </w:r>
      <w:r>
        <w:t xml:space="preserve">or each step, existing information should be sourced and </w:t>
      </w:r>
      <w:r w:rsidR="002641EB">
        <w:t xml:space="preserve">evaluated if </w:t>
      </w:r>
      <w:r>
        <w:t xml:space="preserve">“fit for </w:t>
      </w:r>
      <w:r w:rsidR="00AD356B">
        <w:t>purpose”</w:t>
      </w:r>
      <w:r w:rsidR="002641EB">
        <w:t xml:space="preserve"> </w:t>
      </w:r>
      <w:r w:rsidR="00916966">
        <w:t xml:space="preserve">and </w:t>
      </w:r>
      <w:r w:rsidR="002641EB">
        <w:t xml:space="preserve">the </w:t>
      </w:r>
      <w:r>
        <w:t xml:space="preserve">outcomes </w:t>
      </w:r>
      <w:r w:rsidR="002641EB">
        <w:t xml:space="preserve">documented prior to </w:t>
      </w:r>
      <w:r>
        <w:t>mov</w:t>
      </w:r>
      <w:r w:rsidR="002641EB">
        <w:t>ing</w:t>
      </w:r>
      <w:r>
        <w:t xml:space="preserve"> on to the next step in the </w:t>
      </w:r>
      <w:r w:rsidR="00916966">
        <w:t>F</w:t>
      </w:r>
      <w:r>
        <w:t>ramework.</w:t>
      </w:r>
      <w:r w:rsidR="00E557B7">
        <w:t xml:space="preserve"> It is highly recommended that even if there are large amounts of data already in hand, that the steps in the Framework are followed, as a checklist of sorts.</w:t>
      </w:r>
    </w:p>
    <w:p w14:paraId="4B18E842" w14:textId="3DFE1DA8" w:rsidR="0027366D" w:rsidRDefault="00E557B7" w:rsidP="0027366D">
      <w:r>
        <w:t>For example, s</w:t>
      </w:r>
      <w:r w:rsidR="000A0C1A">
        <w:t>ome</w:t>
      </w:r>
      <w:r w:rsidR="00B8676B">
        <w:t xml:space="preserve"> of the preliminary steps </w:t>
      </w:r>
      <w:r w:rsidR="009F6DC7">
        <w:t xml:space="preserve">(Part A) of the IECA Framework </w:t>
      </w:r>
      <w:r w:rsidR="00B8676B">
        <w:t>may not be relevant in all circumstances (e.</w:t>
      </w:r>
      <w:r w:rsidR="009F6DC7">
        <w:t>g.</w:t>
      </w:r>
      <w:r w:rsidR="00B8676B">
        <w:t xml:space="preserve"> development of a technical advisory group</w:t>
      </w:r>
      <w:r w:rsidR="007C0C45">
        <w:t xml:space="preserve"> (TAG)</w:t>
      </w:r>
      <w:r w:rsidR="00B8676B">
        <w:t xml:space="preserve">, </w:t>
      </w:r>
      <w:r>
        <w:t>identification of</w:t>
      </w:r>
      <w:r w:rsidR="00B8676B">
        <w:t xml:space="preserve"> triggers and targets). A </w:t>
      </w:r>
      <w:r w:rsidR="00AC6F18">
        <w:t xml:space="preserve">number of factors can affect the scale and scope of </w:t>
      </w:r>
      <w:r w:rsidR="009F6DC7">
        <w:t xml:space="preserve">a </w:t>
      </w:r>
      <w:r w:rsidR="00AC6F18">
        <w:t>condition assessment</w:t>
      </w:r>
      <w:r w:rsidR="009F6DC7">
        <w:t xml:space="preserve">, including such things as </w:t>
      </w:r>
      <w:r w:rsidR="007C0C45">
        <w:t xml:space="preserve">the need for a TAG and/or </w:t>
      </w:r>
      <w:r w:rsidR="009F6DC7">
        <w:t xml:space="preserve">particular </w:t>
      </w:r>
      <w:r w:rsidR="007C0C45">
        <w:t>targets and triggers</w:t>
      </w:r>
      <w:r w:rsidR="00AC6F18">
        <w:t xml:space="preserve">. </w:t>
      </w:r>
      <w:r w:rsidR="009F6DC7">
        <w:t>These include</w:t>
      </w:r>
      <w:r w:rsidR="00AC6F18">
        <w:t xml:space="preserve">: </w:t>
      </w:r>
    </w:p>
    <w:p w14:paraId="06A9CC42" w14:textId="47BCEA9D" w:rsidR="00EE7FDA" w:rsidRDefault="00AC6F18" w:rsidP="00F4328F">
      <w:pPr>
        <w:pStyle w:val="ListParagraph"/>
        <w:numPr>
          <w:ilvl w:val="0"/>
          <w:numId w:val="2"/>
        </w:numPr>
      </w:pPr>
      <w:r>
        <w:t xml:space="preserve">The objectives of </w:t>
      </w:r>
      <w:r w:rsidR="009F6DC7">
        <w:t xml:space="preserve">the </w:t>
      </w:r>
      <w:r>
        <w:t>management and assessment program</w:t>
      </w:r>
      <w:r w:rsidR="00BA09E3">
        <w:t>;</w:t>
      </w:r>
    </w:p>
    <w:p w14:paraId="2360F514" w14:textId="3D7EF6C8" w:rsidR="00AC6F18" w:rsidRDefault="00AC6F18" w:rsidP="00F4328F">
      <w:pPr>
        <w:pStyle w:val="ListParagraph"/>
        <w:numPr>
          <w:ilvl w:val="0"/>
          <w:numId w:val="2"/>
        </w:numPr>
      </w:pPr>
      <w:r>
        <w:t>T</w:t>
      </w:r>
      <w:r w:rsidR="00EE7FDA">
        <w:t xml:space="preserve">he </w:t>
      </w:r>
      <w:r>
        <w:t xml:space="preserve">spatial and temporal scale of </w:t>
      </w:r>
      <w:r w:rsidR="009F6DC7">
        <w:t xml:space="preserve">an </w:t>
      </w:r>
      <w:r w:rsidR="006755EF">
        <w:t>assessment</w:t>
      </w:r>
      <w:r w:rsidR="00BA09E3">
        <w:t>;</w:t>
      </w:r>
    </w:p>
    <w:p w14:paraId="304185A3" w14:textId="6540D19F" w:rsidR="00AC6F18" w:rsidRDefault="00AC6F18" w:rsidP="00F4328F">
      <w:pPr>
        <w:pStyle w:val="ListParagraph"/>
        <w:numPr>
          <w:ilvl w:val="0"/>
          <w:numId w:val="2"/>
        </w:numPr>
      </w:pPr>
      <w:r>
        <w:t>The availability of existing data a</w:t>
      </w:r>
      <w:r w:rsidR="006755EF">
        <w:t>nd condition assessment methods</w:t>
      </w:r>
      <w:r w:rsidR="00BA09E3">
        <w:t>;</w:t>
      </w:r>
    </w:p>
    <w:p w14:paraId="42D03F72" w14:textId="3782FC00" w:rsidR="00AC6F18" w:rsidRDefault="006755EF" w:rsidP="00F4328F">
      <w:pPr>
        <w:pStyle w:val="ListParagraph"/>
        <w:numPr>
          <w:ilvl w:val="0"/>
          <w:numId w:val="2"/>
        </w:numPr>
      </w:pPr>
      <w:r>
        <w:t>Available resources</w:t>
      </w:r>
      <w:r w:rsidR="00BA09E3">
        <w:t>;</w:t>
      </w:r>
    </w:p>
    <w:p w14:paraId="5EC2A603" w14:textId="52F2C9D4" w:rsidR="00EE7FDA" w:rsidRDefault="00AC6F18" w:rsidP="00F4328F">
      <w:pPr>
        <w:pStyle w:val="ListParagraph"/>
        <w:numPr>
          <w:ilvl w:val="0"/>
          <w:numId w:val="2"/>
        </w:numPr>
      </w:pPr>
      <w:r>
        <w:t>Stak</w:t>
      </w:r>
      <w:r w:rsidR="006755EF">
        <w:t>eholder engagement and interest</w:t>
      </w:r>
      <w:r w:rsidR="00BA09E3">
        <w:t>; and</w:t>
      </w:r>
    </w:p>
    <w:p w14:paraId="50B0BAC0" w14:textId="140C610A" w:rsidR="00AC6F18" w:rsidRDefault="00AC6F18" w:rsidP="00F4328F">
      <w:pPr>
        <w:pStyle w:val="ListParagraph"/>
        <w:numPr>
          <w:ilvl w:val="0"/>
          <w:numId w:val="2"/>
        </w:numPr>
      </w:pPr>
      <w:r>
        <w:t>Legislative and reporting requirements.</w:t>
      </w:r>
    </w:p>
    <w:p w14:paraId="62BDE522" w14:textId="218631F9" w:rsidR="007C0C45" w:rsidRDefault="007C0C45" w:rsidP="007C0C45">
      <w:r>
        <w:t>A common</w:t>
      </w:r>
      <w:r w:rsidR="009F6DC7">
        <w:t>-</w:t>
      </w:r>
      <w:r>
        <w:t>sense approach is advocated</w:t>
      </w:r>
      <w:r w:rsidR="009F6DC7">
        <w:t>,</w:t>
      </w:r>
      <w:r>
        <w:t xml:space="preserve"> whereby the objectives of </w:t>
      </w:r>
      <w:r w:rsidR="009F6DC7">
        <w:t>a</w:t>
      </w:r>
      <w:r w:rsidR="007A1FFF">
        <w:t xml:space="preserve"> condition assessment</w:t>
      </w:r>
      <w:r w:rsidR="009F6DC7">
        <w:t xml:space="preserve"> </w:t>
      </w:r>
      <w:r>
        <w:t>program are considered in the context of available resources and external circumstances</w:t>
      </w:r>
      <w:r w:rsidR="009F6DC7">
        <w:t xml:space="preserve">, so that </w:t>
      </w:r>
      <w:r>
        <w:t xml:space="preserve">program </w:t>
      </w:r>
      <w:r w:rsidR="009F6DC7">
        <w:t xml:space="preserve">can be designed </w:t>
      </w:r>
      <w:r>
        <w:t>in the most cost</w:t>
      </w:r>
      <w:r w:rsidR="009F6DC7">
        <w:t>-</w:t>
      </w:r>
      <w:r>
        <w:t>effective manner.</w:t>
      </w:r>
      <w:r w:rsidR="00E557B7">
        <w:t xml:space="preserve"> </w:t>
      </w:r>
    </w:p>
    <w:p w14:paraId="5366CCB8" w14:textId="25505CF3" w:rsidR="0080702E" w:rsidRDefault="00E315A3" w:rsidP="0080702E">
      <w:r>
        <w:t xml:space="preserve">There are eight steps </w:t>
      </w:r>
      <w:r w:rsidR="00080F55">
        <w:t>in Part B of</w:t>
      </w:r>
      <w:r>
        <w:t xml:space="preserve"> the </w:t>
      </w:r>
      <w:r w:rsidR="000A0C1A">
        <w:t xml:space="preserve">IECA </w:t>
      </w:r>
      <w:r>
        <w:t>Framework</w:t>
      </w:r>
      <w:r w:rsidR="000A0C1A">
        <w:t>,</w:t>
      </w:r>
      <w:r>
        <w:t xml:space="preserve"> each presented in the </w:t>
      </w:r>
      <w:r w:rsidRPr="004E7EB5">
        <w:t xml:space="preserve">format </w:t>
      </w:r>
      <w:r>
        <w:t xml:space="preserve">shown </w:t>
      </w:r>
      <w:r w:rsidRPr="004E7EB5">
        <w:t xml:space="preserve">in </w:t>
      </w:r>
      <w:r w:rsidRPr="004E7EB5">
        <w:fldChar w:fldCharType="begin"/>
      </w:r>
      <w:r w:rsidRPr="004E7EB5">
        <w:instrText xml:space="preserve"> REF _Ref464510794 \h </w:instrText>
      </w:r>
      <w:r w:rsidRPr="004E7EB5">
        <w:fldChar w:fldCharType="separate"/>
      </w:r>
      <w:r w:rsidR="005F359C" w:rsidRPr="004E7EB5">
        <w:t xml:space="preserve">Table </w:t>
      </w:r>
      <w:r w:rsidR="005F359C">
        <w:rPr>
          <w:noProof/>
        </w:rPr>
        <w:t>2</w:t>
      </w:r>
      <w:r w:rsidRPr="004E7EB5">
        <w:fldChar w:fldCharType="end"/>
      </w:r>
      <w:r w:rsidRPr="004E7EB5">
        <w:t xml:space="preserve">. </w:t>
      </w:r>
      <w:r w:rsidR="00080F55">
        <w:t>These steps will constitute the bulk of the workflow in applying the IECA Framework.</w:t>
      </w:r>
      <w:r w:rsidR="00BD7770">
        <w:t xml:space="preserve"> </w:t>
      </w:r>
      <w:r w:rsidR="000A0C1A">
        <w:rPr>
          <w:rFonts w:asciiTheme="minorHAnsi" w:hAnsiTheme="minorHAnsi" w:cstheme="minorHAnsi"/>
        </w:rPr>
        <w:t xml:space="preserve">Application of the steps of the IECA Framework is illustrated </w:t>
      </w:r>
      <w:r w:rsidR="0080702E">
        <w:rPr>
          <w:rFonts w:asciiTheme="minorHAnsi" w:hAnsiTheme="minorHAnsi" w:cstheme="minorHAnsi"/>
        </w:rPr>
        <w:t xml:space="preserve">in </w:t>
      </w:r>
      <w:r w:rsidR="00145E76">
        <w:rPr>
          <w:rFonts w:asciiTheme="minorHAnsi" w:hAnsiTheme="minorHAnsi" w:cstheme="minorHAnsi"/>
        </w:rPr>
        <w:t xml:space="preserve">Appendix B </w:t>
      </w:r>
      <w:r w:rsidR="000A0C1A">
        <w:rPr>
          <w:rFonts w:asciiTheme="minorHAnsi" w:hAnsiTheme="minorHAnsi" w:cstheme="minorHAnsi"/>
        </w:rPr>
        <w:t xml:space="preserve">in an example based on </w:t>
      </w:r>
      <w:r w:rsidR="00145E76">
        <w:rPr>
          <w:rFonts w:asciiTheme="minorHAnsi" w:hAnsiTheme="minorHAnsi" w:cstheme="minorHAnsi"/>
        </w:rPr>
        <w:t xml:space="preserve">the Peel-Yalgorup Ramsar site in Western Australia. </w:t>
      </w:r>
      <w:r w:rsidR="000A0C1A">
        <w:rPr>
          <w:rFonts w:asciiTheme="minorHAnsi" w:hAnsiTheme="minorHAnsi" w:cstheme="minorHAnsi"/>
        </w:rPr>
        <w:t>Other examples of individual tasks within the steps are also used t</w:t>
      </w:r>
      <w:r w:rsidR="00145E76">
        <w:rPr>
          <w:rFonts w:asciiTheme="minorHAnsi" w:hAnsiTheme="minorHAnsi" w:cstheme="minorHAnsi"/>
        </w:rPr>
        <w:t xml:space="preserve">hroughout </w:t>
      </w:r>
      <w:r w:rsidR="000A0C1A">
        <w:rPr>
          <w:rFonts w:asciiTheme="minorHAnsi" w:hAnsiTheme="minorHAnsi" w:cstheme="minorHAnsi"/>
        </w:rPr>
        <w:t xml:space="preserve">the document </w:t>
      </w:r>
      <w:r w:rsidR="00145E76">
        <w:rPr>
          <w:rFonts w:asciiTheme="minorHAnsi" w:hAnsiTheme="minorHAnsi" w:cstheme="minorHAnsi"/>
        </w:rPr>
        <w:t>to illustrate key points</w:t>
      </w:r>
      <w:r w:rsidR="0080702E">
        <w:rPr>
          <w:rFonts w:asciiTheme="minorHAnsi" w:hAnsiTheme="minorHAnsi" w:cstheme="minorHAnsi"/>
        </w:rPr>
        <w:t xml:space="preserve">, including </w:t>
      </w:r>
      <w:r w:rsidR="0080702E">
        <w:t xml:space="preserve">a hypothetical estuary assessment unit with the characteristics listed in </w:t>
      </w:r>
      <w:r w:rsidR="0080702E">
        <w:fldChar w:fldCharType="begin"/>
      </w:r>
      <w:r w:rsidR="0080702E">
        <w:instrText xml:space="preserve"> REF _Ref484467824 \h </w:instrText>
      </w:r>
      <w:r w:rsidR="0080702E">
        <w:fldChar w:fldCharType="separate"/>
      </w:r>
      <w:r w:rsidR="005F359C">
        <w:t xml:space="preserve">Table </w:t>
      </w:r>
      <w:r w:rsidR="005F359C">
        <w:rPr>
          <w:noProof/>
        </w:rPr>
        <w:t>3</w:t>
      </w:r>
      <w:r w:rsidR="0080702E">
        <w:fldChar w:fldCharType="end"/>
      </w:r>
      <w:r w:rsidR="0080702E">
        <w:t xml:space="preserve">.   </w:t>
      </w:r>
    </w:p>
    <w:p w14:paraId="24DFE78B" w14:textId="79E42E98" w:rsidR="00E315A3" w:rsidRPr="004E7EB5" w:rsidRDefault="00E315A3" w:rsidP="00E315A3">
      <w:pPr>
        <w:pStyle w:val="Caption"/>
      </w:pPr>
      <w:bookmarkStart w:id="13" w:name="_Ref464510794"/>
      <w:r w:rsidRPr="004E7EB5">
        <w:t xml:space="preserve">Table </w:t>
      </w:r>
      <w:fldSimple w:instr=" SEQ Table \* ARABIC ">
        <w:r w:rsidR="005F359C">
          <w:rPr>
            <w:noProof/>
          </w:rPr>
          <w:t>2</w:t>
        </w:r>
      </w:fldSimple>
      <w:bookmarkEnd w:id="13"/>
      <w:r w:rsidRPr="004E7EB5">
        <w:t xml:space="preserve">: </w:t>
      </w:r>
      <w:r w:rsidR="00B15BB8">
        <w:t>C</w:t>
      </w:r>
      <w:r w:rsidRPr="004E7EB5">
        <w:t>ontent for each workflow step.</w:t>
      </w:r>
    </w:p>
    <w:tbl>
      <w:tblPr>
        <w:tblStyle w:val="TableGrid"/>
        <w:tblW w:w="0" w:type="auto"/>
        <w:tblBorders>
          <w:top w:val="single" w:sz="4" w:space="0" w:color="9CBEBD" w:themeColor="accent2"/>
          <w:left w:val="single" w:sz="4" w:space="0" w:color="9CBEBD" w:themeColor="accent2"/>
          <w:bottom w:val="single" w:sz="4" w:space="0" w:color="9CBEBD" w:themeColor="accent2"/>
          <w:right w:val="single" w:sz="4" w:space="0" w:color="9CBEBD" w:themeColor="accent2"/>
          <w:insideH w:val="none" w:sz="0" w:space="0" w:color="auto"/>
          <w:insideV w:val="none" w:sz="0" w:space="0" w:color="auto"/>
        </w:tblBorders>
        <w:tblLook w:val="04A0" w:firstRow="1" w:lastRow="0" w:firstColumn="1" w:lastColumn="0" w:noHBand="0" w:noVBand="1"/>
      </w:tblPr>
      <w:tblGrid>
        <w:gridCol w:w="2076"/>
        <w:gridCol w:w="6940"/>
      </w:tblGrid>
      <w:tr w:rsidR="00E315A3" w:rsidRPr="004E7EB5" w14:paraId="10B7926A" w14:textId="77777777" w:rsidTr="00CA02CC">
        <w:trPr>
          <w:cnfStyle w:val="100000000000" w:firstRow="1" w:lastRow="0" w:firstColumn="0" w:lastColumn="0" w:oddVBand="0" w:evenVBand="0" w:oddHBand="0" w:evenHBand="0" w:firstRowFirstColumn="0" w:firstRowLastColumn="0" w:lastRowFirstColumn="0" w:lastRowLastColumn="0"/>
        </w:trPr>
        <w:tc>
          <w:tcPr>
            <w:tcW w:w="2093" w:type="dxa"/>
            <w:shd w:val="clear" w:color="auto" w:fill="E9ECEB" w:themeFill="accent4" w:themeFillTint="33"/>
          </w:tcPr>
          <w:p w14:paraId="3CC2791E" w14:textId="77777777" w:rsidR="00E315A3" w:rsidRPr="004E7EB5" w:rsidRDefault="00E315A3" w:rsidP="00CA02CC">
            <w:pPr>
              <w:spacing w:after="120"/>
              <w:rPr>
                <w:rFonts w:asciiTheme="minorHAnsi" w:hAnsiTheme="minorHAnsi" w:cstheme="minorHAnsi"/>
                <w:b/>
              </w:rPr>
            </w:pPr>
            <w:r w:rsidRPr="004E7EB5">
              <w:rPr>
                <w:rFonts w:asciiTheme="minorHAnsi" w:hAnsiTheme="minorHAnsi" w:cstheme="minorHAnsi"/>
                <w:b/>
              </w:rPr>
              <w:t>Aim</w:t>
            </w:r>
          </w:p>
        </w:tc>
        <w:tc>
          <w:tcPr>
            <w:tcW w:w="7041" w:type="dxa"/>
            <w:shd w:val="clear" w:color="auto" w:fill="auto"/>
          </w:tcPr>
          <w:p w14:paraId="0BAD4187" w14:textId="77777777" w:rsidR="00E315A3" w:rsidRPr="004E7EB5" w:rsidRDefault="00E315A3" w:rsidP="00CA02CC">
            <w:pPr>
              <w:spacing w:after="120"/>
              <w:jc w:val="left"/>
              <w:rPr>
                <w:rFonts w:asciiTheme="minorHAnsi" w:eastAsia="Times New Roman" w:hAnsiTheme="minorHAnsi" w:cstheme="minorHAnsi"/>
              </w:rPr>
            </w:pPr>
            <w:r w:rsidRPr="004E7EB5">
              <w:rPr>
                <w:rFonts w:asciiTheme="minorHAnsi" w:eastAsia="Times New Roman" w:hAnsiTheme="minorHAnsi" w:cstheme="minorHAnsi"/>
              </w:rPr>
              <w:t xml:space="preserve">Clear statement of the intent of each step in the </w:t>
            </w:r>
            <w:r>
              <w:rPr>
                <w:rFonts w:asciiTheme="minorHAnsi" w:eastAsia="Times New Roman" w:hAnsiTheme="minorHAnsi" w:cstheme="minorHAnsi"/>
              </w:rPr>
              <w:t>workflow</w:t>
            </w:r>
            <w:r w:rsidRPr="004E7EB5">
              <w:rPr>
                <w:rFonts w:asciiTheme="minorHAnsi" w:eastAsia="Times New Roman" w:hAnsiTheme="minorHAnsi" w:cstheme="minorHAnsi"/>
              </w:rPr>
              <w:t>.</w:t>
            </w:r>
          </w:p>
        </w:tc>
      </w:tr>
      <w:tr w:rsidR="00E315A3" w:rsidRPr="004E7EB5" w14:paraId="78CEAFED" w14:textId="77777777" w:rsidTr="00CA02CC">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E9ECEB" w:themeFill="accent4" w:themeFillTint="33"/>
          </w:tcPr>
          <w:p w14:paraId="6D78B316" w14:textId="77777777" w:rsidR="00E315A3" w:rsidRPr="004E7EB5" w:rsidRDefault="00E315A3" w:rsidP="00CA02CC">
            <w:pPr>
              <w:spacing w:after="120"/>
              <w:rPr>
                <w:rFonts w:asciiTheme="minorHAnsi" w:hAnsiTheme="minorHAnsi" w:cstheme="minorHAnsi"/>
                <w:b/>
              </w:rPr>
            </w:pPr>
            <w:r>
              <w:rPr>
                <w:rFonts w:asciiTheme="minorHAnsi" w:hAnsiTheme="minorHAnsi" w:cstheme="minorHAnsi"/>
                <w:b/>
              </w:rPr>
              <w:t>Inputs</w:t>
            </w:r>
          </w:p>
        </w:tc>
        <w:tc>
          <w:tcPr>
            <w:tcW w:w="7041" w:type="dxa"/>
            <w:shd w:val="clear" w:color="auto" w:fill="auto"/>
          </w:tcPr>
          <w:p w14:paraId="4A7B573E" w14:textId="77777777" w:rsidR="00E315A3" w:rsidRPr="004E7EB5" w:rsidRDefault="00E315A3" w:rsidP="00CA02CC">
            <w:pPr>
              <w:spacing w:after="120"/>
              <w:jc w:val="left"/>
              <w:rPr>
                <w:rFonts w:asciiTheme="minorHAnsi" w:eastAsia="Times New Roman" w:hAnsiTheme="minorHAnsi" w:cstheme="minorHAnsi"/>
              </w:rPr>
            </w:pPr>
            <w:r w:rsidRPr="004E7EB5">
              <w:rPr>
                <w:rFonts w:asciiTheme="minorHAnsi" w:eastAsia="Times New Roman" w:hAnsiTheme="minorHAnsi" w:cstheme="minorHAnsi"/>
              </w:rPr>
              <w:t>Inputs needed to complete all tasks.</w:t>
            </w:r>
          </w:p>
        </w:tc>
      </w:tr>
      <w:tr w:rsidR="00E315A3" w:rsidRPr="004E7EB5" w14:paraId="7537935F" w14:textId="77777777" w:rsidTr="00CA02CC">
        <w:trPr>
          <w:cnfStyle w:val="000000010000" w:firstRow="0" w:lastRow="0" w:firstColumn="0" w:lastColumn="0" w:oddVBand="0" w:evenVBand="0" w:oddHBand="0" w:evenHBand="1" w:firstRowFirstColumn="0" w:firstRowLastColumn="0" w:lastRowFirstColumn="0" w:lastRowLastColumn="0"/>
        </w:trPr>
        <w:tc>
          <w:tcPr>
            <w:tcW w:w="2093" w:type="dxa"/>
            <w:shd w:val="clear" w:color="auto" w:fill="E9ECEB" w:themeFill="accent4" w:themeFillTint="33"/>
          </w:tcPr>
          <w:p w14:paraId="2C3FFF1A" w14:textId="77777777" w:rsidR="00E315A3" w:rsidRPr="004E7EB5" w:rsidRDefault="00E315A3" w:rsidP="00CA02CC">
            <w:pPr>
              <w:spacing w:after="120"/>
              <w:rPr>
                <w:rFonts w:asciiTheme="minorHAnsi" w:hAnsiTheme="minorHAnsi" w:cstheme="minorHAnsi"/>
                <w:b/>
              </w:rPr>
            </w:pPr>
            <w:r w:rsidRPr="004E7EB5">
              <w:rPr>
                <w:rFonts w:asciiTheme="minorHAnsi" w:hAnsiTheme="minorHAnsi" w:cstheme="minorHAnsi"/>
                <w:b/>
              </w:rPr>
              <w:t>Task</w:t>
            </w:r>
            <w:r>
              <w:rPr>
                <w:rFonts w:asciiTheme="minorHAnsi" w:hAnsiTheme="minorHAnsi" w:cstheme="minorHAnsi"/>
                <w:b/>
              </w:rPr>
              <w:t>s</w:t>
            </w:r>
          </w:p>
        </w:tc>
        <w:tc>
          <w:tcPr>
            <w:tcW w:w="7041" w:type="dxa"/>
            <w:shd w:val="clear" w:color="auto" w:fill="auto"/>
          </w:tcPr>
          <w:p w14:paraId="6CCFA69C" w14:textId="58C47F4F" w:rsidR="00E315A3" w:rsidRPr="0082511F" w:rsidRDefault="00E315A3" w:rsidP="00E557B7">
            <w:pPr>
              <w:spacing w:after="120"/>
              <w:rPr>
                <w:rFonts w:asciiTheme="minorHAnsi" w:hAnsiTheme="minorHAnsi" w:cstheme="minorHAnsi"/>
              </w:rPr>
            </w:pPr>
            <w:r w:rsidRPr="004E7EB5">
              <w:rPr>
                <w:rFonts w:asciiTheme="minorHAnsi" w:eastAsia="Times New Roman" w:hAnsiTheme="minorHAnsi" w:cstheme="minorHAnsi"/>
              </w:rPr>
              <w:t>Detailed description of what is required to achieve the stated aim.</w:t>
            </w:r>
          </w:p>
        </w:tc>
      </w:tr>
      <w:tr w:rsidR="0082511F" w:rsidRPr="004E7EB5" w14:paraId="7568D037" w14:textId="77777777" w:rsidTr="0082511F">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E9ECEB" w:themeFill="accent4" w:themeFillTint="33"/>
          </w:tcPr>
          <w:p w14:paraId="12985734" w14:textId="77777777" w:rsidR="0082511F" w:rsidRPr="004E7EB5" w:rsidRDefault="0082511F" w:rsidP="0082511F">
            <w:pPr>
              <w:spacing w:after="120"/>
              <w:jc w:val="left"/>
              <w:rPr>
                <w:rFonts w:asciiTheme="minorHAnsi" w:hAnsiTheme="minorHAnsi" w:cstheme="minorHAnsi"/>
                <w:b/>
              </w:rPr>
            </w:pPr>
            <w:r w:rsidRPr="004E7EB5">
              <w:rPr>
                <w:rFonts w:asciiTheme="minorHAnsi" w:hAnsiTheme="minorHAnsi" w:cstheme="minorHAnsi"/>
                <w:b/>
              </w:rPr>
              <w:t>Assumptions and Knowledge gaps</w:t>
            </w:r>
          </w:p>
        </w:tc>
        <w:tc>
          <w:tcPr>
            <w:tcW w:w="7041" w:type="dxa"/>
            <w:shd w:val="clear" w:color="auto" w:fill="auto"/>
          </w:tcPr>
          <w:p w14:paraId="79560E20" w14:textId="7BB08DDC" w:rsidR="0082511F" w:rsidRPr="004E7EB5" w:rsidRDefault="0082511F" w:rsidP="000A0C1A">
            <w:pPr>
              <w:spacing w:after="120"/>
              <w:jc w:val="left"/>
              <w:rPr>
                <w:rFonts w:asciiTheme="minorHAnsi" w:hAnsiTheme="minorHAnsi" w:cstheme="minorHAnsi"/>
              </w:rPr>
            </w:pPr>
            <w:r w:rsidRPr="004E7EB5">
              <w:rPr>
                <w:rFonts w:asciiTheme="minorHAnsi" w:hAnsiTheme="minorHAnsi" w:cstheme="minorHAnsi"/>
              </w:rPr>
              <w:t>Identif</w:t>
            </w:r>
            <w:r w:rsidR="000A0C1A">
              <w:rPr>
                <w:rFonts w:asciiTheme="minorHAnsi" w:hAnsiTheme="minorHAnsi" w:cstheme="minorHAnsi"/>
              </w:rPr>
              <w:t xml:space="preserve">ication </w:t>
            </w:r>
            <w:r w:rsidRPr="004E7EB5">
              <w:rPr>
                <w:rFonts w:asciiTheme="minorHAnsi" w:hAnsiTheme="minorHAnsi" w:cstheme="minorHAnsi"/>
              </w:rPr>
              <w:t>and document</w:t>
            </w:r>
            <w:r w:rsidR="000A0C1A">
              <w:rPr>
                <w:rFonts w:asciiTheme="minorHAnsi" w:hAnsiTheme="minorHAnsi" w:cstheme="minorHAnsi"/>
              </w:rPr>
              <w:t>ation of</w:t>
            </w:r>
            <w:r w:rsidRPr="004E7EB5">
              <w:rPr>
                <w:rFonts w:asciiTheme="minorHAnsi" w:hAnsiTheme="minorHAnsi" w:cstheme="minorHAnsi"/>
              </w:rPr>
              <w:t xml:space="preserve"> assumptions and knowledge gaps.</w:t>
            </w:r>
          </w:p>
        </w:tc>
      </w:tr>
      <w:tr w:rsidR="00E315A3" w:rsidRPr="004E7EB5" w14:paraId="091E8B82" w14:textId="77777777" w:rsidTr="00CA02CC">
        <w:trPr>
          <w:cnfStyle w:val="000000010000" w:firstRow="0" w:lastRow="0" w:firstColumn="0" w:lastColumn="0" w:oddVBand="0" w:evenVBand="0" w:oddHBand="0" w:evenHBand="1" w:firstRowFirstColumn="0" w:firstRowLastColumn="0" w:lastRowFirstColumn="0" w:lastRowLastColumn="0"/>
        </w:trPr>
        <w:tc>
          <w:tcPr>
            <w:tcW w:w="2093" w:type="dxa"/>
            <w:shd w:val="clear" w:color="auto" w:fill="E9ECEB" w:themeFill="accent4" w:themeFillTint="33"/>
          </w:tcPr>
          <w:p w14:paraId="701DA882" w14:textId="77777777" w:rsidR="00E315A3" w:rsidRPr="004E7EB5" w:rsidRDefault="00E315A3" w:rsidP="00CA02CC">
            <w:pPr>
              <w:spacing w:after="120"/>
              <w:rPr>
                <w:rFonts w:asciiTheme="minorHAnsi" w:hAnsiTheme="minorHAnsi" w:cstheme="minorHAnsi"/>
                <w:b/>
              </w:rPr>
            </w:pPr>
            <w:r w:rsidRPr="004E7EB5">
              <w:rPr>
                <w:rFonts w:asciiTheme="minorHAnsi" w:hAnsiTheme="minorHAnsi" w:cstheme="minorHAnsi"/>
                <w:b/>
              </w:rPr>
              <w:t>Other resources</w:t>
            </w:r>
          </w:p>
        </w:tc>
        <w:tc>
          <w:tcPr>
            <w:tcW w:w="7041" w:type="dxa"/>
            <w:shd w:val="clear" w:color="auto" w:fill="auto"/>
          </w:tcPr>
          <w:p w14:paraId="3CD66CF3" w14:textId="77777777" w:rsidR="00E315A3" w:rsidRPr="004E7EB5" w:rsidRDefault="00E315A3" w:rsidP="00CA02CC">
            <w:pPr>
              <w:spacing w:after="120"/>
              <w:jc w:val="left"/>
              <w:rPr>
                <w:rFonts w:asciiTheme="minorHAnsi" w:eastAsia="Times New Roman" w:hAnsiTheme="minorHAnsi" w:cstheme="minorHAnsi"/>
              </w:rPr>
            </w:pPr>
            <w:r w:rsidRPr="004E7EB5">
              <w:rPr>
                <w:rFonts w:asciiTheme="minorHAnsi" w:eastAsia="Times New Roman" w:hAnsiTheme="minorHAnsi" w:cstheme="minorHAnsi"/>
              </w:rPr>
              <w:t>Links to key resource documents which provide additional guidance for elements of the tasks.</w:t>
            </w:r>
          </w:p>
        </w:tc>
      </w:tr>
      <w:tr w:rsidR="00E315A3" w:rsidRPr="004E7EB5" w14:paraId="4DE6CB15" w14:textId="77777777" w:rsidTr="00CA02CC">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E9ECEB" w:themeFill="accent4" w:themeFillTint="33"/>
          </w:tcPr>
          <w:p w14:paraId="73DABCE9" w14:textId="77777777" w:rsidR="00E315A3" w:rsidRPr="004E7EB5" w:rsidRDefault="00E315A3" w:rsidP="00CA02CC">
            <w:pPr>
              <w:spacing w:after="120"/>
              <w:rPr>
                <w:rFonts w:asciiTheme="minorHAnsi" w:hAnsiTheme="minorHAnsi" w:cstheme="minorHAnsi"/>
                <w:b/>
              </w:rPr>
            </w:pPr>
            <w:r w:rsidRPr="004E7EB5">
              <w:rPr>
                <w:rFonts w:asciiTheme="minorHAnsi" w:hAnsiTheme="minorHAnsi" w:cstheme="minorHAnsi"/>
                <w:b/>
              </w:rPr>
              <w:t>Outputs</w:t>
            </w:r>
          </w:p>
        </w:tc>
        <w:tc>
          <w:tcPr>
            <w:tcW w:w="7041" w:type="dxa"/>
            <w:shd w:val="clear" w:color="auto" w:fill="auto"/>
          </w:tcPr>
          <w:p w14:paraId="298E29D0" w14:textId="3F3F2AAE" w:rsidR="00E315A3" w:rsidRPr="004E7EB5" w:rsidRDefault="00E315A3" w:rsidP="00CA02CC">
            <w:pPr>
              <w:spacing w:after="120"/>
              <w:jc w:val="left"/>
              <w:rPr>
                <w:rFonts w:asciiTheme="minorHAnsi" w:eastAsia="Times New Roman" w:hAnsiTheme="minorHAnsi" w:cstheme="minorHAnsi"/>
              </w:rPr>
            </w:pPr>
            <w:r w:rsidRPr="004E7EB5">
              <w:rPr>
                <w:rFonts w:asciiTheme="minorHAnsi" w:eastAsia="Times New Roman" w:hAnsiTheme="minorHAnsi" w:cstheme="minorHAnsi"/>
              </w:rPr>
              <w:t xml:space="preserve">Checklist of </w:t>
            </w:r>
            <w:r w:rsidR="000A0C1A">
              <w:rPr>
                <w:rFonts w:asciiTheme="minorHAnsi" w:eastAsia="Times New Roman" w:hAnsiTheme="minorHAnsi" w:cstheme="minorHAnsi"/>
              </w:rPr>
              <w:t xml:space="preserve">the </w:t>
            </w:r>
            <w:r w:rsidRPr="004E7EB5">
              <w:rPr>
                <w:rFonts w:asciiTheme="minorHAnsi" w:eastAsia="Times New Roman" w:hAnsiTheme="minorHAnsi" w:cstheme="minorHAnsi"/>
              </w:rPr>
              <w:t>minimum requirements/standard output.</w:t>
            </w:r>
          </w:p>
        </w:tc>
      </w:tr>
    </w:tbl>
    <w:p w14:paraId="1D7F3DF1" w14:textId="77777777" w:rsidR="00F963F5" w:rsidRDefault="00F963F5" w:rsidP="00F963F5">
      <w:pPr>
        <w:pStyle w:val="tblBody"/>
      </w:pPr>
      <w:bookmarkStart w:id="14" w:name="_Ref484467824"/>
    </w:p>
    <w:p w14:paraId="35780B7C" w14:textId="77777777" w:rsidR="00F963F5" w:rsidRDefault="00F963F5" w:rsidP="00F963F5">
      <w:pPr>
        <w:pStyle w:val="tblBody"/>
      </w:pPr>
    </w:p>
    <w:p w14:paraId="595D7215" w14:textId="77777777" w:rsidR="00F963F5" w:rsidRDefault="00F963F5" w:rsidP="00F963F5">
      <w:pPr>
        <w:pStyle w:val="tblBody"/>
      </w:pPr>
    </w:p>
    <w:p w14:paraId="70EE67E4" w14:textId="77777777" w:rsidR="00F963F5" w:rsidRDefault="00F963F5" w:rsidP="00F963F5">
      <w:pPr>
        <w:pStyle w:val="tblBody"/>
      </w:pPr>
    </w:p>
    <w:p w14:paraId="051494FC" w14:textId="77777777" w:rsidR="00F963F5" w:rsidRDefault="00F963F5" w:rsidP="00F963F5">
      <w:pPr>
        <w:pStyle w:val="tblBody"/>
      </w:pPr>
    </w:p>
    <w:p w14:paraId="22B4E8CB" w14:textId="5062AA07" w:rsidR="004C3070" w:rsidRDefault="00A22107" w:rsidP="00A22107">
      <w:pPr>
        <w:pStyle w:val="Caption"/>
      </w:pPr>
      <w:r>
        <w:lastRenderedPageBreak/>
        <w:t xml:space="preserve">Table </w:t>
      </w:r>
      <w:fldSimple w:instr=" SEQ Table \* ARABIC ">
        <w:r w:rsidR="005F359C">
          <w:rPr>
            <w:noProof/>
          </w:rPr>
          <w:t>3</w:t>
        </w:r>
      </w:fldSimple>
      <w:bookmarkEnd w:id="14"/>
      <w:r w:rsidR="00FD50A9">
        <w:rPr>
          <w:noProof/>
        </w:rPr>
        <w:t>:</w:t>
      </w:r>
      <w:r>
        <w:t xml:space="preserve"> Characteristics of </w:t>
      </w:r>
      <w:r w:rsidR="00855E81">
        <w:t xml:space="preserve">the </w:t>
      </w:r>
      <w:r>
        <w:t>hypothetical estuary example.</w:t>
      </w:r>
    </w:p>
    <w:tbl>
      <w:tblPr>
        <w:tblStyle w:val="LightList-Accent2"/>
        <w:tblW w:w="0" w:type="auto"/>
        <w:tblLook w:val="04A0" w:firstRow="1" w:lastRow="0" w:firstColumn="1" w:lastColumn="0" w:noHBand="0" w:noVBand="1"/>
      </w:tblPr>
      <w:tblGrid>
        <w:gridCol w:w="9006"/>
      </w:tblGrid>
      <w:tr w:rsidR="004C3070" w14:paraId="4830016E" w14:textId="77777777" w:rsidTr="004915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1536AAC" w14:textId="4FA7C88D" w:rsidR="004C3070" w:rsidRDefault="004C3070" w:rsidP="00491582">
            <w:pPr>
              <w:spacing w:after="120" w:line="288" w:lineRule="auto"/>
              <w:jc w:val="left"/>
            </w:pPr>
            <w:r>
              <w:t xml:space="preserve">Fictitious River Estuary Assessment Unit </w:t>
            </w:r>
            <w:r w:rsidR="00A22107">
              <w:t>characteristics</w:t>
            </w:r>
          </w:p>
        </w:tc>
      </w:tr>
      <w:tr w:rsidR="004C3070" w14:paraId="2D24310B" w14:textId="77777777" w:rsidTr="00491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4B3B498" w14:textId="77777777" w:rsidR="004C3070" w:rsidRDefault="004C3070" w:rsidP="00491582">
            <w:pPr>
              <w:spacing w:after="120" w:line="288" w:lineRule="auto"/>
              <w:jc w:val="left"/>
            </w:pPr>
            <w:r>
              <w:t xml:space="preserve">Location: </w:t>
            </w:r>
            <w:r w:rsidRPr="004C3070">
              <w:rPr>
                <w:b w:val="0"/>
              </w:rPr>
              <w:t>South-eastern Australia</w:t>
            </w:r>
          </w:p>
        </w:tc>
      </w:tr>
      <w:tr w:rsidR="004C3070" w14:paraId="4B7E6678" w14:textId="77777777" w:rsidTr="00491582">
        <w:tc>
          <w:tcPr>
            <w:cnfStyle w:val="001000000000" w:firstRow="0" w:lastRow="0" w:firstColumn="1" w:lastColumn="0" w:oddVBand="0" w:evenVBand="0" w:oddHBand="0" w:evenHBand="0" w:firstRowFirstColumn="0" w:firstRowLastColumn="0" w:lastRowFirstColumn="0" w:lastRowLastColumn="0"/>
            <w:tcW w:w="9242" w:type="dxa"/>
          </w:tcPr>
          <w:p w14:paraId="607A3635" w14:textId="068EAC06" w:rsidR="004C3070" w:rsidRDefault="004C3070" w:rsidP="00491582">
            <w:pPr>
              <w:spacing w:after="120" w:line="288" w:lineRule="auto"/>
              <w:jc w:val="left"/>
            </w:pPr>
            <w:r>
              <w:t xml:space="preserve">ANAE types: </w:t>
            </w:r>
            <w:r>
              <w:rPr>
                <w:b w:val="0"/>
              </w:rPr>
              <w:t xml:space="preserve"> Freshwater permanent river (Fictitious River), intermittent saltmarsh, seasonally open estuary</w:t>
            </w:r>
            <w:r w:rsidR="00A22107">
              <w:rPr>
                <w:b w:val="0"/>
              </w:rPr>
              <w:t xml:space="preserve"> (Fictitious River Estuary)</w:t>
            </w:r>
            <w:r>
              <w:rPr>
                <w:b w:val="0"/>
              </w:rPr>
              <w:t>, beach, dune system</w:t>
            </w:r>
            <w:r w:rsidR="00A22107">
              <w:rPr>
                <w:b w:val="0"/>
              </w:rPr>
              <w:t>, permanent marsh (Lake Fictitious)</w:t>
            </w:r>
          </w:p>
        </w:tc>
      </w:tr>
      <w:tr w:rsidR="004C3070" w14:paraId="3CF34E8B" w14:textId="77777777" w:rsidTr="00491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B2DF3EB" w14:textId="1A60BC5D" w:rsidR="004C3070" w:rsidRDefault="00536AEE" w:rsidP="003444F0">
            <w:pPr>
              <w:spacing w:after="120" w:line="288" w:lineRule="auto"/>
              <w:jc w:val="left"/>
            </w:pPr>
            <w:r>
              <w:t>Basic list of values</w:t>
            </w:r>
            <w:r w:rsidR="004C3070">
              <w:t xml:space="preserve">: </w:t>
            </w:r>
            <w:r w:rsidR="004C3070" w:rsidRPr="004C3070">
              <w:rPr>
                <w:b w:val="0"/>
              </w:rPr>
              <w:t xml:space="preserve">Native fish, </w:t>
            </w:r>
            <w:r>
              <w:rPr>
                <w:b w:val="0"/>
              </w:rPr>
              <w:t>waterbirds</w:t>
            </w:r>
            <w:r w:rsidR="004C3070">
              <w:rPr>
                <w:b w:val="0"/>
              </w:rPr>
              <w:t xml:space="preserve">, </w:t>
            </w:r>
            <w:r w:rsidR="004C3070" w:rsidRPr="004C3070">
              <w:rPr>
                <w:b w:val="0"/>
              </w:rPr>
              <w:t>indigenous cultural values</w:t>
            </w:r>
            <w:r w:rsidR="003444F0">
              <w:rPr>
                <w:b w:val="0"/>
              </w:rPr>
              <w:t xml:space="preserve">, recreational use, </w:t>
            </w:r>
            <w:r>
              <w:rPr>
                <w:b w:val="0"/>
              </w:rPr>
              <w:t xml:space="preserve">diversity of wetland types, </w:t>
            </w:r>
            <w:r w:rsidR="00A22107">
              <w:rPr>
                <w:b w:val="0"/>
              </w:rPr>
              <w:t>vegetation diversity.</w:t>
            </w:r>
          </w:p>
        </w:tc>
      </w:tr>
      <w:tr w:rsidR="004C3070" w14:paraId="25D35161" w14:textId="77777777" w:rsidTr="00491582">
        <w:tc>
          <w:tcPr>
            <w:cnfStyle w:val="001000000000" w:firstRow="0" w:lastRow="0" w:firstColumn="1" w:lastColumn="0" w:oddVBand="0" w:evenVBand="0" w:oddHBand="0" w:evenHBand="0" w:firstRowFirstColumn="0" w:firstRowLastColumn="0" w:lastRowFirstColumn="0" w:lastRowLastColumn="0"/>
            <w:tcW w:w="9242" w:type="dxa"/>
          </w:tcPr>
          <w:p w14:paraId="097E5A71" w14:textId="6D2BFF72" w:rsidR="00A22107" w:rsidRDefault="004C3070" w:rsidP="00491582">
            <w:pPr>
              <w:spacing w:after="120" w:line="288" w:lineRule="auto"/>
              <w:jc w:val="left"/>
            </w:pPr>
            <w:r>
              <w:t xml:space="preserve">Threats: </w:t>
            </w:r>
          </w:p>
          <w:p w14:paraId="3DF0ACB5" w14:textId="2A6A2697" w:rsidR="00A22107" w:rsidRPr="00A22107" w:rsidRDefault="00A22107" w:rsidP="00A22107">
            <w:pPr>
              <w:pStyle w:val="ListParagraph"/>
              <w:numPr>
                <w:ilvl w:val="0"/>
                <w:numId w:val="73"/>
              </w:numPr>
              <w:spacing w:after="120" w:line="288" w:lineRule="auto"/>
              <w:jc w:val="left"/>
              <w:rPr>
                <w:b w:val="0"/>
              </w:rPr>
            </w:pPr>
            <w:r w:rsidRPr="00A22107">
              <w:rPr>
                <w:b w:val="0"/>
              </w:rPr>
              <w:t xml:space="preserve">Natural system modification: </w:t>
            </w:r>
            <w:r w:rsidR="004C3070" w:rsidRPr="00A22107">
              <w:rPr>
                <w:b w:val="0"/>
              </w:rPr>
              <w:t xml:space="preserve">Water resource management </w:t>
            </w:r>
          </w:p>
          <w:p w14:paraId="08339A5F" w14:textId="77777777" w:rsidR="00A22107" w:rsidRPr="00A22107" w:rsidRDefault="00A22107" w:rsidP="00A22107">
            <w:pPr>
              <w:pStyle w:val="ListParagraph"/>
              <w:numPr>
                <w:ilvl w:val="0"/>
                <w:numId w:val="73"/>
              </w:numPr>
              <w:spacing w:after="120" w:line="288" w:lineRule="auto"/>
              <w:jc w:val="left"/>
            </w:pPr>
            <w:r>
              <w:rPr>
                <w:b w:val="0"/>
              </w:rPr>
              <w:t>Climate change: Change precipitation and hydrological regime</w:t>
            </w:r>
          </w:p>
          <w:p w14:paraId="61106B13" w14:textId="77777777" w:rsidR="00A22107" w:rsidRPr="00A22107" w:rsidRDefault="00A22107" w:rsidP="00A22107">
            <w:pPr>
              <w:pStyle w:val="ListParagraph"/>
              <w:numPr>
                <w:ilvl w:val="0"/>
                <w:numId w:val="73"/>
              </w:numPr>
              <w:spacing w:after="120" w:line="288" w:lineRule="auto"/>
              <w:jc w:val="left"/>
            </w:pPr>
            <w:r>
              <w:rPr>
                <w:b w:val="0"/>
              </w:rPr>
              <w:t>Climate change: sea level rise</w:t>
            </w:r>
          </w:p>
          <w:p w14:paraId="702E808B" w14:textId="77777777" w:rsidR="00A22107" w:rsidRPr="00A22107" w:rsidRDefault="00A22107" w:rsidP="00A22107">
            <w:pPr>
              <w:pStyle w:val="ListParagraph"/>
              <w:numPr>
                <w:ilvl w:val="0"/>
                <w:numId w:val="73"/>
              </w:numPr>
              <w:spacing w:after="120" w:line="288" w:lineRule="auto"/>
              <w:jc w:val="left"/>
            </w:pPr>
            <w:r>
              <w:rPr>
                <w:b w:val="0"/>
              </w:rPr>
              <w:t>Invasive species: foxes and cats</w:t>
            </w:r>
          </w:p>
          <w:p w14:paraId="638A989B" w14:textId="77777777" w:rsidR="00A22107" w:rsidRPr="00A22107" w:rsidRDefault="00A22107" w:rsidP="00A22107">
            <w:pPr>
              <w:pStyle w:val="ListParagraph"/>
              <w:numPr>
                <w:ilvl w:val="0"/>
                <w:numId w:val="73"/>
              </w:numPr>
              <w:spacing w:after="120" w:line="288" w:lineRule="auto"/>
              <w:jc w:val="left"/>
            </w:pPr>
            <w:r>
              <w:rPr>
                <w:b w:val="0"/>
              </w:rPr>
              <w:t>Invasive species: exotic weeds</w:t>
            </w:r>
          </w:p>
          <w:p w14:paraId="35573228" w14:textId="77777777" w:rsidR="00A22107" w:rsidRPr="00A22107" w:rsidRDefault="00A22107" w:rsidP="00A22107">
            <w:pPr>
              <w:pStyle w:val="ListParagraph"/>
              <w:numPr>
                <w:ilvl w:val="0"/>
                <w:numId w:val="73"/>
              </w:numPr>
              <w:spacing w:after="120" w:line="288" w:lineRule="auto"/>
              <w:jc w:val="left"/>
            </w:pPr>
            <w:r>
              <w:rPr>
                <w:b w:val="0"/>
              </w:rPr>
              <w:t>Biological resource use: recreational fishing</w:t>
            </w:r>
          </w:p>
          <w:p w14:paraId="5D1911F8" w14:textId="455C11C2" w:rsidR="004C3070" w:rsidRPr="00A22107" w:rsidRDefault="00A22107" w:rsidP="00A22107">
            <w:pPr>
              <w:pStyle w:val="ListParagraph"/>
              <w:numPr>
                <w:ilvl w:val="0"/>
                <w:numId w:val="73"/>
              </w:numPr>
              <w:spacing w:after="120" w:line="288" w:lineRule="auto"/>
              <w:jc w:val="left"/>
            </w:pPr>
            <w:r>
              <w:rPr>
                <w:b w:val="0"/>
              </w:rPr>
              <w:t>Human intrusion and disturbance</w:t>
            </w:r>
            <w:r>
              <w:t xml:space="preserve">: </w:t>
            </w:r>
            <w:r w:rsidRPr="00A22107">
              <w:rPr>
                <w:b w:val="0"/>
              </w:rPr>
              <w:t>recreational activities</w:t>
            </w:r>
          </w:p>
        </w:tc>
      </w:tr>
      <w:tr w:rsidR="00A22107" w14:paraId="7E5D1FD0" w14:textId="77777777" w:rsidTr="00491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4F8F85F" w14:textId="559A5D75" w:rsidR="00A22107" w:rsidRDefault="00A22107" w:rsidP="00491582">
            <w:pPr>
              <w:spacing w:after="120" w:line="288" w:lineRule="auto"/>
              <w:jc w:val="left"/>
            </w:pPr>
            <w:r>
              <w:t xml:space="preserve">Baseline: </w:t>
            </w:r>
            <w:r w:rsidRPr="00A22107">
              <w:rPr>
                <w:b w:val="0"/>
              </w:rPr>
              <w:t>Status at 2015</w:t>
            </w:r>
          </w:p>
        </w:tc>
      </w:tr>
      <w:tr w:rsidR="00CC5F90" w14:paraId="0D2BA7C4" w14:textId="77777777" w:rsidTr="00491582">
        <w:tc>
          <w:tcPr>
            <w:cnfStyle w:val="001000000000" w:firstRow="0" w:lastRow="0" w:firstColumn="1" w:lastColumn="0" w:oddVBand="0" w:evenVBand="0" w:oddHBand="0" w:evenHBand="0" w:firstRowFirstColumn="0" w:firstRowLastColumn="0" w:lastRowFirstColumn="0" w:lastRowLastColumn="0"/>
            <w:tcW w:w="9242" w:type="dxa"/>
          </w:tcPr>
          <w:p w14:paraId="104DA124" w14:textId="1862E763" w:rsidR="00CC5F90" w:rsidRDefault="00CC5F90" w:rsidP="006F2133">
            <w:pPr>
              <w:spacing w:after="120" w:line="288" w:lineRule="auto"/>
              <w:jc w:val="left"/>
            </w:pPr>
            <w:r>
              <w:t xml:space="preserve">Management goal: </w:t>
            </w:r>
            <w:r w:rsidRPr="00CC5F90">
              <w:rPr>
                <w:b w:val="0"/>
              </w:rPr>
              <w:t xml:space="preserve">Maintain </w:t>
            </w:r>
            <w:r>
              <w:rPr>
                <w:b w:val="0"/>
              </w:rPr>
              <w:t>biodiversity and cultural values of the site</w:t>
            </w:r>
            <w:r w:rsidR="006F2133">
              <w:rPr>
                <w:b w:val="0"/>
              </w:rPr>
              <w:t>, specifically</w:t>
            </w:r>
            <w:r>
              <w:rPr>
                <w:b w:val="0"/>
              </w:rPr>
              <w:t xml:space="preserve"> </w:t>
            </w:r>
            <w:r w:rsidRPr="00CC5F90">
              <w:rPr>
                <w:b w:val="0"/>
              </w:rPr>
              <w:t xml:space="preserve">native fish and waterbird communities </w:t>
            </w:r>
            <w:r>
              <w:rPr>
                <w:b w:val="0"/>
              </w:rPr>
              <w:t xml:space="preserve">at 2015 levels. </w:t>
            </w:r>
          </w:p>
        </w:tc>
      </w:tr>
    </w:tbl>
    <w:p w14:paraId="0CB53B70" w14:textId="77777777" w:rsidR="004C3070" w:rsidRDefault="004C3070" w:rsidP="007C0C45"/>
    <w:p w14:paraId="1FB5F641" w14:textId="77777777" w:rsidR="004C3070" w:rsidRDefault="004C3070" w:rsidP="007C0C45"/>
    <w:p w14:paraId="0F401FCE" w14:textId="77777777" w:rsidR="00E315A3" w:rsidRDefault="00E315A3">
      <w:pPr>
        <w:sectPr w:rsidR="00E315A3" w:rsidSect="00CA2773">
          <w:headerReference w:type="even" r:id="rId19"/>
          <w:headerReference w:type="default" r:id="rId20"/>
          <w:headerReference w:type="first" r:id="rId21"/>
          <w:pgSz w:w="11906" w:h="16838"/>
          <w:pgMar w:top="1440" w:right="1440" w:bottom="1440" w:left="1440" w:header="708" w:footer="708" w:gutter="0"/>
          <w:cols w:space="708"/>
          <w:docGrid w:linePitch="360"/>
        </w:sectPr>
      </w:pPr>
    </w:p>
    <w:p w14:paraId="4A4E69AA" w14:textId="05209A48" w:rsidR="001806B4" w:rsidRDefault="00145B1F" w:rsidP="00C31388">
      <w:pPr>
        <w:pStyle w:val="Heading1"/>
      </w:pPr>
      <w:bookmarkStart w:id="15" w:name="_Toc493774203"/>
      <w:r>
        <w:lastRenderedPageBreak/>
        <w:t>Part A</w:t>
      </w:r>
      <w:r w:rsidR="008547E5">
        <w:t xml:space="preserve">: </w:t>
      </w:r>
      <w:r w:rsidR="00080F55">
        <w:t>Context</w:t>
      </w:r>
      <w:r w:rsidR="008547E5">
        <w:t xml:space="preserve"> and</w:t>
      </w:r>
      <w:r w:rsidR="00AC4BB1">
        <w:t xml:space="preserve"> </w:t>
      </w:r>
      <w:r w:rsidR="001806B4">
        <w:t>Current understanding</w:t>
      </w:r>
      <w:bookmarkEnd w:id="15"/>
    </w:p>
    <w:p w14:paraId="1F76D8B8" w14:textId="3437E5B0" w:rsidR="001806B4" w:rsidRDefault="000A0C1A" w:rsidP="001806B4">
      <w:r>
        <w:t>T</w:t>
      </w:r>
      <w:r w:rsidR="007E5359">
        <w:t>h</w:t>
      </w:r>
      <w:r w:rsidR="001806B4">
        <w:t xml:space="preserve">ere are several preliminary steps that must occur prior to the design and implementation of a condition assessment.  This section describes the </w:t>
      </w:r>
      <w:r w:rsidR="007E5359">
        <w:t xml:space="preserve">initial </w:t>
      </w:r>
      <w:r w:rsidR="001806B4">
        <w:t xml:space="preserve">planning and groundwork phase </w:t>
      </w:r>
      <w:r w:rsidR="007E5359">
        <w:t xml:space="preserve">(Part A) </w:t>
      </w:r>
      <w:r w:rsidR="001806B4">
        <w:t xml:space="preserve">of </w:t>
      </w:r>
      <w:r w:rsidR="006E7E90">
        <w:t xml:space="preserve">the </w:t>
      </w:r>
      <w:r w:rsidR="001806B4">
        <w:t>IECA</w:t>
      </w:r>
      <w:r w:rsidR="006E7E90">
        <w:t xml:space="preserve"> Framework</w:t>
      </w:r>
      <w:r w:rsidR="001806B4">
        <w:t>. The</w:t>
      </w:r>
      <w:r w:rsidR="007E5359">
        <w:t xml:space="preserve"> steps need not be undertaken in the sequence presented, as i</w:t>
      </w:r>
      <w:r w:rsidR="001806B4">
        <w:t>t is highly likely that many steps will involve an iterative process. For example, the spatial boundaries of the assessment unit may be initially set by natural resource managers, and then refined through stakeholder input or upon advice from technical experts.</w:t>
      </w:r>
    </w:p>
    <w:p w14:paraId="7D9D4661" w14:textId="74CB8BB7" w:rsidR="004F6E35" w:rsidRPr="001806B4" w:rsidRDefault="004F6E35" w:rsidP="001806B4">
      <w:r>
        <w:t xml:space="preserve">It is recommended that this planning and context setting stage be undertaken even if there </w:t>
      </w:r>
      <w:r w:rsidR="00B02D54">
        <w:t xml:space="preserve">is </w:t>
      </w:r>
      <w:r>
        <w:t xml:space="preserve">considerable information already in hand for the assessment unit. </w:t>
      </w:r>
      <w:r w:rsidR="006143C1">
        <w:t xml:space="preserve"> It will help consolidate information and aid in the early identification of knowledge gaps. In some situations the steps in Part A of the Framework could help formulate business cases for future project work. </w:t>
      </w:r>
    </w:p>
    <w:p w14:paraId="5C48DA25" w14:textId="51016A27" w:rsidR="00080F55" w:rsidRDefault="00A9151A" w:rsidP="000A0C1A">
      <w:pPr>
        <w:pStyle w:val="Heading2"/>
      </w:pPr>
      <w:bookmarkStart w:id="16" w:name="_Toc493774204"/>
      <w:r>
        <w:t>Framing the question</w:t>
      </w:r>
      <w:bookmarkEnd w:id="16"/>
    </w:p>
    <w:p w14:paraId="25F689FF" w14:textId="3A86A9CE" w:rsidR="000A0C1A" w:rsidRDefault="000A0C1A" w:rsidP="000A0C1A">
      <w:pPr>
        <w:pStyle w:val="Heading3"/>
      </w:pPr>
      <w:bookmarkStart w:id="17" w:name="_Toc493774205"/>
      <w:r>
        <w:t>Clarify objectives</w:t>
      </w:r>
      <w:bookmarkEnd w:id="17"/>
    </w:p>
    <w:p w14:paraId="71E5A930" w14:textId="4C6E2D8C" w:rsidR="00080F55" w:rsidRDefault="00080F55" w:rsidP="00080F55">
      <w:r>
        <w:t xml:space="preserve">Management of even the simplest of aquatic ecosystems rarely occurs in isolation of broader planning and management policies and </w:t>
      </w:r>
      <w:r w:rsidR="000A0C1A">
        <w:t>initiatives</w:t>
      </w:r>
      <w:r>
        <w:t>. The first step in the IECA Framework involves documenting the relevant management and planning instruments</w:t>
      </w:r>
      <w:r w:rsidR="000A0C1A">
        <w:t>, as well as objectives to be assessed</w:t>
      </w:r>
      <w:r>
        <w:t xml:space="preserve">. This may simply be the management objective(s) for the aquatic ecosystem(s) in question. For example, in the case of Ramsar wetlands this may be “to maintain ecological character”, while in other instances consideration of regional water resource plans, catchment management plans or reporting requirements such as State of the Environment Reporting may be relevant. </w:t>
      </w:r>
    </w:p>
    <w:p w14:paraId="129877EC" w14:textId="283EDF76" w:rsidR="00080F55" w:rsidRDefault="00080F55" w:rsidP="00080F55">
      <w:r>
        <w:t>Should there be no clear management objectives or goals, then these will need to be derived and clearly stated prior to commencing condition assessments, mostly likely with the input of relevant stakeholders (see Section 2.1.</w:t>
      </w:r>
      <w:r w:rsidR="00B02D54">
        <w:t>3</w:t>
      </w:r>
      <w:r>
        <w:t xml:space="preserve"> below).</w:t>
      </w:r>
      <w:r w:rsidR="00765F5C">
        <w:t xml:space="preserve"> This situation is likely if a ‘new’ program is commencing in which condition assessment will play a role in managing the assessment unit. </w:t>
      </w:r>
    </w:p>
    <w:p w14:paraId="7C4EFFC8" w14:textId="5AB8EC64" w:rsidR="00CE744D" w:rsidRPr="00CE744D" w:rsidRDefault="00CE744D" w:rsidP="00CE744D">
      <w:r w:rsidRPr="00CE744D">
        <w:t xml:space="preserve">To be effective, objectives should be SMART: </w:t>
      </w:r>
    </w:p>
    <w:p w14:paraId="7DB7964F" w14:textId="1C523306" w:rsidR="00CE744D" w:rsidRPr="00CE744D" w:rsidRDefault="00CE744D" w:rsidP="00CE744D">
      <w:pPr>
        <w:pStyle w:val="ListParagraph"/>
        <w:numPr>
          <w:ilvl w:val="0"/>
          <w:numId w:val="55"/>
        </w:numPr>
        <w:spacing w:after="120" w:line="288" w:lineRule="auto"/>
        <w:jc w:val="left"/>
      </w:pPr>
      <w:r w:rsidRPr="00CE744D">
        <w:t>Specific - clear and unambiguous. Where ever possible general statements as objectives should be avoided. For example there should be no objectives such as “improved water quality”;</w:t>
      </w:r>
    </w:p>
    <w:p w14:paraId="070E623E" w14:textId="77777777" w:rsidR="00CE744D" w:rsidRPr="00CE744D" w:rsidRDefault="00CE744D" w:rsidP="00CE744D">
      <w:pPr>
        <w:pStyle w:val="ListParagraph"/>
        <w:numPr>
          <w:ilvl w:val="0"/>
          <w:numId w:val="55"/>
        </w:numPr>
        <w:spacing w:after="120" w:line="288" w:lineRule="auto"/>
        <w:jc w:val="left"/>
      </w:pPr>
      <w:r w:rsidRPr="00CE744D">
        <w:t xml:space="preserve">Measurable - quantified, contain a measurable element that can be readily monitored to determine success or failure; </w:t>
      </w:r>
    </w:p>
    <w:p w14:paraId="4DDB9CA5" w14:textId="77777777" w:rsidR="00CE744D" w:rsidRPr="00CE744D" w:rsidRDefault="00CE744D" w:rsidP="00CE744D">
      <w:pPr>
        <w:pStyle w:val="ListParagraph"/>
        <w:numPr>
          <w:ilvl w:val="0"/>
          <w:numId w:val="55"/>
        </w:numPr>
        <w:spacing w:after="120" w:line="288" w:lineRule="auto"/>
        <w:jc w:val="left"/>
      </w:pPr>
      <w:r w:rsidRPr="00CE744D">
        <w:t>Achievable - realistic and attainable;</w:t>
      </w:r>
    </w:p>
    <w:p w14:paraId="1B8A70AA" w14:textId="77777777" w:rsidR="00CE744D" w:rsidRPr="00CE744D" w:rsidRDefault="00CE744D" w:rsidP="00CE744D">
      <w:pPr>
        <w:pStyle w:val="ListParagraph"/>
        <w:numPr>
          <w:ilvl w:val="0"/>
          <w:numId w:val="55"/>
        </w:numPr>
        <w:spacing w:after="120" w:line="288" w:lineRule="auto"/>
        <w:jc w:val="left"/>
      </w:pPr>
      <w:r w:rsidRPr="00CE744D">
        <w:t>Relevant - considerate of temporal scale of response, resources available.  Temporal objectives should be worded to match the sampling and reporting scale of the assessment.  That is, a single snapshot assessment cannot have temporal objectives; and</w:t>
      </w:r>
    </w:p>
    <w:p w14:paraId="4D7E2B46" w14:textId="077CD30A" w:rsidR="00CE744D" w:rsidRDefault="00CE744D" w:rsidP="00CE744D">
      <w:pPr>
        <w:pStyle w:val="ListParagraph"/>
        <w:numPr>
          <w:ilvl w:val="0"/>
          <w:numId w:val="55"/>
        </w:numPr>
        <w:spacing w:after="120" w:line="288" w:lineRule="auto"/>
        <w:jc w:val="left"/>
      </w:pPr>
      <w:r w:rsidRPr="00CE744D">
        <w:t>Time bound - specify a time scale in which the outcome is met/assessed.</w:t>
      </w:r>
    </w:p>
    <w:p w14:paraId="0351964B" w14:textId="33B9488D" w:rsidR="00CE744D" w:rsidRDefault="00CE744D" w:rsidP="00CE744D">
      <w:pPr>
        <w:spacing w:after="120" w:line="288" w:lineRule="auto"/>
        <w:jc w:val="left"/>
      </w:pPr>
      <w:r>
        <w:t xml:space="preserve">More often than not, objectives are likely not </w:t>
      </w:r>
      <w:r w:rsidR="00DF58E3">
        <w:t>written as</w:t>
      </w:r>
      <w:r>
        <w:t xml:space="preserve"> SMART </w:t>
      </w:r>
      <w:r w:rsidR="00DF58E3">
        <w:t xml:space="preserve">objectives </w:t>
      </w:r>
      <w:r>
        <w:t xml:space="preserve">and will require refinement for use in IECA. Examples of non-SMART and SMART objectives </w:t>
      </w:r>
      <w:r w:rsidR="00DF58E3">
        <w:t xml:space="preserve">for the hypothetical estuary example </w:t>
      </w:r>
      <w:r w:rsidR="0090342F">
        <w:t>(</w:t>
      </w:r>
      <w:r w:rsidR="00DF58E3">
        <w:t>introduced in Section 1.5</w:t>
      </w:r>
      <w:r w:rsidR="0090342F">
        <w:t>)</w:t>
      </w:r>
      <w:r w:rsidR="00DF58E3">
        <w:t xml:space="preserve"> </w:t>
      </w:r>
      <w:r>
        <w:t xml:space="preserve">are provided in </w:t>
      </w:r>
      <w:r w:rsidR="0090342F">
        <w:fldChar w:fldCharType="begin"/>
      </w:r>
      <w:r w:rsidR="0090342F">
        <w:instrText xml:space="preserve"> REF _Ref484468503 \h </w:instrText>
      </w:r>
      <w:r w:rsidR="0090342F">
        <w:fldChar w:fldCharType="separate"/>
      </w:r>
      <w:r w:rsidR="005F359C">
        <w:t xml:space="preserve">Table </w:t>
      </w:r>
      <w:r w:rsidR="005F359C">
        <w:rPr>
          <w:noProof/>
        </w:rPr>
        <w:t>4</w:t>
      </w:r>
      <w:r w:rsidR="0090342F">
        <w:fldChar w:fldCharType="end"/>
      </w:r>
      <w:r w:rsidR="0090342F">
        <w:t>.</w:t>
      </w:r>
    </w:p>
    <w:p w14:paraId="3D2B8A39" w14:textId="77777777" w:rsidR="00DF58E3" w:rsidRDefault="00DF58E3" w:rsidP="00CE744D">
      <w:pPr>
        <w:spacing w:after="120" w:line="288" w:lineRule="auto"/>
        <w:jc w:val="left"/>
      </w:pPr>
    </w:p>
    <w:p w14:paraId="4D96EF83" w14:textId="77777777" w:rsidR="00DF58E3" w:rsidRDefault="00DF58E3" w:rsidP="00CE744D">
      <w:pPr>
        <w:spacing w:after="120" w:line="288" w:lineRule="auto"/>
        <w:jc w:val="left"/>
      </w:pPr>
    </w:p>
    <w:p w14:paraId="326F5FF7" w14:textId="77777777" w:rsidR="00DF58E3" w:rsidRDefault="00DF58E3" w:rsidP="00CE744D">
      <w:pPr>
        <w:spacing w:after="120" w:line="288" w:lineRule="auto"/>
        <w:jc w:val="left"/>
      </w:pPr>
    </w:p>
    <w:p w14:paraId="4A62826D" w14:textId="734B77D5" w:rsidR="00DF58E3" w:rsidRDefault="00DF58E3" w:rsidP="00DF58E3">
      <w:pPr>
        <w:pStyle w:val="Caption"/>
      </w:pPr>
      <w:bookmarkStart w:id="18" w:name="_Ref484468503"/>
      <w:r>
        <w:lastRenderedPageBreak/>
        <w:t xml:space="preserve">Table </w:t>
      </w:r>
      <w:fldSimple w:instr=" SEQ Table \* ARABIC ">
        <w:r w:rsidR="005F359C">
          <w:rPr>
            <w:noProof/>
          </w:rPr>
          <w:t>4</w:t>
        </w:r>
      </w:fldSimple>
      <w:bookmarkEnd w:id="18"/>
      <w:r w:rsidR="00FD50A9">
        <w:t xml:space="preserve">: </w:t>
      </w:r>
      <w:r w:rsidR="0090342F">
        <w:t>Example of c</w:t>
      </w:r>
      <w:r>
        <w:t xml:space="preserve">onverting simple ‘objectives’ to </w:t>
      </w:r>
      <w:r w:rsidR="0090342F">
        <w:t>SMART</w:t>
      </w:r>
      <w:r>
        <w:t xml:space="preserve"> objectives for the hypothetical estuary example.</w:t>
      </w:r>
    </w:p>
    <w:tbl>
      <w:tblPr>
        <w:tblStyle w:val="LightList-Accent2"/>
        <w:tblW w:w="0" w:type="auto"/>
        <w:tblLook w:val="04A0" w:firstRow="1" w:lastRow="0" w:firstColumn="1" w:lastColumn="0" w:noHBand="0" w:noVBand="1"/>
      </w:tblPr>
      <w:tblGrid>
        <w:gridCol w:w="3150"/>
        <w:gridCol w:w="5856"/>
      </w:tblGrid>
      <w:tr w:rsidR="004C3070" w:rsidRPr="00DF58E3" w14:paraId="7B5D564F" w14:textId="77777777" w:rsidTr="00DF5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32BD299" w14:textId="5A1CE9D8" w:rsidR="00CE744D" w:rsidRPr="00DF58E3" w:rsidRDefault="00CE744D" w:rsidP="00DF58E3">
            <w:pPr>
              <w:spacing w:after="120" w:line="288" w:lineRule="auto"/>
              <w:jc w:val="left"/>
            </w:pPr>
            <w:r w:rsidRPr="00DF58E3">
              <w:t>Non-SMART</w:t>
            </w:r>
            <w:r w:rsidR="004C3070" w:rsidRPr="00DF58E3">
              <w:t xml:space="preserve"> </w:t>
            </w:r>
          </w:p>
        </w:tc>
        <w:tc>
          <w:tcPr>
            <w:tcW w:w="6015" w:type="dxa"/>
          </w:tcPr>
          <w:p w14:paraId="333B0C8D" w14:textId="732C1CE0" w:rsidR="00CE744D" w:rsidRPr="00DF58E3" w:rsidRDefault="00CE744D" w:rsidP="00CE744D">
            <w:pPr>
              <w:spacing w:after="120" w:line="288" w:lineRule="auto"/>
              <w:jc w:val="left"/>
              <w:cnfStyle w:val="100000000000" w:firstRow="1" w:lastRow="0" w:firstColumn="0" w:lastColumn="0" w:oddVBand="0" w:evenVBand="0" w:oddHBand="0" w:evenHBand="0" w:firstRowFirstColumn="0" w:firstRowLastColumn="0" w:lastRowFirstColumn="0" w:lastRowLastColumn="0"/>
            </w:pPr>
            <w:r w:rsidRPr="00DF58E3">
              <w:t>IECA SMART</w:t>
            </w:r>
          </w:p>
        </w:tc>
      </w:tr>
      <w:tr w:rsidR="00CE744D" w14:paraId="0C394CE3" w14:textId="77777777" w:rsidTr="00DF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6C513C7" w14:textId="0F0F6AF7" w:rsidR="00CE744D" w:rsidRPr="00CE744D" w:rsidRDefault="00DF58E3" w:rsidP="00B02D54">
            <w:pPr>
              <w:spacing w:after="120" w:line="288" w:lineRule="auto"/>
              <w:jc w:val="left"/>
              <w:rPr>
                <w:b w:val="0"/>
              </w:rPr>
            </w:pPr>
            <w:r>
              <w:rPr>
                <w:b w:val="0"/>
              </w:rPr>
              <w:t>Improve native fish breeding</w:t>
            </w:r>
          </w:p>
        </w:tc>
        <w:tc>
          <w:tcPr>
            <w:tcW w:w="6015" w:type="dxa"/>
          </w:tcPr>
          <w:p w14:paraId="11949588" w14:textId="2131A2EA" w:rsidR="00CE744D" w:rsidRPr="00DF58E3" w:rsidRDefault="00DF58E3" w:rsidP="00CE744D">
            <w:pPr>
              <w:spacing w:after="120" w:line="288" w:lineRule="auto"/>
              <w:jc w:val="left"/>
              <w:cnfStyle w:val="000000100000" w:firstRow="0" w:lastRow="0" w:firstColumn="0" w:lastColumn="0" w:oddVBand="0" w:evenVBand="0" w:oddHBand="1" w:evenHBand="0" w:firstRowFirstColumn="0" w:firstRowLastColumn="0" w:lastRowFirstColumn="0" w:lastRowLastColumn="0"/>
            </w:pPr>
            <w:r w:rsidRPr="00DF58E3">
              <w:t xml:space="preserve">Improve </w:t>
            </w:r>
            <w:r w:rsidRPr="00DF58E3">
              <w:rPr>
                <w:i/>
              </w:rPr>
              <w:t>native fish breeding</w:t>
            </w:r>
            <w:r w:rsidRPr="00DF58E3">
              <w:t xml:space="preserve"> at </w:t>
            </w:r>
            <w:r w:rsidRPr="00DF58E3">
              <w:rPr>
                <w:i/>
              </w:rPr>
              <w:t>Fictitious River Estuary</w:t>
            </w:r>
            <w:r w:rsidRPr="00DF58E3">
              <w:t xml:space="preserve"> via increased </w:t>
            </w:r>
            <w:r w:rsidRPr="00DF58E3">
              <w:rPr>
                <w:i/>
              </w:rPr>
              <w:t>recruitment</w:t>
            </w:r>
            <w:r w:rsidRPr="00DF58E3">
              <w:t xml:space="preserve"> of </w:t>
            </w:r>
            <w:r w:rsidRPr="00DF58E3">
              <w:rPr>
                <w:i/>
              </w:rPr>
              <w:t>common galaxias</w:t>
            </w:r>
            <w:r w:rsidRPr="00DF58E3">
              <w:t xml:space="preserve"> by </w:t>
            </w:r>
            <w:r w:rsidRPr="00DF58E3">
              <w:rPr>
                <w:i/>
              </w:rPr>
              <w:t>2025</w:t>
            </w:r>
            <w:r w:rsidRPr="00DF58E3">
              <w:t xml:space="preserve">, compared to </w:t>
            </w:r>
            <w:r w:rsidRPr="00DF58E3">
              <w:rPr>
                <w:i/>
              </w:rPr>
              <w:t>baseline set in 2015</w:t>
            </w:r>
            <w:r w:rsidRPr="00DF58E3">
              <w:t>.</w:t>
            </w:r>
          </w:p>
        </w:tc>
      </w:tr>
      <w:tr w:rsidR="00CE744D" w14:paraId="3B2E0744" w14:textId="77777777" w:rsidTr="00DF58E3">
        <w:tc>
          <w:tcPr>
            <w:cnfStyle w:val="001000000000" w:firstRow="0" w:lastRow="0" w:firstColumn="1" w:lastColumn="0" w:oddVBand="0" w:evenVBand="0" w:oddHBand="0" w:evenHBand="0" w:firstRowFirstColumn="0" w:firstRowLastColumn="0" w:lastRowFirstColumn="0" w:lastRowLastColumn="0"/>
            <w:tcW w:w="3227" w:type="dxa"/>
          </w:tcPr>
          <w:p w14:paraId="0D476913" w14:textId="5D8748F1" w:rsidR="00CE744D" w:rsidRPr="00DF58E3" w:rsidRDefault="00DF58E3" w:rsidP="00B02D54">
            <w:pPr>
              <w:spacing w:after="120" w:line="288" w:lineRule="auto"/>
              <w:jc w:val="left"/>
              <w:rPr>
                <w:b w:val="0"/>
              </w:rPr>
            </w:pPr>
            <w:r w:rsidRPr="00DF58E3">
              <w:rPr>
                <w:b w:val="0"/>
              </w:rPr>
              <w:t>Maintain cultural values</w:t>
            </w:r>
          </w:p>
        </w:tc>
        <w:tc>
          <w:tcPr>
            <w:tcW w:w="6015" w:type="dxa"/>
          </w:tcPr>
          <w:p w14:paraId="0796B1C2" w14:textId="4E660163" w:rsidR="00CE744D" w:rsidRPr="00DF58E3" w:rsidRDefault="00DF58E3" w:rsidP="00CE744D">
            <w:pPr>
              <w:spacing w:after="120" w:line="288" w:lineRule="auto"/>
              <w:jc w:val="left"/>
              <w:cnfStyle w:val="000000000000" w:firstRow="0" w:lastRow="0" w:firstColumn="0" w:lastColumn="0" w:oddVBand="0" w:evenVBand="0" w:oddHBand="0" w:evenHBand="0" w:firstRowFirstColumn="0" w:firstRowLastColumn="0" w:lastRowFirstColumn="0" w:lastRowLastColumn="0"/>
            </w:pPr>
            <w:r w:rsidRPr="00DF58E3">
              <w:t xml:space="preserve">Maintain cultural values through </w:t>
            </w:r>
            <w:r w:rsidRPr="00DF58E3">
              <w:rPr>
                <w:i/>
              </w:rPr>
              <w:t>improved condition of country (reduced weediness)</w:t>
            </w:r>
            <w:r w:rsidRPr="00DF58E3">
              <w:t xml:space="preserve">, measurable </w:t>
            </w:r>
            <w:r w:rsidRPr="00DF58E3">
              <w:rPr>
                <w:i/>
              </w:rPr>
              <w:t>improvement in well-being of Traditional owners (increased access to country)</w:t>
            </w:r>
            <w:r w:rsidRPr="00DF58E3">
              <w:t xml:space="preserve"> and maintenance of</w:t>
            </w:r>
            <w:r w:rsidRPr="00DF58E3">
              <w:rPr>
                <w:i/>
              </w:rPr>
              <w:t xml:space="preserve"> eel populations at 2015 levels</w:t>
            </w:r>
            <w:r w:rsidRPr="00DF58E3">
              <w:t xml:space="preserve"> in </w:t>
            </w:r>
            <w:r w:rsidRPr="00DF58E3">
              <w:rPr>
                <w:i/>
              </w:rPr>
              <w:t>Lake Fictitious by 2020</w:t>
            </w:r>
            <w:r w:rsidRPr="00DF58E3">
              <w:t>.</w:t>
            </w:r>
          </w:p>
        </w:tc>
      </w:tr>
    </w:tbl>
    <w:p w14:paraId="01626C38" w14:textId="77777777" w:rsidR="00CE744D" w:rsidRDefault="00CE744D" w:rsidP="00CE744D">
      <w:pPr>
        <w:spacing w:after="120" w:line="288" w:lineRule="auto"/>
        <w:jc w:val="left"/>
      </w:pPr>
    </w:p>
    <w:p w14:paraId="1BD75985" w14:textId="77777777" w:rsidR="00C617F9" w:rsidRDefault="00C617F9" w:rsidP="00CE744D">
      <w:pPr>
        <w:spacing w:after="120" w:line="288" w:lineRule="auto"/>
        <w:jc w:val="left"/>
      </w:pPr>
    </w:p>
    <w:p w14:paraId="49F2977B" w14:textId="31ACA8FF" w:rsidR="00D561BB" w:rsidRPr="004E7EB5" w:rsidRDefault="00DE4A60" w:rsidP="00D561BB">
      <w:pPr>
        <w:pStyle w:val="Heading3"/>
      </w:pPr>
      <w:bookmarkStart w:id="19" w:name="_Toc493774206"/>
      <w:r>
        <w:t>Identify</w:t>
      </w:r>
      <w:r w:rsidR="00D561BB" w:rsidRPr="004E7EB5">
        <w:t xml:space="preserve"> </w:t>
      </w:r>
      <w:r>
        <w:t>Triggers, Targets and Thresholds</w:t>
      </w:r>
      <w:bookmarkEnd w:id="19"/>
      <w:r w:rsidR="00D561BB" w:rsidRPr="004E7EB5">
        <w:t xml:space="preserve">  </w:t>
      </w:r>
    </w:p>
    <w:p w14:paraId="7AAA1D00" w14:textId="0C2665EA" w:rsidR="00D561BB" w:rsidRPr="002721BB" w:rsidRDefault="00D561BB" w:rsidP="00D561BB">
      <w:r>
        <w:t xml:space="preserve">While </w:t>
      </w:r>
      <w:r w:rsidRPr="002721BB">
        <w:t xml:space="preserve">jurisdictions </w:t>
      </w:r>
      <w:r>
        <w:t xml:space="preserve">may </w:t>
      </w:r>
      <w:r w:rsidRPr="002721BB">
        <w:t>us</w:t>
      </w:r>
      <w:r>
        <w:t>e</w:t>
      </w:r>
      <w:r w:rsidRPr="002721BB">
        <w:t xml:space="preserve"> existing methods and their own terminology</w:t>
      </w:r>
      <w:r>
        <w:t xml:space="preserve">, </w:t>
      </w:r>
      <w:r w:rsidRPr="002721BB">
        <w:t xml:space="preserve">within the IECA Framework </w:t>
      </w:r>
      <w:r>
        <w:t>the</w:t>
      </w:r>
      <w:r w:rsidRPr="002721BB">
        <w:t xml:space="preserve"> follow</w:t>
      </w:r>
      <w:r w:rsidR="007A1FFF">
        <w:t>ing definition</w:t>
      </w:r>
      <w:r w:rsidRPr="002721BB">
        <w:t>s</w:t>
      </w:r>
      <w:r w:rsidR="007A1FFF">
        <w:t xml:space="preserve"> apply</w:t>
      </w:r>
      <w:r w:rsidRPr="002721BB">
        <w:t>:</w:t>
      </w:r>
    </w:p>
    <w:p w14:paraId="6B27889A" w14:textId="79F57E7A" w:rsidR="00D561BB" w:rsidRPr="00E46DC8" w:rsidRDefault="00D561BB" w:rsidP="00D561BB">
      <w:pPr>
        <w:ind w:left="720"/>
      </w:pPr>
      <w:r w:rsidRPr="00CA62A5">
        <w:rPr>
          <w:b/>
        </w:rPr>
        <w:t>Trigger</w:t>
      </w:r>
      <w:r w:rsidRPr="00E46DC8">
        <w:t xml:space="preserve"> – </w:t>
      </w:r>
      <w:r w:rsidRPr="00E46DC8">
        <w:rPr>
          <w:i/>
        </w:rPr>
        <w:t xml:space="preserve">The value of an indicator that, if it were to </w:t>
      </w:r>
      <w:r w:rsidR="007A1FFF">
        <w:rPr>
          <w:i/>
        </w:rPr>
        <w:t>be exceeded</w:t>
      </w:r>
      <w:r w:rsidRPr="00E46DC8">
        <w:rPr>
          <w:i/>
        </w:rPr>
        <w:t xml:space="preserve">, would signal to managers that intervention is required to avoid further degradation </w:t>
      </w:r>
      <w:r w:rsidR="007A1FFF">
        <w:rPr>
          <w:i/>
        </w:rPr>
        <w:t>or a major change in state</w:t>
      </w:r>
      <w:r w:rsidRPr="00E46DC8">
        <w:rPr>
          <w:i/>
        </w:rPr>
        <w:t xml:space="preserve">. An </w:t>
      </w:r>
      <w:r w:rsidR="007A1FFF">
        <w:rPr>
          <w:i/>
        </w:rPr>
        <w:t>‘</w:t>
      </w:r>
      <w:r w:rsidRPr="00E46DC8">
        <w:rPr>
          <w:i/>
        </w:rPr>
        <w:t>early warning</w:t>
      </w:r>
      <w:r w:rsidR="007A1FFF">
        <w:rPr>
          <w:i/>
        </w:rPr>
        <w:t>’</w:t>
      </w:r>
      <w:r w:rsidRPr="00E46DC8">
        <w:rPr>
          <w:i/>
        </w:rPr>
        <w:t xml:space="preserve"> indicator can be monitored through time and is known to </w:t>
      </w:r>
      <w:r w:rsidR="007A1FFF">
        <w:rPr>
          <w:i/>
        </w:rPr>
        <w:t>herald</w:t>
      </w:r>
      <w:r w:rsidRPr="00E46DC8">
        <w:rPr>
          <w:i/>
        </w:rPr>
        <w:t xml:space="preserve"> predictable changes in advance of an event (i.e., threshold/tipping point) or </w:t>
      </w:r>
      <w:r w:rsidR="007A1FFF">
        <w:rPr>
          <w:i/>
        </w:rPr>
        <w:t xml:space="preserve">provide a cue to an </w:t>
      </w:r>
      <w:r w:rsidRPr="00E46DC8">
        <w:rPr>
          <w:i/>
        </w:rPr>
        <w:t>increase</w:t>
      </w:r>
      <w:r w:rsidR="007A1FFF">
        <w:rPr>
          <w:i/>
        </w:rPr>
        <w:t>d</w:t>
      </w:r>
      <w:r w:rsidRPr="00E46DC8">
        <w:rPr>
          <w:i/>
        </w:rPr>
        <w:t xml:space="preserve"> probability of </w:t>
      </w:r>
      <w:r w:rsidR="007A1FFF">
        <w:rPr>
          <w:i/>
        </w:rPr>
        <w:t xml:space="preserve">it </w:t>
      </w:r>
      <w:r w:rsidRPr="00E46DC8">
        <w:rPr>
          <w:i/>
        </w:rPr>
        <w:t>occurring.</w:t>
      </w:r>
    </w:p>
    <w:p w14:paraId="66B062AC" w14:textId="77777777" w:rsidR="00D561BB" w:rsidRPr="00E46DC8" w:rsidRDefault="00D561BB" w:rsidP="00D561BB">
      <w:pPr>
        <w:ind w:left="720"/>
      </w:pPr>
      <w:r w:rsidRPr="00CA62A5">
        <w:rPr>
          <w:b/>
        </w:rPr>
        <w:t>Target</w:t>
      </w:r>
      <w:r w:rsidRPr="00E46DC8">
        <w:t xml:space="preserve"> – </w:t>
      </w:r>
      <w:r w:rsidRPr="00E46DC8">
        <w:rPr>
          <w:i/>
        </w:rPr>
        <w:t>The value an indicator is expected to achieve if management objectives have been met.</w:t>
      </w:r>
    </w:p>
    <w:p w14:paraId="17C63B86" w14:textId="77777777" w:rsidR="00D561BB" w:rsidRDefault="00D561BB" w:rsidP="00D561BB">
      <w:pPr>
        <w:ind w:left="720"/>
        <w:rPr>
          <w:i/>
        </w:rPr>
      </w:pPr>
      <w:r w:rsidRPr="00CA62A5">
        <w:rPr>
          <w:b/>
        </w:rPr>
        <w:t>Threshold</w:t>
      </w:r>
      <w:r w:rsidRPr="00E46DC8">
        <w:t xml:space="preserve"> - </w:t>
      </w:r>
      <w:r w:rsidRPr="00E46DC8">
        <w:rPr>
          <w:i/>
        </w:rPr>
        <w:t xml:space="preserve">A tipping point where a relatively rapid change from one ecological condition to another occurs. When a system is close to an ecological threshold, a large ecological response results from a relatively small change in a driver </w:t>
      </w:r>
      <w:r w:rsidRPr="00E46DC8">
        <w:rPr>
          <w:i/>
        </w:rPr>
        <w:fldChar w:fldCharType="begin"/>
      </w:r>
      <w:r w:rsidRPr="00E46DC8">
        <w:rPr>
          <w:i/>
        </w:rPr>
        <w:instrText xml:space="preserve"> ADDIN ZOTERO_ITEM CSL_CITATION {"citationID":"27lojr3hl9","properties":{"formattedCitation":"(Selkoe et al. 2015)","plainCitation":"(Selkoe et al. 2015)"},"citationItems":[{"id":1081,"uris":["http://zotero.org/users/3119797/items/G4ACRPQR"],"uri":["http://zotero.org/users/3119797/items/G4ACRPQR"],"itemData":{"id":1081,"type":"article-journal","title":"Principles for managing marine ecosystems prone to tipping points","container-title":"Ecosystem Health and Sustainability","page":"art17","volume":"1","issue":"5","source":"CrossRef","DOI":"10.1890/EHS14-0024.1","ISSN":"2332-8878","language":"en","author":[{"family":"Selkoe","given":"Kimberly A."},{"family":"Blenckner","given":"Thorsten"},{"family":"Caldwell","given":"Margaret R."},{"family":"Crowder","given":"Larry B."},{"family":"Erickson","given":"Ashley L."},{"family":"Essington","given":"Timothy E."},{"family":"Estes","given":"James A."},{"family":"Fujita","given":"Rod M."},{"family":"Halpern","given":"Benjamin S."},{"family":"Hunsicker","given":"Mary E."},{"family":"Kappel","given":"Carrie V."},{"family":"Kelly","given":"Ryan P."},{"family":"Kittinger","given":"John N."},{"family":"Levin","given":"Phillip S."},{"family":"Lynham","given":"John M."},{"family":"Mach","given":"Megan E."},{"family":"Martone","given":"Rebecca G."},{"family":"Mease","given":"Lindley A."},{"family":"Salomon","given":"Anne K."},{"family":"Samhouri","given":"Jameal F."},{"family":"Scarborough","given":"Courtney"},{"family":"Stier","given":"Adrian C."},{"family":"White","given":"Crow"},{"family":"Zedler","given":"Joy"}],"issued":{"date-parts":[["2015",7]]}}}],"schema":"https://github.com/citation-style-language/schema/raw/master/csl-citation.json"} </w:instrText>
      </w:r>
      <w:r w:rsidRPr="00E46DC8">
        <w:rPr>
          <w:i/>
        </w:rPr>
        <w:fldChar w:fldCharType="separate"/>
      </w:r>
      <w:r w:rsidRPr="00E46DC8">
        <w:rPr>
          <w:i/>
        </w:rPr>
        <w:t>(Selkoe et al. 2015)</w:t>
      </w:r>
      <w:r w:rsidRPr="00E46DC8">
        <w:fldChar w:fldCharType="end"/>
      </w:r>
      <w:r w:rsidRPr="00E46DC8">
        <w:rPr>
          <w:i/>
        </w:rPr>
        <w:t>.</w:t>
      </w:r>
    </w:p>
    <w:p w14:paraId="2AE651C2" w14:textId="66EBA994" w:rsidR="00D561BB" w:rsidRPr="005A257E" w:rsidRDefault="00D561BB" w:rsidP="00D561BB">
      <w:r>
        <w:t>Condition assessment using the IECA Framework may contribute to assess</w:t>
      </w:r>
      <w:r w:rsidR="0001626E">
        <w:t>ment</w:t>
      </w:r>
      <w:r>
        <w:t xml:space="preserve"> against established targets and triggers (e.g. assessment against Limits of Acceptable Change at Ramsar sites, or restoration targets specified in watering plans). Newly established triggers, targets and thresholds set specifically for an assessment using the IECA Framework should </w:t>
      </w:r>
      <w:r w:rsidR="00517658">
        <w:t xml:space="preserve">ideally </w:t>
      </w:r>
      <w:r>
        <w:t>be for individual indicators, not the composite indicators derived from aggregation</w:t>
      </w:r>
      <w:r w:rsidR="00D7489A">
        <w:t>,</w:t>
      </w:r>
      <w:r w:rsidR="00517658">
        <w:t xml:space="preserve"> as this will allow transparency</w:t>
      </w:r>
      <w:r w:rsidR="0001626E">
        <w:t>.</w:t>
      </w:r>
      <w:r w:rsidR="00517658">
        <w:t xml:space="preserve"> Composite indices can be developed via aggregation.</w:t>
      </w:r>
      <w:r w:rsidR="0001626E">
        <w:t xml:space="preserve"> The setting of new triggers, targets and thresholds</w:t>
      </w:r>
      <w:r>
        <w:t xml:space="preserve"> occur</w:t>
      </w:r>
      <w:r w:rsidR="0001626E">
        <w:t>s</w:t>
      </w:r>
      <w:r>
        <w:t xml:space="preserve"> in Step 5 of the IECA workflow (see </w:t>
      </w:r>
      <w:r w:rsidR="00AD356B">
        <w:t>S</w:t>
      </w:r>
      <w:r>
        <w:t>ection 3.5).</w:t>
      </w:r>
    </w:p>
    <w:p w14:paraId="6C781907" w14:textId="478A7587" w:rsidR="00280141" w:rsidRDefault="00280141" w:rsidP="00280141">
      <w:r>
        <w:t xml:space="preserve">Assessments require standards from which change can be measured </w:t>
      </w:r>
      <w:r>
        <w:fldChar w:fldCharType="begin"/>
      </w:r>
      <w:r>
        <w:instrText xml:space="preserve"> ADDIN ZOTERO_ITEM CSL_CITATION {"citationID":"1c77mi4teu","properties":{"formattedCitation":"(Kopf et al. 2015)","plainCitation":"(Kopf et al. 2015)"},"citationItems":[{"id":3170,"uris":["http://zotero.org/users/3119797/items/CVRBVNHG"],"uri":["http://zotero.org/users/3119797/items/CVRBVNHG"],"itemData":{"id":3170,"type":"article-journal","title":"Anthropocene Baselines: Assessing Change and Managing Biodiversity in Human-Dominated Aquatic Ecosystems","container-title":"BioScience","page":"798-811","volume":"65","issue":"8","source":"CrossRef","DOI":"10.1093/biosci/biv092","ISSN":"0006-3568, 1525-3244","shortTitle":"Anthropocene Baselines","language":"en","author":[{"family":"Kopf","given":"R. Keller"},{"family":"Finlayson","given":"C. Max"},{"family":"Humphries","given":"Paul"},{"family":"Sims","given":"Neil C."},{"family":"Hladyz","given":"Sally"}],"issued":{"date-parts":[["2015",8,1]]}}}],"schema":"https://github.com/citation-style-language/schema/raw/master/csl-citation.json"} </w:instrText>
      </w:r>
      <w:r>
        <w:fldChar w:fldCharType="separate"/>
      </w:r>
      <w:r w:rsidRPr="00280141">
        <w:rPr>
          <w:rFonts w:cs="Calibri"/>
        </w:rPr>
        <w:t>(Kopf et al. 2015)</w:t>
      </w:r>
      <w:r>
        <w:fldChar w:fldCharType="end"/>
      </w:r>
      <w:r>
        <w:t xml:space="preserve">, and in IECA these are specified </w:t>
      </w:r>
      <w:r w:rsidR="005B234A">
        <w:t xml:space="preserve">as </w:t>
      </w:r>
      <w:r>
        <w:t>baseline or reference point. There is a substantial literature on setting baselines, with common practices including</w:t>
      </w:r>
      <w:r w:rsidR="00D7489A">
        <w:t xml:space="preserve"> use of</w:t>
      </w:r>
      <w:r>
        <w:t>:</w:t>
      </w:r>
    </w:p>
    <w:p w14:paraId="5D07806D" w14:textId="6EC59F65" w:rsidR="00280141" w:rsidRDefault="00280141" w:rsidP="00DA2C26">
      <w:pPr>
        <w:pStyle w:val="ListParagraph"/>
        <w:numPr>
          <w:ilvl w:val="0"/>
          <w:numId w:val="77"/>
        </w:numPr>
      </w:pPr>
      <w:r w:rsidRPr="00933FD1">
        <w:rPr>
          <w:b/>
          <w:i/>
        </w:rPr>
        <w:t>Reference condition</w:t>
      </w:r>
      <w:r>
        <w:t xml:space="preserve"> – </w:t>
      </w:r>
      <w:r w:rsidR="00D7489A">
        <w:t xml:space="preserve"> often specified as a time such as </w:t>
      </w:r>
      <w:r>
        <w:t>pre European</w:t>
      </w:r>
      <w:r w:rsidR="00D7489A">
        <w:t xml:space="preserve"> or </w:t>
      </w:r>
      <w:r>
        <w:t xml:space="preserve">natural </w:t>
      </w:r>
      <w:r w:rsidR="00D7489A">
        <w:t>conditions</w:t>
      </w:r>
      <w:r>
        <w:t xml:space="preserve"> </w:t>
      </w:r>
      <w:r w:rsidR="00D7489A">
        <w:t>with the assumed</w:t>
      </w:r>
      <w:r>
        <w:t xml:space="preserve"> absence of human activity;</w:t>
      </w:r>
    </w:p>
    <w:p w14:paraId="0440B22A" w14:textId="0A726CD9" w:rsidR="00280141" w:rsidRDefault="005B234A" w:rsidP="00DA2C26">
      <w:pPr>
        <w:pStyle w:val="ListParagraph"/>
        <w:numPr>
          <w:ilvl w:val="0"/>
          <w:numId w:val="77"/>
        </w:numPr>
      </w:pPr>
      <w:r w:rsidRPr="00933FD1">
        <w:rPr>
          <w:b/>
          <w:i/>
        </w:rPr>
        <w:t xml:space="preserve">Least disturbed </w:t>
      </w:r>
      <w:r w:rsidR="00D7489A" w:rsidRPr="00933FD1">
        <w:rPr>
          <w:b/>
          <w:i/>
        </w:rPr>
        <w:t>reference sites</w:t>
      </w:r>
      <w:r w:rsidR="00D7489A">
        <w:t xml:space="preserve"> </w:t>
      </w:r>
      <w:r>
        <w:t>– typically a specified location which in theory are the best representative real-world examples of conditions in the absence of humans, however, most are subject to some level of anthropogenic pressure</w:t>
      </w:r>
      <w:r w:rsidR="00D7489A">
        <w:t>. Also this approach has the problem that in different locations and assessment ‘ least disturbed’ can vary significantly;</w:t>
      </w:r>
    </w:p>
    <w:p w14:paraId="06E14075" w14:textId="70B2FCEC" w:rsidR="00D7489A" w:rsidRDefault="00D7489A" w:rsidP="00DA2C26">
      <w:pPr>
        <w:pStyle w:val="ListParagraph"/>
        <w:numPr>
          <w:ilvl w:val="0"/>
          <w:numId w:val="77"/>
        </w:numPr>
      </w:pPr>
      <w:r w:rsidRPr="00933FD1">
        <w:rPr>
          <w:b/>
          <w:i/>
        </w:rPr>
        <w:lastRenderedPageBreak/>
        <w:t>Best available data</w:t>
      </w:r>
      <w:r>
        <w:t xml:space="preserve"> </w:t>
      </w:r>
      <w:r w:rsidR="00FD5C15">
        <w:t>–</w:t>
      </w:r>
      <w:r>
        <w:t xml:space="preserve"> </w:t>
      </w:r>
      <w:r w:rsidR="00FD5C15">
        <w:t xml:space="preserve">often a contemporary period of time in which there are available data to describe range of variability in the attribute of interest. It is rare that all attributes </w:t>
      </w:r>
      <w:r w:rsidR="00C531F5">
        <w:t xml:space="preserve">of interest </w:t>
      </w:r>
      <w:r w:rsidR="00FD5C15">
        <w:t>will have data across a uniform period of time</w:t>
      </w:r>
      <w:r w:rsidR="00C531F5">
        <w:t xml:space="preserve">, and this needs to be considered. </w:t>
      </w:r>
    </w:p>
    <w:p w14:paraId="73067184" w14:textId="4969AA70" w:rsidR="00933FD1" w:rsidRDefault="001067B6" w:rsidP="006841C7">
      <w:r>
        <w:t>B</w:t>
      </w:r>
      <w:r w:rsidR="00933FD1">
        <w:t xml:space="preserve">aselines </w:t>
      </w:r>
      <w:r>
        <w:t xml:space="preserve">will need </w:t>
      </w:r>
      <w:r w:rsidR="00933FD1">
        <w:t>to be identified, or set, for each element of the assessment</w:t>
      </w:r>
      <w:r w:rsidR="006841C7">
        <w:t xml:space="preserve">. </w:t>
      </w:r>
      <w:r w:rsidR="00933FD1">
        <w:t xml:space="preserve"> See recommended reading </w:t>
      </w:r>
      <w:r w:rsidR="00E80C12">
        <w:t xml:space="preserve">below </w:t>
      </w:r>
      <w:r w:rsidR="00933FD1">
        <w:t>for further guidance on setting</w:t>
      </w:r>
      <w:r w:rsidR="00E80C12">
        <w:t xml:space="preserve"> a</w:t>
      </w:r>
      <w:r w:rsidR="00933FD1">
        <w:t xml:space="preserve"> baseline.</w:t>
      </w:r>
      <w:r>
        <w:t xml:space="preserve">  The TAG should be engaged in this process. </w:t>
      </w:r>
    </w:p>
    <w:p w14:paraId="1553C67E" w14:textId="10CC131C" w:rsidR="00D561BB" w:rsidRPr="00933FD1" w:rsidRDefault="00C531F5" w:rsidP="00242175">
      <w:pPr>
        <w:shd w:val="clear" w:color="auto" w:fill="F6F4E1" w:themeFill="accent3" w:themeFillTint="33"/>
        <w:rPr>
          <w:b/>
          <w:i/>
          <w:color w:val="456867" w:themeColor="accent2" w:themeShade="80"/>
        </w:rPr>
      </w:pPr>
      <w:r w:rsidRPr="00933FD1">
        <w:rPr>
          <w:b/>
          <w:i/>
          <w:color w:val="456867" w:themeColor="accent2" w:themeShade="80"/>
        </w:rPr>
        <w:t>Tip: When setting baselines</w:t>
      </w:r>
      <w:r w:rsidR="006841C7" w:rsidRPr="00933FD1">
        <w:rPr>
          <w:b/>
          <w:i/>
          <w:color w:val="456867" w:themeColor="accent2" w:themeShade="80"/>
        </w:rPr>
        <w:t xml:space="preserve"> (and targets, triggers and thresholds),</w:t>
      </w:r>
      <w:r w:rsidRPr="00933FD1">
        <w:rPr>
          <w:b/>
          <w:i/>
          <w:color w:val="456867" w:themeColor="accent2" w:themeShade="80"/>
        </w:rPr>
        <w:t xml:space="preserve"> be aware that some pressures will be ong</w:t>
      </w:r>
      <w:r w:rsidR="006841C7" w:rsidRPr="00933FD1">
        <w:rPr>
          <w:b/>
          <w:i/>
          <w:color w:val="456867" w:themeColor="accent2" w:themeShade="80"/>
        </w:rPr>
        <w:t>oing and</w:t>
      </w:r>
      <w:r w:rsidR="00B72EB1">
        <w:rPr>
          <w:b/>
          <w:i/>
          <w:color w:val="456867" w:themeColor="accent2" w:themeShade="80"/>
        </w:rPr>
        <w:t xml:space="preserve"> /</w:t>
      </w:r>
      <w:r w:rsidR="006841C7" w:rsidRPr="00933FD1">
        <w:rPr>
          <w:b/>
          <w:i/>
          <w:color w:val="456867" w:themeColor="accent2" w:themeShade="80"/>
        </w:rPr>
        <w:t xml:space="preserve"> or increase in intensity </w:t>
      </w:r>
      <w:r w:rsidR="00B72EB1">
        <w:rPr>
          <w:b/>
          <w:i/>
          <w:color w:val="456867" w:themeColor="accent2" w:themeShade="80"/>
        </w:rPr>
        <w:t>potentially negating gains achieved by intervention</w:t>
      </w:r>
      <w:r w:rsidR="006841C7" w:rsidRPr="00933FD1">
        <w:rPr>
          <w:b/>
          <w:i/>
          <w:color w:val="456867" w:themeColor="accent2" w:themeShade="80"/>
        </w:rPr>
        <w:t>. Baselines set without recognition that they need to be adaptively managed (i.e. checked for relevancy, achievability</w:t>
      </w:r>
      <w:r w:rsidR="00B72EB1">
        <w:rPr>
          <w:b/>
          <w:i/>
          <w:color w:val="456867" w:themeColor="accent2" w:themeShade="80"/>
        </w:rPr>
        <w:t>, and updated</w:t>
      </w:r>
      <w:r w:rsidR="006841C7" w:rsidRPr="00933FD1">
        <w:rPr>
          <w:b/>
          <w:i/>
          <w:color w:val="456867" w:themeColor="accent2" w:themeShade="80"/>
        </w:rPr>
        <w:t xml:space="preserve">) </w:t>
      </w:r>
      <w:r w:rsidR="004257F4">
        <w:rPr>
          <w:b/>
          <w:i/>
          <w:color w:val="456867" w:themeColor="accent2" w:themeShade="80"/>
        </w:rPr>
        <w:t>may</w:t>
      </w:r>
      <w:r w:rsidR="00933FD1">
        <w:rPr>
          <w:b/>
          <w:i/>
          <w:color w:val="456867" w:themeColor="accent2" w:themeShade="80"/>
        </w:rPr>
        <w:t xml:space="preserve"> ultimately indicate a failure to achieve management objectives, as any gains </w:t>
      </w:r>
      <w:r w:rsidR="004257F4">
        <w:rPr>
          <w:b/>
          <w:i/>
          <w:color w:val="456867" w:themeColor="accent2" w:themeShade="80"/>
        </w:rPr>
        <w:t>could be</w:t>
      </w:r>
      <w:r w:rsidR="00933FD1">
        <w:rPr>
          <w:b/>
          <w:i/>
          <w:color w:val="456867" w:themeColor="accent2" w:themeShade="80"/>
        </w:rPr>
        <w:t xml:space="preserve"> masked</w:t>
      </w:r>
      <w:r w:rsidR="004257F4">
        <w:rPr>
          <w:b/>
          <w:i/>
          <w:color w:val="456867" w:themeColor="accent2" w:themeShade="80"/>
        </w:rPr>
        <w:t xml:space="preserve"> (</w:t>
      </w:r>
      <w:r w:rsidR="00933FD1">
        <w:rPr>
          <w:b/>
          <w:i/>
          <w:color w:val="456867" w:themeColor="accent2" w:themeShade="80"/>
        </w:rPr>
        <w:t xml:space="preserve">See </w:t>
      </w:r>
      <w:r w:rsidR="00933FD1">
        <w:rPr>
          <w:b/>
          <w:i/>
          <w:color w:val="456867" w:themeColor="accent2" w:themeShade="80"/>
        </w:rPr>
        <w:fldChar w:fldCharType="begin"/>
      </w:r>
      <w:r w:rsidR="00933FD1">
        <w:rPr>
          <w:b/>
          <w:i/>
          <w:color w:val="456867" w:themeColor="accent2" w:themeShade="80"/>
        </w:rPr>
        <w:instrText xml:space="preserve"> REF _Ref484615288 \h </w:instrText>
      </w:r>
      <w:r w:rsidR="00B72EB1">
        <w:rPr>
          <w:b/>
          <w:i/>
          <w:color w:val="456867" w:themeColor="accent2" w:themeShade="80"/>
        </w:rPr>
        <w:instrText xml:space="preserve"> \* MERGEFORMAT </w:instrText>
      </w:r>
      <w:r w:rsidR="00933FD1">
        <w:rPr>
          <w:b/>
          <w:i/>
          <w:color w:val="456867" w:themeColor="accent2" w:themeShade="80"/>
        </w:rPr>
      </w:r>
      <w:r w:rsidR="00933FD1">
        <w:rPr>
          <w:b/>
          <w:i/>
          <w:color w:val="456867" w:themeColor="accent2" w:themeShade="80"/>
        </w:rPr>
        <w:fldChar w:fldCharType="separate"/>
      </w:r>
      <w:r w:rsidR="005F359C" w:rsidRPr="005F359C">
        <w:rPr>
          <w:b/>
          <w:i/>
          <w:color w:val="456867" w:themeColor="accent2" w:themeShade="80"/>
        </w:rPr>
        <w:t>Figure 3</w:t>
      </w:r>
      <w:r w:rsidR="00933FD1">
        <w:rPr>
          <w:b/>
          <w:i/>
          <w:color w:val="456867" w:themeColor="accent2" w:themeShade="80"/>
        </w:rPr>
        <w:fldChar w:fldCharType="end"/>
      </w:r>
      <w:r w:rsidR="004257F4">
        <w:rPr>
          <w:b/>
          <w:i/>
          <w:color w:val="456867" w:themeColor="accent2" w:themeShade="80"/>
        </w:rPr>
        <w:t>)</w:t>
      </w:r>
      <w:r w:rsidR="00B72EB1">
        <w:rPr>
          <w:b/>
          <w:i/>
          <w:color w:val="456867" w:themeColor="accent2" w:themeShade="80"/>
        </w:rPr>
        <w:t>.</w:t>
      </w:r>
      <w:r w:rsidR="004257F4">
        <w:rPr>
          <w:b/>
          <w:i/>
          <w:color w:val="456867" w:themeColor="accent2" w:themeShade="80"/>
        </w:rPr>
        <w:t xml:space="preserve"> In some cases shifting baselines will require retrospective calculation / analyses of data to align datasets using different baselines, with caveats included in the reporting.</w:t>
      </w:r>
      <w:r w:rsidR="00242175">
        <w:rPr>
          <w:b/>
          <w:i/>
          <w:color w:val="456867" w:themeColor="accent2" w:themeShade="80"/>
        </w:rPr>
        <w:t xml:space="preserve"> M</w:t>
      </w:r>
      <w:r w:rsidR="00242175" w:rsidRPr="00242175">
        <w:rPr>
          <w:b/>
          <w:i/>
          <w:color w:val="456867" w:themeColor="accent2" w:themeShade="80"/>
        </w:rPr>
        <w:t xml:space="preserve">easures of success may </w:t>
      </w:r>
      <w:r w:rsidR="00242175">
        <w:rPr>
          <w:b/>
          <w:i/>
          <w:color w:val="456867" w:themeColor="accent2" w:themeShade="80"/>
        </w:rPr>
        <w:t xml:space="preserve">of interventions may </w:t>
      </w:r>
      <w:r w:rsidR="00242175" w:rsidRPr="00242175">
        <w:rPr>
          <w:b/>
          <w:i/>
          <w:color w:val="456867" w:themeColor="accent2" w:themeShade="80"/>
        </w:rPr>
        <w:t>need to be reconsidered</w:t>
      </w:r>
      <w:r w:rsidR="00242175">
        <w:rPr>
          <w:b/>
          <w:i/>
          <w:color w:val="456867" w:themeColor="accent2" w:themeShade="80"/>
        </w:rPr>
        <w:t xml:space="preserve"> </w:t>
      </w:r>
      <w:r w:rsidR="00242175" w:rsidRPr="00242175">
        <w:rPr>
          <w:b/>
          <w:i/>
          <w:color w:val="456867" w:themeColor="accent2" w:themeShade="80"/>
        </w:rPr>
        <w:t>when drivers that lie outside the scope of intervention</w:t>
      </w:r>
      <w:r w:rsidR="00242175">
        <w:rPr>
          <w:b/>
          <w:i/>
          <w:color w:val="456867" w:themeColor="accent2" w:themeShade="80"/>
        </w:rPr>
        <w:t xml:space="preserve"> </w:t>
      </w:r>
      <w:r w:rsidR="00242175" w:rsidRPr="00242175">
        <w:rPr>
          <w:b/>
          <w:i/>
          <w:color w:val="456867" w:themeColor="accent2" w:themeShade="80"/>
        </w:rPr>
        <w:t>make achieving outcomes difficult</w:t>
      </w:r>
      <w:r w:rsidR="00242175">
        <w:rPr>
          <w:b/>
          <w:i/>
          <w:color w:val="456867" w:themeColor="accent2" w:themeShade="80"/>
        </w:rPr>
        <w:t xml:space="preserve"> (Gillon et al. 2016)</w:t>
      </w:r>
      <w:r w:rsidR="00242175" w:rsidRPr="00242175">
        <w:rPr>
          <w:b/>
          <w:i/>
          <w:color w:val="456867" w:themeColor="accent2" w:themeShade="80"/>
        </w:rPr>
        <w:t>.</w:t>
      </w:r>
    </w:p>
    <w:p w14:paraId="49C3605F" w14:textId="20DBD1CB" w:rsidR="00C531F5" w:rsidRDefault="00933FD1" w:rsidP="00280141">
      <w:r>
        <w:rPr>
          <w:noProof/>
          <w:lang w:eastAsia="en-AU"/>
        </w:rPr>
        <w:drawing>
          <wp:inline distT="0" distB="0" distL="0" distR="0" wp14:anchorId="2C0C0A20" wp14:editId="7C23A5B0">
            <wp:extent cx="5731510" cy="22682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 baselines.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2268220"/>
                    </a:xfrm>
                    <a:prstGeom prst="rect">
                      <a:avLst/>
                    </a:prstGeom>
                  </pic:spPr>
                </pic:pic>
              </a:graphicData>
            </a:graphic>
          </wp:inline>
        </w:drawing>
      </w:r>
    </w:p>
    <w:p w14:paraId="7E983B08" w14:textId="0BBC4B1C" w:rsidR="00933FD1" w:rsidRDefault="00933FD1" w:rsidP="00933FD1">
      <w:pPr>
        <w:pStyle w:val="Caption"/>
      </w:pPr>
      <w:bookmarkStart w:id="20" w:name="_Ref484615288"/>
      <w:r>
        <w:t xml:space="preserve">Figure </w:t>
      </w:r>
      <w:fldSimple w:instr=" SEQ Figure \* ARABIC ">
        <w:r w:rsidR="005F359C">
          <w:rPr>
            <w:noProof/>
          </w:rPr>
          <w:t>3</w:t>
        </w:r>
      </w:fldSimple>
      <w:bookmarkEnd w:id="20"/>
      <w:r>
        <w:t xml:space="preserve">: </w:t>
      </w:r>
      <w:r w:rsidR="00B72EB1">
        <w:t>Static</w:t>
      </w:r>
      <w:r>
        <w:t xml:space="preserve"> baselines can affect manag</w:t>
      </w:r>
      <w:r w:rsidR="00352EB4">
        <w:t>e</w:t>
      </w:r>
      <w:r>
        <w:t>ment–outcome relationships</w:t>
      </w:r>
      <w:r w:rsidR="00B72EB1">
        <w:t xml:space="preserve"> if not adaptively managed</w:t>
      </w:r>
      <w:r>
        <w:t xml:space="preserve">. a). Expected trajectories of management intervention and nutrient loading outcomes, given assumption of stationary pressures. b). trajectory of management intervention and nutrient loading outcomes, given increasing pressures that counteract management effort (modified from </w:t>
      </w:r>
      <w:r>
        <w:fldChar w:fldCharType="begin"/>
      </w:r>
      <w:r>
        <w:rPr>
          <w:caps w:val="0"/>
        </w:rPr>
        <w:instrText xml:space="preserve"> ADDIN ZOTERO_ITEM CSL_CITATION {"citationID":"2kdm2etbml","properties":{"formattedCitation":"(Gillon et al. 2016)","plainCitation":"(GILLON ET AL. 2016)"},"citationItems":[{"id":3553,"uris":["http://zotero.org/users/3119797/items/EUB74F4V"],"uri":["http://zotero.org/users/3119797/items/EUB74F4V"],"itemData":{"id":3553,"type":"article-journal","title":"Shifting drivers and static baselines in environmental governance: challenges for improving and proving water quality outcomes","container-title":"Regional Environmental Change","page":"759-775","volume":"16","issue":"3","source":"CrossRef","DOI":"10.1007/s10113-015-0787-0","ISSN":"1436-3798, 1436-378X","shortTitle":"Shifting drivers and static baselines in environmental governance","language":"en","author":[{"family":"Gillon","given":"Sean"},{"family":"Booth","given":"Eric G."},{"family":"Rissman","given":"Adena R."}],"issued":{"date-parts":[["2016",3]]}}}],"schema":"https://github.com/citation-style-language/schema/raw/master/csl-citation.json"} </w:instrText>
      </w:r>
      <w:r>
        <w:fldChar w:fldCharType="separate"/>
      </w:r>
      <w:r w:rsidRPr="00933FD1">
        <w:rPr>
          <w:rFonts w:cs="Calibri"/>
        </w:rPr>
        <w:t>Gillon et al. 2016)</w:t>
      </w:r>
      <w:r>
        <w:fldChar w:fldCharType="end"/>
      </w:r>
      <w:r>
        <w:t>.</w:t>
      </w:r>
    </w:p>
    <w:p w14:paraId="6754F8D2" w14:textId="7EA3E4AC" w:rsidR="00C531F5" w:rsidRDefault="00B72EB1" w:rsidP="00280141">
      <w:pPr>
        <w:rPr>
          <w:b/>
          <w:i/>
        </w:rPr>
      </w:pPr>
      <w:r>
        <w:rPr>
          <w:b/>
          <w:i/>
        </w:rPr>
        <w:t>Further recommended reading</w:t>
      </w:r>
    </w:p>
    <w:p w14:paraId="708897C3" w14:textId="6C5A5BE8" w:rsidR="00B72EB1" w:rsidRDefault="00B72EB1" w:rsidP="00DA2C26">
      <w:pPr>
        <w:pStyle w:val="ListParagraph"/>
        <w:numPr>
          <w:ilvl w:val="0"/>
          <w:numId w:val="78"/>
        </w:numPr>
      </w:pPr>
      <w:r w:rsidRPr="00B72EB1">
        <w:t xml:space="preserve">Gillon, S., Booth, E.G., and Rissman, A.R. </w:t>
      </w:r>
      <w:r>
        <w:t>(</w:t>
      </w:r>
      <w:r w:rsidRPr="00B72EB1">
        <w:t>2016</w:t>
      </w:r>
      <w:r>
        <w:t>)</w:t>
      </w:r>
      <w:r w:rsidRPr="00B72EB1">
        <w:t xml:space="preserve">. Shifting drivers and static baselines in environmental governance: challenges for improving and proving water quality outcomes. </w:t>
      </w:r>
      <w:r w:rsidRPr="00B72EB1">
        <w:rPr>
          <w:i/>
        </w:rPr>
        <w:t>Regional Environmental</w:t>
      </w:r>
      <w:r w:rsidRPr="00B72EB1">
        <w:t xml:space="preserve"> </w:t>
      </w:r>
      <w:r w:rsidRPr="00B72EB1">
        <w:rPr>
          <w:i/>
        </w:rPr>
        <w:t>Change</w:t>
      </w:r>
      <w:r w:rsidRPr="00B72EB1">
        <w:t xml:space="preserve"> 16(3): 759–775.</w:t>
      </w:r>
    </w:p>
    <w:p w14:paraId="6184CCAA" w14:textId="5012D923" w:rsidR="00B72EB1" w:rsidRPr="00B72EB1" w:rsidRDefault="001067B6" w:rsidP="00DA2C26">
      <w:pPr>
        <w:pStyle w:val="ListParagraph"/>
        <w:numPr>
          <w:ilvl w:val="0"/>
          <w:numId w:val="78"/>
        </w:numPr>
      </w:pPr>
      <w:r w:rsidRPr="00933FD1">
        <w:rPr>
          <w:rFonts w:cs="Calibri"/>
        </w:rPr>
        <w:t xml:space="preserve">Kopf, R.K., Finlayson, C.M., Humphries, P., Sims, N.C., and Hladyz, S. 2015. Anthropocene Baselines: Assessing Change and Managing Biodiversity in Human-Dominated Aquatic Ecosystems. BioScience </w:t>
      </w:r>
      <w:r w:rsidRPr="001067B6">
        <w:rPr>
          <w:rFonts w:cs="Calibri"/>
          <w:bCs/>
        </w:rPr>
        <w:t>65</w:t>
      </w:r>
      <w:r w:rsidRPr="00933FD1">
        <w:rPr>
          <w:rFonts w:cs="Calibri"/>
        </w:rPr>
        <w:t>(8): 798–811.</w:t>
      </w:r>
    </w:p>
    <w:p w14:paraId="29A044D2" w14:textId="77777777" w:rsidR="002853B4" w:rsidRPr="004E7EB5" w:rsidRDefault="002853B4" w:rsidP="002853B4">
      <w:pPr>
        <w:pStyle w:val="Heading3"/>
        <w:keepNext/>
      </w:pPr>
      <w:bookmarkStart w:id="21" w:name="_Toc493774207"/>
      <w:r w:rsidRPr="004E7EB5">
        <w:t>Stakeholder engagement</w:t>
      </w:r>
      <w:bookmarkEnd w:id="21"/>
    </w:p>
    <w:p w14:paraId="047D0695" w14:textId="1ABC69B2" w:rsidR="002853B4" w:rsidRDefault="002853B4" w:rsidP="002853B4">
      <w:r>
        <w:t xml:space="preserve">The scope and purpose of stakeholder engagement will depend largely on the management objectives for the assessment unit and the level of stakeholder interest. The </w:t>
      </w:r>
      <w:r w:rsidRPr="005B51C7">
        <w:t xml:space="preserve">International Association for Public Participation’s Public Participation </w:t>
      </w:r>
      <w:r w:rsidR="006606EA" w:rsidRPr="005B51C7">
        <w:t>Spectrum</w:t>
      </w:r>
      <w:r w:rsidR="00C9212D">
        <w:t xml:space="preserve"> </w:t>
      </w:r>
      <w:r w:rsidR="00906EDF">
        <w:fldChar w:fldCharType="begin"/>
      </w:r>
      <w:r w:rsidR="00906EDF">
        <w:instrText xml:space="preserve"> ADDIN ZOTERO_ITEM CSL_CITATION {"citationID":"13atlm2g3t","properties":{"formattedCitation":"(IAP2 International Federation 2014)","plainCitation":"(IAP2 International Federation 2014)"},"citationItems":[{"id":3540,"uris":["http://zotero.org/users/3119797/items/WG6B929U"],"uri":["http://zotero.org/users/3119797/items/WG6B929U"],"itemData":{"id":3540,"type":"article","title":"IAP2’s Public Participation Spectrum.","URL":"https://www.iap2.org.au/Tenant/C0000004/00000001/files/IAP2_Public_Participation_Spectrum.pdf","author":[{"family":"IAP2 International Federation","given":""}],"issued":{"date-parts":[["2014"]]}}}],"schema":"https://github.com/citation-style-language/schema/raw/master/csl-citation.json"} </w:instrText>
      </w:r>
      <w:r w:rsidR="00906EDF">
        <w:fldChar w:fldCharType="separate"/>
      </w:r>
      <w:r w:rsidR="00906EDF" w:rsidRPr="00906EDF">
        <w:rPr>
          <w:rFonts w:cs="Calibri"/>
        </w:rPr>
        <w:t>(IAP2 International Federation 2014)</w:t>
      </w:r>
      <w:r w:rsidR="00906EDF">
        <w:fldChar w:fldCharType="end"/>
      </w:r>
      <w:r w:rsidR="006606EA">
        <w:t xml:space="preserve"> </w:t>
      </w:r>
      <w:r w:rsidR="006606EA" w:rsidRPr="005B51C7">
        <w:t>provides</w:t>
      </w:r>
      <w:r>
        <w:t xml:space="preserve"> a good guide for developing an engagement plan for different levels of stakeholder interest and goals for stakeholder engagement. The </w:t>
      </w:r>
      <w:r>
        <w:lastRenderedPageBreak/>
        <w:t xml:space="preserve">approach outlined in </w:t>
      </w:r>
      <w:r>
        <w:fldChar w:fldCharType="begin"/>
      </w:r>
      <w:r>
        <w:instrText xml:space="preserve"> REF _Ref471469082 \h </w:instrText>
      </w:r>
      <w:r>
        <w:fldChar w:fldCharType="separate"/>
      </w:r>
      <w:r w:rsidR="005F359C">
        <w:t xml:space="preserve">Table </w:t>
      </w:r>
      <w:r w:rsidR="005F359C">
        <w:rPr>
          <w:noProof/>
        </w:rPr>
        <w:t>5</w:t>
      </w:r>
      <w:r>
        <w:fldChar w:fldCharType="end"/>
      </w:r>
      <w:r>
        <w:t xml:space="preserve"> can be used to complement the stakeholder engagement approaches likely to already exist in relation to assessment units. </w:t>
      </w:r>
    </w:p>
    <w:p w14:paraId="4B7230E2" w14:textId="7B8D553E" w:rsidR="002853B4" w:rsidRDefault="002853B4" w:rsidP="002853B4">
      <w:r>
        <w:t>Traditional Owners, as the people who have rights and responsibilities for lands and waters on their country, should be explicitly involved in engagement processes</w:t>
      </w:r>
      <w:r w:rsidR="007A1FFF">
        <w:t xml:space="preserve"> to be conducted for the assessment unit being assessed</w:t>
      </w:r>
      <w:r>
        <w:t xml:space="preserve"> in accordance with established Indigenous engagement guidelines and processes. </w:t>
      </w:r>
    </w:p>
    <w:p w14:paraId="76CA3520" w14:textId="2A2C8AD5" w:rsidR="002853B4" w:rsidRDefault="002853B4" w:rsidP="002853B4">
      <w:pPr>
        <w:pStyle w:val="Caption"/>
      </w:pPr>
      <w:bookmarkStart w:id="22" w:name="_Ref471469082"/>
      <w:r>
        <w:t xml:space="preserve">Table </w:t>
      </w:r>
      <w:fldSimple w:instr=" SEQ Table \* ARABIC ">
        <w:r w:rsidR="005F359C">
          <w:rPr>
            <w:noProof/>
          </w:rPr>
          <w:t>5</w:t>
        </w:r>
      </w:fldSimple>
      <w:bookmarkEnd w:id="22"/>
      <w:r>
        <w:t>: Public participation spectrum (</w:t>
      </w:r>
      <w:r w:rsidR="00501627">
        <w:t xml:space="preserve">Reproduced With permission - </w:t>
      </w:r>
      <w:r w:rsidR="00906EDF">
        <w:fldChar w:fldCharType="begin"/>
      </w:r>
      <w:r w:rsidR="00906EDF">
        <w:rPr>
          <w:caps w:val="0"/>
        </w:rPr>
        <w:instrText xml:space="preserve"> ADDIN ZOTERO_ITEM CSL_CITATION {"citationID":"han2nod90","properties":{"formattedCitation":"(IAP2 International Federation 2014)","plainCitation":"(IAP2 INTERNATIONAL FEDERATION 2014)"},"citationItems":[{"id":3540,"uris":["http://zotero.org/users/3119797/items/WG6B929U"],"uri":["http://zotero.org/users/3119797/items/WG6B929U"],"itemData":{"id":3540,"type":"article","title":"IAP2’s Public Participation Spectrum.","URL":"https://www.iap2.org.au/Tenant/C0000004/00000001/files/IAP2_Public_Participation_Spectrum.pdf","author":[{"family":"IAP2 International Federation","given":""}],"issued":{"date-parts":[["2014"]]}}}],"schema":"https://github.com/citation-style-language/schema/raw/master/csl-citation.json"} </w:instrText>
      </w:r>
      <w:r w:rsidR="00906EDF">
        <w:fldChar w:fldCharType="separate"/>
      </w:r>
      <w:r w:rsidR="00906EDF" w:rsidRPr="00906EDF">
        <w:rPr>
          <w:rFonts w:cs="Calibri"/>
        </w:rPr>
        <w:t>(IAP2 International Federation 2014)</w:t>
      </w:r>
      <w:r w:rsidR="00906EDF">
        <w:fldChar w:fldCharType="end"/>
      </w:r>
      <w:r w:rsidR="00AD356B" w:rsidRPr="00AD356B">
        <w:t xml:space="preserve"> </w:t>
      </w:r>
      <w:r w:rsidR="00AD356B" w:rsidRPr="005B51C7">
        <w:t>(</w:t>
      </w:r>
      <w:hyperlink r:id="rId23" w:history="1">
        <w:r w:rsidR="00AD356B" w:rsidRPr="00454FE1">
          <w:rPr>
            <w:rStyle w:val="Hyperlink"/>
          </w:rPr>
          <w:t>https://www.iap2.org.au/About-Us/About-IAP2-Australasia-/Spectrum</w:t>
        </w:r>
      </w:hyperlink>
      <w:r w:rsidR="00AD356B" w:rsidRPr="005B51C7">
        <w:t>)</w:t>
      </w:r>
      <w:r>
        <w:t>.</w:t>
      </w:r>
      <w:r w:rsidR="00175469">
        <w:t xml:space="preserve"> </w:t>
      </w:r>
    </w:p>
    <w:p w14:paraId="46650376" w14:textId="77777777" w:rsidR="002853B4" w:rsidRPr="008B4AD9" w:rsidRDefault="002853B4" w:rsidP="002853B4">
      <w:pPr>
        <w:spacing w:after="0" w:line="240" w:lineRule="auto"/>
        <w:rPr>
          <w:rFonts w:asciiTheme="minorHAnsi" w:hAnsiTheme="minorHAnsi" w:cs="Arial"/>
          <w:b/>
          <w:szCs w:val="21"/>
        </w:rPr>
      </w:pPr>
      <w:r w:rsidRPr="008B4AD9">
        <w:rPr>
          <w:rFonts w:asciiTheme="minorHAnsi" w:hAnsiTheme="minorHAnsi" w:cs="Arial"/>
          <w:b/>
          <w:szCs w:val="21"/>
        </w:rPr>
        <w:t xml:space="preserve">Increasing level of </w:t>
      </w:r>
      <w:r>
        <w:rPr>
          <w:rFonts w:asciiTheme="minorHAnsi" w:hAnsiTheme="minorHAnsi" w:cs="Arial"/>
          <w:b/>
          <w:szCs w:val="21"/>
        </w:rPr>
        <w:t>public</w:t>
      </w:r>
      <w:r w:rsidRPr="008B4AD9">
        <w:rPr>
          <w:rFonts w:asciiTheme="minorHAnsi" w:hAnsiTheme="minorHAnsi" w:cs="Arial"/>
          <w:b/>
          <w:szCs w:val="21"/>
        </w:rPr>
        <w:t xml:space="preserve"> impact</w:t>
      </w:r>
    </w:p>
    <w:p w14:paraId="2C42A2DB" w14:textId="77777777" w:rsidR="002853B4" w:rsidRPr="001456BA" w:rsidRDefault="002853B4" w:rsidP="002853B4">
      <w:pPr>
        <w:spacing w:after="0" w:line="240" w:lineRule="auto"/>
        <w:rPr>
          <w:rFonts w:asciiTheme="minorHAnsi" w:hAnsiTheme="minorHAnsi" w:cs="Arial"/>
          <w:szCs w:val="21"/>
        </w:rPr>
      </w:pPr>
      <w:r w:rsidRPr="001456BA">
        <w:rPr>
          <w:rFonts w:asciiTheme="minorHAnsi" w:hAnsiTheme="minorHAnsi" w:cs="Arial"/>
          <w:noProof/>
          <w:szCs w:val="21"/>
          <w:lang w:eastAsia="en-AU"/>
        </w:rPr>
        <mc:AlternateContent>
          <mc:Choice Requires="wps">
            <w:drawing>
              <wp:anchor distT="0" distB="0" distL="114300" distR="114300" simplePos="0" relativeHeight="251658240" behindDoc="0" locked="0" layoutInCell="1" allowOverlap="1" wp14:anchorId="4D1028D4" wp14:editId="7FFB1EFC">
                <wp:simplePos x="0" y="0"/>
                <wp:positionH relativeFrom="column">
                  <wp:posOffset>69850</wp:posOffset>
                </wp:positionH>
                <wp:positionV relativeFrom="paragraph">
                  <wp:posOffset>60960</wp:posOffset>
                </wp:positionV>
                <wp:extent cx="5600700" cy="0"/>
                <wp:effectExtent l="0" t="0" r="0" b="0"/>
                <wp:wrapNone/>
                <wp:docPr id="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6B86E9" id="_x0000_t32" coordsize="21600,21600" o:spt="32" o:oned="t" path="m,l21600,21600e" filled="f">
                <v:path arrowok="t" fillok="f" o:connecttype="none"/>
                <o:lock v:ext="edit" shapetype="t"/>
              </v:shapetype>
              <v:shape id="Straight Arrow Connector 1" o:spid="_x0000_s1026" type="#_x0000_t32" style="position:absolute;margin-left:5.5pt;margin-top:4.8pt;width:44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" strokeweight="2pt">
                <v:stroke endarrow="open"/>
                <v:shadow color="black" opacity="24903f" origin=",.5" offset="0,.55556mm"/>
              </v:shape>
            </w:pict>
          </mc:Fallback>
        </mc:AlternateContent>
      </w:r>
    </w:p>
    <w:tbl>
      <w:tblPr>
        <w:tblW w:w="9300" w:type="dxa"/>
        <w:tblBorders>
          <w:top w:val="single" w:sz="4" w:space="0" w:color="9CBEBD" w:themeColor="accent2"/>
          <w:left w:val="single" w:sz="4" w:space="0" w:color="9CBEBD" w:themeColor="accent2"/>
          <w:bottom w:val="single" w:sz="4" w:space="0" w:color="9CBEBD" w:themeColor="accent2"/>
          <w:right w:val="single" w:sz="4" w:space="0" w:color="9CBEBD" w:themeColor="accent2"/>
          <w:insideH w:val="single" w:sz="4" w:space="0" w:color="9CBEBD" w:themeColor="accent2"/>
          <w:insideV w:val="single" w:sz="4" w:space="0" w:color="9CBEBD" w:themeColor="accent2"/>
        </w:tblBorders>
        <w:tblLayout w:type="fixed"/>
        <w:tblLook w:val="0000" w:firstRow="0" w:lastRow="0" w:firstColumn="0" w:lastColumn="0" w:noHBand="0" w:noVBand="0"/>
      </w:tblPr>
      <w:tblGrid>
        <w:gridCol w:w="2093"/>
        <w:gridCol w:w="1559"/>
        <w:gridCol w:w="2126"/>
        <w:gridCol w:w="2268"/>
        <w:gridCol w:w="1254"/>
      </w:tblGrid>
      <w:tr w:rsidR="002853B4" w:rsidRPr="001456BA" w14:paraId="0688376A" w14:textId="77777777" w:rsidTr="003616F1">
        <w:tc>
          <w:tcPr>
            <w:tcW w:w="2093" w:type="dxa"/>
            <w:shd w:val="clear" w:color="auto" w:fill="9CBEBD" w:themeFill="accent2"/>
          </w:tcPr>
          <w:p w14:paraId="136E6EFF" w14:textId="77777777" w:rsidR="002853B4" w:rsidRPr="001456BA" w:rsidRDefault="002853B4" w:rsidP="003616F1">
            <w:pPr>
              <w:spacing w:after="0" w:line="240" w:lineRule="auto"/>
              <w:rPr>
                <w:rFonts w:asciiTheme="minorHAnsi" w:hAnsiTheme="minorHAnsi" w:cs="Arial"/>
                <w:sz w:val="18"/>
                <w:szCs w:val="18"/>
              </w:rPr>
            </w:pPr>
            <w:r w:rsidRPr="001456BA">
              <w:rPr>
                <w:rFonts w:asciiTheme="minorHAnsi" w:hAnsiTheme="minorHAnsi" w:cs="Arial"/>
                <w:sz w:val="18"/>
                <w:szCs w:val="18"/>
              </w:rPr>
              <w:t xml:space="preserve">INFORM </w:t>
            </w:r>
          </w:p>
        </w:tc>
        <w:tc>
          <w:tcPr>
            <w:tcW w:w="1559" w:type="dxa"/>
            <w:shd w:val="clear" w:color="auto" w:fill="9CBEBD" w:themeFill="accent2"/>
          </w:tcPr>
          <w:p w14:paraId="0EA4F266" w14:textId="77777777" w:rsidR="002853B4" w:rsidRPr="001456BA" w:rsidRDefault="002853B4" w:rsidP="003616F1">
            <w:pPr>
              <w:spacing w:after="0" w:line="240" w:lineRule="auto"/>
              <w:rPr>
                <w:rFonts w:asciiTheme="minorHAnsi" w:hAnsiTheme="minorHAnsi" w:cs="Arial"/>
                <w:sz w:val="18"/>
                <w:szCs w:val="18"/>
              </w:rPr>
            </w:pPr>
            <w:r w:rsidRPr="001456BA">
              <w:rPr>
                <w:rFonts w:asciiTheme="minorHAnsi" w:hAnsiTheme="minorHAnsi" w:cs="Arial"/>
                <w:sz w:val="18"/>
                <w:szCs w:val="18"/>
              </w:rPr>
              <w:t>CONSULT</w:t>
            </w:r>
          </w:p>
        </w:tc>
        <w:tc>
          <w:tcPr>
            <w:tcW w:w="2126" w:type="dxa"/>
            <w:shd w:val="clear" w:color="auto" w:fill="9CBEBD" w:themeFill="accent2"/>
          </w:tcPr>
          <w:p w14:paraId="68F3EAA6" w14:textId="77777777" w:rsidR="002853B4" w:rsidRPr="001456BA" w:rsidRDefault="002853B4" w:rsidP="003616F1">
            <w:pPr>
              <w:spacing w:after="0" w:line="240" w:lineRule="auto"/>
              <w:rPr>
                <w:rFonts w:asciiTheme="minorHAnsi" w:hAnsiTheme="minorHAnsi" w:cs="Arial"/>
                <w:sz w:val="18"/>
                <w:szCs w:val="18"/>
              </w:rPr>
            </w:pPr>
            <w:r w:rsidRPr="001456BA">
              <w:rPr>
                <w:rFonts w:asciiTheme="minorHAnsi" w:hAnsiTheme="minorHAnsi" w:cs="Arial"/>
                <w:sz w:val="18"/>
                <w:szCs w:val="18"/>
              </w:rPr>
              <w:t>INVOLVE</w:t>
            </w:r>
          </w:p>
        </w:tc>
        <w:tc>
          <w:tcPr>
            <w:tcW w:w="2268" w:type="dxa"/>
            <w:shd w:val="clear" w:color="auto" w:fill="9CBEBD" w:themeFill="accent2"/>
          </w:tcPr>
          <w:p w14:paraId="707DD9F6" w14:textId="77777777" w:rsidR="002853B4" w:rsidRPr="001456BA" w:rsidRDefault="002853B4" w:rsidP="003616F1">
            <w:pPr>
              <w:spacing w:after="0" w:line="240" w:lineRule="auto"/>
              <w:rPr>
                <w:rFonts w:asciiTheme="minorHAnsi" w:hAnsiTheme="minorHAnsi" w:cs="Arial"/>
                <w:sz w:val="18"/>
                <w:szCs w:val="18"/>
              </w:rPr>
            </w:pPr>
            <w:r w:rsidRPr="001456BA">
              <w:rPr>
                <w:rFonts w:asciiTheme="minorHAnsi" w:hAnsiTheme="minorHAnsi" w:cs="Arial"/>
                <w:sz w:val="18"/>
                <w:szCs w:val="18"/>
              </w:rPr>
              <w:t>COLLABORATE</w:t>
            </w:r>
          </w:p>
        </w:tc>
        <w:tc>
          <w:tcPr>
            <w:tcW w:w="1254" w:type="dxa"/>
            <w:shd w:val="clear" w:color="auto" w:fill="9CBEBD" w:themeFill="accent2"/>
          </w:tcPr>
          <w:p w14:paraId="271FB5A5" w14:textId="77777777" w:rsidR="002853B4" w:rsidRPr="001456BA" w:rsidRDefault="002853B4" w:rsidP="003616F1">
            <w:pPr>
              <w:spacing w:after="0" w:line="240" w:lineRule="auto"/>
              <w:rPr>
                <w:rFonts w:asciiTheme="minorHAnsi" w:hAnsiTheme="minorHAnsi" w:cs="Arial"/>
                <w:sz w:val="18"/>
                <w:szCs w:val="18"/>
              </w:rPr>
            </w:pPr>
            <w:r w:rsidRPr="001456BA">
              <w:rPr>
                <w:rFonts w:asciiTheme="minorHAnsi" w:hAnsiTheme="minorHAnsi" w:cs="Arial"/>
                <w:sz w:val="18"/>
                <w:szCs w:val="18"/>
              </w:rPr>
              <w:t>EMPOWER</w:t>
            </w:r>
          </w:p>
        </w:tc>
      </w:tr>
      <w:tr w:rsidR="002853B4" w:rsidRPr="001456BA" w14:paraId="6ADCA0C3" w14:textId="77777777" w:rsidTr="003616F1">
        <w:tc>
          <w:tcPr>
            <w:tcW w:w="9300" w:type="dxa"/>
            <w:gridSpan w:val="5"/>
            <w:shd w:val="clear" w:color="auto" w:fill="EBF2F1" w:themeFill="accent2" w:themeFillTint="33"/>
          </w:tcPr>
          <w:p w14:paraId="32C28106" w14:textId="77777777" w:rsidR="002853B4" w:rsidRPr="001456BA" w:rsidRDefault="002853B4" w:rsidP="003616F1">
            <w:pPr>
              <w:spacing w:after="0" w:line="240" w:lineRule="auto"/>
              <w:rPr>
                <w:rFonts w:asciiTheme="minorHAnsi" w:hAnsiTheme="minorHAnsi" w:cs="Arial"/>
                <w:b/>
                <w:bCs/>
                <w:i/>
                <w:iCs/>
                <w:sz w:val="18"/>
                <w:szCs w:val="18"/>
              </w:rPr>
            </w:pPr>
            <w:r w:rsidRPr="001456BA">
              <w:rPr>
                <w:rFonts w:asciiTheme="minorHAnsi" w:hAnsiTheme="minorHAnsi" w:cs="Arial"/>
                <w:b/>
                <w:bCs/>
                <w:i/>
                <w:iCs/>
                <w:sz w:val="18"/>
                <w:szCs w:val="18"/>
              </w:rPr>
              <w:t>Public Participation Goal:</w:t>
            </w:r>
          </w:p>
        </w:tc>
      </w:tr>
      <w:tr w:rsidR="002853B4" w:rsidRPr="001456BA" w14:paraId="7498F574" w14:textId="77777777" w:rsidTr="003616F1">
        <w:tc>
          <w:tcPr>
            <w:tcW w:w="2093" w:type="dxa"/>
          </w:tcPr>
          <w:p w14:paraId="2D105406" w14:textId="77777777" w:rsidR="002853B4" w:rsidRPr="001456BA" w:rsidRDefault="002853B4" w:rsidP="003616F1">
            <w:pPr>
              <w:spacing w:after="0" w:line="240" w:lineRule="auto"/>
              <w:jc w:val="left"/>
              <w:rPr>
                <w:rFonts w:asciiTheme="minorHAnsi" w:hAnsiTheme="minorHAnsi" w:cs="Arial"/>
                <w:sz w:val="18"/>
                <w:szCs w:val="18"/>
              </w:rPr>
            </w:pPr>
            <w:r w:rsidRPr="001456BA">
              <w:rPr>
                <w:rFonts w:asciiTheme="minorHAnsi" w:hAnsiTheme="minorHAnsi" w:cs="Arial"/>
                <w:sz w:val="18"/>
                <w:szCs w:val="18"/>
              </w:rPr>
              <w:t>To provide the public with balanced and objective information to assist them in understanding the problems, alternatives and/or solutions.</w:t>
            </w:r>
          </w:p>
        </w:tc>
        <w:tc>
          <w:tcPr>
            <w:tcW w:w="1559" w:type="dxa"/>
          </w:tcPr>
          <w:p w14:paraId="66743555" w14:textId="77777777" w:rsidR="002853B4" w:rsidRPr="001456BA" w:rsidRDefault="002853B4" w:rsidP="003616F1">
            <w:pPr>
              <w:spacing w:after="0" w:line="240" w:lineRule="auto"/>
              <w:jc w:val="left"/>
              <w:rPr>
                <w:rFonts w:asciiTheme="minorHAnsi" w:hAnsiTheme="minorHAnsi" w:cs="Arial"/>
                <w:sz w:val="18"/>
                <w:szCs w:val="18"/>
              </w:rPr>
            </w:pPr>
            <w:r w:rsidRPr="001456BA">
              <w:rPr>
                <w:rFonts w:asciiTheme="minorHAnsi" w:hAnsiTheme="minorHAnsi" w:cs="Arial"/>
                <w:sz w:val="18"/>
                <w:szCs w:val="18"/>
              </w:rPr>
              <w:t>To obtain public feedback on analysis, alternatives and/or decisions.</w:t>
            </w:r>
          </w:p>
        </w:tc>
        <w:tc>
          <w:tcPr>
            <w:tcW w:w="2126" w:type="dxa"/>
          </w:tcPr>
          <w:p w14:paraId="132EDED7" w14:textId="77777777" w:rsidR="002853B4" w:rsidRPr="001456BA" w:rsidRDefault="002853B4" w:rsidP="003616F1">
            <w:pPr>
              <w:spacing w:after="0" w:line="240" w:lineRule="auto"/>
              <w:jc w:val="left"/>
              <w:rPr>
                <w:rFonts w:asciiTheme="minorHAnsi" w:hAnsiTheme="minorHAnsi" w:cs="Arial"/>
                <w:sz w:val="18"/>
                <w:szCs w:val="18"/>
              </w:rPr>
            </w:pPr>
            <w:r w:rsidRPr="001456BA">
              <w:rPr>
                <w:rFonts w:asciiTheme="minorHAnsi" w:hAnsiTheme="minorHAnsi" w:cs="Arial"/>
                <w:sz w:val="18"/>
                <w:szCs w:val="18"/>
              </w:rPr>
              <w:t>To work directly with the public throughout the process to ensure that public concerns and aspirations are consistently understood and considered.</w:t>
            </w:r>
          </w:p>
        </w:tc>
        <w:tc>
          <w:tcPr>
            <w:tcW w:w="2268" w:type="dxa"/>
          </w:tcPr>
          <w:p w14:paraId="0827933C" w14:textId="77777777" w:rsidR="002853B4" w:rsidRPr="001456BA" w:rsidRDefault="002853B4" w:rsidP="003616F1">
            <w:pPr>
              <w:spacing w:after="0" w:line="240" w:lineRule="auto"/>
              <w:jc w:val="left"/>
              <w:rPr>
                <w:rFonts w:asciiTheme="minorHAnsi" w:hAnsiTheme="minorHAnsi" w:cs="Arial"/>
                <w:sz w:val="18"/>
                <w:szCs w:val="18"/>
              </w:rPr>
            </w:pPr>
            <w:r w:rsidRPr="001456BA">
              <w:rPr>
                <w:rFonts w:asciiTheme="minorHAnsi" w:hAnsiTheme="minorHAnsi" w:cs="Arial"/>
                <w:sz w:val="18"/>
                <w:szCs w:val="18"/>
              </w:rPr>
              <w:t>To partner with the public in each aspect of the decision, including the development of alternatives and the identification of the preferred solution.</w:t>
            </w:r>
          </w:p>
        </w:tc>
        <w:tc>
          <w:tcPr>
            <w:tcW w:w="1254" w:type="dxa"/>
          </w:tcPr>
          <w:p w14:paraId="71480FF4" w14:textId="77777777" w:rsidR="002853B4" w:rsidRPr="001456BA" w:rsidRDefault="002853B4" w:rsidP="003616F1">
            <w:pPr>
              <w:spacing w:after="0" w:line="240" w:lineRule="auto"/>
              <w:jc w:val="left"/>
              <w:rPr>
                <w:rFonts w:asciiTheme="minorHAnsi" w:hAnsiTheme="minorHAnsi" w:cs="Arial"/>
                <w:sz w:val="18"/>
                <w:szCs w:val="18"/>
              </w:rPr>
            </w:pPr>
            <w:r w:rsidRPr="001456BA">
              <w:rPr>
                <w:rFonts w:asciiTheme="minorHAnsi" w:hAnsiTheme="minorHAnsi" w:cs="Arial"/>
                <w:sz w:val="18"/>
                <w:szCs w:val="18"/>
              </w:rPr>
              <w:t xml:space="preserve">To place final decision-making in the hands of the public. </w:t>
            </w:r>
          </w:p>
        </w:tc>
      </w:tr>
      <w:tr w:rsidR="002853B4" w:rsidRPr="001456BA" w14:paraId="3B2A7E68" w14:textId="77777777" w:rsidTr="003616F1">
        <w:tc>
          <w:tcPr>
            <w:tcW w:w="9300" w:type="dxa"/>
            <w:gridSpan w:val="5"/>
            <w:shd w:val="clear" w:color="auto" w:fill="EBF2F1" w:themeFill="accent2" w:themeFillTint="33"/>
          </w:tcPr>
          <w:p w14:paraId="2B0D600C" w14:textId="77777777" w:rsidR="002853B4" w:rsidRPr="001456BA" w:rsidRDefault="002853B4" w:rsidP="003616F1">
            <w:pPr>
              <w:spacing w:after="0" w:line="240" w:lineRule="auto"/>
              <w:jc w:val="left"/>
              <w:rPr>
                <w:rFonts w:asciiTheme="minorHAnsi" w:hAnsiTheme="minorHAnsi" w:cs="Arial"/>
                <w:b/>
                <w:bCs/>
                <w:i/>
                <w:iCs/>
                <w:sz w:val="18"/>
                <w:szCs w:val="18"/>
              </w:rPr>
            </w:pPr>
            <w:r w:rsidRPr="001456BA">
              <w:rPr>
                <w:rFonts w:asciiTheme="minorHAnsi" w:hAnsiTheme="minorHAnsi" w:cs="Arial"/>
                <w:b/>
                <w:bCs/>
                <w:i/>
                <w:iCs/>
                <w:sz w:val="18"/>
                <w:szCs w:val="18"/>
              </w:rPr>
              <w:t>Promise to the Public:</w:t>
            </w:r>
          </w:p>
        </w:tc>
      </w:tr>
      <w:tr w:rsidR="002853B4" w:rsidRPr="001456BA" w14:paraId="5F86FB76" w14:textId="77777777" w:rsidTr="003616F1">
        <w:tc>
          <w:tcPr>
            <w:tcW w:w="2093" w:type="dxa"/>
          </w:tcPr>
          <w:p w14:paraId="684031A6" w14:textId="77777777" w:rsidR="002853B4" w:rsidRPr="001456BA" w:rsidRDefault="002853B4" w:rsidP="003616F1">
            <w:pPr>
              <w:spacing w:after="0" w:line="240" w:lineRule="auto"/>
              <w:jc w:val="left"/>
              <w:rPr>
                <w:rFonts w:asciiTheme="minorHAnsi" w:hAnsiTheme="minorHAnsi" w:cs="Arial"/>
                <w:sz w:val="18"/>
                <w:szCs w:val="18"/>
              </w:rPr>
            </w:pPr>
            <w:r w:rsidRPr="001456BA">
              <w:rPr>
                <w:rFonts w:asciiTheme="minorHAnsi" w:hAnsiTheme="minorHAnsi" w:cs="Arial"/>
                <w:sz w:val="18"/>
                <w:szCs w:val="18"/>
              </w:rPr>
              <w:t>We will keep you informed.</w:t>
            </w:r>
          </w:p>
        </w:tc>
        <w:tc>
          <w:tcPr>
            <w:tcW w:w="1559" w:type="dxa"/>
          </w:tcPr>
          <w:p w14:paraId="01BD8D4B" w14:textId="77777777" w:rsidR="002853B4" w:rsidRPr="001456BA" w:rsidRDefault="002853B4" w:rsidP="003616F1">
            <w:pPr>
              <w:spacing w:after="0" w:line="240" w:lineRule="auto"/>
              <w:jc w:val="left"/>
              <w:rPr>
                <w:rFonts w:asciiTheme="minorHAnsi" w:hAnsiTheme="minorHAnsi" w:cs="Arial"/>
                <w:sz w:val="18"/>
                <w:szCs w:val="18"/>
              </w:rPr>
            </w:pPr>
            <w:r w:rsidRPr="001456BA">
              <w:rPr>
                <w:rFonts w:asciiTheme="minorHAnsi" w:hAnsiTheme="minorHAnsi" w:cs="Arial"/>
                <w:sz w:val="18"/>
                <w:szCs w:val="18"/>
              </w:rPr>
              <w:t>We will keep you informed, listen to and acknowledge concerns and provide feedback on how public input influenced the decision.</w:t>
            </w:r>
          </w:p>
        </w:tc>
        <w:tc>
          <w:tcPr>
            <w:tcW w:w="2126" w:type="dxa"/>
          </w:tcPr>
          <w:p w14:paraId="5FE21D82" w14:textId="77777777" w:rsidR="002853B4" w:rsidRPr="001456BA" w:rsidRDefault="002853B4" w:rsidP="003616F1">
            <w:pPr>
              <w:spacing w:after="0" w:line="240" w:lineRule="auto"/>
              <w:jc w:val="left"/>
              <w:rPr>
                <w:rFonts w:asciiTheme="minorHAnsi" w:hAnsiTheme="minorHAnsi" w:cs="Arial"/>
                <w:sz w:val="18"/>
                <w:szCs w:val="18"/>
              </w:rPr>
            </w:pPr>
            <w:r w:rsidRPr="001456BA">
              <w:rPr>
                <w:rFonts w:asciiTheme="minorHAnsi" w:hAnsiTheme="minorHAnsi" w:cs="Arial"/>
                <w:sz w:val="18"/>
                <w:szCs w:val="18"/>
              </w:rPr>
              <w:t>We will work with you to ensure that your concerns and aspirations are directly reflected in the alternatives developed and provide feedback on how public input influenced the decision.</w:t>
            </w:r>
          </w:p>
        </w:tc>
        <w:tc>
          <w:tcPr>
            <w:tcW w:w="2268" w:type="dxa"/>
          </w:tcPr>
          <w:p w14:paraId="0092E4F7" w14:textId="77777777" w:rsidR="002853B4" w:rsidRPr="001456BA" w:rsidRDefault="002853B4" w:rsidP="003616F1">
            <w:pPr>
              <w:spacing w:after="0" w:line="240" w:lineRule="auto"/>
              <w:jc w:val="left"/>
              <w:rPr>
                <w:rFonts w:asciiTheme="minorHAnsi" w:hAnsiTheme="minorHAnsi" w:cs="Arial"/>
                <w:sz w:val="18"/>
                <w:szCs w:val="18"/>
              </w:rPr>
            </w:pPr>
            <w:r w:rsidRPr="001456BA">
              <w:rPr>
                <w:rFonts w:asciiTheme="minorHAnsi" w:hAnsiTheme="minorHAnsi" w:cs="Arial"/>
                <w:sz w:val="18"/>
                <w:szCs w:val="18"/>
              </w:rPr>
              <w:t>We will look to you for direct advice and innovation in formulating solutions and incorporate your advice and recommendations into the decisions to the maximum extent possible.</w:t>
            </w:r>
          </w:p>
        </w:tc>
        <w:tc>
          <w:tcPr>
            <w:tcW w:w="1254" w:type="dxa"/>
          </w:tcPr>
          <w:p w14:paraId="1E668EF4" w14:textId="77777777" w:rsidR="002853B4" w:rsidRPr="001456BA" w:rsidRDefault="002853B4" w:rsidP="003616F1">
            <w:pPr>
              <w:spacing w:after="0" w:line="240" w:lineRule="auto"/>
              <w:jc w:val="left"/>
              <w:rPr>
                <w:rFonts w:asciiTheme="minorHAnsi" w:hAnsiTheme="minorHAnsi" w:cs="Arial"/>
                <w:sz w:val="18"/>
                <w:szCs w:val="18"/>
              </w:rPr>
            </w:pPr>
            <w:r w:rsidRPr="001456BA">
              <w:rPr>
                <w:rFonts w:asciiTheme="minorHAnsi" w:hAnsiTheme="minorHAnsi" w:cs="Arial"/>
                <w:sz w:val="18"/>
                <w:szCs w:val="18"/>
              </w:rPr>
              <w:t>We will implement what you decide.</w:t>
            </w:r>
          </w:p>
        </w:tc>
      </w:tr>
      <w:tr w:rsidR="002853B4" w:rsidRPr="001456BA" w14:paraId="6A3F41F5" w14:textId="77777777" w:rsidTr="003616F1">
        <w:tc>
          <w:tcPr>
            <w:tcW w:w="9300" w:type="dxa"/>
            <w:gridSpan w:val="5"/>
            <w:shd w:val="clear" w:color="auto" w:fill="EBF2F1" w:themeFill="accent2" w:themeFillTint="33"/>
          </w:tcPr>
          <w:p w14:paraId="5869B485" w14:textId="77777777" w:rsidR="002853B4" w:rsidRPr="001456BA" w:rsidRDefault="002853B4" w:rsidP="003616F1">
            <w:pPr>
              <w:spacing w:after="0" w:line="240" w:lineRule="auto"/>
              <w:jc w:val="left"/>
              <w:rPr>
                <w:rFonts w:asciiTheme="minorHAnsi" w:hAnsiTheme="minorHAnsi" w:cs="Arial"/>
                <w:b/>
                <w:bCs/>
                <w:i/>
                <w:iCs/>
                <w:sz w:val="18"/>
                <w:szCs w:val="18"/>
              </w:rPr>
            </w:pPr>
            <w:r w:rsidRPr="001456BA">
              <w:rPr>
                <w:rFonts w:asciiTheme="minorHAnsi" w:hAnsiTheme="minorHAnsi" w:cs="Arial"/>
                <w:b/>
                <w:bCs/>
                <w:i/>
                <w:iCs/>
                <w:sz w:val="18"/>
                <w:szCs w:val="18"/>
              </w:rPr>
              <w:t>Example Tools:</w:t>
            </w:r>
          </w:p>
        </w:tc>
      </w:tr>
      <w:tr w:rsidR="002853B4" w:rsidRPr="001456BA" w14:paraId="745AC511" w14:textId="77777777" w:rsidTr="003616F1">
        <w:tc>
          <w:tcPr>
            <w:tcW w:w="2093" w:type="dxa"/>
          </w:tcPr>
          <w:p w14:paraId="17D24692" w14:textId="77777777" w:rsidR="002853B4" w:rsidRPr="001456BA" w:rsidRDefault="002853B4" w:rsidP="003616F1">
            <w:pPr>
              <w:spacing w:after="0" w:line="240" w:lineRule="auto"/>
              <w:jc w:val="left"/>
              <w:rPr>
                <w:rFonts w:asciiTheme="minorHAnsi" w:hAnsiTheme="minorHAnsi" w:cs="Arial"/>
                <w:sz w:val="18"/>
                <w:szCs w:val="18"/>
              </w:rPr>
            </w:pPr>
            <w:r>
              <w:rPr>
                <w:rFonts w:asciiTheme="minorHAnsi" w:hAnsiTheme="minorHAnsi" w:cs="Arial"/>
                <w:sz w:val="18"/>
                <w:szCs w:val="18"/>
              </w:rPr>
              <w:t>F</w:t>
            </w:r>
            <w:r w:rsidRPr="001456BA">
              <w:rPr>
                <w:rFonts w:asciiTheme="minorHAnsi" w:hAnsiTheme="minorHAnsi" w:cs="Arial"/>
                <w:sz w:val="18"/>
                <w:szCs w:val="18"/>
              </w:rPr>
              <w:t xml:space="preserve">act sheets </w:t>
            </w:r>
          </w:p>
          <w:p w14:paraId="78EA1E76" w14:textId="77777777" w:rsidR="002853B4" w:rsidRPr="001456BA" w:rsidRDefault="002853B4" w:rsidP="003616F1">
            <w:pPr>
              <w:spacing w:after="0" w:line="240" w:lineRule="auto"/>
              <w:jc w:val="left"/>
              <w:rPr>
                <w:rFonts w:asciiTheme="minorHAnsi" w:hAnsiTheme="minorHAnsi" w:cs="Arial"/>
                <w:sz w:val="18"/>
                <w:szCs w:val="18"/>
              </w:rPr>
            </w:pPr>
            <w:r>
              <w:rPr>
                <w:rFonts w:asciiTheme="minorHAnsi" w:hAnsiTheme="minorHAnsi" w:cs="Arial"/>
                <w:sz w:val="18"/>
                <w:szCs w:val="18"/>
              </w:rPr>
              <w:t>W</w:t>
            </w:r>
            <w:r w:rsidRPr="001456BA">
              <w:rPr>
                <w:rFonts w:asciiTheme="minorHAnsi" w:hAnsiTheme="minorHAnsi" w:cs="Arial"/>
                <w:sz w:val="18"/>
                <w:szCs w:val="18"/>
              </w:rPr>
              <w:t xml:space="preserve">eb sites </w:t>
            </w:r>
          </w:p>
          <w:p w14:paraId="489F8363" w14:textId="77777777" w:rsidR="002853B4" w:rsidRPr="001456BA" w:rsidRDefault="002853B4" w:rsidP="003616F1">
            <w:pPr>
              <w:spacing w:after="0" w:line="240" w:lineRule="auto"/>
              <w:jc w:val="left"/>
              <w:rPr>
                <w:rFonts w:asciiTheme="minorHAnsi" w:hAnsiTheme="minorHAnsi" w:cs="Arial"/>
                <w:sz w:val="18"/>
                <w:szCs w:val="18"/>
              </w:rPr>
            </w:pPr>
            <w:r>
              <w:rPr>
                <w:rFonts w:asciiTheme="minorHAnsi" w:hAnsiTheme="minorHAnsi" w:cs="Arial"/>
                <w:sz w:val="18"/>
                <w:szCs w:val="18"/>
              </w:rPr>
              <w:t>O</w:t>
            </w:r>
            <w:r w:rsidRPr="001456BA">
              <w:rPr>
                <w:rFonts w:asciiTheme="minorHAnsi" w:hAnsiTheme="minorHAnsi" w:cs="Arial"/>
                <w:sz w:val="18"/>
                <w:szCs w:val="18"/>
              </w:rPr>
              <w:t>pen houses.</w:t>
            </w:r>
          </w:p>
        </w:tc>
        <w:tc>
          <w:tcPr>
            <w:tcW w:w="1559" w:type="dxa"/>
          </w:tcPr>
          <w:p w14:paraId="2A8043CF" w14:textId="77777777" w:rsidR="002853B4" w:rsidRPr="001456BA" w:rsidRDefault="002853B4" w:rsidP="003616F1">
            <w:pPr>
              <w:spacing w:after="0" w:line="240" w:lineRule="auto"/>
              <w:jc w:val="left"/>
              <w:rPr>
                <w:rFonts w:asciiTheme="minorHAnsi" w:hAnsiTheme="minorHAnsi" w:cs="Arial"/>
                <w:sz w:val="18"/>
                <w:szCs w:val="18"/>
              </w:rPr>
            </w:pPr>
            <w:r>
              <w:rPr>
                <w:rFonts w:asciiTheme="minorHAnsi" w:hAnsiTheme="minorHAnsi" w:cs="Arial"/>
                <w:sz w:val="18"/>
                <w:szCs w:val="18"/>
              </w:rPr>
              <w:t>P</w:t>
            </w:r>
            <w:r w:rsidRPr="001456BA">
              <w:rPr>
                <w:rFonts w:asciiTheme="minorHAnsi" w:hAnsiTheme="minorHAnsi" w:cs="Arial"/>
                <w:sz w:val="18"/>
                <w:szCs w:val="18"/>
              </w:rPr>
              <w:t xml:space="preserve">ublic comment </w:t>
            </w:r>
          </w:p>
          <w:p w14:paraId="15B623AF" w14:textId="77777777" w:rsidR="002853B4" w:rsidRPr="001456BA" w:rsidRDefault="002853B4" w:rsidP="003616F1">
            <w:pPr>
              <w:spacing w:after="0" w:line="240" w:lineRule="auto"/>
              <w:jc w:val="left"/>
              <w:rPr>
                <w:rFonts w:asciiTheme="minorHAnsi" w:hAnsiTheme="minorHAnsi" w:cs="Arial"/>
                <w:sz w:val="18"/>
                <w:szCs w:val="18"/>
              </w:rPr>
            </w:pPr>
            <w:r>
              <w:rPr>
                <w:rFonts w:asciiTheme="minorHAnsi" w:hAnsiTheme="minorHAnsi" w:cs="Arial"/>
                <w:sz w:val="18"/>
                <w:szCs w:val="18"/>
              </w:rPr>
              <w:t>F</w:t>
            </w:r>
            <w:r w:rsidRPr="001456BA">
              <w:rPr>
                <w:rFonts w:asciiTheme="minorHAnsi" w:hAnsiTheme="minorHAnsi" w:cs="Arial"/>
                <w:sz w:val="18"/>
                <w:szCs w:val="18"/>
              </w:rPr>
              <w:t xml:space="preserve">ocus groups </w:t>
            </w:r>
          </w:p>
          <w:p w14:paraId="0783AEFE" w14:textId="77777777" w:rsidR="002853B4" w:rsidRPr="001456BA" w:rsidRDefault="002853B4" w:rsidP="003616F1">
            <w:pPr>
              <w:spacing w:after="0" w:line="240" w:lineRule="auto"/>
              <w:jc w:val="left"/>
              <w:rPr>
                <w:rFonts w:asciiTheme="minorHAnsi" w:hAnsiTheme="minorHAnsi" w:cs="Arial"/>
                <w:sz w:val="18"/>
                <w:szCs w:val="18"/>
              </w:rPr>
            </w:pPr>
            <w:r>
              <w:rPr>
                <w:rFonts w:asciiTheme="minorHAnsi" w:hAnsiTheme="minorHAnsi" w:cs="Arial"/>
                <w:sz w:val="18"/>
                <w:szCs w:val="18"/>
              </w:rPr>
              <w:t>S</w:t>
            </w:r>
            <w:r w:rsidRPr="001456BA">
              <w:rPr>
                <w:rFonts w:asciiTheme="minorHAnsi" w:hAnsiTheme="minorHAnsi" w:cs="Arial"/>
                <w:sz w:val="18"/>
                <w:szCs w:val="18"/>
              </w:rPr>
              <w:t xml:space="preserve">urveys </w:t>
            </w:r>
          </w:p>
          <w:p w14:paraId="61DD0583" w14:textId="77777777" w:rsidR="002853B4" w:rsidRPr="001456BA" w:rsidRDefault="002853B4" w:rsidP="003616F1">
            <w:pPr>
              <w:spacing w:after="0" w:line="240" w:lineRule="auto"/>
              <w:jc w:val="left"/>
              <w:rPr>
                <w:rFonts w:asciiTheme="minorHAnsi" w:hAnsiTheme="minorHAnsi" w:cs="Arial"/>
                <w:sz w:val="18"/>
                <w:szCs w:val="18"/>
              </w:rPr>
            </w:pPr>
            <w:r>
              <w:rPr>
                <w:rFonts w:asciiTheme="minorHAnsi" w:hAnsiTheme="minorHAnsi" w:cs="Arial"/>
                <w:sz w:val="18"/>
                <w:szCs w:val="18"/>
              </w:rPr>
              <w:t>P</w:t>
            </w:r>
            <w:r w:rsidRPr="001456BA">
              <w:rPr>
                <w:rFonts w:asciiTheme="minorHAnsi" w:hAnsiTheme="minorHAnsi" w:cs="Arial"/>
                <w:sz w:val="18"/>
                <w:szCs w:val="18"/>
              </w:rPr>
              <w:t>ublic meetings.</w:t>
            </w:r>
          </w:p>
        </w:tc>
        <w:tc>
          <w:tcPr>
            <w:tcW w:w="2126" w:type="dxa"/>
          </w:tcPr>
          <w:p w14:paraId="7729581D" w14:textId="77777777" w:rsidR="002853B4" w:rsidRPr="001456BA" w:rsidRDefault="002853B4" w:rsidP="003616F1">
            <w:pPr>
              <w:spacing w:after="0" w:line="240" w:lineRule="auto"/>
              <w:jc w:val="left"/>
              <w:rPr>
                <w:rFonts w:asciiTheme="minorHAnsi" w:hAnsiTheme="minorHAnsi" w:cs="Arial"/>
                <w:sz w:val="18"/>
                <w:szCs w:val="18"/>
              </w:rPr>
            </w:pPr>
            <w:r>
              <w:rPr>
                <w:rFonts w:asciiTheme="minorHAnsi" w:hAnsiTheme="minorHAnsi" w:cs="Arial"/>
                <w:sz w:val="18"/>
                <w:szCs w:val="18"/>
              </w:rPr>
              <w:t>W</w:t>
            </w:r>
            <w:r w:rsidRPr="001456BA">
              <w:rPr>
                <w:rFonts w:asciiTheme="minorHAnsi" w:hAnsiTheme="minorHAnsi" w:cs="Arial"/>
                <w:sz w:val="18"/>
                <w:szCs w:val="18"/>
              </w:rPr>
              <w:t xml:space="preserve">orkshops </w:t>
            </w:r>
          </w:p>
          <w:p w14:paraId="08265576" w14:textId="77777777" w:rsidR="002853B4" w:rsidRPr="001456BA" w:rsidRDefault="002853B4" w:rsidP="003616F1">
            <w:pPr>
              <w:spacing w:after="0" w:line="240" w:lineRule="auto"/>
              <w:jc w:val="left"/>
              <w:rPr>
                <w:rFonts w:asciiTheme="minorHAnsi" w:hAnsiTheme="minorHAnsi" w:cs="Arial"/>
                <w:sz w:val="18"/>
                <w:szCs w:val="18"/>
              </w:rPr>
            </w:pPr>
            <w:r w:rsidRPr="001456BA">
              <w:rPr>
                <w:rFonts w:asciiTheme="minorHAnsi" w:hAnsiTheme="minorHAnsi" w:cs="Arial"/>
                <w:sz w:val="18"/>
                <w:szCs w:val="18"/>
              </w:rPr>
              <w:t>Deliberate polling.</w:t>
            </w:r>
          </w:p>
        </w:tc>
        <w:tc>
          <w:tcPr>
            <w:tcW w:w="2268" w:type="dxa"/>
          </w:tcPr>
          <w:p w14:paraId="41A94C2F" w14:textId="77777777" w:rsidR="002853B4" w:rsidRPr="001456BA" w:rsidRDefault="002853B4" w:rsidP="003616F1">
            <w:pPr>
              <w:spacing w:after="0" w:line="240" w:lineRule="auto"/>
              <w:jc w:val="left"/>
              <w:rPr>
                <w:rFonts w:asciiTheme="minorHAnsi" w:hAnsiTheme="minorHAnsi" w:cs="Arial"/>
                <w:sz w:val="18"/>
                <w:szCs w:val="18"/>
              </w:rPr>
            </w:pPr>
            <w:r>
              <w:rPr>
                <w:rFonts w:asciiTheme="minorHAnsi" w:hAnsiTheme="minorHAnsi" w:cs="Arial"/>
                <w:sz w:val="18"/>
                <w:szCs w:val="18"/>
              </w:rPr>
              <w:t>C</w:t>
            </w:r>
            <w:r w:rsidRPr="001456BA">
              <w:rPr>
                <w:rFonts w:asciiTheme="minorHAnsi" w:hAnsiTheme="minorHAnsi" w:cs="Arial"/>
                <w:sz w:val="18"/>
                <w:szCs w:val="18"/>
              </w:rPr>
              <w:t xml:space="preserve">itizen advisory committees </w:t>
            </w:r>
          </w:p>
          <w:p w14:paraId="16DC8962" w14:textId="77777777" w:rsidR="002853B4" w:rsidRPr="001456BA" w:rsidRDefault="002853B4" w:rsidP="003616F1">
            <w:pPr>
              <w:spacing w:after="0" w:line="240" w:lineRule="auto"/>
              <w:jc w:val="left"/>
              <w:rPr>
                <w:rFonts w:asciiTheme="minorHAnsi" w:hAnsiTheme="minorHAnsi" w:cs="Arial"/>
                <w:sz w:val="18"/>
                <w:szCs w:val="18"/>
              </w:rPr>
            </w:pPr>
            <w:r>
              <w:rPr>
                <w:rFonts w:asciiTheme="minorHAnsi" w:hAnsiTheme="minorHAnsi" w:cs="Arial"/>
                <w:sz w:val="18"/>
                <w:szCs w:val="18"/>
              </w:rPr>
              <w:t>C</w:t>
            </w:r>
            <w:r w:rsidRPr="001456BA">
              <w:rPr>
                <w:rFonts w:asciiTheme="minorHAnsi" w:hAnsiTheme="minorHAnsi" w:cs="Arial"/>
                <w:sz w:val="18"/>
                <w:szCs w:val="18"/>
              </w:rPr>
              <w:t xml:space="preserve">onsensus-building </w:t>
            </w:r>
          </w:p>
          <w:p w14:paraId="258F3411" w14:textId="77777777" w:rsidR="002853B4" w:rsidRPr="001456BA" w:rsidRDefault="002853B4" w:rsidP="003616F1">
            <w:pPr>
              <w:spacing w:after="0" w:line="240" w:lineRule="auto"/>
              <w:jc w:val="left"/>
              <w:rPr>
                <w:rFonts w:asciiTheme="minorHAnsi" w:hAnsiTheme="minorHAnsi" w:cs="Arial"/>
                <w:sz w:val="18"/>
                <w:szCs w:val="18"/>
              </w:rPr>
            </w:pPr>
            <w:r w:rsidRPr="001456BA">
              <w:rPr>
                <w:rFonts w:asciiTheme="minorHAnsi" w:hAnsiTheme="minorHAnsi" w:cs="Arial"/>
                <w:sz w:val="18"/>
                <w:szCs w:val="18"/>
              </w:rPr>
              <w:t>Participatory decision-making.</w:t>
            </w:r>
          </w:p>
        </w:tc>
        <w:tc>
          <w:tcPr>
            <w:tcW w:w="1254" w:type="dxa"/>
          </w:tcPr>
          <w:p w14:paraId="01CD4440" w14:textId="77777777" w:rsidR="002853B4" w:rsidRPr="001456BA" w:rsidRDefault="002853B4" w:rsidP="003616F1">
            <w:pPr>
              <w:spacing w:after="0" w:line="240" w:lineRule="auto"/>
              <w:jc w:val="left"/>
              <w:rPr>
                <w:rFonts w:asciiTheme="minorHAnsi" w:hAnsiTheme="minorHAnsi" w:cs="Arial"/>
                <w:sz w:val="18"/>
                <w:szCs w:val="18"/>
              </w:rPr>
            </w:pPr>
            <w:r>
              <w:rPr>
                <w:rFonts w:asciiTheme="minorHAnsi" w:hAnsiTheme="minorHAnsi" w:cs="Arial"/>
                <w:sz w:val="18"/>
                <w:szCs w:val="18"/>
              </w:rPr>
              <w:t>C</w:t>
            </w:r>
            <w:r w:rsidRPr="001456BA">
              <w:rPr>
                <w:rFonts w:asciiTheme="minorHAnsi" w:hAnsiTheme="minorHAnsi" w:cs="Arial"/>
                <w:sz w:val="18"/>
                <w:szCs w:val="18"/>
              </w:rPr>
              <w:t xml:space="preserve">itizen juries </w:t>
            </w:r>
          </w:p>
          <w:p w14:paraId="3ABFF715" w14:textId="77777777" w:rsidR="002853B4" w:rsidRPr="001456BA" w:rsidRDefault="002853B4" w:rsidP="003616F1">
            <w:pPr>
              <w:spacing w:after="0" w:line="240" w:lineRule="auto"/>
              <w:jc w:val="left"/>
              <w:rPr>
                <w:rFonts w:asciiTheme="minorHAnsi" w:hAnsiTheme="minorHAnsi" w:cs="Arial"/>
                <w:sz w:val="18"/>
                <w:szCs w:val="18"/>
              </w:rPr>
            </w:pPr>
            <w:r w:rsidRPr="001456BA">
              <w:rPr>
                <w:rFonts w:asciiTheme="minorHAnsi" w:hAnsiTheme="minorHAnsi" w:cs="Arial"/>
                <w:sz w:val="18"/>
                <w:szCs w:val="18"/>
              </w:rPr>
              <w:t xml:space="preserve">ballots </w:t>
            </w:r>
          </w:p>
          <w:p w14:paraId="7176C46F" w14:textId="77777777" w:rsidR="002853B4" w:rsidRPr="001456BA" w:rsidRDefault="002853B4" w:rsidP="003616F1">
            <w:pPr>
              <w:spacing w:after="0" w:line="240" w:lineRule="auto"/>
              <w:jc w:val="left"/>
              <w:rPr>
                <w:rFonts w:asciiTheme="minorHAnsi" w:hAnsiTheme="minorHAnsi" w:cs="Arial"/>
                <w:sz w:val="18"/>
                <w:szCs w:val="18"/>
              </w:rPr>
            </w:pPr>
            <w:r w:rsidRPr="001456BA">
              <w:rPr>
                <w:rFonts w:asciiTheme="minorHAnsi" w:hAnsiTheme="minorHAnsi" w:cs="Arial"/>
                <w:sz w:val="18"/>
                <w:szCs w:val="18"/>
              </w:rPr>
              <w:t xml:space="preserve">Delegated decisions. </w:t>
            </w:r>
          </w:p>
        </w:tc>
      </w:tr>
    </w:tbl>
    <w:p w14:paraId="152B476C" w14:textId="77777777" w:rsidR="002853B4" w:rsidRDefault="002853B4" w:rsidP="002853B4"/>
    <w:p w14:paraId="644A840C" w14:textId="77777777" w:rsidR="00D0588F" w:rsidRDefault="00D0588F" w:rsidP="00D0588F">
      <w:pPr>
        <w:pStyle w:val="Heading3"/>
      </w:pPr>
      <w:bookmarkStart w:id="23" w:name="_Toc493774208"/>
      <w:r w:rsidRPr="004E7EB5">
        <w:t>Establish the spatial boundaries of the assessment unit</w:t>
      </w:r>
      <w:bookmarkEnd w:id="23"/>
    </w:p>
    <w:p w14:paraId="4197B1E4" w14:textId="75BC6041" w:rsidR="00D0588F" w:rsidRDefault="00D0588F" w:rsidP="002853B4">
      <w:r>
        <w:t xml:space="preserve">As defined in Section 1.1 an assessment unit is the spatial extent of the IECA assessment. This may be a single aquatic ecosystem (e.g. a wetland or a river reach) or a larger spatial </w:t>
      </w:r>
      <w:r w:rsidR="00AE0082">
        <w:t>unit</w:t>
      </w:r>
      <w:r>
        <w:t xml:space="preserve">, such as a wetland complex. It can also be a sub-catchment or an entire basin/drainage division, such as the Murray-Darling Basin or the Lake Eyre Basin. The boundary of the IECA assessment must be spatially defined, together with a brief justification for the extent. The aquatic ecosystems within the assessment unit can be delineated and classified according to the methods provided in the Toolkit Modules 2, the Interim Australian National Aquatic Ecosystems Classification Framework, and 4, the Aquatic Ecosystem Delineation and Description Guidelines  </w:t>
      </w:r>
      <w:r>
        <w:fldChar w:fldCharType="begin"/>
      </w:r>
      <w:r>
        <w:instrText xml:space="preserve"> ADDIN ZOTERO_ITEM CSL_CITATION {"citationID":"qemmv44ga","properties":{"formattedCitation":"(AETG 2012b)","plainCitation":"(AETG 2012b)"},"citationItems":[{"id":3418,"uris":["http://zotero.org/users/3119797/items/T9PIE5QB"],"uri":["http://zotero.org/users/3119797/items/T9PIE5QB"],"itemData":{"id":3418,"type":"article","title":"Aquatic Ecosystems Toolkit. Module 2. Interim Australian National Aquatic Ecosystem Classification Framework. Australian Government Department of Sustainability, Environment, Water, Population and Communities, Canberra. http://www.environment.gov.au/water/publications/environmental/ecosystems/ae-toolkit-mod-2.html","author":[{"family":"AETG","given":""}],"issued":{"date-parts":[["2012"]]}}}],"schema":"https://github.com/citation-style-language/schema/raw/master/csl-citation.json"} </w:instrText>
      </w:r>
      <w:r>
        <w:fldChar w:fldCharType="separate"/>
      </w:r>
      <w:r w:rsidRPr="006777E5">
        <w:rPr>
          <w:rFonts w:cs="Calibri"/>
        </w:rPr>
        <w:t>(AETG 2012b</w:t>
      </w:r>
      <w:r>
        <w:fldChar w:fldCharType="end"/>
      </w:r>
      <w:r>
        <w:t xml:space="preserve">, </w:t>
      </w:r>
      <w:r>
        <w:fldChar w:fldCharType="begin"/>
      </w:r>
      <w:r>
        <w:instrText xml:space="preserve"> ADDIN ZOTERO_ITEM CSL_CITATION {"citationID":"2eh5ukqb4f","properties":{"formattedCitation":"(AETG 2012d)","plainCitation":"(AETG 2012d)"},"citationItems":[{"id":3420,"uris":["http://zotero.org/users/3119797/items/M7RBMZ9R"],"uri":["http://zotero.org/users/3119797/items/M7RBMZ9R"],"itemData":{"id":3420,"type":"article","title":"Aquatic Ecosystems Toolkit. Module 4: Aquatic Ecosystem Delineation and Description Guidelines. Australian Government Department of Sustainability, Environment, Water, Population and Communities, Canberra http://www.environment.gov.au/water/publications/environmental/ecosystems/ae-toolkit-mod-4.html","author":[{"family":"AETG","given":""}],"issued":{"date-parts":[["2012"]]}}}],"schema":"https://github.com/citation-style-language/schema/raw/master/csl-citation.json"} </w:instrText>
      </w:r>
      <w:r>
        <w:fldChar w:fldCharType="separate"/>
      </w:r>
      <w:r w:rsidRPr="006777E5">
        <w:rPr>
          <w:rFonts w:cs="Calibri"/>
        </w:rPr>
        <w:t>AETG 2012d)</w:t>
      </w:r>
      <w:r>
        <w:fldChar w:fldCharType="end"/>
      </w:r>
      <w:r>
        <w:t xml:space="preserve">, and as described in Section 2.3.3. </w:t>
      </w:r>
    </w:p>
    <w:p w14:paraId="55D87FE5" w14:textId="606752AE" w:rsidR="00F8135F" w:rsidRDefault="00F8135F" w:rsidP="00F8135F">
      <w:pPr>
        <w:jc w:val="center"/>
        <w:sectPr w:rsidR="00F8135F" w:rsidSect="00CA2773">
          <w:headerReference w:type="even" r:id="rId24"/>
          <w:headerReference w:type="default" r:id="rId25"/>
          <w:headerReference w:type="first" r:id="rId26"/>
          <w:pgSz w:w="11906" w:h="16838"/>
          <w:pgMar w:top="1440" w:right="1440" w:bottom="1440" w:left="1440" w:header="708" w:footer="708" w:gutter="0"/>
          <w:cols w:space="708"/>
          <w:docGrid w:linePitch="360"/>
        </w:sectPr>
      </w:pPr>
    </w:p>
    <w:p w14:paraId="48CF8601" w14:textId="6F97334D" w:rsidR="00C03A4F" w:rsidRPr="004E7EB5" w:rsidRDefault="001806B4" w:rsidP="00F43684">
      <w:pPr>
        <w:pStyle w:val="Heading2"/>
      </w:pPr>
      <w:bookmarkStart w:id="24" w:name="_Toc493774209"/>
      <w:r>
        <w:lastRenderedPageBreak/>
        <w:t>P</w:t>
      </w:r>
      <w:r w:rsidR="00C03A4F" w:rsidRPr="004E7EB5">
        <w:t xml:space="preserve">urpose </w:t>
      </w:r>
      <w:r>
        <w:t>of</w:t>
      </w:r>
      <w:r w:rsidR="00C03A4F" w:rsidRPr="004E7EB5">
        <w:t xml:space="preserve"> IECA</w:t>
      </w:r>
      <w:bookmarkEnd w:id="24"/>
    </w:p>
    <w:p w14:paraId="4267F0F6" w14:textId="04A64538" w:rsidR="00C107D0" w:rsidRDefault="0001626E" w:rsidP="00C03A4F">
      <w:pPr>
        <w:rPr>
          <w:lang w:val="en-GB"/>
        </w:rPr>
      </w:pPr>
      <w:r>
        <w:t>While t</w:t>
      </w:r>
      <w:r w:rsidR="001A192F">
        <w:t xml:space="preserve">he primary purpose of </w:t>
      </w:r>
      <w:r w:rsidR="00C107D0">
        <w:t xml:space="preserve">the </w:t>
      </w:r>
      <w:r w:rsidR="001A192F">
        <w:t xml:space="preserve">IECA </w:t>
      </w:r>
      <w:r w:rsidR="00C107D0">
        <w:t xml:space="preserve">Framework </w:t>
      </w:r>
      <w:r w:rsidR="001A192F">
        <w:t>is to assess the condition of aquatic ecosystems within the defined assessment unit</w:t>
      </w:r>
      <w:r>
        <w:t>, it may also serve other purposes, such as:</w:t>
      </w:r>
      <w:r w:rsidR="001A192F" w:rsidRPr="001A192F">
        <w:rPr>
          <w:lang w:val="en-GB"/>
        </w:rPr>
        <w:t xml:space="preserve"> </w:t>
      </w:r>
    </w:p>
    <w:p w14:paraId="719F263A" w14:textId="79BA267E" w:rsidR="00C107D0" w:rsidRPr="00C107D0" w:rsidRDefault="00C107D0" w:rsidP="00F4328F">
      <w:pPr>
        <w:pStyle w:val="ListParagraph"/>
        <w:numPr>
          <w:ilvl w:val="0"/>
          <w:numId w:val="10"/>
        </w:numPr>
        <w:rPr>
          <w:lang w:val="en-GB"/>
        </w:rPr>
      </w:pPr>
      <w:r w:rsidRPr="00C107D0">
        <w:rPr>
          <w:lang w:val="en-GB"/>
        </w:rPr>
        <w:t>A</w:t>
      </w:r>
      <w:r w:rsidR="001A192F" w:rsidRPr="00C107D0">
        <w:rPr>
          <w:lang w:val="en-GB"/>
        </w:rPr>
        <w:t xml:space="preserve"> part of a broader project assessing HEVAE (for which the other </w:t>
      </w:r>
      <w:r w:rsidRPr="00C107D0">
        <w:rPr>
          <w:lang w:val="en-GB"/>
        </w:rPr>
        <w:t xml:space="preserve">Toolkit </w:t>
      </w:r>
      <w:r w:rsidR="001A192F" w:rsidRPr="00C107D0">
        <w:rPr>
          <w:lang w:val="en-GB"/>
        </w:rPr>
        <w:t xml:space="preserve">modules will be important); </w:t>
      </w:r>
    </w:p>
    <w:p w14:paraId="5D163858" w14:textId="77777777" w:rsidR="00C107D0" w:rsidRPr="00C107D0" w:rsidRDefault="00C107D0" w:rsidP="00F4328F">
      <w:pPr>
        <w:pStyle w:val="ListParagraph"/>
        <w:numPr>
          <w:ilvl w:val="0"/>
          <w:numId w:val="10"/>
        </w:numPr>
        <w:rPr>
          <w:lang w:val="en-GB"/>
        </w:rPr>
      </w:pPr>
      <w:r w:rsidRPr="00C107D0">
        <w:rPr>
          <w:lang w:val="en-GB"/>
        </w:rPr>
        <w:t>T</w:t>
      </w:r>
      <w:r w:rsidR="001A192F" w:rsidRPr="00C107D0">
        <w:rPr>
          <w:lang w:val="en-GB"/>
        </w:rPr>
        <w:t xml:space="preserve">o establish a benchmark of condition against which change can be assessed; </w:t>
      </w:r>
    </w:p>
    <w:p w14:paraId="518FB8F8" w14:textId="7563B5F8" w:rsidR="00C107D0" w:rsidRPr="00C107D0" w:rsidRDefault="00C107D0" w:rsidP="00F4328F">
      <w:pPr>
        <w:pStyle w:val="ListParagraph"/>
        <w:numPr>
          <w:ilvl w:val="0"/>
          <w:numId w:val="10"/>
        </w:numPr>
        <w:rPr>
          <w:lang w:val="en-GB"/>
        </w:rPr>
      </w:pPr>
      <w:r w:rsidRPr="00C107D0">
        <w:rPr>
          <w:lang w:val="en-GB"/>
        </w:rPr>
        <w:t>T</w:t>
      </w:r>
      <w:r w:rsidR="001A192F" w:rsidRPr="00C107D0">
        <w:rPr>
          <w:lang w:val="en-GB"/>
        </w:rPr>
        <w:t>o determine changes in condition over time (through repeated condition assessments</w:t>
      </w:r>
      <w:r w:rsidR="001B602A">
        <w:rPr>
          <w:lang w:val="en-GB"/>
        </w:rPr>
        <w:t>, for example assessing condition and change in condition at Australian Ramsar sites</w:t>
      </w:r>
      <w:r w:rsidR="001A192F" w:rsidRPr="00C107D0">
        <w:rPr>
          <w:lang w:val="en-GB"/>
        </w:rPr>
        <w:t>)</w:t>
      </w:r>
      <w:r w:rsidR="00B8683C" w:rsidRPr="00C107D0">
        <w:rPr>
          <w:lang w:val="en-GB"/>
        </w:rPr>
        <w:t xml:space="preserve">; </w:t>
      </w:r>
    </w:p>
    <w:p w14:paraId="604A69C8" w14:textId="47AAB744" w:rsidR="00E2238E" w:rsidRDefault="00C107D0" w:rsidP="00F4328F">
      <w:pPr>
        <w:pStyle w:val="ListParagraph"/>
        <w:numPr>
          <w:ilvl w:val="0"/>
          <w:numId w:val="10"/>
        </w:numPr>
        <w:rPr>
          <w:lang w:val="en-GB"/>
        </w:rPr>
      </w:pPr>
      <w:r w:rsidRPr="00E2238E">
        <w:rPr>
          <w:lang w:val="en-GB"/>
        </w:rPr>
        <w:t>T</w:t>
      </w:r>
      <w:r w:rsidR="00B8683C" w:rsidRPr="00E2238E">
        <w:rPr>
          <w:lang w:val="en-GB"/>
        </w:rPr>
        <w:t xml:space="preserve">o fulfil </w:t>
      </w:r>
      <w:r w:rsidR="001B602A">
        <w:rPr>
          <w:lang w:val="en-GB"/>
        </w:rPr>
        <w:t xml:space="preserve">and/or set </w:t>
      </w:r>
      <w:r w:rsidR="00B8683C" w:rsidRPr="00E2238E">
        <w:rPr>
          <w:lang w:val="en-GB"/>
        </w:rPr>
        <w:t xml:space="preserve">specific planning or reporting requirements (e.g. reporting against Basin Plan objectives); </w:t>
      </w:r>
      <w:r w:rsidR="001A192F" w:rsidRPr="00E2238E">
        <w:rPr>
          <w:lang w:val="en-GB"/>
        </w:rPr>
        <w:t xml:space="preserve">or </w:t>
      </w:r>
    </w:p>
    <w:p w14:paraId="48BEE66A" w14:textId="63AE851B" w:rsidR="001A192F" w:rsidRPr="00E2238E" w:rsidRDefault="00C107D0" w:rsidP="00F4328F">
      <w:pPr>
        <w:pStyle w:val="ListParagraph"/>
        <w:numPr>
          <w:ilvl w:val="0"/>
          <w:numId w:val="10"/>
        </w:numPr>
        <w:rPr>
          <w:lang w:val="en-GB"/>
        </w:rPr>
      </w:pPr>
      <w:r w:rsidRPr="00E2238E">
        <w:rPr>
          <w:lang w:val="en-GB"/>
        </w:rPr>
        <w:t>T</w:t>
      </w:r>
      <w:r w:rsidR="001A192F" w:rsidRPr="00E2238E">
        <w:rPr>
          <w:lang w:val="en-GB"/>
        </w:rPr>
        <w:t xml:space="preserve">o inform a management intervention program (see </w:t>
      </w:r>
      <w:r w:rsidR="000313D6" w:rsidRPr="006606EA">
        <w:rPr>
          <w:lang w:val="en-GB"/>
        </w:rPr>
        <w:fldChar w:fldCharType="begin"/>
      </w:r>
      <w:r w:rsidR="000313D6" w:rsidRPr="006606EA">
        <w:rPr>
          <w:lang w:val="en-GB"/>
        </w:rPr>
        <w:instrText xml:space="preserve"> REF _Ref471827231 \h </w:instrText>
      </w:r>
      <w:r w:rsidR="000313D6" w:rsidRPr="006606EA">
        <w:rPr>
          <w:lang w:val="en-GB"/>
        </w:rPr>
      </w:r>
      <w:r w:rsidR="000313D6" w:rsidRPr="006606EA">
        <w:rPr>
          <w:lang w:val="en-GB"/>
        </w:rPr>
        <w:fldChar w:fldCharType="separate"/>
      </w:r>
      <w:r w:rsidR="005F359C" w:rsidRPr="004A4B0E">
        <w:rPr>
          <w:color w:val="797325" w:themeColor="accent3" w:themeShade="80"/>
        </w:rPr>
        <w:t xml:space="preserve">Text Box </w:t>
      </w:r>
      <w:r w:rsidR="005F359C">
        <w:rPr>
          <w:noProof/>
          <w:color w:val="797325" w:themeColor="accent3" w:themeShade="80"/>
        </w:rPr>
        <w:t>1</w:t>
      </w:r>
      <w:r w:rsidR="000313D6" w:rsidRPr="006606EA">
        <w:rPr>
          <w:lang w:val="en-GB"/>
        </w:rPr>
        <w:fldChar w:fldCharType="end"/>
      </w:r>
      <w:r w:rsidR="001A192F" w:rsidRPr="006606EA">
        <w:rPr>
          <w:lang w:val="en-GB"/>
        </w:rPr>
        <w:t>).</w:t>
      </w:r>
    </w:p>
    <w:p w14:paraId="7703919E" w14:textId="72C55E3E" w:rsidR="00C66171" w:rsidRDefault="00C66171" w:rsidP="00C03A4F">
      <w:pPr>
        <w:rPr>
          <w:lang w:val="en-GB"/>
        </w:rPr>
      </w:pPr>
      <w:r>
        <w:rPr>
          <w:lang w:val="en-GB"/>
        </w:rPr>
        <w:t xml:space="preserve">It is important to identify if status, trend, or both are the intent of the assessment. Status tends to characterise the size or magnitude of change of interest at a particular point in time in relation to a baseline or point of reference. Trend characterises an increase or decrease in a response of interest measured over years (typically).  Both status and trend can be assessed in relation to triggers, targets and thresholds. </w:t>
      </w:r>
    </w:p>
    <w:p w14:paraId="169804D1" w14:textId="31BCABAC" w:rsidR="001806B4" w:rsidRDefault="001806B4" w:rsidP="00C03A4F">
      <w:pPr>
        <w:rPr>
          <w:lang w:val="en-GB"/>
        </w:rPr>
      </w:pPr>
      <w:r>
        <w:rPr>
          <w:lang w:val="en-GB"/>
        </w:rPr>
        <w:t xml:space="preserve">Any relevant reporting requirements or management planning activities identified when considering the management context (see </w:t>
      </w:r>
      <w:r w:rsidR="00C107D0">
        <w:rPr>
          <w:lang w:val="en-GB"/>
        </w:rPr>
        <w:t>S</w:t>
      </w:r>
      <w:r>
        <w:rPr>
          <w:lang w:val="en-GB"/>
        </w:rPr>
        <w:t xml:space="preserve">ection 2.1.1 above) </w:t>
      </w:r>
      <w:r w:rsidR="00331D3E">
        <w:rPr>
          <w:lang w:val="en-GB"/>
        </w:rPr>
        <w:t xml:space="preserve">and relevant targets, triggers or thresholds (see </w:t>
      </w:r>
      <w:r w:rsidR="00C107D0">
        <w:rPr>
          <w:lang w:val="en-GB"/>
        </w:rPr>
        <w:t>S</w:t>
      </w:r>
      <w:r w:rsidR="00331D3E">
        <w:rPr>
          <w:lang w:val="en-GB"/>
        </w:rPr>
        <w:t>ection 2.1.2</w:t>
      </w:r>
      <w:r w:rsidR="00C54BB5">
        <w:rPr>
          <w:lang w:val="en-GB"/>
        </w:rPr>
        <w:t xml:space="preserve"> and 3.5</w:t>
      </w:r>
      <w:r w:rsidR="00331D3E">
        <w:rPr>
          <w:lang w:val="en-GB"/>
        </w:rPr>
        <w:t xml:space="preserve">) </w:t>
      </w:r>
      <w:r>
        <w:rPr>
          <w:lang w:val="en-GB"/>
        </w:rPr>
        <w:t>should be explicitly considered here and incorporated into the objectives for IECA.</w:t>
      </w:r>
    </w:p>
    <w:p w14:paraId="1F7684F8" w14:textId="38D7911C" w:rsidR="00B8683C" w:rsidRDefault="00B8683C" w:rsidP="00C03A4F">
      <w:r>
        <w:t xml:space="preserve">Specific objectives must be articulated and agreed with stakeholders. </w:t>
      </w:r>
      <w:r w:rsidR="00C107D0">
        <w:t>O</w:t>
      </w:r>
      <w:r>
        <w:t xml:space="preserve">bjectives need </w:t>
      </w:r>
      <w:r w:rsidR="00C107D0">
        <w:t xml:space="preserve">also </w:t>
      </w:r>
      <w:r w:rsidR="00AE0082">
        <w:t xml:space="preserve">to </w:t>
      </w:r>
      <w:r>
        <w:t xml:space="preserve">be </w:t>
      </w:r>
      <w:r w:rsidR="00AE0082">
        <w:t>‘</w:t>
      </w:r>
      <w:r>
        <w:t>SMART</w:t>
      </w:r>
      <w:r w:rsidR="00AE0082">
        <w:t>’</w:t>
      </w:r>
      <w:r w:rsidR="00392844">
        <w:t xml:space="preserve"> </w:t>
      </w:r>
      <w:r w:rsidR="00392844">
        <w:fldChar w:fldCharType="begin"/>
      </w:r>
      <w:r w:rsidR="00392844">
        <w:instrText xml:space="preserve"> ADDIN ZOTERO_ITEM CSL_CITATION {"citationID":"dbou8c0b3","properties":{"formattedCitation":"(Doran 1981)","plainCitation":"(Doran 1981)"},"citationItems":[{"id":3539,"uris":["http://zotero.org/users/3119797/items/ZWJNVNZS"],"uri":["http://zotero.org/users/3119797/items/ZWJNVNZS"],"itemData":{"id":3539,"type":"article-journal","title":"There's a S.M.A.R.T. way to write management's goals and objectives","container-title":"Management Review. AMA Forum","page":"35-36","volume":"70","issue":"11","author":[{"family":"Doran","given":"G.T."}],"issued":{"date-parts":[["1981"]]}}}],"schema":"https://github.com/citation-style-language/schema/raw/master/csl-citation.json"} </w:instrText>
      </w:r>
      <w:r w:rsidR="00392844">
        <w:fldChar w:fldCharType="separate"/>
      </w:r>
      <w:r w:rsidR="00392844" w:rsidRPr="00392844">
        <w:rPr>
          <w:rFonts w:cs="Calibri"/>
        </w:rPr>
        <w:t>(</w:t>
      </w:r>
      <w:r w:rsidR="00392844">
        <w:rPr>
          <w:rFonts w:cs="Calibri"/>
        </w:rPr>
        <w:t xml:space="preserve">modified from </w:t>
      </w:r>
      <w:r w:rsidR="00392844" w:rsidRPr="00392844">
        <w:rPr>
          <w:rFonts w:cs="Calibri"/>
        </w:rPr>
        <w:t>Doran 1981)</w:t>
      </w:r>
      <w:r w:rsidR="00392844">
        <w:fldChar w:fldCharType="end"/>
      </w:r>
      <w:r>
        <w:t>:</w:t>
      </w:r>
    </w:p>
    <w:p w14:paraId="4181136C" w14:textId="650A2504" w:rsidR="00B8683C" w:rsidRPr="00E46DC8" w:rsidRDefault="00B8683C" w:rsidP="00F4328F">
      <w:pPr>
        <w:pStyle w:val="ListParagraph"/>
        <w:numPr>
          <w:ilvl w:val="0"/>
          <w:numId w:val="10"/>
        </w:numPr>
        <w:rPr>
          <w:lang w:val="en-GB"/>
        </w:rPr>
      </w:pPr>
      <w:r w:rsidRPr="00E46DC8">
        <w:rPr>
          <w:lang w:val="en-GB"/>
        </w:rPr>
        <w:t>Specific – clear and unambiguous</w:t>
      </w:r>
      <w:r w:rsidR="00C107D0" w:rsidRPr="00E46DC8">
        <w:rPr>
          <w:lang w:val="en-GB"/>
        </w:rPr>
        <w:t>;</w:t>
      </w:r>
    </w:p>
    <w:p w14:paraId="0FD2FBB1" w14:textId="513AF2D4" w:rsidR="00B8683C" w:rsidRPr="00E46DC8" w:rsidRDefault="00B8683C" w:rsidP="00F4328F">
      <w:pPr>
        <w:pStyle w:val="ListParagraph"/>
        <w:numPr>
          <w:ilvl w:val="0"/>
          <w:numId w:val="10"/>
        </w:numPr>
        <w:rPr>
          <w:lang w:val="en-GB"/>
        </w:rPr>
      </w:pPr>
      <w:r w:rsidRPr="00E46DC8">
        <w:rPr>
          <w:lang w:val="en-GB"/>
        </w:rPr>
        <w:t>Measurable –quantified, contain a measurable element that can be readily monitored to determine success or failure</w:t>
      </w:r>
      <w:r w:rsidR="00C107D0" w:rsidRPr="00E46DC8">
        <w:rPr>
          <w:lang w:val="en-GB"/>
        </w:rPr>
        <w:t>;</w:t>
      </w:r>
    </w:p>
    <w:p w14:paraId="2C0E6688" w14:textId="5D8289D4" w:rsidR="00B8683C" w:rsidRPr="00E46DC8" w:rsidRDefault="00B8683C" w:rsidP="00F4328F">
      <w:pPr>
        <w:pStyle w:val="ListParagraph"/>
        <w:numPr>
          <w:ilvl w:val="0"/>
          <w:numId w:val="10"/>
        </w:numPr>
        <w:rPr>
          <w:lang w:val="en-GB"/>
        </w:rPr>
      </w:pPr>
      <w:r w:rsidRPr="00E46DC8">
        <w:rPr>
          <w:lang w:val="en-GB"/>
        </w:rPr>
        <w:t>Achievable – realistic and attainable</w:t>
      </w:r>
      <w:r w:rsidR="00C107D0" w:rsidRPr="00E46DC8">
        <w:rPr>
          <w:lang w:val="en-GB"/>
        </w:rPr>
        <w:t>;</w:t>
      </w:r>
    </w:p>
    <w:p w14:paraId="3F802FD8" w14:textId="4A4B5138" w:rsidR="00B8683C" w:rsidRPr="00E46DC8" w:rsidRDefault="00B8683C" w:rsidP="00F4328F">
      <w:pPr>
        <w:pStyle w:val="ListParagraph"/>
        <w:numPr>
          <w:ilvl w:val="0"/>
          <w:numId w:val="10"/>
        </w:numPr>
        <w:rPr>
          <w:lang w:val="en-GB"/>
        </w:rPr>
      </w:pPr>
      <w:r w:rsidRPr="00E46DC8">
        <w:rPr>
          <w:lang w:val="en-GB"/>
        </w:rPr>
        <w:t xml:space="preserve">Relevant - considerate of </w:t>
      </w:r>
      <w:r w:rsidR="00392844">
        <w:rPr>
          <w:lang w:val="en-GB"/>
        </w:rPr>
        <w:t xml:space="preserve">program objectives, </w:t>
      </w:r>
      <w:r w:rsidRPr="00E46DC8">
        <w:rPr>
          <w:lang w:val="en-GB"/>
        </w:rPr>
        <w:t>temporal scale</w:t>
      </w:r>
      <w:r w:rsidR="00392844">
        <w:rPr>
          <w:lang w:val="en-GB"/>
        </w:rPr>
        <w:t>s</w:t>
      </w:r>
      <w:r w:rsidRPr="00E46DC8">
        <w:rPr>
          <w:lang w:val="en-GB"/>
        </w:rPr>
        <w:t xml:space="preserve"> of response, resources available</w:t>
      </w:r>
      <w:r w:rsidR="00392844">
        <w:rPr>
          <w:lang w:val="en-GB"/>
        </w:rPr>
        <w:t xml:space="preserve"> </w:t>
      </w:r>
      <w:r w:rsidR="0004476C">
        <w:rPr>
          <w:lang w:val="en-GB"/>
        </w:rPr>
        <w:t>and</w:t>
      </w:r>
      <w:r w:rsidR="00392844">
        <w:rPr>
          <w:lang w:val="en-GB"/>
        </w:rPr>
        <w:t xml:space="preserve"> local context</w:t>
      </w:r>
      <w:r w:rsidR="00C107D0" w:rsidRPr="00E46DC8">
        <w:rPr>
          <w:lang w:val="en-GB"/>
        </w:rPr>
        <w:t>;</w:t>
      </w:r>
      <w:r w:rsidR="00BA09E3">
        <w:rPr>
          <w:lang w:val="en-GB"/>
        </w:rPr>
        <w:t xml:space="preserve"> and</w:t>
      </w:r>
    </w:p>
    <w:p w14:paraId="33B85367" w14:textId="073129D4" w:rsidR="00B8683C" w:rsidRDefault="00B8683C" w:rsidP="00F4328F">
      <w:pPr>
        <w:pStyle w:val="ListParagraph"/>
        <w:numPr>
          <w:ilvl w:val="0"/>
          <w:numId w:val="10"/>
        </w:numPr>
        <w:rPr>
          <w:lang w:val="en-GB"/>
        </w:rPr>
      </w:pPr>
      <w:r w:rsidRPr="00E46DC8">
        <w:rPr>
          <w:lang w:val="en-GB"/>
        </w:rPr>
        <w:t>Time bound - specify a time scale in which the outcome is met/assessed</w:t>
      </w:r>
      <w:r w:rsidR="00C107D0" w:rsidRPr="00E46DC8">
        <w:rPr>
          <w:lang w:val="en-GB"/>
        </w:rPr>
        <w:t>.</w:t>
      </w:r>
    </w:p>
    <w:p w14:paraId="508D40CA" w14:textId="4B5DF40D" w:rsidR="00460799" w:rsidRDefault="00460799" w:rsidP="00D95F8D">
      <w:pPr>
        <w:pStyle w:val="Caption"/>
        <w:shd w:val="clear" w:color="auto" w:fill="F6F4E1" w:themeFill="accent3" w:themeFillTint="33"/>
        <w:spacing w:after="0" w:line="240" w:lineRule="auto"/>
        <w:rPr>
          <w:color w:val="797325" w:themeColor="accent3" w:themeShade="80"/>
        </w:rPr>
      </w:pPr>
      <w:bookmarkStart w:id="25" w:name="_Ref471827231"/>
      <w:r w:rsidRPr="004A4B0E">
        <w:rPr>
          <w:color w:val="797325" w:themeColor="accent3" w:themeShade="80"/>
        </w:rPr>
        <w:t xml:space="preserve">Text Box </w:t>
      </w:r>
      <w:r w:rsidR="00567101" w:rsidRPr="004A4B0E">
        <w:rPr>
          <w:color w:val="797325" w:themeColor="accent3" w:themeShade="80"/>
        </w:rPr>
        <w:fldChar w:fldCharType="begin"/>
      </w:r>
      <w:r w:rsidR="00567101" w:rsidRPr="004A4B0E">
        <w:rPr>
          <w:color w:val="797325" w:themeColor="accent3" w:themeShade="80"/>
        </w:rPr>
        <w:instrText xml:space="preserve"> SEQ Text_Box \* ARABIC </w:instrText>
      </w:r>
      <w:r w:rsidR="00567101" w:rsidRPr="004A4B0E">
        <w:rPr>
          <w:color w:val="797325" w:themeColor="accent3" w:themeShade="80"/>
        </w:rPr>
        <w:fldChar w:fldCharType="separate"/>
      </w:r>
      <w:r w:rsidR="005F359C">
        <w:rPr>
          <w:noProof/>
          <w:color w:val="797325" w:themeColor="accent3" w:themeShade="80"/>
        </w:rPr>
        <w:t>1</w:t>
      </w:r>
      <w:r w:rsidR="00567101" w:rsidRPr="004A4B0E">
        <w:rPr>
          <w:noProof/>
          <w:color w:val="797325" w:themeColor="accent3" w:themeShade="80"/>
        </w:rPr>
        <w:fldChar w:fldCharType="end"/>
      </w:r>
      <w:bookmarkEnd w:id="25"/>
      <w:r w:rsidRPr="004A4B0E">
        <w:rPr>
          <w:color w:val="797325" w:themeColor="accent3" w:themeShade="80"/>
        </w:rPr>
        <w:t>: Potential usefulness of the IECA Framework in intervention management in aquatic ecosystems</w:t>
      </w:r>
    </w:p>
    <w:p w14:paraId="38C015DA" w14:textId="26F1141D" w:rsidR="0001626E" w:rsidRPr="004A4B0E" w:rsidRDefault="0001626E" w:rsidP="0001626E">
      <w:pPr>
        <w:shd w:val="clear" w:color="auto" w:fill="F6F4E1" w:themeFill="accent3" w:themeFillTint="33"/>
        <w:rPr>
          <w:color w:val="797325" w:themeColor="accent3" w:themeShade="80"/>
        </w:rPr>
      </w:pPr>
      <w:r w:rsidRPr="004A4B0E">
        <w:rPr>
          <w:color w:val="797325" w:themeColor="accent3" w:themeShade="80"/>
        </w:rPr>
        <w:t xml:space="preserve">Although IECA is a condition assessment framework </w:t>
      </w:r>
      <w:r w:rsidR="00392844">
        <w:rPr>
          <w:color w:val="797325" w:themeColor="accent3" w:themeShade="80"/>
        </w:rPr>
        <w:t xml:space="preserve">designed primarily for surveillance monitoring </w:t>
      </w:r>
      <w:r w:rsidRPr="004A4B0E">
        <w:rPr>
          <w:color w:val="797325" w:themeColor="accent3" w:themeShade="80"/>
        </w:rPr>
        <w:t>and not for intervention monitoring, there are several ways in which the IECA Framework could contribute to an intervention management program for aquatic ecosystems:</w:t>
      </w:r>
    </w:p>
    <w:p w14:paraId="3C1326EF" w14:textId="77777777" w:rsidR="0001626E" w:rsidRPr="004A4B0E" w:rsidRDefault="0001626E" w:rsidP="00F4328F">
      <w:pPr>
        <w:pStyle w:val="ListParagraph"/>
        <w:numPr>
          <w:ilvl w:val="0"/>
          <w:numId w:val="7"/>
        </w:numPr>
        <w:shd w:val="clear" w:color="auto" w:fill="F6F4E1" w:themeFill="accent3" w:themeFillTint="33"/>
        <w:rPr>
          <w:color w:val="797325" w:themeColor="accent3" w:themeShade="80"/>
        </w:rPr>
      </w:pPr>
      <w:r w:rsidRPr="004A4B0E">
        <w:rPr>
          <w:color w:val="797325" w:themeColor="accent3" w:themeShade="80"/>
        </w:rPr>
        <w:t>Identification of potential management intervention sites (e.g. selecting sites for management that require some form of restoration, but are not in such poor condition that they are unlikely to respond to the intervention);</w:t>
      </w:r>
    </w:p>
    <w:p w14:paraId="602EB8D1" w14:textId="5451DA09" w:rsidR="00392844" w:rsidRDefault="0001626E" w:rsidP="00F4328F">
      <w:pPr>
        <w:pStyle w:val="ListParagraph"/>
        <w:numPr>
          <w:ilvl w:val="0"/>
          <w:numId w:val="7"/>
        </w:numPr>
        <w:shd w:val="clear" w:color="auto" w:fill="F6F4E1" w:themeFill="accent3" w:themeFillTint="33"/>
        <w:rPr>
          <w:color w:val="797325" w:themeColor="accent3" w:themeShade="80"/>
        </w:rPr>
      </w:pPr>
      <w:r w:rsidRPr="004A4B0E">
        <w:rPr>
          <w:color w:val="797325" w:themeColor="accent3" w:themeShade="80"/>
        </w:rPr>
        <w:t>Providing information on factors that may contribute to ecological responses to management interventions (covariates, counterfactual)</w:t>
      </w:r>
      <w:r w:rsidR="00392844">
        <w:rPr>
          <w:color w:val="797325" w:themeColor="accent3" w:themeShade="80"/>
        </w:rPr>
        <w:t>;</w:t>
      </w:r>
      <w:r w:rsidR="00392844" w:rsidRPr="00392844">
        <w:rPr>
          <w:color w:val="797325" w:themeColor="accent3" w:themeShade="80"/>
        </w:rPr>
        <w:t xml:space="preserve"> </w:t>
      </w:r>
    </w:p>
    <w:p w14:paraId="45C97764" w14:textId="02DC4F37" w:rsidR="0001626E" w:rsidRPr="004A4B0E" w:rsidRDefault="00392844" w:rsidP="00F4328F">
      <w:pPr>
        <w:pStyle w:val="ListParagraph"/>
        <w:numPr>
          <w:ilvl w:val="0"/>
          <w:numId w:val="7"/>
        </w:numPr>
        <w:shd w:val="clear" w:color="auto" w:fill="F6F4E1" w:themeFill="accent3" w:themeFillTint="33"/>
        <w:rPr>
          <w:color w:val="797325" w:themeColor="accent3" w:themeShade="80"/>
        </w:rPr>
      </w:pPr>
      <w:r>
        <w:rPr>
          <w:color w:val="797325" w:themeColor="accent3" w:themeShade="80"/>
        </w:rPr>
        <w:t>Providing a context of</w:t>
      </w:r>
      <w:r w:rsidRPr="004A4B0E">
        <w:rPr>
          <w:color w:val="797325" w:themeColor="accent3" w:themeShade="80"/>
        </w:rPr>
        <w:t xml:space="preserve"> aquatic ecosystem</w:t>
      </w:r>
      <w:r w:rsidRPr="00742281">
        <w:rPr>
          <w:color w:val="797325" w:themeColor="accent3" w:themeShade="80"/>
        </w:rPr>
        <w:t xml:space="preserve"> </w:t>
      </w:r>
      <w:r w:rsidRPr="004A4B0E">
        <w:rPr>
          <w:color w:val="797325" w:themeColor="accent3" w:themeShade="80"/>
        </w:rPr>
        <w:t>condition</w:t>
      </w:r>
      <w:r>
        <w:rPr>
          <w:color w:val="797325" w:themeColor="accent3" w:themeShade="80"/>
        </w:rPr>
        <w:t xml:space="preserve"> at the assessment unit and its local region/catchment</w:t>
      </w:r>
      <w:r w:rsidR="0001626E" w:rsidRPr="004A4B0E">
        <w:rPr>
          <w:color w:val="797325" w:themeColor="accent3" w:themeShade="80"/>
        </w:rPr>
        <w:t>;</w:t>
      </w:r>
      <w:r w:rsidR="00BA09E3">
        <w:rPr>
          <w:color w:val="797325" w:themeColor="accent3" w:themeShade="80"/>
        </w:rPr>
        <w:t xml:space="preserve"> and</w:t>
      </w:r>
    </w:p>
    <w:p w14:paraId="5CF605A0" w14:textId="77777777" w:rsidR="0001626E" w:rsidRPr="004A4B0E" w:rsidRDefault="0001626E" w:rsidP="00F4328F">
      <w:pPr>
        <w:pStyle w:val="ListParagraph"/>
        <w:numPr>
          <w:ilvl w:val="0"/>
          <w:numId w:val="7"/>
        </w:numPr>
        <w:shd w:val="clear" w:color="auto" w:fill="F6F4E1" w:themeFill="accent3" w:themeFillTint="33"/>
        <w:rPr>
          <w:color w:val="797325" w:themeColor="accent3" w:themeShade="80"/>
        </w:rPr>
      </w:pPr>
      <w:r w:rsidRPr="004A4B0E">
        <w:rPr>
          <w:color w:val="797325" w:themeColor="accent3" w:themeShade="80"/>
        </w:rPr>
        <w:t>Long term trends in condition of aquatic ecosystems over time.</w:t>
      </w:r>
    </w:p>
    <w:p w14:paraId="60510B71" w14:textId="08589B9B" w:rsidR="00B8683C" w:rsidRDefault="00B8683C" w:rsidP="00C03A4F"/>
    <w:p w14:paraId="3A6DA478" w14:textId="77777777" w:rsidR="00E315A3" w:rsidRDefault="00E315A3" w:rsidP="00C03A4F">
      <w:pPr>
        <w:sectPr w:rsidR="00E315A3" w:rsidSect="00CA2773">
          <w:headerReference w:type="even" r:id="rId27"/>
          <w:headerReference w:type="default" r:id="rId28"/>
          <w:headerReference w:type="first" r:id="rId29"/>
          <w:pgSz w:w="11906" w:h="16838"/>
          <w:pgMar w:top="1440" w:right="1440" w:bottom="1440" w:left="1440" w:header="708" w:footer="708" w:gutter="0"/>
          <w:cols w:space="708"/>
          <w:docGrid w:linePitch="360"/>
        </w:sectPr>
      </w:pPr>
    </w:p>
    <w:p w14:paraId="75AE8E85" w14:textId="4ED2785B" w:rsidR="00C15728" w:rsidRPr="004E7EB5" w:rsidRDefault="007852F0" w:rsidP="001806B4">
      <w:pPr>
        <w:pStyle w:val="Heading2"/>
      </w:pPr>
      <w:bookmarkStart w:id="26" w:name="_Toc493774210"/>
      <w:bookmarkStart w:id="27" w:name="_Toc457901547"/>
      <w:r>
        <w:lastRenderedPageBreak/>
        <w:t>G</w:t>
      </w:r>
      <w:r w:rsidR="00B27B0F" w:rsidRPr="004E7EB5">
        <w:t>roundwork</w:t>
      </w:r>
      <w:bookmarkEnd w:id="26"/>
      <w:r w:rsidR="00074AAB" w:rsidRPr="004E7EB5">
        <w:t xml:space="preserve"> </w:t>
      </w:r>
    </w:p>
    <w:p w14:paraId="494EF073" w14:textId="1F87D36E" w:rsidR="00B27B0F" w:rsidRDefault="00B27B0F" w:rsidP="001806B4">
      <w:pPr>
        <w:pStyle w:val="Heading3"/>
      </w:pPr>
      <w:bookmarkStart w:id="28" w:name="_Toc461379863"/>
      <w:bookmarkStart w:id="29" w:name="_Toc463378313"/>
      <w:bookmarkStart w:id="30" w:name="_Toc464119070"/>
      <w:bookmarkStart w:id="31" w:name="_Toc464162711"/>
      <w:bookmarkStart w:id="32" w:name="_Toc464163324"/>
      <w:bookmarkStart w:id="33" w:name="_Toc464300654"/>
      <w:bookmarkStart w:id="34" w:name="_Toc463378314"/>
      <w:bookmarkStart w:id="35" w:name="_Toc464119071"/>
      <w:bookmarkStart w:id="36" w:name="_Toc464162712"/>
      <w:bookmarkStart w:id="37" w:name="_Toc464163325"/>
      <w:bookmarkStart w:id="38" w:name="_Toc464300655"/>
      <w:bookmarkStart w:id="39" w:name="_Toc463378317"/>
      <w:bookmarkStart w:id="40" w:name="_Toc464119073"/>
      <w:bookmarkStart w:id="41" w:name="_Toc464162714"/>
      <w:bookmarkStart w:id="42" w:name="_Toc464163327"/>
      <w:bookmarkStart w:id="43" w:name="_Toc464300657"/>
      <w:bookmarkStart w:id="44" w:name="_Toc49377421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4E7EB5">
        <w:t>Accessing expertise: Establish a TAG</w:t>
      </w:r>
      <w:r w:rsidR="007C0C45">
        <w:t xml:space="preserve"> </w:t>
      </w:r>
      <w:r w:rsidR="001B602A">
        <w:t xml:space="preserve">or other appropriate oversight body </w:t>
      </w:r>
      <w:r w:rsidR="007C0C45">
        <w:t>(optional)</w:t>
      </w:r>
      <w:bookmarkEnd w:id="44"/>
    </w:p>
    <w:p w14:paraId="28C9C68C" w14:textId="77777777" w:rsidR="001B602A" w:rsidRPr="000C7F34" w:rsidRDefault="00B5154F" w:rsidP="001B602A">
      <w:r>
        <w:t>If the scale of the assessment is large and</w:t>
      </w:r>
      <w:r w:rsidR="007852F0">
        <w:t xml:space="preserve">/or </w:t>
      </w:r>
      <w:r>
        <w:t xml:space="preserve">there is little existing information available on the </w:t>
      </w:r>
      <w:r w:rsidR="005259ED">
        <w:t>assessment unit</w:t>
      </w:r>
      <w:r>
        <w:t xml:space="preserve">, appropriate indicators and assessment methods, then a </w:t>
      </w:r>
      <w:r w:rsidRPr="008B01F0">
        <w:t xml:space="preserve">technical advisory group (TAG) </w:t>
      </w:r>
      <w:r w:rsidR="001B602A">
        <w:t>or other oversight body would be of benefit and should be established</w:t>
      </w:r>
      <w:r w:rsidR="001B602A" w:rsidRPr="008B01F0">
        <w:t xml:space="preserve">. </w:t>
      </w:r>
      <w:r w:rsidR="001B602A">
        <w:t xml:space="preserve">The TAG/oversight body should </w:t>
      </w:r>
      <w:r w:rsidR="001B602A" w:rsidRPr="008B01F0">
        <w:t xml:space="preserve">include individuals </w:t>
      </w:r>
      <w:r w:rsidR="001B602A">
        <w:t>with both local knowledge of the assessment unit or aquatic ecosystems in question, as well as relevant scientific or policy disciplines. Ideally, expertise would include</w:t>
      </w:r>
      <w:r w:rsidR="001B602A" w:rsidRPr="000C7F34">
        <w:t>:</w:t>
      </w:r>
    </w:p>
    <w:p w14:paraId="5FD2B8BB" w14:textId="1380F8F8" w:rsidR="001B602A" w:rsidRPr="000C7F34" w:rsidRDefault="001B602A" w:rsidP="00F4328F">
      <w:pPr>
        <w:pStyle w:val="ListParagraph"/>
        <w:numPr>
          <w:ilvl w:val="0"/>
          <w:numId w:val="3"/>
        </w:numPr>
        <w:spacing w:after="120" w:line="288" w:lineRule="auto"/>
        <w:jc w:val="left"/>
      </w:pPr>
      <w:r>
        <w:t>Aquatic ecosystem management</w:t>
      </w:r>
      <w:r w:rsidR="00BA09E3">
        <w:t>;</w:t>
      </w:r>
    </w:p>
    <w:p w14:paraId="3205CFE7" w14:textId="7390C663" w:rsidR="001B602A" w:rsidRPr="000C7F34" w:rsidRDefault="001B602A" w:rsidP="00F4328F">
      <w:pPr>
        <w:pStyle w:val="ListParagraph"/>
        <w:numPr>
          <w:ilvl w:val="0"/>
          <w:numId w:val="3"/>
        </w:numPr>
        <w:spacing w:after="120" w:line="288" w:lineRule="auto"/>
        <w:jc w:val="left"/>
      </w:pPr>
      <w:r>
        <w:t>L</w:t>
      </w:r>
      <w:r w:rsidRPr="000C7F34">
        <w:t>ocal expertise</w:t>
      </w:r>
      <w:r w:rsidR="00BA09E3">
        <w:t>;</w:t>
      </w:r>
    </w:p>
    <w:p w14:paraId="24058EF6" w14:textId="6E5D5C56" w:rsidR="001B602A" w:rsidRPr="000C7F34" w:rsidRDefault="001B602A" w:rsidP="00F4328F">
      <w:pPr>
        <w:pStyle w:val="ListParagraph"/>
        <w:numPr>
          <w:ilvl w:val="0"/>
          <w:numId w:val="3"/>
        </w:numPr>
        <w:spacing w:after="120" w:line="288" w:lineRule="auto"/>
        <w:jc w:val="left"/>
      </w:pPr>
      <w:r>
        <w:t>P</w:t>
      </w:r>
      <w:r w:rsidRPr="000C7F34">
        <w:t>olicy expertise</w:t>
      </w:r>
      <w:r w:rsidR="00BA09E3">
        <w:t>;</w:t>
      </w:r>
    </w:p>
    <w:p w14:paraId="37172EAF" w14:textId="7EB67087" w:rsidR="001B602A" w:rsidRDefault="001B602A" w:rsidP="00F4328F">
      <w:pPr>
        <w:pStyle w:val="ListParagraph"/>
        <w:numPr>
          <w:ilvl w:val="0"/>
          <w:numId w:val="3"/>
        </w:numPr>
        <w:spacing w:after="120" w:line="288" w:lineRule="auto"/>
        <w:jc w:val="left"/>
      </w:pPr>
      <w:r>
        <w:t>R</w:t>
      </w:r>
      <w:r w:rsidRPr="000C7F34">
        <w:t>esearcher</w:t>
      </w:r>
      <w:r>
        <w:t>/s with relevant local knowledge</w:t>
      </w:r>
      <w:r w:rsidR="00BA09E3">
        <w:t>;</w:t>
      </w:r>
      <w:r w:rsidR="00AB4DC5">
        <w:t xml:space="preserve"> and</w:t>
      </w:r>
    </w:p>
    <w:p w14:paraId="252E7FAE" w14:textId="445083CE" w:rsidR="00B5154F" w:rsidRPr="000C7F34" w:rsidRDefault="001B602A" w:rsidP="00F4328F">
      <w:pPr>
        <w:pStyle w:val="ListParagraph"/>
        <w:numPr>
          <w:ilvl w:val="0"/>
          <w:numId w:val="3"/>
        </w:numPr>
        <w:spacing w:after="120" w:line="288" w:lineRule="auto"/>
        <w:jc w:val="left"/>
      </w:pPr>
      <w:r>
        <w:t>Traditional owner representati</w:t>
      </w:r>
      <w:r w:rsidR="00AB4DC5">
        <w:t>on</w:t>
      </w:r>
      <w:r w:rsidRPr="000C7F34">
        <w:t>.</w:t>
      </w:r>
    </w:p>
    <w:p w14:paraId="03E4F9F3" w14:textId="76DD3678" w:rsidR="00B5154F" w:rsidRDefault="00B5154F" w:rsidP="00B5154F">
      <w:r>
        <w:t>The primary role</w:t>
      </w:r>
      <w:r w:rsidRPr="008B01F0">
        <w:t xml:space="preserve"> of the </w:t>
      </w:r>
      <w:r w:rsidR="000F1364">
        <w:t xml:space="preserve">TAG/oversight body </w:t>
      </w:r>
      <w:r>
        <w:t>is</w:t>
      </w:r>
      <w:r w:rsidRPr="008B01F0">
        <w:t xml:space="preserve"> to </w:t>
      </w:r>
      <w:r>
        <w:t xml:space="preserve">provide expert input to each of the steps involved in an application of </w:t>
      </w:r>
      <w:r w:rsidR="005259ED">
        <w:t xml:space="preserve">the </w:t>
      </w:r>
      <w:r>
        <w:t>IECA</w:t>
      </w:r>
      <w:r w:rsidR="005259ED">
        <w:t xml:space="preserve"> Framework</w:t>
      </w:r>
      <w:r>
        <w:t>, from defining the spatial scale, through the identification and prioritisation of values</w:t>
      </w:r>
      <w:r w:rsidR="005E5F90">
        <w:t xml:space="preserve"> and threats</w:t>
      </w:r>
      <w:r>
        <w:t xml:space="preserve">, indicator selection, setting the baseline and sample design.  </w:t>
      </w:r>
    </w:p>
    <w:p w14:paraId="786CE685" w14:textId="17A0EC75" w:rsidR="00B5154F" w:rsidRPr="00B5154F" w:rsidRDefault="00B5154F" w:rsidP="00B5154F">
      <w:r>
        <w:t xml:space="preserve">Early engagement of </w:t>
      </w:r>
      <w:r w:rsidR="000F1364">
        <w:t>group</w:t>
      </w:r>
      <w:r>
        <w:t xml:space="preserve"> members is desirable</w:t>
      </w:r>
      <w:r w:rsidR="005259ED">
        <w:t>,</w:t>
      </w:r>
      <w:r>
        <w:t xml:space="preserve"> as it provides for continuity of decision making throughout the process and increases efficiency</w:t>
      </w:r>
      <w:r w:rsidR="005259ED">
        <w:t xml:space="preserve"> in information collation and assessment</w:t>
      </w:r>
      <w:r>
        <w:t xml:space="preserve">. </w:t>
      </w:r>
      <w:r w:rsidR="005259ED">
        <w:t>The t</w:t>
      </w:r>
      <w:r w:rsidRPr="008B01F0">
        <w:t xml:space="preserve">erms of reference for the </w:t>
      </w:r>
      <w:r w:rsidR="000F1364">
        <w:t>TAG/oversight body</w:t>
      </w:r>
      <w:r w:rsidRPr="008B01F0">
        <w:t xml:space="preserve"> </w:t>
      </w:r>
      <w:r>
        <w:t xml:space="preserve">should be </w:t>
      </w:r>
      <w:r w:rsidR="00BE266C">
        <w:t>clearly stated and</w:t>
      </w:r>
      <w:r w:rsidRPr="008B01F0">
        <w:t xml:space="preserve"> specify the expectations and requirements of the group, as well as </w:t>
      </w:r>
      <w:r>
        <w:t xml:space="preserve">the </w:t>
      </w:r>
      <w:r w:rsidRPr="008B01F0">
        <w:t>decision-making process.</w:t>
      </w:r>
      <w:r w:rsidR="005E5F90">
        <w:t xml:space="preserve"> </w:t>
      </w:r>
    </w:p>
    <w:p w14:paraId="746B501A" w14:textId="272E94AD" w:rsidR="00B27B0F" w:rsidRDefault="00B27B0F" w:rsidP="001806B4">
      <w:pPr>
        <w:pStyle w:val="Heading3"/>
      </w:pPr>
      <w:bookmarkStart w:id="45" w:name="_Toc493774212"/>
      <w:r w:rsidRPr="004E7EB5">
        <w:t>Collating existing information</w:t>
      </w:r>
      <w:bookmarkEnd w:id="45"/>
      <w:r w:rsidRPr="004E7EB5">
        <w:t xml:space="preserve"> </w:t>
      </w:r>
    </w:p>
    <w:p w14:paraId="13C77DC6" w14:textId="45E75AF4" w:rsidR="00BE266C" w:rsidRDefault="00BE266C" w:rsidP="00BE266C">
      <w:r>
        <w:t xml:space="preserve">The IECA </w:t>
      </w:r>
      <w:r w:rsidR="005259ED">
        <w:t>F</w:t>
      </w:r>
      <w:r>
        <w:t xml:space="preserve">ramework seeks to build on existing knowledge. </w:t>
      </w:r>
      <w:r w:rsidR="005259ED">
        <w:t>E</w:t>
      </w:r>
      <w:r>
        <w:t xml:space="preserve">xisting information on the </w:t>
      </w:r>
      <w:r w:rsidR="005259ED">
        <w:t xml:space="preserve">assessment unit and </w:t>
      </w:r>
      <w:r>
        <w:t>ecosystem(s) in question</w:t>
      </w:r>
      <w:r w:rsidR="00392844" w:rsidRPr="00392844">
        <w:t xml:space="preserve"> </w:t>
      </w:r>
      <w:r w:rsidR="00392844">
        <w:t>should be collated and reviewed</w:t>
      </w:r>
      <w:r w:rsidR="005259ED">
        <w:t xml:space="preserve">, including </w:t>
      </w:r>
      <w:r>
        <w:t>their components, processes</w:t>
      </w:r>
      <w:r w:rsidR="005E5F90">
        <w:t>, functions</w:t>
      </w:r>
      <w:r>
        <w:t xml:space="preserve"> and services</w:t>
      </w:r>
      <w:r w:rsidR="00392844">
        <w:t>.</w:t>
      </w:r>
      <w:r>
        <w:t xml:space="preserve"> </w:t>
      </w:r>
      <w:r w:rsidR="000F1364">
        <w:t>Any externalities that may affect condition at the time of the assessment should be recorded. These include, for example, antecedent conditions</w:t>
      </w:r>
      <w:r w:rsidR="00AB4DC5">
        <w:t xml:space="preserve"> such as</w:t>
      </w:r>
      <w:r w:rsidR="000F1364">
        <w:t xml:space="preserve"> drought and floods</w:t>
      </w:r>
      <w:r w:rsidR="00AB4DC5">
        <w:t xml:space="preserve"> as well as other factors that may influence condition assessment or interpretation</w:t>
      </w:r>
      <w:r w:rsidR="000F1364">
        <w:t xml:space="preserve">. </w:t>
      </w:r>
    </w:p>
    <w:p w14:paraId="0BF24F32" w14:textId="30421FF8" w:rsidR="00BE266C" w:rsidRPr="00BE266C" w:rsidRDefault="00BE266C" w:rsidP="00BE266C">
      <w:r>
        <w:t>While seemingly common sense, it is good to be reminded that there will be an array of existing information available for even the most data poor systems. This may be in the form of previous surveys, condition assessments and studies</w:t>
      </w:r>
      <w:r w:rsidR="00AB4DC5">
        <w:t xml:space="preserve"> of the assessment unit (including information from applying other Toolkit modules)</w:t>
      </w:r>
      <w:r>
        <w:t xml:space="preserve">, or at broader spatial scales such as </w:t>
      </w:r>
      <w:r w:rsidR="005259ED">
        <w:t xml:space="preserve">meteorological or </w:t>
      </w:r>
      <w:r>
        <w:t>remotely sensed landscape scale data</w:t>
      </w:r>
      <w:r w:rsidR="00C9212D">
        <w:rPr>
          <w:rStyle w:val="FootnoteReference"/>
        </w:rPr>
        <w:footnoteReference w:id="2"/>
      </w:r>
      <w:r>
        <w:t>. In addition, knowledge of similar systems may be used to increase understanding and develop some assumptions (that may need to be tested with collected data)</w:t>
      </w:r>
      <w:r w:rsidR="005259ED">
        <w:t xml:space="preserve"> (see also Section 2.3.4 on conceptualisation)</w:t>
      </w:r>
      <w:r>
        <w:t>.</w:t>
      </w:r>
    </w:p>
    <w:p w14:paraId="53ECFDF7" w14:textId="4E064763" w:rsidR="00B27B0F" w:rsidRDefault="00B27B0F" w:rsidP="001806B4">
      <w:pPr>
        <w:pStyle w:val="Heading3"/>
      </w:pPr>
      <w:bookmarkStart w:id="46" w:name="_Toc493774213"/>
      <w:r w:rsidRPr="004E7EB5">
        <w:t xml:space="preserve">Define </w:t>
      </w:r>
      <w:r w:rsidR="001B7494">
        <w:t xml:space="preserve">the </w:t>
      </w:r>
      <w:r w:rsidRPr="004E7EB5">
        <w:t>scale of assessment</w:t>
      </w:r>
      <w:bookmarkEnd w:id="46"/>
      <w:r w:rsidRPr="004E7EB5">
        <w:t xml:space="preserve"> </w:t>
      </w:r>
    </w:p>
    <w:p w14:paraId="294F43B6" w14:textId="455C969D" w:rsidR="00331D3E" w:rsidRDefault="00331D3E" w:rsidP="00BE266C">
      <w:r>
        <w:t xml:space="preserve">Although the spatial boundary of the assessment unit needs to be defined at the beginning of the process (see </w:t>
      </w:r>
      <w:r w:rsidR="00B6383B">
        <w:t>S</w:t>
      </w:r>
      <w:r>
        <w:t>ection 2.1.</w:t>
      </w:r>
      <w:r w:rsidR="00AB4DC5">
        <w:t>4</w:t>
      </w:r>
      <w:r>
        <w:t xml:space="preserve">), a decision </w:t>
      </w:r>
      <w:r w:rsidR="0055555E">
        <w:t>is also need</w:t>
      </w:r>
      <w:r w:rsidR="00A30F4E">
        <w:t>ed</w:t>
      </w:r>
      <w:r>
        <w:t xml:space="preserve"> on the scale of the assessment within the assessment unit. If the assessment unit is small (e.g. a single wetland or river reach) then the scale of the condition assessment is likely to be the whole of the assessment unit. If the scale is very large, consideration needs to be given to defining which aquatic ecosystems within the assessment unit are to be included in the </w:t>
      </w:r>
      <w:r w:rsidR="005259ED">
        <w:t>assessment</w:t>
      </w:r>
      <w:r>
        <w:t>. For example</w:t>
      </w:r>
      <w:r w:rsidR="005259ED">
        <w:t>,</w:t>
      </w:r>
      <w:r>
        <w:t xml:space="preserve"> is the assessment</w:t>
      </w:r>
      <w:r w:rsidR="004A182C">
        <w:t xml:space="preserve"> unit</w:t>
      </w:r>
      <w:r w:rsidR="00906EDF">
        <w:t xml:space="preserve"> comprised of</w:t>
      </w:r>
      <w:r>
        <w:t>:</w:t>
      </w:r>
    </w:p>
    <w:p w14:paraId="08D1E428" w14:textId="0E53D53B" w:rsidR="00331D3E" w:rsidRDefault="005259ED" w:rsidP="00F4328F">
      <w:pPr>
        <w:pStyle w:val="ListParagraph"/>
        <w:numPr>
          <w:ilvl w:val="0"/>
          <w:numId w:val="5"/>
        </w:numPr>
      </w:pPr>
      <w:r>
        <w:t>W</w:t>
      </w:r>
      <w:r w:rsidR="00331D3E">
        <w:t xml:space="preserve">etlands only? </w:t>
      </w:r>
    </w:p>
    <w:p w14:paraId="286186F6" w14:textId="4127F580" w:rsidR="00331D3E" w:rsidRDefault="005259ED" w:rsidP="00F4328F">
      <w:pPr>
        <w:pStyle w:val="ListParagraph"/>
        <w:numPr>
          <w:ilvl w:val="0"/>
          <w:numId w:val="5"/>
        </w:numPr>
      </w:pPr>
      <w:r>
        <w:lastRenderedPageBreak/>
        <w:t>M</w:t>
      </w:r>
      <w:r w:rsidR="00331D3E">
        <w:t>ajor river systems?</w:t>
      </w:r>
    </w:p>
    <w:p w14:paraId="22AC4D83" w14:textId="2A63BDD2" w:rsidR="00331D3E" w:rsidRDefault="005259ED" w:rsidP="00F4328F">
      <w:pPr>
        <w:pStyle w:val="ListParagraph"/>
        <w:numPr>
          <w:ilvl w:val="0"/>
          <w:numId w:val="5"/>
        </w:numPr>
      </w:pPr>
      <w:r>
        <w:t>A</w:t>
      </w:r>
      <w:r w:rsidR="00331D3E">
        <w:t xml:space="preserve">quatic ecosystems considered representative of the assessment unit? </w:t>
      </w:r>
    </w:p>
    <w:p w14:paraId="69E2B1B5" w14:textId="1DA1D645" w:rsidR="00331D3E" w:rsidRDefault="00331D3E" w:rsidP="00F4328F">
      <w:pPr>
        <w:pStyle w:val="ListParagraph"/>
        <w:numPr>
          <w:ilvl w:val="0"/>
          <w:numId w:val="5"/>
        </w:numPr>
      </w:pPr>
      <w:r>
        <w:t>High ecological value aquatic ecosystems (HEVAE)?</w:t>
      </w:r>
    </w:p>
    <w:p w14:paraId="50DBF2F3" w14:textId="7A44E0D8" w:rsidR="00BE266C" w:rsidRDefault="00331D3E" w:rsidP="00F4328F">
      <w:pPr>
        <w:pStyle w:val="ListParagraph"/>
        <w:numPr>
          <w:ilvl w:val="0"/>
          <w:numId w:val="5"/>
        </w:numPr>
      </w:pPr>
      <w:r>
        <w:t xml:space="preserve">Aquatic ecosystems considered </w:t>
      </w:r>
      <w:r w:rsidR="0004476C">
        <w:t>being</w:t>
      </w:r>
      <w:r>
        <w:t xml:space="preserve"> most at risk or in poor condition? </w:t>
      </w:r>
    </w:p>
    <w:p w14:paraId="4F49E931" w14:textId="6183E65F" w:rsidR="00906EDF" w:rsidRDefault="00906EDF" w:rsidP="00F4328F">
      <w:pPr>
        <w:pStyle w:val="ListParagraph"/>
        <w:numPr>
          <w:ilvl w:val="0"/>
          <w:numId w:val="5"/>
        </w:numPr>
      </w:pPr>
      <w:r>
        <w:t>Ecosystems that are the subject of regional/local management initiatives?</w:t>
      </w:r>
    </w:p>
    <w:p w14:paraId="7E15BB24" w14:textId="2CCFBE8A" w:rsidR="00331D3E" w:rsidRDefault="00A2421C" w:rsidP="00331D3E">
      <w:r>
        <w:t>The assessment unit and relevant aquatic ecosystems can be mapped and classified o</w:t>
      </w:r>
      <w:r w:rsidR="00E033F4">
        <w:t>nce the spatial scale of the assessment has been determined and document</w:t>
      </w:r>
      <w:r>
        <w:t>ed</w:t>
      </w:r>
      <w:r w:rsidR="00E033F4">
        <w:t xml:space="preserve"> (see </w:t>
      </w:r>
      <w:r w:rsidR="005259ED">
        <w:t xml:space="preserve">Toolkit </w:t>
      </w:r>
      <w:r w:rsidR="00E033F4">
        <w:t>Modules 2 and 4</w:t>
      </w:r>
      <w:r w:rsidR="005259ED">
        <w:t>, AETG 2012b and 2012</w:t>
      </w:r>
      <w:r w:rsidR="000F1364">
        <w:t>d</w:t>
      </w:r>
      <w:r w:rsidR="00E033F4">
        <w:t>).</w:t>
      </w:r>
      <w:r w:rsidR="00C27582">
        <w:t xml:space="preserve"> The classification system used for the IECA Framework is the Interim Australian National Aquatic Ecosystem </w:t>
      </w:r>
      <w:r w:rsidR="001B7494">
        <w:t xml:space="preserve">(ANAE) </w:t>
      </w:r>
      <w:r w:rsidR="00C27582">
        <w:t xml:space="preserve">Classification (Toolkit Module 2). A typology for describing ANAE wetlands in the Murray Darling Basin is available as an example of </w:t>
      </w:r>
      <w:r w:rsidR="001B7494">
        <w:t>classification</w:t>
      </w:r>
      <w:r w:rsidR="00C27582">
        <w:t xml:space="preserve"> (see </w:t>
      </w:r>
      <w:r w:rsidR="00C54BB5">
        <w:fldChar w:fldCharType="begin"/>
      </w:r>
      <w:r w:rsidR="00C54BB5">
        <w:instrText xml:space="preserve"> ADDIN ZOTERO_ITEM CSL_CITATION {"citationID":"2plvmgo96q","properties":{"formattedCitation":"(Brooks et al. 2013)","plainCitation":"(Brooks et al. 2013)"},"citationItems":[{"id":120,"uris":["http://zotero.org/users/3119797/items/MDN83TD9"],"uri":["http://zotero.org/users/3119797/items/MDN83TD9"],"itemData":{"id":120,"type":"article","title":"Murray-Darling Basin Aquatic Ecosystem Classification: Stage 2 report. Peter Cottingham &amp; Associates report to the Commonwealth Environmental Water Office and Murray-Darling Basin Authority, Canberra.","author":[{"family":"Brooks","given":"S."},{"family":"Cottingham","given":"P."},{"family":"Butcher","given":"R."},{"family":"Hale","given":"J."}],"issued":{"date-parts":[["2013"]]}}}],"schema":"https://github.com/citation-style-language/schema/raw/master/csl-citation.json"} </w:instrText>
      </w:r>
      <w:r w:rsidR="00C54BB5">
        <w:fldChar w:fldCharType="separate"/>
      </w:r>
      <w:r w:rsidR="00C54BB5" w:rsidRPr="00C54BB5">
        <w:rPr>
          <w:rFonts w:cs="Calibri"/>
        </w:rPr>
        <w:t>Brooks et al. 2013</w:t>
      </w:r>
      <w:r w:rsidR="00C54BB5">
        <w:fldChar w:fldCharType="end"/>
      </w:r>
      <w:r w:rsidR="00E80C12">
        <w:rPr>
          <w:rStyle w:val="FootnoteReference"/>
        </w:rPr>
        <w:footnoteReference w:id="3"/>
      </w:r>
      <w:r w:rsidR="001B7494">
        <w:t xml:space="preserve">). </w:t>
      </w:r>
      <w:r w:rsidR="004D5914">
        <w:t>The typology presented in Brooks et al. (2013) may need refinement to be relevant to the ecosystem types within the assessment unit of interest.</w:t>
      </w:r>
    </w:p>
    <w:p w14:paraId="04D87ACC" w14:textId="5EC4AD18" w:rsidR="00521513" w:rsidRDefault="00521513" w:rsidP="00521513">
      <w:pPr>
        <w:rPr>
          <w:lang w:val="en-GB"/>
        </w:rPr>
      </w:pPr>
      <w:r w:rsidRPr="00521513">
        <w:rPr>
          <w:lang w:val="en-GB"/>
        </w:rPr>
        <w:t>The temporal scale of t</w:t>
      </w:r>
      <w:r>
        <w:rPr>
          <w:lang w:val="en-GB"/>
        </w:rPr>
        <w:t>he assessment is also important and should match the objectives of the program. Useful questions to help determine an appropriate temporal scale are:</w:t>
      </w:r>
    </w:p>
    <w:p w14:paraId="66A97A1F" w14:textId="4A9CF433" w:rsidR="00521513" w:rsidRDefault="00521513" w:rsidP="00F4328F">
      <w:pPr>
        <w:pStyle w:val="ListParagraph"/>
        <w:numPr>
          <w:ilvl w:val="0"/>
          <w:numId w:val="6"/>
        </w:numPr>
        <w:rPr>
          <w:lang w:val="en-GB"/>
        </w:rPr>
      </w:pPr>
      <w:r>
        <w:rPr>
          <w:lang w:val="en-GB"/>
        </w:rPr>
        <w:t>Over what time</w:t>
      </w:r>
      <w:r w:rsidRPr="00521513">
        <w:rPr>
          <w:lang w:val="en-GB"/>
        </w:rPr>
        <w:t xml:space="preserve"> can change</w:t>
      </w:r>
      <w:r w:rsidR="00A2421C">
        <w:rPr>
          <w:lang w:val="en-GB"/>
        </w:rPr>
        <w:t>(</w:t>
      </w:r>
      <w:r w:rsidRPr="00521513">
        <w:rPr>
          <w:lang w:val="en-GB"/>
        </w:rPr>
        <w:t>s</w:t>
      </w:r>
      <w:r w:rsidR="00A2421C">
        <w:rPr>
          <w:lang w:val="en-GB"/>
        </w:rPr>
        <w:t>)</w:t>
      </w:r>
      <w:r w:rsidRPr="00521513">
        <w:rPr>
          <w:lang w:val="en-GB"/>
        </w:rPr>
        <w:t xml:space="preserve"> in condition be ex</w:t>
      </w:r>
      <w:r w:rsidR="00EC2EEA">
        <w:rPr>
          <w:lang w:val="en-GB"/>
        </w:rPr>
        <w:t>pec</w:t>
      </w:r>
      <w:r w:rsidRPr="00521513">
        <w:rPr>
          <w:lang w:val="en-GB"/>
        </w:rPr>
        <w:t xml:space="preserve">ted? </w:t>
      </w:r>
    </w:p>
    <w:p w14:paraId="4CAD5ABF" w14:textId="18AD05D3" w:rsidR="00521513" w:rsidRDefault="00521513" w:rsidP="00F4328F">
      <w:pPr>
        <w:pStyle w:val="ListParagraph"/>
        <w:numPr>
          <w:ilvl w:val="0"/>
          <w:numId w:val="6"/>
        </w:numPr>
        <w:rPr>
          <w:lang w:val="en-GB"/>
        </w:rPr>
      </w:pPr>
      <w:r w:rsidRPr="00521513">
        <w:rPr>
          <w:lang w:val="en-GB"/>
        </w:rPr>
        <w:t>What are the relevant management/planning time scales that need to be considered?</w:t>
      </w:r>
    </w:p>
    <w:p w14:paraId="4A403A6B" w14:textId="67AD443E" w:rsidR="00521513" w:rsidRPr="00521513" w:rsidRDefault="00521513" w:rsidP="00F4328F">
      <w:pPr>
        <w:pStyle w:val="ListParagraph"/>
        <w:numPr>
          <w:ilvl w:val="0"/>
          <w:numId w:val="6"/>
        </w:numPr>
        <w:rPr>
          <w:lang w:val="en-GB"/>
        </w:rPr>
      </w:pPr>
      <w:r>
        <w:rPr>
          <w:lang w:val="en-GB"/>
        </w:rPr>
        <w:t>Is the assessment based on existing information and if so, for what time periods is that information available?</w:t>
      </w:r>
    </w:p>
    <w:p w14:paraId="568FD107" w14:textId="71A836D0" w:rsidR="00E033F4" w:rsidRDefault="00521513" w:rsidP="00331D3E">
      <w:r>
        <w:t>The TAG</w:t>
      </w:r>
      <w:r w:rsidR="000F1364">
        <w:t>/oversight body</w:t>
      </w:r>
      <w:r>
        <w:t xml:space="preserve"> can be used to </w:t>
      </w:r>
      <w:r w:rsidR="0099669A">
        <w:t xml:space="preserve">provide </w:t>
      </w:r>
      <w:r>
        <w:t>advi</w:t>
      </w:r>
      <w:r w:rsidR="0099669A">
        <w:t>c</w:t>
      </w:r>
      <w:r>
        <w:t>e on appropriate spatial and temporal scales</w:t>
      </w:r>
      <w:r w:rsidR="00A2421C">
        <w:t>, as can scientific expertise from within research institutes</w:t>
      </w:r>
      <w:r>
        <w:t>.</w:t>
      </w:r>
      <w:r w:rsidR="00B37C48">
        <w:t xml:space="preserve"> It is important to consider the </w:t>
      </w:r>
      <w:r w:rsidR="00B37C48" w:rsidRPr="00B37C48">
        <w:t>scale of assessment and the scale of indicator</w:t>
      </w:r>
      <w:r w:rsidR="00B37C48">
        <w:t xml:space="preserve">s selected, that these should </w:t>
      </w:r>
      <w:r w:rsidR="00B37C48" w:rsidRPr="00B37C48">
        <w:t>match</w:t>
      </w:r>
      <w:r w:rsidR="00B37C48">
        <w:t xml:space="preserve"> (see Step 4 for criteria relating to selecting indicators).</w:t>
      </w:r>
    </w:p>
    <w:p w14:paraId="6425610B" w14:textId="77777777" w:rsidR="00583A43" w:rsidRDefault="00583A43" w:rsidP="00331D3E"/>
    <w:p w14:paraId="07A02C40" w14:textId="08049AD0" w:rsidR="004E15BD" w:rsidRDefault="007259A9" w:rsidP="00331D3E">
      <w:r>
        <w:rPr>
          <w:noProof/>
          <w:lang w:eastAsia="en-AU"/>
        </w:rPr>
        <w:lastRenderedPageBreak/>
        <w:drawing>
          <wp:inline distT="0" distB="0" distL="0" distR="0" wp14:anchorId="33B3E306" wp14:editId="39D1557C">
            <wp:extent cx="5731510" cy="3950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S ecosystems.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950335"/>
                    </a:xfrm>
                    <a:prstGeom prst="rect">
                      <a:avLst/>
                    </a:prstGeom>
                  </pic:spPr>
                </pic:pic>
              </a:graphicData>
            </a:graphic>
          </wp:inline>
        </w:drawing>
      </w:r>
    </w:p>
    <w:p w14:paraId="3D212287" w14:textId="008C2206" w:rsidR="004E15BD" w:rsidRPr="007259A9" w:rsidRDefault="004A182C" w:rsidP="004A182C">
      <w:pPr>
        <w:pStyle w:val="Caption"/>
      </w:pPr>
      <w:r>
        <w:t xml:space="preserve">Figure </w:t>
      </w:r>
      <w:fldSimple w:instr=" SEQ Figure \* ARABIC ">
        <w:r w:rsidR="005F359C">
          <w:rPr>
            <w:noProof/>
          </w:rPr>
          <w:t>4</w:t>
        </w:r>
      </w:fldSimple>
      <w:r>
        <w:t xml:space="preserve">: Example of </w:t>
      </w:r>
      <w:r w:rsidR="007259A9">
        <w:t xml:space="preserve">options for </w:t>
      </w:r>
      <w:r>
        <w:t>spatial assessment scale</w:t>
      </w:r>
      <w:r w:rsidR="007259A9">
        <w:t>s</w:t>
      </w:r>
      <w:r>
        <w:t xml:space="preserve">. Data is reported at the </w:t>
      </w:r>
      <w:r w:rsidR="007259A9">
        <w:t>assessment unit</w:t>
      </w:r>
      <w:r>
        <w:t xml:space="preserve"> but may be collected at the ecosy</w:t>
      </w:r>
      <w:r w:rsidR="0059374F">
        <w:t>s</w:t>
      </w:r>
      <w:r>
        <w:t>tem type scale.</w:t>
      </w:r>
      <w:r w:rsidR="00283035">
        <w:t xml:space="preserve"> Not all ecosystem types shown – example only</w:t>
      </w:r>
      <w:r w:rsidR="00187F2A">
        <w:t>;  doesn’t represent entire Peel-Yalgorup Ramsar Site.</w:t>
      </w:r>
    </w:p>
    <w:p w14:paraId="45D7C49F" w14:textId="4254B61B" w:rsidR="00B27B0F" w:rsidRDefault="001B7494" w:rsidP="001806B4">
      <w:pPr>
        <w:pStyle w:val="Heading3"/>
      </w:pPr>
      <w:bookmarkStart w:id="47" w:name="_Toc493774214"/>
      <w:r>
        <w:t>Identify existing</w:t>
      </w:r>
      <w:r w:rsidR="00B27B0F" w:rsidRPr="004E7EB5">
        <w:t xml:space="preserve"> conceptual </w:t>
      </w:r>
      <w:r>
        <w:t>models</w:t>
      </w:r>
      <w:bookmarkEnd w:id="47"/>
      <w:r>
        <w:t xml:space="preserve"> </w:t>
      </w:r>
    </w:p>
    <w:p w14:paraId="28ED2A90" w14:textId="1C29C818" w:rsidR="00BE266C" w:rsidRDefault="00BE266C" w:rsidP="00BE266C">
      <w:r>
        <w:t>Conceptual models have become widely accepted as useful tools in natural resource management. They can be used to integrate</w:t>
      </w:r>
      <w:r w:rsidR="00906EDF">
        <w:t xml:space="preserve"> and illustrate</w:t>
      </w:r>
      <w:r>
        <w:t xml:space="preserve"> our current understanding of aquatic ecosystems and the relationships between components, processes and services. Aquatic ecosystems are highly complex, and the key to a good conceptual model is to focus on the aspect</w:t>
      </w:r>
      <w:r w:rsidR="00A2421C">
        <w:t>(s)</w:t>
      </w:r>
      <w:r>
        <w:t xml:space="preserve"> or issue</w:t>
      </w:r>
      <w:r w:rsidR="00A2421C">
        <w:t>(s)</w:t>
      </w:r>
      <w:r>
        <w:t xml:space="preserve"> of interest and to represent systems</w:t>
      </w:r>
      <w:r w:rsidR="003B069E">
        <w:t xml:space="preserve"> as</w:t>
      </w:r>
      <w:r>
        <w:t xml:space="preserve"> simply</w:t>
      </w:r>
      <w:r w:rsidR="003B069E">
        <w:t xml:space="preserve"> as possible</w:t>
      </w:r>
      <w:r>
        <w:t xml:space="preserve">. Conceptual models </w:t>
      </w:r>
      <w:r w:rsidRPr="002860D0">
        <w:t xml:space="preserve">are best developed in an iterative manner and from a broad understanding of the ecological drivers, components and processes that operate within the </w:t>
      </w:r>
      <w:r>
        <w:t>aquatic ecosystem.</w:t>
      </w:r>
      <w:r w:rsidRPr="002860D0">
        <w:t xml:space="preserve"> </w:t>
      </w:r>
    </w:p>
    <w:p w14:paraId="2D869674" w14:textId="555FFDA5" w:rsidR="00BE266C" w:rsidRDefault="00BE266C" w:rsidP="00BE266C">
      <w:r>
        <w:t>In terms of condition assessment</w:t>
      </w:r>
      <w:r w:rsidR="00A2421C">
        <w:t>,</w:t>
      </w:r>
      <w:r>
        <w:t xml:space="preserve"> conceptual models can </w:t>
      </w:r>
      <w:r>
        <w:fldChar w:fldCharType="begin"/>
      </w:r>
      <w:r>
        <w:instrText xml:space="preserve"> ADDIN ZOTERO_ITEM CSL_CITATION {"citationID":"2bneho2ch7","properties":{"formattedCitation":"(Gross 2003)","plainCitation":"(Gross 2003)"},"citationItems":[{"id":408,"uris":["http://zotero.org/users/2336876/items/XI5HUS9C"],"uri":["http://zotero.org/users/2336876/items/XI5HUS9C"],"itemData":{"id":408,"type":"book","title":"Developing Conceptual Models for Monitoring Programs","publisher":"NPS Inventory and Monitoring Program","publisher-place":"USA","event-place":"USA","author":[{"family":"Gross","given":"John"}],"issued":{"date-parts":[["2003"]]}}}],"schema":"https://github.com/citation-style-language/schema/raw/master/csl-citation.json"} </w:instrText>
      </w:r>
      <w:r>
        <w:fldChar w:fldCharType="separate"/>
      </w:r>
      <w:r>
        <w:rPr>
          <w:noProof/>
        </w:rPr>
        <w:t>(Gross 2003)</w:t>
      </w:r>
      <w:r>
        <w:fldChar w:fldCharType="end"/>
      </w:r>
      <w:r>
        <w:t>:</w:t>
      </w:r>
    </w:p>
    <w:p w14:paraId="1F46A633" w14:textId="515FA46B" w:rsidR="00BE266C" w:rsidRPr="002860D0" w:rsidRDefault="00A2421C" w:rsidP="00F4328F">
      <w:pPr>
        <w:pStyle w:val="ListParagraph"/>
        <w:numPr>
          <w:ilvl w:val="0"/>
          <w:numId w:val="50"/>
        </w:numPr>
        <w:spacing w:after="120" w:line="288" w:lineRule="auto"/>
        <w:jc w:val="left"/>
      </w:pPr>
      <w:r>
        <w:t>A</w:t>
      </w:r>
      <w:r w:rsidR="00BE266C" w:rsidRPr="002860D0">
        <w:t xml:space="preserve">rticulate important processes and variables;  </w:t>
      </w:r>
    </w:p>
    <w:p w14:paraId="7462C5FF" w14:textId="5D3373DD" w:rsidR="00BE266C" w:rsidRPr="002860D0" w:rsidRDefault="00A2421C" w:rsidP="00F4328F">
      <w:pPr>
        <w:pStyle w:val="ListParagraph"/>
        <w:numPr>
          <w:ilvl w:val="0"/>
          <w:numId w:val="50"/>
        </w:numPr>
        <w:spacing w:after="120" w:line="288" w:lineRule="auto"/>
        <w:jc w:val="left"/>
      </w:pPr>
      <w:r>
        <w:t>C</w:t>
      </w:r>
      <w:r w:rsidR="00BE266C" w:rsidRPr="002860D0">
        <w:t>ontribute to understanding interactions between ecosystem processes and dynamics;</w:t>
      </w:r>
    </w:p>
    <w:p w14:paraId="0C52AED1" w14:textId="19F0BAB5" w:rsidR="00BE266C" w:rsidRPr="002860D0" w:rsidRDefault="00A2421C" w:rsidP="00F4328F">
      <w:pPr>
        <w:pStyle w:val="ListParagraph"/>
        <w:numPr>
          <w:ilvl w:val="0"/>
          <w:numId w:val="50"/>
        </w:numPr>
        <w:spacing w:after="120" w:line="288" w:lineRule="auto"/>
        <w:jc w:val="left"/>
      </w:pPr>
      <w:r>
        <w:t>Id</w:t>
      </w:r>
      <w:r w:rsidR="00BE266C" w:rsidRPr="002860D0">
        <w:t xml:space="preserve">entify key links between drivers, stressors, and </w:t>
      </w:r>
      <w:r w:rsidR="00BE266C">
        <w:t>eco</w:t>
      </w:r>
      <w:r w:rsidR="00BE266C" w:rsidRPr="002860D0">
        <w:t xml:space="preserve">system responses; </w:t>
      </w:r>
    </w:p>
    <w:p w14:paraId="5B09400C" w14:textId="433767ED" w:rsidR="00BE266C" w:rsidRPr="002860D0" w:rsidRDefault="00A2421C" w:rsidP="00F4328F">
      <w:pPr>
        <w:pStyle w:val="ListParagraph"/>
        <w:numPr>
          <w:ilvl w:val="0"/>
          <w:numId w:val="50"/>
        </w:numPr>
        <w:spacing w:after="120" w:line="288" w:lineRule="auto"/>
        <w:jc w:val="left"/>
      </w:pPr>
      <w:r>
        <w:t>F</w:t>
      </w:r>
      <w:r w:rsidR="00BE266C" w:rsidRPr="002860D0">
        <w:t xml:space="preserve">acilitate selection and justification of </w:t>
      </w:r>
      <w:r w:rsidR="00BE266C">
        <w:t>indicators</w:t>
      </w:r>
      <w:r w:rsidR="00BE266C" w:rsidRPr="002860D0">
        <w:t xml:space="preserve">; </w:t>
      </w:r>
    </w:p>
    <w:p w14:paraId="0CEAE813" w14:textId="3F9AD573" w:rsidR="00BE266C" w:rsidRPr="002860D0" w:rsidRDefault="00A2421C" w:rsidP="00F4328F">
      <w:pPr>
        <w:pStyle w:val="ListParagraph"/>
        <w:numPr>
          <w:ilvl w:val="0"/>
          <w:numId w:val="50"/>
        </w:numPr>
        <w:spacing w:after="120" w:line="288" w:lineRule="auto"/>
        <w:jc w:val="left"/>
      </w:pPr>
      <w:r>
        <w:t>F</w:t>
      </w:r>
      <w:r w:rsidR="00BE266C" w:rsidRPr="002860D0">
        <w:t xml:space="preserve">acilitate evaluation of data from </w:t>
      </w:r>
      <w:r w:rsidR="00BE266C">
        <w:t>a condition assessment</w:t>
      </w:r>
      <w:r w:rsidR="00BE266C" w:rsidRPr="002860D0">
        <w:t xml:space="preserve">; and </w:t>
      </w:r>
    </w:p>
    <w:p w14:paraId="2AD5E0F8" w14:textId="31FB7B43" w:rsidR="00BE266C" w:rsidRDefault="00A2421C" w:rsidP="00F4328F">
      <w:pPr>
        <w:pStyle w:val="ListParagraph"/>
        <w:numPr>
          <w:ilvl w:val="0"/>
          <w:numId w:val="50"/>
        </w:numPr>
        <w:spacing w:after="120" w:line="288" w:lineRule="auto"/>
        <w:jc w:val="left"/>
      </w:pPr>
      <w:r>
        <w:t>C</w:t>
      </w:r>
      <w:r w:rsidR="00BE266C" w:rsidRPr="002860D0">
        <w:t>learly communicate dynamic processes to technical and non-technical audiences.</w:t>
      </w:r>
    </w:p>
    <w:p w14:paraId="553EC282" w14:textId="77777777" w:rsidR="00E80C12" w:rsidRDefault="00BE266C" w:rsidP="00E80C12">
      <w:r>
        <w:t xml:space="preserve">There are a wide variety of conceptual model types and a good guide to the development of conceptual models is provided in </w:t>
      </w:r>
      <w:r w:rsidR="00A2421C">
        <w:t>‘</w:t>
      </w:r>
      <w:r w:rsidRPr="00BE266C">
        <w:t>Pictures worth a thousand words: A guide to pictorial conceptual modelling</w:t>
      </w:r>
      <w:r w:rsidR="00A2421C">
        <w:t>’</w:t>
      </w:r>
      <w:r w:rsidR="00C54BB5">
        <w:t xml:space="preserve"> </w:t>
      </w:r>
      <w:r w:rsidR="00C54BB5">
        <w:fldChar w:fldCharType="begin"/>
      </w:r>
      <w:r w:rsidR="00C54BB5">
        <w:instrText xml:space="preserve"> ADDIN ZOTERO_ITEM CSL_CITATION {"citationID":"vsa28gcnl","properties":{"formattedCitation":"(Department of Environment and Heritage Protection 2012a)","plainCitation":"(Department of Environment and Heritage Protection 2012a)"},"citationItems":[{"id":3448,"uris":["http://zotero.org/users/3119797/items/9PB6B5SF"],"uri":["http://zotero.org/users/3119797/items/9PB6B5SF"],"itemData":{"id":3448,"type":"article","title":"Pictures worth a thousand words: A guide to pictorial conceptual modelling, Queensland Wetlands Program, Queensland Government, Brisbane.”","author":[{"family":"Department of Environment and Heritage Protection","given":""}],"issued":{"date-parts":[["2012"]]}}}],"schema":"https://github.com/citation-style-language/schema/raw/master/csl-citation.json"} </w:instrText>
      </w:r>
      <w:r w:rsidR="00C54BB5">
        <w:fldChar w:fldCharType="separate"/>
      </w:r>
      <w:r w:rsidR="00C54BB5" w:rsidRPr="00C54BB5">
        <w:rPr>
          <w:rFonts w:cs="Calibri"/>
        </w:rPr>
        <w:t>(Department of Environment and Heritage Protection 2012a)</w:t>
      </w:r>
      <w:r w:rsidR="00C54BB5">
        <w:fldChar w:fldCharType="end"/>
      </w:r>
      <w:r w:rsidR="00E80C12">
        <w:t>.</w:t>
      </w:r>
    </w:p>
    <w:p w14:paraId="66001F18" w14:textId="517FDCBA" w:rsidR="00877524" w:rsidRDefault="00E80C12" w:rsidP="00E80C12">
      <w:r>
        <w:t>See</w:t>
      </w:r>
      <w:r w:rsidR="00BE266C">
        <w:t xml:space="preserve"> </w:t>
      </w:r>
      <w:hyperlink r:id="rId31" w:history="1">
        <w:r w:rsidR="00BE266C" w:rsidRPr="00FB1CBA">
          <w:rPr>
            <w:rStyle w:val="Hyperlink"/>
          </w:rPr>
          <w:t>https://wetlandinfo.ehp.qld.gov.au/wetlands/resources/pictorial-conceptual-models.html</w:t>
        </w:r>
      </w:hyperlink>
      <w:r w:rsidR="00BE266C">
        <w:t xml:space="preserve">. </w:t>
      </w:r>
    </w:p>
    <w:p w14:paraId="369FBB9C" w14:textId="6CE23DC8" w:rsidR="00BE266C" w:rsidRDefault="00877524" w:rsidP="00BE266C">
      <w:r>
        <w:lastRenderedPageBreak/>
        <w:t xml:space="preserve">Begin developing a conceptual understanding of the assessment unit by identifying any existing conceptual models. </w:t>
      </w:r>
      <w:r w:rsidR="00BE266C">
        <w:t xml:space="preserve">It should be noted that conceptual models </w:t>
      </w:r>
      <w:r>
        <w:t xml:space="preserve">identified </w:t>
      </w:r>
      <w:r w:rsidR="00A2421C">
        <w:t xml:space="preserve">early in the IECA Framework </w:t>
      </w:r>
      <w:r w:rsidR="000F1364">
        <w:t>are</w:t>
      </w:r>
      <w:r>
        <w:t xml:space="preserve"> most likely going to be</w:t>
      </w:r>
      <w:r w:rsidR="000F1364">
        <w:t xml:space="preserve"> broad and </w:t>
      </w:r>
      <w:r>
        <w:t xml:space="preserve">will </w:t>
      </w:r>
      <w:r w:rsidR="00BE266C">
        <w:t xml:space="preserve">require refinement once later steps have been completed, particularly </w:t>
      </w:r>
      <w:r>
        <w:t xml:space="preserve">during </w:t>
      </w:r>
      <w:r w:rsidR="00BE266C">
        <w:t>the identification of priority values and threats</w:t>
      </w:r>
      <w:r w:rsidR="003B069E">
        <w:t>, and selection of indicators for assessment</w:t>
      </w:r>
      <w:r w:rsidR="00BE266C">
        <w:t>.</w:t>
      </w:r>
    </w:p>
    <w:p w14:paraId="2BB70078" w14:textId="77777777" w:rsidR="007105F6" w:rsidRDefault="007105F6" w:rsidP="007105F6">
      <w:pPr>
        <w:pStyle w:val="Heading3"/>
      </w:pPr>
      <w:bookmarkStart w:id="48" w:name="_Toc493774215"/>
      <w:r>
        <w:t>Identify externalities likely to affect the assessment</w:t>
      </w:r>
      <w:bookmarkEnd w:id="48"/>
    </w:p>
    <w:p w14:paraId="1549FAA5" w14:textId="279EC757" w:rsidR="007105F6" w:rsidRDefault="007105F6" w:rsidP="007105F6">
      <w:r>
        <w:t xml:space="preserve">Identify any known externalities, such as upstream management or land use activities, prevailing climatic conditions, previous flood or drought periods, antecedent conditions and or stochastic events (e.g. bushfire) that have the potential to affect the outcome of the assessment. </w:t>
      </w:r>
    </w:p>
    <w:p w14:paraId="09713C97" w14:textId="77777777" w:rsidR="00583A43" w:rsidRDefault="00583A43" w:rsidP="007105F6">
      <w:pPr>
        <w:sectPr w:rsidR="00583A43" w:rsidSect="00CA2773">
          <w:headerReference w:type="even" r:id="rId32"/>
          <w:headerReference w:type="default" r:id="rId33"/>
          <w:headerReference w:type="first" r:id="rId34"/>
          <w:pgSz w:w="11906" w:h="16838"/>
          <w:pgMar w:top="1440" w:right="1440" w:bottom="1440" w:left="1440" w:header="708" w:footer="708" w:gutter="0"/>
          <w:cols w:space="708"/>
          <w:docGrid w:linePitch="360"/>
        </w:sectPr>
      </w:pPr>
    </w:p>
    <w:p w14:paraId="47913E8A" w14:textId="7D184ED9" w:rsidR="00331D3E" w:rsidRDefault="00AC4BB1" w:rsidP="00AC4BB1">
      <w:pPr>
        <w:pStyle w:val="Heading2"/>
      </w:pPr>
      <w:bookmarkStart w:id="49" w:name="_Toc493774216"/>
      <w:r>
        <w:lastRenderedPageBreak/>
        <w:t>Part A: Outputs</w:t>
      </w:r>
      <w:bookmarkEnd w:id="49"/>
    </w:p>
    <w:p w14:paraId="06EC77BE" w14:textId="52560625" w:rsidR="00493E72" w:rsidRDefault="00493E72" w:rsidP="00E73909">
      <w:pPr>
        <w:shd w:val="clear" w:color="auto" w:fill="C3D8D7" w:themeFill="accent2" w:themeFillTint="99"/>
      </w:pPr>
      <w:r>
        <w:t xml:space="preserve">The </w:t>
      </w:r>
      <w:r w:rsidR="00E557B7">
        <w:t>required</w:t>
      </w:r>
      <w:r>
        <w:t xml:space="preserve"> outputs of Part A of the IECA Framework are:</w:t>
      </w:r>
    </w:p>
    <w:p w14:paraId="38BA621B" w14:textId="611CB3EA" w:rsidR="00493E72" w:rsidRDefault="00493E72" w:rsidP="00F4328F">
      <w:pPr>
        <w:pStyle w:val="ListParagraph"/>
        <w:numPr>
          <w:ilvl w:val="0"/>
          <w:numId w:val="4"/>
        </w:numPr>
        <w:shd w:val="clear" w:color="auto" w:fill="C3D8D7" w:themeFill="accent2" w:themeFillTint="99"/>
        <w:spacing w:after="120" w:line="288" w:lineRule="auto"/>
        <w:jc w:val="left"/>
      </w:pPr>
      <w:r>
        <w:t>Statement of management context</w:t>
      </w:r>
      <w:r w:rsidR="003B069E">
        <w:t>;</w:t>
      </w:r>
      <w:r>
        <w:t xml:space="preserve"> </w:t>
      </w:r>
    </w:p>
    <w:p w14:paraId="6152747B" w14:textId="154E8004" w:rsidR="00493E72" w:rsidRDefault="00493E72" w:rsidP="00F4328F">
      <w:pPr>
        <w:pStyle w:val="ListParagraph"/>
        <w:numPr>
          <w:ilvl w:val="0"/>
          <w:numId w:val="4"/>
        </w:numPr>
        <w:shd w:val="clear" w:color="auto" w:fill="C3D8D7" w:themeFill="accent2" w:themeFillTint="99"/>
        <w:spacing w:after="120" w:line="288" w:lineRule="auto"/>
        <w:jc w:val="left"/>
      </w:pPr>
      <w:r>
        <w:t>Refined existing</w:t>
      </w:r>
      <w:r w:rsidR="00FE509A">
        <w:t>,</w:t>
      </w:r>
      <w:r>
        <w:t xml:space="preserve"> or newly developed</w:t>
      </w:r>
      <w:r w:rsidR="00FE509A">
        <w:t>,</w:t>
      </w:r>
      <w:r>
        <w:t xml:space="preserve"> SMART management objectives</w:t>
      </w:r>
      <w:r w:rsidR="003B069E">
        <w:t>;</w:t>
      </w:r>
      <w:r>
        <w:t xml:space="preserve"> </w:t>
      </w:r>
    </w:p>
    <w:p w14:paraId="334B883F" w14:textId="17F0F251" w:rsidR="00493E72" w:rsidRDefault="00493E72" w:rsidP="00F4328F">
      <w:pPr>
        <w:pStyle w:val="ListParagraph"/>
        <w:numPr>
          <w:ilvl w:val="0"/>
          <w:numId w:val="4"/>
        </w:numPr>
        <w:shd w:val="clear" w:color="auto" w:fill="C3D8D7" w:themeFill="accent2" w:themeFillTint="99"/>
        <w:spacing w:after="120" w:line="288" w:lineRule="auto"/>
        <w:jc w:val="left"/>
      </w:pPr>
      <w:r>
        <w:t>Existing</w:t>
      </w:r>
      <w:r w:rsidR="00FE509A">
        <w:t>,</w:t>
      </w:r>
      <w:r>
        <w:t xml:space="preserve"> or new</w:t>
      </w:r>
      <w:r w:rsidR="00E73909">
        <w:t>ly</w:t>
      </w:r>
      <w:r>
        <w:t xml:space="preserve"> developed</w:t>
      </w:r>
      <w:r w:rsidR="00FE509A">
        <w:t>,</w:t>
      </w:r>
      <w:r>
        <w:t xml:space="preserve"> triggers and targets (if required)</w:t>
      </w:r>
      <w:r w:rsidR="003B069E">
        <w:t>;</w:t>
      </w:r>
    </w:p>
    <w:p w14:paraId="73B6B280" w14:textId="60B7253E" w:rsidR="00493E72" w:rsidRDefault="00493E72" w:rsidP="00F4328F">
      <w:pPr>
        <w:pStyle w:val="ListParagraph"/>
        <w:numPr>
          <w:ilvl w:val="0"/>
          <w:numId w:val="4"/>
        </w:numPr>
        <w:shd w:val="clear" w:color="auto" w:fill="C3D8D7" w:themeFill="accent2" w:themeFillTint="99"/>
        <w:spacing w:after="120" w:line="288" w:lineRule="auto"/>
        <w:jc w:val="left"/>
      </w:pPr>
      <w:r>
        <w:t>Statement of purpose for IECA (how it relates to management context)</w:t>
      </w:r>
      <w:r w:rsidR="003B069E">
        <w:t>;</w:t>
      </w:r>
    </w:p>
    <w:p w14:paraId="4CC283FB" w14:textId="7EDF8854" w:rsidR="007105F6" w:rsidRDefault="007105F6" w:rsidP="00F4328F">
      <w:pPr>
        <w:pStyle w:val="ListParagraph"/>
        <w:numPr>
          <w:ilvl w:val="0"/>
          <w:numId w:val="4"/>
        </w:numPr>
        <w:shd w:val="clear" w:color="auto" w:fill="C3D8D7" w:themeFill="accent2" w:themeFillTint="99"/>
        <w:spacing w:after="120" w:line="288" w:lineRule="auto"/>
        <w:jc w:val="left"/>
      </w:pPr>
      <w:r>
        <w:t>Spatial boundary description in plain English and GIS spatial layer</w:t>
      </w:r>
      <w:r w:rsidR="003B069E">
        <w:t>;</w:t>
      </w:r>
      <w:r>
        <w:t xml:space="preserve"> </w:t>
      </w:r>
    </w:p>
    <w:p w14:paraId="422CF551" w14:textId="5E4B1773" w:rsidR="00493E72" w:rsidRDefault="00493E72" w:rsidP="00F4328F">
      <w:pPr>
        <w:pStyle w:val="ListParagraph"/>
        <w:numPr>
          <w:ilvl w:val="0"/>
          <w:numId w:val="4"/>
        </w:numPr>
        <w:shd w:val="clear" w:color="auto" w:fill="C3D8D7" w:themeFill="accent2" w:themeFillTint="99"/>
        <w:spacing w:after="120" w:line="288" w:lineRule="auto"/>
        <w:jc w:val="left"/>
      </w:pPr>
      <w:r>
        <w:t>Classification and map of aquatic ecosystem</w:t>
      </w:r>
      <w:r w:rsidR="007105F6">
        <w:t>s within the assessment unit</w:t>
      </w:r>
      <w:r>
        <w:t xml:space="preserve"> using ANAE Classification and typology</w:t>
      </w:r>
      <w:r w:rsidR="003B069E">
        <w:t>;</w:t>
      </w:r>
    </w:p>
    <w:p w14:paraId="20D83E46" w14:textId="01CF7B09" w:rsidR="002D2C2D" w:rsidRDefault="007105F6" w:rsidP="00F4328F">
      <w:pPr>
        <w:pStyle w:val="ListParagraph"/>
        <w:numPr>
          <w:ilvl w:val="0"/>
          <w:numId w:val="4"/>
        </w:numPr>
        <w:shd w:val="clear" w:color="auto" w:fill="C3D8D7" w:themeFill="accent2" w:themeFillTint="99"/>
        <w:spacing w:after="120" w:line="288" w:lineRule="auto"/>
        <w:jc w:val="left"/>
      </w:pPr>
      <w:r>
        <w:t>Existing</w:t>
      </w:r>
      <w:r w:rsidR="002D2C2D">
        <w:t xml:space="preserve"> conceptual model</w:t>
      </w:r>
      <w:r>
        <w:t xml:space="preserve">s relating to </w:t>
      </w:r>
      <w:r w:rsidR="002D2C2D">
        <w:t>the assessment unit</w:t>
      </w:r>
      <w:r w:rsidR="003B069E">
        <w:t>;</w:t>
      </w:r>
    </w:p>
    <w:p w14:paraId="51CBF87F" w14:textId="4F6B6EB1" w:rsidR="00493E72" w:rsidRDefault="003B069E" w:rsidP="00F4328F">
      <w:pPr>
        <w:pStyle w:val="ListParagraph"/>
        <w:numPr>
          <w:ilvl w:val="0"/>
          <w:numId w:val="4"/>
        </w:numPr>
        <w:shd w:val="clear" w:color="auto" w:fill="C3D8D7" w:themeFill="accent2" w:themeFillTint="99"/>
        <w:spacing w:after="120" w:line="288" w:lineRule="auto"/>
        <w:jc w:val="left"/>
      </w:pPr>
      <w:r>
        <w:t>Statement of s</w:t>
      </w:r>
      <w:r w:rsidR="007105F6">
        <w:t>patial and t</w:t>
      </w:r>
      <w:r w:rsidR="00493E72">
        <w:t>emporal scale of assessment (may be included in objectives)</w:t>
      </w:r>
      <w:r>
        <w:t>;</w:t>
      </w:r>
    </w:p>
    <w:p w14:paraId="1908F256" w14:textId="18768FC9" w:rsidR="00493E72" w:rsidRDefault="003B069E" w:rsidP="00F4328F">
      <w:pPr>
        <w:pStyle w:val="ListParagraph"/>
        <w:numPr>
          <w:ilvl w:val="0"/>
          <w:numId w:val="4"/>
        </w:numPr>
        <w:shd w:val="clear" w:color="auto" w:fill="C3D8D7" w:themeFill="accent2" w:themeFillTint="99"/>
        <w:spacing w:after="120" w:line="288" w:lineRule="auto"/>
        <w:jc w:val="left"/>
      </w:pPr>
      <w:r>
        <w:t>A</w:t>
      </w:r>
      <w:r w:rsidR="00493E72">
        <w:t xml:space="preserve"> stakeholder engagement</w:t>
      </w:r>
      <w:r>
        <w:t xml:space="preserve"> process,</w:t>
      </w:r>
      <w:r w:rsidR="00493E72">
        <w:t xml:space="preserve"> including establishment of a TAG</w:t>
      </w:r>
      <w:r w:rsidR="000F1364">
        <w:t>/oversight body</w:t>
      </w:r>
      <w:r>
        <w:t>;</w:t>
      </w:r>
    </w:p>
    <w:p w14:paraId="11B5A45A" w14:textId="6DF83E0E" w:rsidR="00493E72" w:rsidRDefault="003B069E" w:rsidP="00F4328F">
      <w:pPr>
        <w:pStyle w:val="ListParagraph"/>
        <w:numPr>
          <w:ilvl w:val="0"/>
          <w:numId w:val="4"/>
        </w:numPr>
        <w:shd w:val="clear" w:color="auto" w:fill="C3D8D7" w:themeFill="accent2" w:themeFillTint="99"/>
        <w:spacing w:after="120" w:line="288" w:lineRule="auto"/>
        <w:jc w:val="left"/>
      </w:pPr>
      <w:r>
        <w:t>E</w:t>
      </w:r>
      <w:r w:rsidR="00493E72">
        <w:t>ngage</w:t>
      </w:r>
      <w:r>
        <w:t>ment of</w:t>
      </w:r>
      <w:r w:rsidR="00493E72">
        <w:t xml:space="preserve"> expert input</w:t>
      </w:r>
      <w:r>
        <w:t>,</w:t>
      </w:r>
      <w:r w:rsidR="00493E72">
        <w:t xml:space="preserve"> as needed</w:t>
      </w:r>
      <w:r>
        <w:t>;</w:t>
      </w:r>
    </w:p>
    <w:p w14:paraId="311A619F" w14:textId="3807F36A" w:rsidR="007105F6" w:rsidRDefault="007105F6" w:rsidP="00F4328F">
      <w:pPr>
        <w:pStyle w:val="ListParagraph"/>
        <w:numPr>
          <w:ilvl w:val="0"/>
          <w:numId w:val="4"/>
        </w:numPr>
        <w:shd w:val="clear" w:color="auto" w:fill="C3D8D7" w:themeFill="accent2" w:themeFillTint="99"/>
        <w:spacing w:after="120" w:line="288" w:lineRule="auto"/>
        <w:jc w:val="left"/>
      </w:pPr>
      <w:r>
        <w:t>Identified externalities likely to affect assessment</w:t>
      </w:r>
      <w:r w:rsidR="003B069E">
        <w:t>;</w:t>
      </w:r>
      <w:r w:rsidR="00BA09E3">
        <w:t xml:space="preserve"> and</w:t>
      </w:r>
    </w:p>
    <w:p w14:paraId="4169E60F" w14:textId="0D716634" w:rsidR="000F1364" w:rsidRDefault="000F1364" w:rsidP="00F4328F">
      <w:pPr>
        <w:pStyle w:val="ListParagraph"/>
        <w:numPr>
          <w:ilvl w:val="0"/>
          <w:numId w:val="4"/>
        </w:numPr>
        <w:shd w:val="clear" w:color="auto" w:fill="C3D8D7" w:themeFill="accent2" w:themeFillTint="99"/>
        <w:spacing w:after="120" w:line="288" w:lineRule="auto"/>
        <w:jc w:val="left"/>
      </w:pPr>
      <w:r>
        <w:t>Clearly document</w:t>
      </w:r>
      <w:r w:rsidR="003B069E">
        <w:t>ed</w:t>
      </w:r>
      <w:r>
        <w:t xml:space="preserve"> assumption</w:t>
      </w:r>
      <w:r w:rsidR="007F142B">
        <w:t>s</w:t>
      </w:r>
      <w:r>
        <w:t xml:space="preserve"> that have been made in the above processes to ensure transparency in the assessment.</w:t>
      </w:r>
    </w:p>
    <w:p w14:paraId="006EC958" w14:textId="77777777" w:rsidR="00493E72" w:rsidRPr="00493E72" w:rsidRDefault="00493E72" w:rsidP="00493E72"/>
    <w:p w14:paraId="2DA29979" w14:textId="76CADD61" w:rsidR="00FE509A" w:rsidRDefault="00FE509A" w:rsidP="00CA02CC">
      <w:pPr>
        <w:jc w:val="left"/>
        <w:sectPr w:rsidR="00FE509A" w:rsidSect="00CA2773">
          <w:headerReference w:type="even" r:id="rId35"/>
          <w:headerReference w:type="default" r:id="rId36"/>
          <w:headerReference w:type="first" r:id="rId37"/>
          <w:pgSz w:w="11906" w:h="16838"/>
          <w:pgMar w:top="1440" w:right="1440" w:bottom="1440" w:left="1440" w:header="708" w:footer="708" w:gutter="0"/>
          <w:cols w:space="708"/>
          <w:docGrid w:linePitch="360"/>
        </w:sectPr>
      </w:pPr>
      <w:bookmarkStart w:id="50" w:name="_Toc463378318"/>
      <w:bookmarkStart w:id="51" w:name="_Toc464119074"/>
      <w:bookmarkStart w:id="52" w:name="_Toc464162715"/>
      <w:bookmarkStart w:id="53" w:name="_Toc464163328"/>
      <w:bookmarkStart w:id="54" w:name="_Toc464300658"/>
      <w:bookmarkEnd w:id="27"/>
      <w:bookmarkEnd w:id="50"/>
      <w:bookmarkEnd w:id="51"/>
      <w:bookmarkEnd w:id="52"/>
      <w:bookmarkEnd w:id="53"/>
      <w:bookmarkEnd w:id="54"/>
    </w:p>
    <w:p w14:paraId="51DC620B" w14:textId="77777777" w:rsidR="00145B1F" w:rsidRPr="004E7EB5" w:rsidRDefault="00145B1F" w:rsidP="00145B1F">
      <w:pPr>
        <w:pStyle w:val="Heading1"/>
      </w:pPr>
      <w:bookmarkStart w:id="55" w:name="_Toc493774217"/>
      <w:r>
        <w:lastRenderedPageBreak/>
        <w:t>Part B: Workflow</w:t>
      </w:r>
      <w:bookmarkEnd w:id="55"/>
    </w:p>
    <w:p w14:paraId="23E27C1C" w14:textId="03464010" w:rsidR="00B27B0F" w:rsidRPr="004E7EB5" w:rsidRDefault="00B27B0F" w:rsidP="008068BF">
      <w:pPr>
        <w:pStyle w:val="Heading2"/>
      </w:pPr>
      <w:bookmarkStart w:id="56" w:name="_Toc493774218"/>
      <w:r w:rsidRPr="004E7EB5">
        <w:t>Step 1: Identify and prioritise values</w:t>
      </w:r>
      <w:bookmarkEnd w:id="56"/>
    </w:p>
    <w:p w14:paraId="7585B882" w14:textId="0CABCD9F" w:rsidR="00833958" w:rsidRDefault="00833958" w:rsidP="00833958">
      <w:r>
        <w:t>Ecological value is</w:t>
      </w:r>
      <w:r w:rsidRPr="00833958">
        <w:t xml:space="preserve"> the perceived importance of an ecosystem</w:t>
      </w:r>
      <w:r w:rsidR="00906EDF">
        <w:t xml:space="preserve"> or ecosystem component</w:t>
      </w:r>
      <w:r w:rsidRPr="00833958">
        <w:t xml:space="preserve">, which is underpinned by the biotic and/or abiotic components, processes, functions and services that characterise that ecosystem. In the IECA Framework, ecological values are those identified as important </w:t>
      </w:r>
      <w:r w:rsidR="00906EDF">
        <w:t>following the</w:t>
      </w:r>
      <w:r w:rsidRPr="00833958">
        <w:t xml:space="preserve"> application of </w:t>
      </w:r>
      <w:r w:rsidR="00634554">
        <w:t>relevant</w:t>
      </w:r>
      <w:r w:rsidRPr="00833958">
        <w:t xml:space="preserve"> criteria (</w:t>
      </w:r>
      <w:r w:rsidR="00634554">
        <w:t xml:space="preserve">e.g. </w:t>
      </w:r>
      <w:r w:rsidRPr="00833958">
        <w:t>HEVAE, Ramsar or other) and identification of critical components, processes, functions, and services</w:t>
      </w:r>
      <w:r>
        <w:t xml:space="preserve"> (see Glossary for definitions)</w:t>
      </w:r>
      <w:r w:rsidRPr="00833958">
        <w:t xml:space="preserve"> in describing the ecological character of the ecosystem (or another comparable process).</w:t>
      </w:r>
      <w:r w:rsidR="009F54BA">
        <w:t xml:space="preserve"> </w:t>
      </w:r>
      <w:r w:rsidR="00906EDF">
        <w:t xml:space="preserve"> The</w:t>
      </w:r>
      <w:r w:rsidR="00A30F4E">
        <w:t>y</w:t>
      </w:r>
      <w:r w:rsidR="00906EDF">
        <w:t xml:space="preserve"> can also include socially derived values through other processes such as the National Water Quality Monitoring Strategy Protected Environmental Values, or local policies and/or community concerns. </w:t>
      </w:r>
      <w:r w:rsidR="00906EDF" w:rsidRPr="00C60E9F">
        <w:t xml:space="preserve">Ecological values are often grouped or categorised, in the IECA Framework a number of </w:t>
      </w:r>
      <w:r w:rsidR="00634554" w:rsidRPr="00C60E9F">
        <w:t>themes</w:t>
      </w:r>
      <w:r w:rsidR="00906EDF" w:rsidRPr="00C60E9F">
        <w:t xml:space="preserve"> and indicator groups have been </w:t>
      </w:r>
      <w:r w:rsidR="00C60E9F">
        <w:t>adopte</w:t>
      </w:r>
      <w:r w:rsidR="00906EDF" w:rsidRPr="00C60E9F">
        <w:t>d</w:t>
      </w:r>
      <w:r w:rsidR="00634554" w:rsidRPr="00C60E9F">
        <w:t xml:space="preserve"> (</w:t>
      </w:r>
      <w:r w:rsidR="00634554" w:rsidRPr="00C60E9F">
        <w:fldChar w:fldCharType="begin"/>
      </w:r>
      <w:r w:rsidR="00634554" w:rsidRPr="00C60E9F">
        <w:instrText xml:space="preserve"> REF _Ref479608663 \h </w:instrText>
      </w:r>
      <w:r w:rsidR="00906EDF" w:rsidRPr="00C60E9F">
        <w:instrText xml:space="preserve"> \* MERGEFORMAT </w:instrText>
      </w:r>
      <w:r w:rsidR="00634554" w:rsidRPr="00C60E9F">
        <w:fldChar w:fldCharType="separate"/>
      </w:r>
      <w:r w:rsidR="005F359C">
        <w:t xml:space="preserve">Figure </w:t>
      </w:r>
      <w:r w:rsidR="005F359C">
        <w:rPr>
          <w:noProof/>
        </w:rPr>
        <w:t>5</w:t>
      </w:r>
      <w:r w:rsidR="00634554" w:rsidRPr="00C60E9F">
        <w:fldChar w:fldCharType="end"/>
      </w:r>
      <w:r w:rsidR="00634554" w:rsidRPr="00C60E9F">
        <w:t>), as described in Section 1.</w:t>
      </w:r>
      <w:r w:rsidR="00E80C12">
        <w:t>4</w:t>
      </w:r>
      <w:r w:rsidR="00634554" w:rsidRPr="00C60E9F">
        <w:t>.</w:t>
      </w:r>
    </w:p>
    <w:p w14:paraId="2C5C0F54" w14:textId="59F3F5C4" w:rsidR="00B51E63" w:rsidRDefault="00D6580B" w:rsidP="00B51E63">
      <w:r>
        <w:t>When considering ecosystem services t</w:t>
      </w:r>
      <w:r w:rsidR="00833958">
        <w:t xml:space="preserve">he </w:t>
      </w:r>
      <w:r w:rsidR="00833958" w:rsidRPr="00833958">
        <w:t xml:space="preserve">IECA </w:t>
      </w:r>
      <w:r w:rsidR="00833958">
        <w:t xml:space="preserve">Framework focuses </w:t>
      </w:r>
      <w:r w:rsidR="00833958" w:rsidRPr="00833958">
        <w:t xml:space="preserve">predominantly on the ecological aspects of </w:t>
      </w:r>
      <w:r>
        <w:t>those</w:t>
      </w:r>
      <w:r w:rsidR="00833958" w:rsidRPr="00833958">
        <w:t xml:space="preserve"> services. Ecosystem service benefits and economic values can be noted, but </w:t>
      </w:r>
      <w:r w:rsidR="00BC1852">
        <w:t>are</w:t>
      </w:r>
      <w:r w:rsidR="00833958" w:rsidRPr="00833958">
        <w:t xml:space="preserve"> not quantified in monetary terms. </w:t>
      </w:r>
      <w:r w:rsidR="00F82653">
        <w:t>I</w:t>
      </w:r>
      <w:r w:rsidR="00833958" w:rsidRPr="00833958">
        <w:t>t is imperative that people can see benefits in order for ecosystem services to have relevance and gain broad based support.</w:t>
      </w:r>
      <w:r w:rsidR="000F00E3">
        <w:t xml:space="preserve"> Some jurisdictions may have existing definitions and lists of values associated with aquatic ecosystems (e.g. Queensland – see link in ‘Other resources’ </w:t>
      </w:r>
      <w:r w:rsidR="00E80C12">
        <w:t>later in this section</w:t>
      </w:r>
      <w:r w:rsidR="000F00E3">
        <w:t xml:space="preserve">) which may be suitable for use in the IECA Framework. </w:t>
      </w:r>
      <w:r w:rsidR="00583A43" w:rsidRPr="00583A43">
        <w:t>For identification of cultural services relating to Ramsar wetlands, specific guidance is provided in Module 2 of the National Guidelines for Ramsar wetlands: Implementing the Ramsar Convention in Australia</w:t>
      </w:r>
      <w:r w:rsidR="00583A43">
        <w:t xml:space="preserve"> (DEWHA 2008).</w:t>
      </w:r>
    </w:p>
    <w:p w14:paraId="09542560" w14:textId="383FB692" w:rsidR="003C5773" w:rsidRDefault="003C5773" w:rsidP="00B51E63">
      <w:r>
        <w:rPr>
          <w:noProof/>
          <w:lang w:eastAsia="en-AU"/>
        </w:rPr>
        <w:drawing>
          <wp:inline distT="0" distB="0" distL="0" distR="0" wp14:anchorId="7F4BD401" wp14:editId="4A7C9670">
            <wp:extent cx="5486400" cy="3200400"/>
            <wp:effectExtent l="0" t="1905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C2A88B2" w14:textId="45C7FAE2" w:rsidR="003C5773" w:rsidRPr="00833958" w:rsidRDefault="009F54BA" w:rsidP="009F54BA">
      <w:pPr>
        <w:pStyle w:val="Caption"/>
      </w:pPr>
      <w:bookmarkStart w:id="57" w:name="_Ref479608663"/>
      <w:r>
        <w:t xml:space="preserve">Figure </w:t>
      </w:r>
      <w:fldSimple w:instr=" SEQ Figure \* ARABIC ">
        <w:r w:rsidR="005F359C">
          <w:rPr>
            <w:noProof/>
          </w:rPr>
          <w:t>5</w:t>
        </w:r>
      </w:fldSimple>
      <w:bookmarkEnd w:id="57"/>
      <w:r>
        <w:t xml:space="preserve">: Themes </w:t>
      </w:r>
      <w:r w:rsidR="00920795">
        <w:t xml:space="preserve">and indicator groups </w:t>
      </w:r>
      <w:r>
        <w:t>for Ecological Values</w:t>
      </w:r>
      <w:r w:rsidR="00906EDF">
        <w:t xml:space="preserve"> as defined for the IECA </w:t>
      </w:r>
      <w:r w:rsidR="003A47AE">
        <w:t>F</w:t>
      </w:r>
      <w:r w:rsidR="00906EDF">
        <w:t>ramework</w:t>
      </w:r>
      <w:r>
        <w:t xml:space="preserve">.  </w:t>
      </w:r>
    </w:p>
    <w:p w14:paraId="5212FF83" w14:textId="77777777" w:rsidR="001E76C4" w:rsidRPr="004E7EB5" w:rsidRDefault="001E76C4" w:rsidP="001E76C4">
      <w:pPr>
        <w:rPr>
          <w:b/>
          <w:i/>
          <w:color w:val="8C863E" w:themeColor="background2" w:themeShade="80"/>
          <w:sz w:val="24"/>
          <w:szCs w:val="24"/>
        </w:rPr>
      </w:pPr>
      <w:r w:rsidRPr="004E7EB5">
        <w:rPr>
          <w:b/>
          <w:i/>
          <w:color w:val="8C863E" w:themeColor="background2" w:themeShade="80"/>
          <w:sz w:val="24"/>
          <w:szCs w:val="24"/>
        </w:rPr>
        <w:t>Aim</w:t>
      </w:r>
    </w:p>
    <w:p w14:paraId="66410AAB" w14:textId="249D8286" w:rsidR="001E76C4" w:rsidRPr="004E7EB5" w:rsidRDefault="000A078A" w:rsidP="001E76C4">
      <w:r>
        <w:t xml:space="preserve">To identify, and prioritise, the ecological values of the assessment unit, at </w:t>
      </w:r>
      <w:r w:rsidR="00F82653">
        <w:t>each</w:t>
      </w:r>
      <w:r>
        <w:t xml:space="preserve"> scale of assessment.</w:t>
      </w:r>
    </w:p>
    <w:p w14:paraId="6EAC660B" w14:textId="77777777" w:rsidR="007168D1" w:rsidRPr="004E7EB5" w:rsidRDefault="007168D1" w:rsidP="007168D1">
      <w:pPr>
        <w:rPr>
          <w:b/>
          <w:i/>
          <w:color w:val="8C863E" w:themeColor="background2" w:themeShade="80"/>
          <w:sz w:val="24"/>
          <w:szCs w:val="24"/>
        </w:rPr>
      </w:pPr>
      <w:r>
        <w:rPr>
          <w:b/>
          <w:i/>
          <w:color w:val="8C863E" w:themeColor="background2" w:themeShade="80"/>
          <w:sz w:val="24"/>
          <w:szCs w:val="24"/>
        </w:rPr>
        <w:lastRenderedPageBreak/>
        <w:t>Inputs</w:t>
      </w:r>
    </w:p>
    <w:p w14:paraId="66D3A1B0" w14:textId="6304C2B8" w:rsidR="007168D1" w:rsidRDefault="007168D1" w:rsidP="00F4328F">
      <w:pPr>
        <w:pStyle w:val="ListParagraph"/>
        <w:numPr>
          <w:ilvl w:val="0"/>
          <w:numId w:val="49"/>
        </w:numPr>
      </w:pPr>
      <w:r>
        <w:t>Lists of values derived from published information such as management plans</w:t>
      </w:r>
      <w:r w:rsidR="00D6580B">
        <w:t xml:space="preserve"> and policies</w:t>
      </w:r>
      <w:r>
        <w:t>, watering plans, monitoring reports and searches of threatened species databases, etc.</w:t>
      </w:r>
      <w:r w:rsidR="00D6580B">
        <w:t xml:space="preserve"> and/or from the result of community engagement and consultation.</w:t>
      </w:r>
    </w:p>
    <w:p w14:paraId="0311FDDD" w14:textId="4BBAC041" w:rsidR="001004DB" w:rsidRPr="004E7EB5" w:rsidRDefault="001004DB" w:rsidP="00F4328F">
      <w:pPr>
        <w:pStyle w:val="ListParagraph"/>
        <w:numPr>
          <w:ilvl w:val="0"/>
          <w:numId w:val="49"/>
        </w:numPr>
      </w:pPr>
      <w:r>
        <w:t xml:space="preserve">If including risk to values as a criterion for prioritisation then the output of Step 2 is required. </w:t>
      </w:r>
    </w:p>
    <w:p w14:paraId="3DE12FBD" w14:textId="097BB3D5" w:rsidR="001E76C4" w:rsidRPr="004E7EB5" w:rsidRDefault="001E76C4" w:rsidP="001E76C4">
      <w:pPr>
        <w:rPr>
          <w:b/>
          <w:i/>
          <w:color w:val="8C863E" w:themeColor="background2" w:themeShade="80"/>
          <w:sz w:val="24"/>
          <w:szCs w:val="24"/>
        </w:rPr>
      </w:pPr>
      <w:r w:rsidRPr="004E7EB5">
        <w:rPr>
          <w:b/>
          <w:i/>
          <w:color w:val="8C863E" w:themeColor="background2" w:themeShade="80"/>
          <w:sz w:val="24"/>
          <w:szCs w:val="24"/>
        </w:rPr>
        <w:t>Task</w:t>
      </w:r>
      <w:r w:rsidR="00833958">
        <w:rPr>
          <w:b/>
          <w:i/>
          <w:color w:val="8C863E" w:themeColor="background2" w:themeShade="80"/>
          <w:sz w:val="24"/>
          <w:szCs w:val="24"/>
        </w:rPr>
        <w:t>s</w:t>
      </w:r>
    </w:p>
    <w:p w14:paraId="3D477E27" w14:textId="6D222684" w:rsidR="00833958" w:rsidRPr="008A206E" w:rsidRDefault="00833958" w:rsidP="00F4328F">
      <w:pPr>
        <w:pStyle w:val="ListParagraph"/>
        <w:numPr>
          <w:ilvl w:val="0"/>
          <w:numId w:val="12"/>
        </w:numPr>
        <w:rPr>
          <w:b/>
          <w:i/>
        </w:rPr>
      </w:pPr>
      <w:r w:rsidRPr="008A206E">
        <w:rPr>
          <w:b/>
          <w:i/>
        </w:rPr>
        <w:t>Identify ecological values</w:t>
      </w:r>
      <w:r w:rsidR="000A078A" w:rsidRPr="008A206E">
        <w:rPr>
          <w:b/>
          <w:i/>
        </w:rPr>
        <w:t xml:space="preserve"> for each scale of assessment (e.g. ecosystem type, assessment unit, etc.)</w:t>
      </w:r>
      <w:r w:rsidR="00F82653" w:rsidRPr="008A206E">
        <w:rPr>
          <w:b/>
          <w:i/>
        </w:rPr>
        <w:t xml:space="preserve"> from relevant sources of information</w:t>
      </w:r>
      <w:r w:rsidR="000A078A" w:rsidRPr="008A206E">
        <w:rPr>
          <w:b/>
          <w:i/>
        </w:rPr>
        <w:t>.</w:t>
      </w:r>
      <w:r w:rsidRPr="008A206E">
        <w:rPr>
          <w:b/>
          <w:i/>
        </w:rPr>
        <w:t xml:space="preserve"> </w:t>
      </w:r>
    </w:p>
    <w:p w14:paraId="7A6032B9" w14:textId="114E6A1E" w:rsidR="00C9530A" w:rsidRDefault="008A206E" w:rsidP="008E3E62">
      <w:r>
        <w:t>If the ass</w:t>
      </w:r>
      <w:r w:rsidR="00634554">
        <w:t xml:space="preserve">essment unit has been </w:t>
      </w:r>
      <w:r w:rsidR="00D6580B">
        <w:t>identified via a</w:t>
      </w:r>
      <w:r>
        <w:t xml:space="preserve"> HEVAE assessment or other management planning process, much of the information on ecological values will have been documented. Information on cultural or socio-economic values may be required (depending on the objective of the condition assessment) and these will need to be collated, as the HEVAE is focussed on ecological values</w:t>
      </w:r>
      <w:r w:rsidR="00BC1852">
        <w:t xml:space="preserve"> only</w:t>
      </w:r>
      <w:r>
        <w:t>. The TAG or oversight group members can provide input in terms of expert and local knowledge, augmenting published information.</w:t>
      </w:r>
      <w:r w:rsidR="00C9530A">
        <w:t xml:space="preserve"> </w:t>
      </w:r>
      <w:r w:rsidR="00D6580B">
        <w:t xml:space="preserve"> Consultation with Traditional Owners, other stakeholders and or community consultation may also identify </w:t>
      </w:r>
      <w:r w:rsidR="00BC1852">
        <w:t xml:space="preserve">additional </w:t>
      </w:r>
      <w:r w:rsidR="00D6580B">
        <w:t xml:space="preserve">values. </w:t>
      </w:r>
    </w:p>
    <w:p w14:paraId="330E1598" w14:textId="2A765762" w:rsidR="00FD3852" w:rsidRDefault="00634554" w:rsidP="00FD3852">
      <w:r>
        <w:t>Relevant</w:t>
      </w:r>
      <w:r w:rsidR="00FD3852">
        <w:t xml:space="preserve"> values </w:t>
      </w:r>
      <w:r>
        <w:t xml:space="preserve">should be tabulated and </w:t>
      </w:r>
      <w:r w:rsidR="00FD3852">
        <w:t xml:space="preserve">listed by theme (see </w:t>
      </w:r>
      <w:r w:rsidR="00FD3852">
        <w:fldChar w:fldCharType="begin"/>
      </w:r>
      <w:r w:rsidR="00FD3852">
        <w:instrText xml:space="preserve"> REF _Ref478993299 \h </w:instrText>
      </w:r>
      <w:r w:rsidR="00FD3852">
        <w:fldChar w:fldCharType="separate"/>
      </w:r>
      <w:r w:rsidR="005F359C" w:rsidRPr="004E7EB5">
        <w:t xml:space="preserve">Table </w:t>
      </w:r>
      <w:r w:rsidR="005F359C">
        <w:rPr>
          <w:noProof/>
        </w:rPr>
        <w:t>1</w:t>
      </w:r>
      <w:r w:rsidR="00FD3852">
        <w:fldChar w:fldCharType="end"/>
      </w:r>
      <w:r w:rsidR="00FD3852">
        <w:t>) and scale of assessment. This may require distilling different descriptions of values from different sources of information into logical groupings</w:t>
      </w:r>
      <w:r w:rsidR="0040773F">
        <w:t xml:space="preserve"> (</w:t>
      </w:r>
      <w:r w:rsidR="006305FA">
        <w:t>see</w:t>
      </w:r>
      <w:r w:rsidR="006305FA" w:rsidRPr="00C54BB5">
        <w:t xml:space="preserve"> </w:t>
      </w:r>
      <w:r w:rsidR="006305FA" w:rsidRPr="00C54BB5">
        <w:fldChar w:fldCharType="begin"/>
      </w:r>
      <w:r w:rsidR="006305FA" w:rsidRPr="00C54BB5">
        <w:instrText xml:space="preserve"> REF _Ref479339506 \h </w:instrText>
      </w:r>
      <w:r w:rsidR="006305FA" w:rsidRPr="00C54BB5">
        <w:fldChar w:fldCharType="separate"/>
      </w:r>
      <w:r w:rsidR="005F359C" w:rsidRPr="00D95F8D">
        <w:rPr>
          <w:color w:val="797325" w:themeColor="accent3" w:themeShade="80"/>
        </w:rPr>
        <w:t xml:space="preserve">Text Box </w:t>
      </w:r>
      <w:r w:rsidR="005F359C">
        <w:rPr>
          <w:noProof/>
          <w:color w:val="797325" w:themeColor="accent3" w:themeShade="80"/>
        </w:rPr>
        <w:t>2</w:t>
      </w:r>
      <w:r w:rsidR="006305FA" w:rsidRPr="00C54BB5">
        <w:fldChar w:fldCharType="end"/>
      </w:r>
      <w:r w:rsidR="006305FA" w:rsidRPr="006305FA">
        <w:t xml:space="preserve"> </w:t>
      </w:r>
      <w:r w:rsidR="006305FA">
        <w:t>for an example</w:t>
      </w:r>
      <w:r w:rsidR="0040773F">
        <w:t>)</w:t>
      </w:r>
      <w:r w:rsidR="00FD3852">
        <w:t xml:space="preserve">. It is recommended that this be captured in </w:t>
      </w:r>
      <w:r>
        <w:t xml:space="preserve">an </w:t>
      </w:r>
      <w:r w:rsidR="00FD3852">
        <w:t xml:space="preserve">Appendix, or in the assumptions documented for this step, to allow transparency. Some values </w:t>
      </w:r>
      <w:r>
        <w:t>may</w:t>
      </w:r>
      <w:r w:rsidR="00FD3852">
        <w:t xml:space="preserve"> align with more than one of the themes, in which case that value should be included under </w:t>
      </w:r>
      <w:r>
        <w:t xml:space="preserve">each of the relevant </w:t>
      </w:r>
      <w:r w:rsidR="00FD3852">
        <w:t xml:space="preserve">themes. The values should then be reviewed by the TAG/oversight body to confirm their </w:t>
      </w:r>
      <w:r>
        <w:t>inclusion in the subsequent steps</w:t>
      </w:r>
      <w:r w:rsidR="00FD3852">
        <w:t>.</w:t>
      </w:r>
    </w:p>
    <w:p w14:paraId="30817AF2" w14:textId="41BD72E5" w:rsidR="00634554" w:rsidRPr="008A206E" w:rsidRDefault="00634554" w:rsidP="00F4328F">
      <w:pPr>
        <w:pStyle w:val="ListParagraph"/>
        <w:numPr>
          <w:ilvl w:val="0"/>
          <w:numId w:val="12"/>
        </w:numPr>
        <w:rPr>
          <w:b/>
          <w:i/>
        </w:rPr>
      </w:pPr>
      <w:r w:rsidRPr="008A206E">
        <w:rPr>
          <w:b/>
          <w:i/>
        </w:rPr>
        <w:t>List values</w:t>
      </w:r>
      <w:r>
        <w:rPr>
          <w:b/>
          <w:i/>
        </w:rPr>
        <w:t xml:space="preserve"> as components, processes, functions and services</w:t>
      </w:r>
      <w:r w:rsidRPr="008A206E">
        <w:rPr>
          <w:b/>
          <w:i/>
        </w:rPr>
        <w:t>.</w:t>
      </w:r>
    </w:p>
    <w:p w14:paraId="72565F0B" w14:textId="1BED8FF0" w:rsidR="00634554" w:rsidRDefault="00634554" w:rsidP="00634554">
      <w:r>
        <w:t>Describe the values as</w:t>
      </w:r>
      <w:r w:rsidRPr="007168D1">
        <w:t xml:space="preserve"> critical components, processes, function</w:t>
      </w:r>
      <w:r>
        <w:t>s, and services:</w:t>
      </w:r>
    </w:p>
    <w:p w14:paraId="76890D9F" w14:textId="2687FD24" w:rsidR="00634554" w:rsidRDefault="00634554" w:rsidP="00F4328F">
      <w:pPr>
        <w:pStyle w:val="ListParagraph"/>
        <w:numPr>
          <w:ilvl w:val="0"/>
          <w:numId w:val="13"/>
        </w:numPr>
        <w:spacing w:after="120" w:line="288" w:lineRule="auto"/>
        <w:jc w:val="left"/>
      </w:pPr>
      <w:r w:rsidRPr="007168D1">
        <w:rPr>
          <w:b/>
        </w:rPr>
        <w:t>Components</w:t>
      </w:r>
      <w:r>
        <w:t xml:space="preserve"> – </w:t>
      </w:r>
      <w:r w:rsidRPr="005B6C1C">
        <w:t xml:space="preserve">The physical, chemical and biological parts of an aquatic ecosystem </w:t>
      </w:r>
      <w:r w:rsidR="00772C28">
        <w:t>(</w:t>
      </w:r>
      <w:r w:rsidRPr="005B6C1C">
        <w:t>e.g. habitat, species, genes</w:t>
      </w:r>
      <w:r>
        <w:t>, soils</w:t>
      </w:r>
      <w:r w:rsidR="00772C28">
        <w:t>)</w:t>
      </w:r>
      <w:r>
        <w:t>.</w:t>
      </w:r>
    </w:p>
    <w:p w14:paraId="02DC8ADF" w14:textId="5140F04A" w:rsidR="00634554" w:rsidRDefault="00634554" w:rsidP="00F4328F">
      <w:pPr>
        <w:pStyle w:val="ListParagraph"/>
        <w:numPr>
          <w:ilvl w:val="0"/>
          <w:numId w:val="13"/>
        </w:numPr>
        <w:spacing w:after="120" w:line="288" w:lineRule="auto"/>
        <w:jc w:val="left"/>
      </w:pPr>
      <w:r w:rsidRPr="007168D1">
        <w:rPr>
          <w:b/>
        </w:rPr>
        <w:t>Processes</w:t>
      </w:r>
      <w:r>
        <w:t xml:space="preserve"> – </w:t>
      </w:r>
      <w:r w:rsidRPr="004E7EB5">
        <w:rPr>
          <w:rFonts w:asciiTheme="minorHAnsi" w:hAnsiTheme="minorHAnsi" w:cstheme="minorHAnsi"/>
          <w:lang w:eastAsia="en-AU"/>
        </w:rPr>
        <w:t xml:space="preserve">Any change or reaction which occurs within ecosystems, </w:t>
      </w:r>
      <w:r w:rsidR="00772C28">
        <w:rPr>
          <w:rFonts w:asciiTheme="minorHAnsi" w:hAnsiTheme="minorHAnsi" w:cstheme="minorHAnsi"/>
          <w:lang w:eastAsia="en-AU"/>
        </w:rPr>
        <w:t xml:space="preserve">whether </w:t>
      </w:r>
      <w:r w:rsidRPr="004E7EB5">
        <w:rPr>
          <w:rFonts w:asciiTheme="minorHAnsi" w:hAnsiTheme="minorHAnsi" w:cstheme="minorHAnsi"/>
          <w:lang w:eastAsia="en-AU"/>
        </w:rPr>
        <w:t>physical, chemical or biological.</w:t>
      </w:r>
      <w:r>
        <w:t xml:space="preserve"> </w:t>
      </w:r>
      <w:r w:rsidRPr="007168D1">
        <w:t>Ecosystem processes include decomposition, production, nutrient cycling, and fluxes of nutrients and energy</w:t>
      </w:r>
      <w:r>
        <w:t>.</w:t>
      </w:r>
    </w:p>
    <w:p w14:paraId="61C83519" w14:textId="5FD1FDA5" w:rsidR="00634554" w:rsidRDefault="00634554" w:rsidP="00F4328F">
      <w:pPr>
        <w:pStyle w:val="ListParagraph"/>
        <w:numPr>
          <w:ilvl w:val="0"/>
          <w:numId w:val="13"/>
        </w:numPr>
        <w:spacing w:after="120" w:line="288" w:lineRule="auto"/>
        <w:jc w:val="left"/>
      </w:pPr>
      <w:r w:rsidRPr="007168D1">
        <w:rPr>
          <w:b/>
        </w:rPr>
        <w:t>Functions</w:t>
      </w:r>
      <w:r>
        <w:t xml:space="preserve"> </w:t>
      </w:r>
      <w:r w:rsidR="00D6580B">
        <w:t>–</w:t>
      </w:r>
      <w:r>
        <w:t xml:space="preserve"> </w:t>
      </w:r>
      <w:r w:rsidRPr="007168D1">
        <w:t xml:space="preserve">Activities or actions which occur naturally in ecosystems as a product of the interactions between the ecosystem structure and processes </w:t>
      </w:r>
      <w:r w:rsidR="00772C28">
        <w:t>(</w:t>
      </w:r>
      <w:r w:rsidRPr="007168D1">
        <w:t>e.g. floodwater control</w:t>
      </w:r>
      <w:r w:rsidR="00772C28">
        <w:t>;</w:t>
      </w:r>
      <w:r w:rsidRPr="007168D1">
        <w:t xml:space="preserve"> nutrient, sediment and contaminant retention</w:t>
      </w:r>
      <w:r w:rsidR="00772C28">
        <w:t>;</w:t>
      </w:r>
      <w:r w:rsidRPr="007168D1">
        <w:t xml:space="preserve"> food web support</w:t>
      </w:r>
      <w:r w:rsidR="00772C28">
        <w:t>;</w:t>
      </w:r>
      <w:r w:rsidRPr="007168D1">
        <w:t xml:space="preserve"> shoreline stabilisation and erosion controls</w:t>
      </w:r>
      <w:r w:rsidR="00772C28">
        <w:t>;</w:t>
      </w:r>
      <w:r w:rsidRPr="007168D1">
        <w:t xml:space="preserve"> storm protection, stabilisation of local climatic conditions, particularly rainfall and temperature</w:t>
      </w:r>
      <w:r w:rsidR="00772C28">
        <w:t>)</w:t>
      </w:r>
      <w:r w:rsidRPr="007168D1">
        <w:t>.</w:t>
      </w:r>
    </w:p>
    <w:p w14:paraId="58A9E0BE" w14:textId="77777777" w:rsidR="00634554" w:rsidRDefault="00634554" w:rsidP="00F4328F">
      <w:pPr>
        <w:pStyle w:val="ListParagraph"/>
        <w:numPr>
          <w:ilvl w:val="0"/>
          <w:numId w:val="13"/>
        </w:numPr>
        <w:spacing w:after="120" w:line="288" w:lineRule="auto"/>
        <w:jc w:val="left"/>
      </w:pPr>
      <w:r w:rsidRPr="007168D1">
        <w:rPr>
          <w:b/>
        </w:rPr>
        <w:t>Ecosystem</w:t>
      </w:r>
      <w:r>
        <w:t xml:space="preserve"> </w:t>
      </w:r>
      <w:r w:rsidRPr="007168D1">
        <w:rPr>
          <w:b/>
        </w:rPr>
        <w:t>services</w:t>
      </w:r>
      <w:r>
        <w:t xml:space="preserve"> – </w:t>
      </w:r>
      <w:r w:rsidRPr="007168D1">
        <w:t>The contribution(s) that ecosystems make to human well-being</w:t>
      </w:r>
      <w:r>
        <w:t xml:space="preserve"> (see Appendix D for classification of ecosystem services)</w:t>
      </w:r>
      <w:r w:rsidRPr="007168D1">
        <w:t>.</w:t>
      </w:r>
    </w:p>
    <w:p w14:paraId="081FAFA5" w14:textId="19F5A8FD" w:rsidR="00634554" w:rsidRDefault="00634554" w:rsidP="00634554">
      <w:r>
        <w:t>Describing values as c</w:t>
      </w:r>
      <w:r w:rsidRPr="00931FE3">
        <w:t>omponent</w:t>
      </w:r>
      <w:r>
        <w:t xml:space="preserve">s, </w:t>
      </w:r>
      <w:r w:rsidRPr="00931FE3">
        <w:t>process</w:t>
      </w:r>
      <w:r>
        <w:t xml:space="preserve">es, functions and services will </w:t>
      </w:r>
      <w:r w:rsidRPr="00931FE3">
        <w:t xml:space="preserve">facilitate the identification of indicators. </w:t>
      </w:r>
      <w:r>
        <w:t xml:space="preserve">A list of potential components, processes, functions and services typically encountered in aquatic ecosystem is presented in Appendix </w:t>
      </w:r>
      <w:r w:rsidR="00D6580B">
        <w:t>D</w:t>
      </w:r>
      <w:r>
        <w:t>.</w:t>
      </w:r>
    </w:p>
    <w:p w14:paraId="19031C47" w14:textId="77777777" w:rsidR="00634554" w:rsidRDefault="00634554" w:rsidP="00FD3852"/>
    <w:p w14:paraId="276082D2" w14:textId="3C878084" w:rsidR="00634554" w:rsidRDefault="00634554">
      <w:r>
        <w:br w:type="page"/>
      </w:r>
    </w:p>
    <w:p w14:paraId="539B2784" w14:textId="6EA2242D" w:rsidR="004B5E30" w:rsidRPr="00D95F8D" w:rsidRDefault="004B5E30" w:rsidP="00D95F8D">
      <w:pPr>
        <w:pStyle w:val="Caption"/>
        <w:keepNext/>
        <w:shd w:val="clear" w:color="auto" w:fill="F6F4E1" w:themeFill="accent3" w:themeFillTint="33"/>
        <w:spacing w:after="0" w:line="240" w:lineRule="auto"/>
        <w:rPr>
          <w:b w:val="0"/>
          <w:color w:val="797325" w:themeColor="accent3" w:themeShade="80"/>
        </w:rPr>
      </w:pPr>
      <w:bookmarkStart w:id="58" w:name="_Ref479339506"/>
      <w:r w:rsidRPr="00D95F8D">
        <w:rPr>
          <w:color w:val="797325" w:themeColor="accent3" w:themeShade="80"/>
        </w:rPr>
        <w:lastRenderedPageBreak/>
        <w:t xml:space="preserve">Text Box </w:t>
      </w:r>
      <w:r w:rsidRPr="00D95F8D">
        <w:rPr>
          <w:color w:val="797325" w:themeColor="accent3" w:themeShade="80"/>
        </w:rPr>
        <w:fldChar w:fldCharType="begin"/>
      </w:r>
      <w:r w:rsidRPr="00D95F8D">
        <w:rPr>
          <w:color w:val="797325" w:themeColor="accent3" w:themeShade="80"/>
        </w:rPr>
        <w:instrText xml:space="preserve"> SEQ Text_Box \* ARABIC </w:instrText>
      </w:r>
      <w:r w:rsidRPr="00D95F8D">
        <w:rPr>
          <w:color w:val="797325" w:themeColor="accent3" w:themeShade="80"/>
        </w:rPr>
        <w:fldChar w:fldCharType="separate"/>
      </w:r>
      <w:r w:rsidR="005F359C">
        <w:rPr>
          <w:noProof/>
          <w:color w:val="797325" w:themeColor="accent3" w:themeShade="80"/>
        </w:rPr>
        <w:t>2</w:t>
      </w:r>
      <w:r w:rsidRPr="00D95F8D">
        <w:rPr>
          <w:color w:val="797325" w:themeColor="accent3" w:themeShade="80"/>
        </w:rPr>
        <w:fldChar w:fldCharType="end"/>
      </w:r>
      <w:bookmarkEnd w:id="58"/>
      <w:r w:rsidRPr="00D95F8D">
        <w:rPr>
          <w:color w:val="797325" w:themeColor="accent3" w:themeShade="80"/>
        </w:rPr>
        <w:t>.</w:t>
      </w:r>
      <w:r w:rsidR="00153B91">
        <w:rPr>
          <w:color w:val="797325" w:themeColor="accent3" w:themeShade="80"/>
        </w:rPr>
        <w:t xml:space="preserve"> Step 1</w:t>
      </w:r>
      <w:r w:rsidRPr="00D95F8D">
        <w:rPr>
          <w:color w:val="797325" w:themeColor="accent3" w:themeShade="80"/>
        </w:rPr>
        <w:t xml:space="preserve"> </w:t>
      </w:r>
      <w:r w:rsidR="00153B91">
        <w:rPr>
          <w:color w:val="797325" w:themeColor="accent3" w:themeShade="80"/>
        </w:rPr>
        <w:t>Identification of</w:t>
      </w:r>
      <w:r w:rsidRPr="00D95F8D">
        <w:rPr>
          <w:color w:val="797325" w:themeColor="accent3" w:themeShade="80"/>
        </w:rPr>
        <w:t xml:space="preserve"> values example for the Lake Eyre Basin (LEB)</w:t>
      </w:r>
    </w:p>
    <w:p w14:paraId="0247DABC" w14:textId="5FE85D33" w:rsidR="004B5E30" w:rsidRPr="00D95F8D" w:rsidRDefault="004B5E30" w:rsidP="004B5E30">
      <w:pPr>
        <w:shd w:val="clear" w:color="auto" w:fill="F6F4E1" w:themeFill="accent3" w:themeFillTint="33"/>
        <w:rPr>
          <w:color w:val="797325" w:themeColor="accent3" w:themeShade="80"/>
        </w:rPr>
      </w:pPr>
      <w:r w:rsidRPr="00D95F8D">
        <w:rPr>
          <w:color w:val="797325" w:themeColor="accent3" w:themeShade="80"/>
        </w:rPr>
        <w:t xml:space="preserve">The LEB is an example where values have been identified in consultation with </w:t>
      </w:r>
      <w:r w:rsidR="0059374F">
        <w:rPr>
          <w:color w:val="797325" w:themeColor="accent3" w:themeShade="80"/>
        </w:rPr>
        <w:t>the Lake Eyre Basin Community Advisory Committee</w:t>
      </w:r>
      <w:r w:rsidRPr="00D95F8D">
        <w:rPr>
          <w:color w:val="797325" w:themeColor="accent3" w:themeShade="80"/>
        </w:rPr>
        <w:t xml:space="preserve">. </w:t>
      </w:r>
      <w:r w:rsidR="0059374F" w:rsidRPr="00D95F8D">
        <w:rPr>
          <w:color w:val="797325" w:themeColor="accent3" w:themeShade="80"/>
        </w:rPr>
        <w:t xml:space="preserve">The </w:t>
      </w:r>
      <w:r w:rsidR="0059374F">
        <w:rPr>
          <w:color w:val="797325" w:themeColor="accent3" w:themeShade="80"/>
        </w:rPr>
        <w:t>draft Lake Eyre Basin</w:t>
      </w:r>
      <w:r w:rsidR="0059374F" w:rsidRPr="00D95F8D">
        <w:rPr>
          <w:color w:val="797325" w:themeColor="accent3" w:themeShade="80"/>
        </w:rPr>
        <w:t xml:space="preserve"> State of the Basin </w:t>
      </w:r>
      <w:r w:rsidR="0059374F">
        <w:rPr>
          <w:color w:val="797325" w:themeColor="accent3" w:themeShade="80"/>
        </w:rPr>
        <w:t>Condition Assessment 2016 R</w:t>
      </w:r>
      <w:r w:rsidR="0059374F" w:rsidRPr="00D95F8D">
        <w:rPr>
          <w:color w:val="797325" w:themeColor="accent3" w:themeShade="80"/>
        </w:rPr>
        <w:t>eport</w:t>
      </w:r>
      <w:r w:rsidR="0059374F">
        <w:rPr>
          <w:color w:val="797325" w:themeColor="accent3" w:themeShade="80"/>
        </w:rPr>
        <w:t xml:space="preserve"> (public consultation document)</w:t>
      </w:r>
      <w:r w:rsidR="0059374F" w:rsidRPr="00D95F8D">
        <w:rPr>
          <w:color w:val="797325" w:themeColor="accent3" w:themeShade="80"/>
        </w:rPr>
        <w:t xml:space="preserve"> (LEBMF 2017) lists the </w:t>
      </w:r>
      <w:r w:rsidR="0059374F">
        <w:rPr>
          <w:color w:val="797325" w:themeColor="accent3" w:themeShade="80"/>
        </w:rPr>
        <w:t>’</w:t>
      </w:r>
      <w:r w:rsidR="0059374F" w:rsidRPr="00D95F8D">
        <w:rPr>
          <w:color w:val="797325" w:themeColor="accent3" w:themeShade="80"/>
        </w:rPr>
        <w:t>key</w:t>
      </w:r>
      <w:r w:rsidR="0059374F">
        <w:rPr>
          <w:color w:val="797325" w:themeColor="accent3" w:themeShade="80"/>
        </w:rPr>
        <w:t>’</w:t>
      </w:r>
      <w:r w:rsidR="0059374F" w:rsidRPr="00D95F8D">
        <w:rPr>
          <w:color w:val="797325" w:themeColor="accent3" w:themeShade="80"/>
        </w:rPr>
        <w:t xml:space="preserve"> values, such as the relatively natural hydrological regime that supports ecosystem components (e.g. waterbirds, native fish), processes (e.g. waterbird breeding, fish breeding) and services (e.g. provision of water for livestock consumption). Aligning the LEB values with the IECA </w:t>
      </w:r>
      <w:r w:rsidR="003A47AE">
        <w:rPr>
          <w:color w:val="797325" w:themeColor="accent3" w:themeShade="80"/>
        </w:rPr>
        <w:t>F</w:t>
      </w:r>
      <w:r w:rsidR="0059374F" w:rsidRPr="00D95F8D">
        <w:rPr>
          <w:color w:val="797325" w:themeColor="accent3" w:themeShade="80"/>
        </w:rPr>
        <w:t>ramework at this step is relatively straight forward, requiring distilling the values into a shorthand description and alignment with the IECA themes.</w:t>
      </w:r>
    </w:p>
    <w:p w14:paraId="4649C30C" w14:textId="21610F25" w:rsidR="004B5E30" w:rsidRPr="00D95F8D" w:rsidRDefault="004B5E30" w:rsidP="004B5E30">
      <w:pPr>
        <w:shd w:val="clear" w:color="auto" w:fill="F6F4E1" w:themeFill="accent3" w:themeFillTint="33"/>
        <w:rPr>
          <w:color w:val="797325" w:themeColor="accent3" w:themeShade="80"/>
        </w:rPr>
      </w:pPr>
      <w:r w:rsidRPr="00D95F8D">
        <w:rPr>
          <w:color w:val="797325" w:themeColor="accent3" w:themeShade="80"/>
        </w:rPr>
        <w:t xml:space="preserve">An example of this process is provided in </w:t>
      </w:r>
      <w:r w:rsidRPr="00D95F8D">
        <w:rPr>
          <w:color w:val="797325" w:themeColor="accent3" w:themeShade="80"/>
        </w:rPr>
        <w:fldChar w:fldCharType="begin"/>
      </w:r>
      <w:r w:rsidRPr="00D95F8D">
        <w:rPr>
          <w:color w:val="797325" w:themeColor="accent3" w:themeShade="80"/>
        </w:rPr>
        <w:instrText xml:space="preserve"> REF _Ref479000396 \h  \* MERGEFORMAT </w:instrText>
      </w:r>
      <w:r w:rsidRPr="00D95F8D">
        <w:rPr>
          <w:color w:val="797325" w:themeColor="accent3" w:themeShade="80"/>
        </w:rPr>
      </w:r>
      <w:r w:rsidRPr="00D95F8D">
        <w:rPr>
          <w:color w:val="797325" w:themeColor="accent3" w:themeShade="80"/>
        </w:rPr>
        <w:fldChar w:fldCharType="separate"/>
      </w:r>
      <w:r w:rsidR="005F359C" w:rsidRPr="004B5E30">
        <w:rPr>
          <w:color w:val="797325" w:themeColor="accent3" w:themeShade="80"/>
        </w:rPr>
        <w:t xml:space="preserve">Table </w:t>
      </w:r>
      <w:r w:rsidR="005F359C">
        <w:rPr>
          <w:noProof/>
          <w:color w:val="797325" w:themeColor="accent3" w:themeShade="80"/>
        </w:rPr>
        <w:t>6</w:t>
      </w:r>
      <w:r w:rsidRPr="00D95F8D">
        <w:rPr>
          <w:color w:val="797325" w:themeColor="accent3" w:themeShade="80"/>
        </w:rPr>
        <w:fldChar w:fldCharType="end"/>
      </w:r>
      <w:r w:rsidRPr="00D95F8D">
        <w:rPr>
          <w:color w:val="797325" w:themeColor="accent3" w:themeShade="80"/>
        </w:rPr>
        <w:t xml:space="preserve">. </w:t>
      </w:r>
      <w:r w:rsidRPr="00D95F8D">
        <w:rPr>
          <w:b/>
          <w:color w:val="797325" w:themeColor="accent3" w:themeShade="80"/>
          <w:u w:val="single"/>
        </w:rPr>
        <w:t>Note</w:t>
      </w:r>
      <w:r w:rsidRPr="00D95F8D">
        <w:rPr>
          <w:color w:val="797325" w:themeColor="accent3" w:themeShade="80"/>
        </w:rPr>
        <w:t xml:space="preserve">: that </w:t>
      </w:r>
      <w:r w:rsidRPr="00D95F8D">
        <w:rPr>
          <w:color w:val="797325" w:themeColor="accent3" w:themeShade="80"/>
        </w:rPr>
        <w:fldChar w:fldCharType="begin"/>
      </w:r>
      <w:r w:rsidRPr="00D95F8D">
        <w:rPr>
          <w:color w:val="797325" w:themeColor="accent3" w:themeShade="80"/>
        </w:rPr>
        <w:instrText xml:space="preserve"> REF _Ref479000396 \h  \* MERGEFORMAT </w:instrText>
      </w:r>
      <w:r w:rsidRPr="00D95F8D">
        <w:rPr>
          <w:color w:val="797325" w:themeColor="accent3" w:themeShade="80"/>
        </w:rPr>
      </w:r>
      <w:r w:rsidRPr="00D95F8D">
        <w:rPr>
          <w:color w:val="797325" w:themeColor="accent3" w:themeShade="80"/>
        </w:rPr>
        <w:fldChar w:fldCharType="separate"/>
      </w:r>
      <w:r w:rsidR="005F359C" w:rsidRPr="004B5E30">
        <w:rPr>
          <w:color w:val="797325" w:themeColor="accent3" w:themeShade="80"/>
        </w:rPr>
        <w:t xml:space="preserve">Table </w:t>
      </w:r>
      <w:r w:rsidR="005F359C">
        <w:rPr>
          <w:noProof/>
          <w:color w:val="797325" w:themeColor="accent3" w:themeShade="80"/>
        </w:rPr>
        <w:t>6</w:t>
      </w:r>
      <w:r w:rsidRPr="00D95F8D">
        <w:rPr>
          <w:color w:val="797325" w:themeColor="accent3" w:themeShade="80"/>
        </w:rPr>
        <w:fldChar w:fldCharType="end"/>
      </w:r>
      <w:r w:rsidRPr="00D95F8D">
        <w:rPr>
          <w:color w:val="797325" w:themeColor="accent3" w:themeShade="80"/>
        </w:rPr>
        <w:t xml:space="preserve"> does not include the </w:t>
      </w:r>
      <w:r w:rsidR="0059374F">
        <w:rPr>
          <w:color w:val="797325" w:themeColor="accent3" w:themeShade="80"/>
        </w:rPr>
        <w:t>exact</w:t>
      </w:r>
      <w:r w:rsidRPr="00D95F8D">
        <w:rPr>
          <w:color w:val="797325" w:themeColor="accent3" w:themeShade="80"/>
        </w:rPr>
        <w:t xml:space="preserve"> list of key values identified in the </w:t>
      </w:r>
      <w:r w:rsidR="0059374F">
        <w:rPr>
          <w:color w:val="797325" w:themeColor="accent3" w:themeShade="80"/>
        </w:rPr>
        <w:t xml:space="preserve">draft Lake Eyre Basin </w:t>
      </w:r>
      <w:r w:rsidR="0059374F" w:rsidRPr="00D95F8D">
        <w:rPr>
          <w:color w:val="797325" w:themeColor="accent3" w:themeShade="80"/>
        </w:rPr>
        <w:t>State of the Basin</w:t>
      </w:r>
      <w:r w:rsidR="0059374F">
        <w:rPr>
          <w:color w:val="797325" w:themeColor="accent3" w:themeShade="80"/>
        </w:rPr>
        <w:t xml:space="preserve"> Condition Assessment 2016</w:t>
      </w:r>
      <w:r w:rsidR="0059374F" w:rsidRPr="00D95F8D">
        <w:rPr>
          <w:color w:val="797325" w:themeColor="accent3" w:themeShade="80"/>
        </w:rPr>
        <w:t xml:space="preserve"> </w:t>
      </w:r>
      <w:r w:rsidR="0059374F">
        <w:rPr>
          <w:color w:val="797325" w:themeColor="accent3" w:themeShade="80"/>
        </w:rPr>
        <w:t>R</w:t>
      </w:r>
      <w:r w:rsidR="0059374F" w:rsidRPr="00D95F8D">
        <w:rPr>
          <w:color w:val="797325" w:themeColor="accent3" w:themeShade="80"/>
        </w:rPr>
        <w:t>eport; the abbreviated list is provided for purely demonstration purposes</w:t>
      </w:r>
      <w:r w:rsidRPr="00D95F8D">
        <w:rPr>
          <w:color w:val="797325" w:themeColor="accent3" w:themeShade="80"/>
        </w:rPr>
        <w:t>.</w:t>
      </w:r>
    </w:p>
    <w:p w14:paraId="16CC890A" w14:textId="323167AC" w:rsidR="004B5E30" w:rsidRPr="004B5E30" w:rsidRDefault="004B5E30" w:rsidP="004B5E30">
      <w:pPr>
        <w:pStyle w:val="Caption"/>
        <w:shd w:val="clear" w:color="auto" w:fill="F6F4E1" w:themeFill="accent3" w:themeFillTint="33"/>
        <w:spacing w:after="0"/>
        <w:rPr>
          <w:color w:val="797325" w:themeColor="accent3" w:themeShade="80"/>
        </w:rPr>
      </w:pPr>
      <w:bookmarkStart w:id="59" w:name="_Ref479000396"/>
      <w:r w:rsidRPr="004B5E30">
        <w:rPr>
          <w:color w:val="797325" w:themeColor="accent3" w:themeShade="80"/>
        </w:rPr>
        <w:t xml:space="preserve">Table </w:t>
      </w:r>
      <w:r w:rsidRPr="004B5E30">
        <w:rPr>
          <w:color w:val="797325" w:themeColor="accent3" w:themeShade="80"/>
        </w:rPr>
        <w:fldChar w:fldCharType="begin"/>
      </w:r>
      <w:r w:rsidRPr="004B5E30">
        <w:rPr>
          <w:color w:val="797325" w:themeColor="accent3" w:themeShade="80"/>
        </w:rPr>
        <w:instrText xml:space="preserve"> SEQ Table \* ARABIC </w:instrText>
      </w:r>
      <w:r w:rsidRPr="004B5E30">
        <w:rPr>
          <w:color w:val="797325" w:themeColor="accent3" w:themeShade="80"/>
        </w:rPr>
        <w:fldChar w:fldCharType="separate"/>
      </w:r>
      <w:r w:rsidR="005F359C">
        <w:rPr>
          <w:noProof/>
          <w:color w:val="797325" w:themeColor="accent3" w:themeShade="80"/>
        </w:rPr>
        <w:t>6</w:t>
      </w:r>
      <w:r w:rsidRPr="004B5E30">
        <w:rPr>
          <w:color w:val="797325" w:themeColor="accent3" w:themeShade="80"/>
        </w:rPr>
        <w:fldChar w:fldCharType="end"/>
      </w:r>
      <w:bookmarkEnd w:id="59"/>
      <w:r w:rsidRPr="004B5E30">
        <w:rPr>
          <w:color w:val="797325" w:themeColor="accent3" w:themeShade="80"/>
        </w:rPr>
        <w:t xml:space="preserve">: Example </w:t>
      </w:r>
      <w:r w:rsidR="00153B91" w:rsidRPr="004B5E30">
        <w:rPr>
          <w:color w:val="797325" w:themeColor="accent3" w:themeShade="80"/>
        </w:rPr>
        <w:t>OF KEY</w:t>
      </w:r>
      <w:r w:rsidR="00153B91">
        <w:rPr>
          <w:color w:val="797325" w:themeColor="accent3" w:themeShade="80"/>
        </w:rPr>
        <w:t xml:space="preserve"> </w:t>
      </w:r>
      <w:r w:rsidRPr="004B5E30">
        <w:rPr>
          <w:color w:val="797325" w:themeColor="accent3" w:themeShade="80"/>
        </w:rPr>
        <w:t>Values associated with Lake Eyre basin (source document LBMF 2017).</w:t>
      </w:r>
    </w:p>
    <w:tbl>
      <w:tblPr>
        <w:tblStyle w:val="LightList-Accent2"/>
        <w:tblW w:w="0" w:type="auto"/>
        <w:tblInd w:w="108" w:type="dxa"/>
        <w:tblBorders>
          <w:top w:val="single" w:sz="8" w:space="0" w:color="9CBEBD"/>
          <w:left w:val="single" w:sz="8" w:space="0" w:color="9CBEBD"/>
          <w:bottom w:val="single" w:sz="8" w:space="0" w:color="9CBEBD"/>
          <w:right w:val="single" w:sz="8" w:space="0" w:color="9CBEBD"/>
          <w:insideH w:val="single" w:sz="8" w:space="0" w:color="9CBEBD"/>
          <w:insideV w:val="single" w:sz="8" w:space="0" w:color="9CBEBD"/>
        </w:tblBorders>
        <w:tblLook w:val="04A0" w:firstRow="1" w:lastRow="0" w:firstColumn="1" w:lastColumn="0" w:noHBand="0" w:noVBand="1"/>
      </w:tblPr>
      <w:tblGrid>
        <w:gridCol w:w="5103"/>
        <w:gridCol w:w="2605"/>
        <w:gridCol w:w="1190"/>
      </w:tblGrid>
      <w:tr w:rsidR="00D6580B" w:rsidRPr="00494796" w14:paraId="22CAF6A3" w14:textId="09C31046" w:rsidTr="003909B8">
        <w:trPr>
          <w:cnfStyle w:val="100000000000" w:firstRow="1" w:lastRow="0" w:firstColumn="0" w:lastColumn="0" w:oddVBand="0" w:evenVBand="0" w:oddHBand="0" w:evenHBand="0" w:firstRowFirstColumn="0" w:firstRowLastColumn="0" w:lastRowFirstColumn="0" w:lastRowLastColumn="0"/>
          <w:cantSplit/>
          <w:trHeight w:val="430"/>
          <w:tblHeader/>
        </w:trPr>
        <w:tc>
          <w:tcPr>
            <w:cnfStyle w:val="001000000000" w:firstRow="0" w:lastRow="0" w:firstColumn="1" w:lastColumn="0" w:oddVBand="0" w:evenVBand="0" w:oddHBand="0" w:evenHBand="0" w:firstRowFirstColumn="0" w:firstRowLastColumn="0" w:lastRowFirstColumn="0" w:lastRowLastColumn="0"/>
            <w:tcW w:w="5103" w:type="dxa"/>
            <w:shd w:val="clear" w:color="auto" w:fill="9CBEBD"/>
          </w:tcPr>
          <w:p w14:paraId="2C53DBA5" w14:textId="189678B1" w:rsidR="00D6580B" w:rsidRPr="001C3877" w:rsidRDefault="00D6580B" w:rsidP="0059374F">
            <w:pPr>
              <w:rPr>
                <w:rFonts w:eastAsia="Times New Roman" w:cs="Calibri"/>
                <w:color w:val="FFFFFF"/>
                <w:sz w:val="18"/>
                <w:szCs w:val="18"/>
              </w:rPr>
            </w:pPr>
            <w:r>
              <w:rPr>
                <w:rFonts w:eastAsia="Times New Roman" w:cs="Calibri"/>
                <w:color w:val="FFFFFF"/>
                <w:sz w:val="18"/>
                <w:szCs w:val="18"/>
              </w:rPr>
              <w:t>V</w:t>
            </w:r>
            <w:r w:rsidRPr="001C3877">
              <w:rPr>
                <w:rFonts w:eastAsia="Times New Roman" w:cs="Calibri"/>
                <w:color w:val="FFFFFF"/>
                <w:sz w:val="18"/>
                <w:szCs w:val="18"/>
              </w:rPr>
              <w:t>alue</w:t>
            </w:r>
          </w:p>
        </w:tc>
        <w:tc>
          <w:tcPr>
            <w:tcW w:w="2605" w:type="dxa"/>
            <w:shd w:val="clear" w:color="auto" w:fill="9CBEBD"/>
          </w:tcPr>
          <w:p w14:paraId="281E05A3" w14:textId="77777777" w:rsidR="00D6580B" w:rsidRPr="001C3877" w:rsidRDefault="00D6580B" w:rsidP="006D4FE7">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rPr>
            </w:pPr>
            <w:r>
              <w:rPr>
                <w:rFonts w:eastAsia="Times New Roman" w:cs="Calibri"/>
                <w:color w:val="FFFFFF"/>
                <w:sz w:val="18"/>
                <w:szCs w:val="18"/>
              </w:rPr>
              <w:t>Distilled/ short hand description</w:t>
            </w:r>
          </w:p>
        </w:tc>
        <w:tc>
          <w:tcPr>
            <w:tcW w:w="0" w:type="auto"/>
            <w:shd w:val="clear" w:color="auto" w:fill="9CBEBD"/>
          </w:tcPr>
          <w:p w14:paraId="1B540C13" w14:textId="4035D43F" w:rsidR="00D6580B" w:rsidRPr="00D6580B" w:rsidRDefault="00D6580B" w:rsidP="00D6580B">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rPr>
            </w:pPr>
            <w:r>
              <w:rPr>
                <w:rFonts w:eastAsia="Times New Roman" w:cs="Calibri"/>
                <w:color w:val="FFFFFF"/>
                <w:sz w:val="18"/>
                <w:szCs w:val="18"/>
              </w:rPr>
              <w:t xml:space="preserve">IECA </w:t>
            </w:r>
            <w:r w:rsidRPr="001C3877">
              <w:rPr>
                <w:rFonts w:eastAsia="Times New Roman" w:cs="Calibri"/>
                <w:color w:val="FFFFFF"/>
                <w:sz w:val="18"/>
                <w:szCs w:val="18"/>
              </w:rPr>
              <w:t>Theme</w:t>
            </w:r>
          </w:p>
        </w:tc>
      </w:tr>
      <w:tr w:rsidR="00D6580B" w:rsidRPr="00494796" w14:paraId="7E66F1C4" w14:textId="025FE2B0" w:rsidTr="003909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03" w:type="dxa"/>
          </w:tcPr>
          <w:p w14:paraId="31D24AA2" w14:textId="77777777" w:rsidR="00D6580B" w:rsidRPr="00D6580B" w:rsidRDefault="00D6580B" w:rsidP="006D4FE7">
            <w:pPr>
              <w:rPr>
                <w:rFonts w:eastAsia="Times New Roman" w:cs="Calibri"/>
                <w:b w:val="0"/>
                <w:color w:val="797325" w:themeColor="accent3" w:themeShade="80"/>
                <w:sz w:val="18"/>
                <w:szCs w:val="18"/>
              </w:rPr>
            </w:pPr>
            <w:r w:rsidRPr="00D6580B">
              <w:rPr>
                <w:rFonts w:eastAsia="Times New Roman" w:cs="Calibri"/>
                <w:b w:val="0"/>
                <w:color w:val="797325" w:themeColor="accent3" w:themeShade="80"/>
                <w:spacing w:val="-1"/>
                <w:sz w:val="18"/>
                <w:szCs w:val="18"/>
              </w:rPr>
              <w:t>R</w:t>
            </w:r>
            <w:r w:rsidRPr="00D6580B">
              <w:rPr>
                <w:rFonts w:eastAsia="Times New Roman" w:cs="Calibri"/>
                <w:b w:val="0"/>
                <w:color w:val="797325" w:themeColor="accent3" w:themeShade="80"/>
                <w:spacing w:val="1"/>
                <w:sz w:val="18"/>
                <w:szCs w:val="18"/>
              </w:rPr>
              <w:t>i</w:t>
            </w:r>
            <w:r w:rsidRPr="00D6580B">
              <w:rPr>
                <w:rFonts w:eastAsia="Times New Roman" w:cs="Calibri"/>
                <w:b w:val="0"/>
                <w:color w:val="797325" w:themeColor="accent3" w:themeShade="80"/>
                <w:spacing w:val="-1"/>
                <w:sz w:val="18"/>
                <w:szCs w:val="18"/>
              </w:rPr>
              <w:t>v</w:t>
            </w:r>
            <w:r w:rsidRPr="00D6580B">
              <w:rPr>
                <w:rFonts w:eastAsia="Times New Roman" w:cs="Calibri"/>
                <w:b w:val="0"/>
                <w:color w:val="797325" w:themeColor="accent3" w:themeShade="80"/>
                <w:sz w:val="18"/>
                <w:szCs w:val="18"/>
              </w:rPr>
              <w:t>e</w:t>
            </w:r>
            <w:r w:rsidRPr="00D6580B">
              <w:rPr>
                <w:rFonts w:eastAsia="Times New Roman" w:cs="Calibri"/>
                <w:b w:val="0"/>
                <w:color w:val="797325" w:themeColor="accent3" w:themeShade="80"/>
                <w:spacing w:val="-1"/>
                <w:sz w:val="18"/>
                <w:szCs w:val="18"/>
              </w:rPr>
              <w:t>r</w:t>
            </w:r>
            <w:r w:rsidRPr="00D6580B">
              <w:rPr>
                <w:rFonts w:eastAsia="Times New Roman" w:cs="Calibri"/>
                <w:b w:val="0"/>
                <w:color w:val="797325" w:themeColor="accent3" w:themeShade="80"/>
                <w:sz w:val="18"/>
                <w:szCs w:val="18"/>
              </w:rPr>
              <w:t>s</w:t>
            </w:r>
            <w:r w:rsidRPr="00D6580B">
              <w:rPr>
                <w:rFonts w:eastAsia="Times New Roman" w:cs="Calibri"/>
                <w:b w:val="0"/>
                <w:color w:val="797325" w:themeColor="accent3" w:themeShade="80"/>
                <w:spacing w:val="-2"/>
                <w:sz w:val="18"/>
                <w:szCs w:val="18"/>
              </w:rPr>
              <w:t xml:space="preserve"> </w:t>
            </w:r>
            <w:r w:rsidRPr="00D6580B">
              <w:rPr>
                <w:rFonts w:eastAsia="Times New Roman" w:cs="Calibri"/>
                <w:b w:val="0"/>
                <w:color w:val="797325" w:themeColor="accent3" w:themeShade="80"/>
                <w:sz w:val="18"/>
                <w:szCs w:val="18"/>
              </w:rPr>
              <w:t>of</w:t>
            </w:r>
            <w:r w:rsidRPr="00D6580B">
              <w:rPr>
                <w:rFonts w:eastAsia="Times New Roman" w:cs="Calibri"/>
                <w:b w:val="0"/>
                <w:color w:val="797325" w:themeColor="accent3" w:themeShade="80"/>
                <w:spacing w:val="-1"/>
                <w:sz w:val="18"/>
                <w:szCs w:val="18"/>
              </w:rPr>
              <w:t xml:space="preserve"> t</w:t>
            </w:r>
            <w:r w:rsidRPr="00D6580B">
              <w:rPr>
                <w:rFonts w:eastAsia="Times New Roman" w:cs="Calibri"/>
                <w:b w:val="0"/>
                <w:color w:val="797325" w:themeColor="accent3" w:themeShade="80"/>
                <w:sz w:val="18"/>
                <w:szCs w:val="18"/>
              </w:rPr>
              <w:t>he</w:t>
            </w:r>
            <w:r w:rsidRPr="00D6580B">
              <w:rPr>
                <w:rFonts w:eastAsia="Times New Roman" w:cs="Calibri"/>
                <w:b w:val="0"/>
                <w:color w:val="797325" w:themeColor="accent3" w:themeShade="80"/>
                <w:spacing w:val="-1"/>
                <w:sz w:val="18"/>
                <w:szCs w:val="18"/>
              </w:rPr>
              <w:t xml:space="preserve"> </w:t>
            </w:r>
            <w:r w:rsidRPr="00D6580B">
              <w:rPr>
                <w:rFonts w:eastAsia="Times New Roman" w:cs="Calibri"/>
                <w:b w:val="0"/>
                <w:color w:val="797325" w:themeColor="accent3" w:themeShade="80"/>
                <w:sz w:val="18"/>
                <w:szCs w:val="18"/>
              </w:rPr>
              <w:t>Basin a</w:t>
            </w:r>
            <w:r w:rsidRPr="00D6580B">
              <w:rPr>
                <w:rFonts w:eastAsia="Times New Roman" w:cs="Calibri"/>
                <w:b w:val="0"/>
                <w:color w:val="797325" w:themeColor="accent3" w:themeShade="80"/>
                <w:spacing w:val="-3"/>
                <w:sz w:val="18"/>
                <w:szCs w:val="18"/>
              </w:rPr>
              <w:t>r</w:t>
            </w:r>
            <w:r w:rsidRPr="00D6580B">
              <w:rPr>
                <w:rFonts w:eastAsia="Times New Roman" w:cs="Calibri"/>
                <w:b w:val="0"/>
                <w:color w:val="797325" w:themeColor="accent3" w:themeShade="80"/>
                <w:sz w:val="18"/>
                <w:szCs w:val="18"/>
              </w:rPr>
              <w:t>e</w:t>
            </w:r>
            <w:r w:rsidRPr="00D6580B">
              <w:rPr>
                <w:rFonts w:eastAsia="Times New Roman" w:cs="Calibri"/>
                <w:b w:val="0"/>
                <w:color w:val="797325" w:themeColor="accent3" w:themeShade="80"/>
                <w:spacing w:val="-1"/>
                <w:sz w:val="18"/>
                <w:szCs w:val="18"/>
              </w:rPr>
              <w:t xml:space="preserve"> </w:t>
            </w:r>
            <w:r w:rsidRPr="00D6580B">
              <w:rPr>
                <w:rFonts w:eastAsia="Times New Roman" w:cs="Calibri"/>
                <w:b w:val="0"/>
                <w:color w:val="797325" w:themeColor="accent3" w:themeShade="80"/>
                <w:spacing w:val="-3"/>
                <w:sz w:val="18"/>
                <w:szCs w:val="18"/>
              </w:rPr>
              <w:t>a</w:t>
            </w:r>
            <w:r w:rsidRPr="00D6580B">
              <w:rPr>
                <w:rFonts w:eastAsia="Times New Roman" w:cs="Calibri"/>
                <w:b w:val="0"/>
                <w:color w:val="797325" w:themeColor="accent3" w:themeShade="80"/>
                <w:spacing w:val="1"/>
                <w:sz w:val="18"/>
                <w:szCs w:val="18"/>
              </w:rPr>
              <w:t>m</w:t>
            </w:r>
            <w:r w:rsidRPr="00D6580B">
              <w:rPr>
                <w:rFonts w:eastAsia="Times New Roman" w:cs="Calibri"/>
                <w:b w:val="0"/>
                <w:color w:val="797325" w:themeColor="accent3" w:themeShade="80"/>
                <w:sz w:val="18"/>
                <w:szCs w:val="18"/>
              </w:rPr>
              <w:t>o</w:t>
            </w:r>
            <w:r w:rsidRPr="00D6580B">
              <w:rPr>
                <w:rFonts w:eastAsia="Times New Roman" w:cs="Calibri"/>
                <w:b w:val="0"/>
                <w:color w:val="797325" w:themeColor="accent3" w:themeShade="80"/>
                <w:spacing w:val="-1"/>
                <w:sz w:val="18"/>
                <w:szCs w:val="18"/>
              </w:rPr>
              <w:t>n</w:t>
            </w:r>
            <w:r w:rsidRPr="00D6580B">
              <w:rPr>
                <w:rFonts w:eastAsia="Times New Roman" w:cs="Calibri"/>
                <w:b w:val="0"/>
                <w:color w:val="797325" w:themeColor="accent3" w:themeShade="80"/>
                <w:spacing w:val="-2"/>
                <w:sz w:val="18"/>
                <w:szCs w:val="18"/>
              </w:rPr>
              <w:t>g</w:t>
            </w:r>
            <w:r w:rsidRPr="00D6580B">
              <w:rPr>
                <w:rFonts w:eastAsia="Times New Roman" w:cs="Calibri"/>
                <w:b w:val="0"/>
                <w:color w:val="797325" w:themeColor="accent3" w:themeShade="80"/>
                <w:spacing w:val="1"/>
                <w:sz w:val="18"/>
                <w:szCs w:val="18"/>
              </w:rPr>
              <w:t>s</w:t>
            </w:r>
            <w:r w:rsidRPr="00D6580B">
              <w:rPr>
                <w:rFonts w:eastAsia="Times New Roman" w:cs="Calibri"/>
                <w:b w:val="0"/>
                <w:color w:val="797325" w:themeColor="accent3" w:themeShade="80"/>
                <w:sz w:val="18"/>
                <w:szCs w:val="18"/>
              </w:rPr>
              <w:t>t</w:t>
            </w:r>
            <w:r w:rsidRPr="00D6580B">
              <w:rPr>
                <w:rFonts w:eastAsia="Times New Roman" w:cs="Calibri"/>
                <w:b w:val="0"/>
                <w:color w:val="797325" w:themeColor="accent3" w:themeShade="80"/>
                <w:spacing w:val="-1"/>
                <w:sz w:val="18"/>
                <w:szCs w:val="18"/>
              </w:rPr>
              <w:t xml:space="preserve"> t</w:t>
            </w:r>
            <w:r w:rsidRPr="00D6580B">
              <w:rPr>
                <w:rFonts w:eastAsia="Times New Roman" w:cs="Calibri"/>
                <w:b w:val="0"/>
                <w:color w:val="797325" w:themeColor="accent3" w:themeShade="80"/>
                <w:spacing w:val="-2"/>
                <w:sz w:val="18"/>
                <w:szCs w:val="18"/>
              </w:rPr>
              <w:t>h</w:t>
            </w:r>
            <w:r w:rsidRPr="00D6580B">
              <w:rPr>
                <w:rFonts w:eastAsia="Times New Roman" w:cs="Calibri"/>
                <w:b w:val="0"/>
                <w:color w:val="797325" w:themeColor="accent3" w:themeShade="80"/>
                <w:sz w:val="18"/>
                <w:szCs w:val="18"/>
              </w:rPr>
              <w:t>e</w:t>
            </w:r>
            <w:r w:rsidRPr="00D6580B">
              <w:rPr>
                <w:rFonts w:eastAsia="Times New Roman" w:cs="Calibri"/>
                <w:b w:val="0"/>
                <w:color w:val="797325" w:themeColor="accent3" w:themeShade="80"/>
                <w:spacing w:val="-1"/>
                <w:sz w:val="18"/>
                <w:szCs w:val="18"/>
              </w:rPr>
              <w:t xml:space="preserve"> </w:t>
            </w:r>
            <w:r w:rsidRPr="00D6580B">
              <w:rPr>
                <w:rFonts w:eastAsia="Times New Roman" w:cs="Calibri"/>
                <w:b w:val="0"/>
                <w:color w:val="797325" w:themeColor="accent3" w:themeShade="80"/>
                <w:spacing w:val="-2"/>
                <w:sz w:val="18"/>
                <w:szCs w:val="18"/>
              </w:rPr>
              <w:t>m</w:t>
            </w:r>
            <w:r w:rsidRPr="00D6580B">
              <w:rPr>
                <w:rFonts w:eastAsia="Times New Roman" w:cs="Calibri"/>
                <w:b w:val="0"/>
                <w:color w:val="797325" w:themeColor="accent3" w:themeShade="80"/>
                <w:sz w:val="18"/>
                <w:szCs w:val="18"/>
              </w:rPr>
              <w:t>o</w:t>
            </w:r>
            <w:r w:rsidRPr="00D6580B">
              <w:rPr>
                <w:rFonts w:eastAsia="Times New Roman" w:cs="Calibri"/>
                <w:b w:val="0"/>
                <w:color w:val="797325" w:themeColor="accent3" w:themeShade="80"/>
                <w:spacing w:val="1"/>
                <w:sz w:val="18"/>
                <w:szCs w:val="18"/>
              </w:rPr>
              <w:t>s</w:t>
            </w:r>
            <w:r w:rsidRPr="00D6580B">
              <w:rPr>
                <w:rFonts w:eastAsia="Times New Roman" w:cs="Calibri"/>
                <w:b w:val="0"/>
                <w:color w:val="797325" w:themeColor="accent3" w:themeShade="80"/>
                <w:sz w:val="18"/>
                <w:szCs w:val="18"/>
              </w:rPr>
              <w:t>t h</w:t>
            </w:r>
            <w:r w:rsidRPr="00D6580B">
              <w:rPr>
                <w:rFonts w:eastAsia="Times New Roman" w:cs="Calibri"/>
                <w:b w:val="0"/>
                <w:color w:val="797325" w:themeColor="accent3" w:themeShade="80"/>
                <w:spacing w:val="-1"/>
                <w:sz w:val="18"/>
                <w:szCs w:val="18"/>
              </w:rPr>
              <w:t>ydr</w:t>
            </w:r>
            <w:r w:rsidRPr="00D6580B">
              <w:rPr>
                <w:rFonts w:eastAsia="Times New Roman" w:cs="Calibri"/>
                <w:b w:val="0"/>
                <w:color w:val="797325" w:themeColor="accent3" w:themeShade="80"/>
                <w:sz w:val="18"/>
                <w:szCs w:val="18"/>
              </w:rPr>
              <w:t>olo</w:t>
            </w:r>
            <w:r w:rsidRPr="00D6580B">
              <w:rPr>
                <w:rFonts w:eastAsia="Times New Roman" w:cs="Calibri"/>
                <w:b w:val="0"/>
                <w:color w:val="797325" w:themeColor="accent3" w:themeShade="80"/>
                <w:spacing w:val="-2"/>
                <w:sz w:val="18"/>
                <w:szCs w:val="18"/>
              </w:rPr>
              <w:t>gi</w:t>
            </w:r>
            <w:r w:rsidRPr="00D6580B">
              <w:rPr>
                <w:rFonts w:eastAsia="Times New Roman" w:cs="Calibri"/>
                <w:b w:val="0"/>
                <w:color w:val="797325" w:themeColor="accent3" w:themeShade="80"/>
                <w:spacing w:val="1"/>
                <w:sz w:val="18"/>
                <w:szCs w:val="18"/>
              </w:rPr>
              <w:t>c</w:t>
            </w:r>
            <w:r w:rsidRPr="00D6580B">
              <w:rPr>
                <w:rFonts w:eastAsia="Times New Roman" w:cs="Calibri"/>
                <w:b w:val="0"/>
                <w:color w:val="797325" w:themeColor="accent3" w:themeShade="80"/>
                <w:sz w:val="18"/>
                <w:szCs w:val="18"/>
              </w:rPr>
              <w:t>a</w:t>
            </w:r>
            <w:r w:rsidRPr="00D6580B">
              <w:rPr>
                <w:rFonts w:eastAsia="Times New Roman" w:cs="Calibri"/>
                <w:b w:val="0"/>
                <w:color w:val="797325" w:themeColor="accent3" w:themeShade="80"/>
                <w:spacing w:val="-3"/>
                <w:sz w:val="18"/>
                <w:szCs w:val="18"/>
              </w:rPr>
              <w:t>l</w:t>
            </w:r>
            <w:r w:rsidRPr="00D6580B">
              <w:rPr>
                <w:rFonts w:eastAsia="Times New Roman" w:cs="Calibri"/>
                <w:b w:val="0"/>
                <w:color w:val="797325" w:themeColor="accent3" w:themeShade="80"/>
                <w:sz w:val="18"/>
                <w:szCs w:val="18"/>
              </w:rPr>
              <w:t>ly</w:t>
            </w:r>
            <w:r w:rsidRPr="00D6580B">
              <w:rPr>
                <w:rFonts w:eastAsia="Times New Roman" w:cs="Calibri"/>
                <w:b w:val="0"/>
                <w:color w:val="797325" w:themeColor="accent3" w:themeShade="80"/>
                <w:spacing w:val="-2"/>
                <w:sz w:val="18"/>
                <w:szCs w:val="18"/>
              </w:rPr>
              <w:t xml:space="preserve"> </w:t>
            </w:r>
            <w:r w:rsidRPr="00D6580B">
              <w:rPr>
                <w:rFonts w:eastAsia="Times New Roman" w:cs="Calibri"/>
                <w:b w:val="0"/>
                <w:color w:val="797325" w:themeColor="accent3" w:themeShade="80"/>
                <w:spacing w:val="-1"/>
                <w:sz w:val="18"/>
                <w:szCs w:val="18"/>
              </w:rPr>
              <w:t>v</w:t>
            </w:r>
            <w:r w:rsidRPr="00D6580B">
              <w:rPr>
                <w:rFonts w:eastAsia="Times New Roman" w:cs="Calibri"/>
                <w:b w:val="0"/>
                <w:color w:val="797325" w:themeColor="accent3" w:themeShade="80"/>
                <w:sz w:val="18"/>
                <w:szCs w:val="18"/>
              </w:rPr>
              <w:t>a</w:t>
            </w:r>
            <w:r w:rsidRPr="00D6580B">
              <w:rPr>
                <w:rFonts w:eastAsia="Times New Roman" w:cs="Calibri"/>
                <w:b w:val="0"/>
                <w:color w:val="797325" w:themeColor="accent3" w:themeShade="80"/>
                <w:spacing w:val="-1"/>
                <w:sz w:val="18"/>
                <w:szCs w:val="18"/>
              </w:rPr>
              <w:t>r</w:t>
            </w:r>
            <w:r w:rsidRPr="00D6580B">
              <w:rPr>
                <w:rFonts w:eastAsia="Times New Roman" w:cs="Calibri"/>
                <w:b w:val="0"/>
                <w:color w:val="797325" w:themeColor="accent3" w:themeShade="80"/>
                <w:spacing w:val="1"/>
                <w:sz w:val="18"/>
                <w:szCs w:val="18"/>
              </w:rPr>
              <w:t>i</w:t>
            </w:r>
            <w:r w:rsidRPr="00D6580B">
              <w:rPr>
                <w:rFonts w:eastAsia="Times New Roman" w:cs="Calibri"/>
                <w:b w:val="0"/>
                <w:color w:val="797325" w:themeColor="accent3" w:themeShade="80"/>
                <w:sz w:val="18"/>
                <w:szCs w:val="18"/>
              </w:rPr>
              <w:t>a</w:t>
            </w:r>
            <w:r w:rsidRPr="00D6580B">
              <w:rPr>
                <w:rFonts w:eastAsia="Times New Roman" w:cs="Calibri"/>
                <w:b w:val="0"/>
                <w:color w:val="797325" w:themeColor="accent3" w:themeShade="80"/>
                <w:spacing w:val="-1"/>
                <w:sz w:val="18"/>
                <w:szCs w:val="18"/>
              </w:rPr>
              <w:t>b</w:t>
            </w:r>
            <w:r w:rsidRPr="00D6580B">
              <w:rPr>
                <w:rFonts w:eastAsia="Times New Roman" w:cs="Calibri"/>
                <w:b w:val="0"/>
                <w:color w:val="797325" w:themeColor="accent3" w:themeShade="80"/>
                <w:sz w:val="18"/>
                <w:szCs w:val="18"/>
              </w:rPr>
              <w:t>le</w:t>
            </w:r>
            <w:r w:rsidRPr="00D6580B">
              <w:rPr>
                <w:rFonts w:eastAsia="Times New Roman" w:cs="Calibri"/>
                <w:b w:val="0"/>
                <w:color w:val="797325" w:themeColor="accent3" w:themeShade="80"/>
                <w:spacing w:val="-1"/>
                <w:sz w:val="18"/>
                <w:szCs w:val="18"/>
              </w:rPr>
              <w:t xml:space="preserve"> in the w</w:t>
            </w:r>
            <w:r w:rsidRPr="00D6580B">
              <w:rPr>
                <w:rFonts w:eastAsia="Times New Roman" w:cs="Calibri"/>
                <w:b w:val="0"/>
                <w:color w:val="797325" w:themeColor="accent3" w:themeShade="80"/>
                <w:sz w:val="18"/>
                <w:szCs w:val="18"/>
              </w:rPr>
              <w:t>o</w:t>
            </w:r>
            <w:r w:rsidRPr="00D6580B">
              <w:rPr>
                <w:rFonts w:eastAsia="Times New Roman" w:cs="Calibri"/>
                <w:b w:val="0"/>
                <w:color w:val="797325" w:themeColor="accent3" w:themeShade="80"/>
                <w:spacing w:val="-1"/>
                <w:sz w:val="18"/>
                <w:szCs w:val="18"/>
              </w:rPr>
              <w:t>r</w:t>
            </w:r>
            <w:r w:rsidRPr="00D6580B">
              <w:rPr>
                <w:rFonts w:eastAsia="Times New Roman" w:cs="Calibri"/>
                <w:b w:val="0"/>
                <w:color w:val="797325" w:themeColor="accent3" w:themeShade="80"/>
                <w:sz w:val="18"/>
                <w:szCs w:val="18"/>
              </w:rPr>
              <w:t>l</w:t>
            </w:r>
            <w:r w:rsidRPr="00D6580B">
              <w:rPr>
                <w:rFonts w:eastAsia="Times New Roman" w:cs="Calibri"/>
                <w:b w:val="0"/>
                <w:color w:val="797325" w:themeColor="accent3" w:themeShade="80"/>
                <w:spacing w:val="-3"/>
                <w:sz w:val="18"/>
                <w:szCs w:val="18"/>
              </w:rPr>
              <w:t>d</w:t>
            </w:r>
            <w:r w:rsidRPr="00D6580B">
              <w:rPr>
                <w:rFonts w:eastAsia="Times New Roman" w:cs="Calibri"/>
                <w:b w:val="0"/>
                <w:color w:val="797325" w:themeColor="accent3" w:themeShade="80"/>
                <w:sz w:val="18"/>
                <w:szCs w:val="18"/>
              </w:rPr>
              <w:t>, and unpredictable river flows are the key feature determining the health of communities and the environment.</w:t>
            </w:r>
          </w:p>
        </w:tc>
        <w:tc>
          <w:tcPr>
            <w:tcW w:w="2605" w:type="dxa"/>
            <w:vMerge w:val="restart"/>
          </w:tcPr>
          <w:p w14:paraId="6B85E970" w14:textId="77777777" w:rsidR="00D6580B" w:rsidRPr="004B5E30" w:rsidRDefault="00D6580B" w:rsidP="00F4328F">
            <w:pPr>
              <w:pStyle w:val="ListParagraph"/>
              <w:numPr>
                <w:ilvl w:val="0"/>
                <w:numId w:val="43"/>
              </w:num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Natural hydrological regime</w:t>
            </w:r>
          </w:p>
          <w:p w14:paraId="0B595D8F" w14:textId="77777777" w:rsidR="00D6580B" w:rsidRPr="004B5E30" w:rsidRDefault="00D6580B" w:rsidP="00F4328F">
            <w:pPr>
              <w:pStyle w:val="ListParagraph"/>
              <w:numPr>
                <w:ilvl w:val="0"/>
                <w:numId w:val="43"/>
              </w:num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Variable hydrological regime</w:t>
            </w:r>
          </w:p>
        </w:tc>
        <w:tc>
          <w:tcPr>
            <w:tcW w:w="0" w:type="auto"/>
            <w:vMerge w:val="restart"/>
          </w:tcPr>
          <w:p w14:paraId="33882CBD" w14:textId="21442DAB" w:rsidR="00D6580B" w:rsidRPr="00AF446E" w:rsidRDefault="00D6580B" w:rsidP="00D6580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797325" w:themeColor="accent3" w:themeShade="80"/>
                <w:sz w:val="18"/>
                <w:szCs w:val="18"/>
              </w:rPr>
            </w:pPr>
            <w:r w:rsidRPr="00AF446E">
              <w:rPr>
                <w:rFonts w:eastAsia="Times New Roman" w:cs="Calibri"/>
                <w:color w:val="797325" w:themeColor="accent3" w:themeShade="80"/>
                <w:sz w:val="18"/>
                <w:szCs w:val="18"/>
              </w:rPr>
              <w:t>Hydrology - surface water</w:t>
            </w:r>
          </w:p>
        </w:tc>
      </w:tr>
      <w:tr w:rsidR="00D6580B" w:rsidRPr="00494796" w14:paraId="005DFEDA" w14:textId="0A292E59" w:rsidTr="003909B8">
        <w:trPr>
          <w:cantSplit/>
        </w:trPr>
        <w:tc>
          <w:tcPr>
            <w:cnfStyle w:val="001000000000" w:firstRow="0" w:lastRow="0" w:firstColumn="1" w:lastColumn="0" w:oddVBand="0" w:evenVBand="0" w:oddHBand="0" w:evenHBand="0" w:firstRowFirstColumn="0" w:firstRowLastColumn="0" w:lastRowFirstColumn="0" w:lastRowLastColumn="0"/>
            <w:tcW w:w="5103" w:type="dxa"/>
          </w:tcPr>
          <w:p w14:paraId="4EFC9EBE" w14:textId="77777777" w:rsidR="00D6580B" w:rsidRPr="00D6580B" w:rsidRDefault="00D6580B" w:rsidP="006D4FE7">
            <w:pPr>
              <w:rPr>
                <w:rFonts w:eastAsia="Times New Roman" w:cs="Calibri"/>
                <w:b w:val="0"/>
                <w:color w:val="797325" w:themeColor="accent3" w:themeShade="80"/>
                <w:spacing w:val="1"/>
                <w:sz w:val="18"/>
                <w:szCs w:val="18"/>
              </w:rPr>
            </w:pPr>
            <w:r w:rsidRPr="00D6580B">
              <w:rPr>
                <w:rFonts w:eastAsia="Calibri" w:cs="Calibri"/>
                <w:b w:val="0"/>
                <w:color w:val="797325" w:themeColor="accent3" w:themeShade="80"/>
                <w:sz w:val="18"/>
                <w:szCs w:val="18"/>
              </w:rPr>
              <w:t>T</w:t>
            </w:r>
            <w:r w:rsidRPr="00D6580B">
              <w:rPr>
                <w:rFonts w:eastAsia="Times New Roman" w:cs="Calibri"/>
                <w:b w:val="0"/>
                <w:color w:val="797325" w:themeColor="accent3" w:themeShade="80"/>
                <w:sz w:val="18"/>
                <w:szCs w:val="18"/>
              </w:rPr>
              <w:t>he Basin stands out among the great flooded systems of the world because the Channel Country is maintained in relatively unaltered character.</w:t>
            </w:r>
          </w:p>
        </w:tc>
        <w:tc>
          <w:tcPr>
            <w:tcW w:w="2605" w:type="dxa"/>
            <w:vMerge/>
          </w:tcPr>
          <w:p w14:paraId="4C62AB9A" w14:textId="77777777" w:rsidR="00D6580B" w:rsidRPr="004B5E30" w:rsidRDefault="00D6580B" w:rsidP="006D4FE7">
            <w:pPr>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p>
        </w:tc>
        <w:tc>
          <w:tcPr>
            <w:tcW w:w="0" w:type="auto"/>
            <w:vMerge/>
          </w:tcPr>
          <w:p w14:paraId="68E3D516" w14:textId="77777777" w:rsidR="00D6580B" w:rsidRPr="00AF446E" w:rsidRDefault="00D6580B" w:rsidP="00D6580B">
            <w:pPr>
              <w:ind w:left="360"/>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p>
        </w:tc>
      </w:tr>
      <w:tr w:rsidR="00D6580B" w:rsidRPr="00494796" w14:paraId="4AF393EB" w14:textId="07729525" w:rsidTr="003909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03" w:type="dxa"/>
          </w:tcPr>
          <w:p w14:paraId="79AA5D4E" w14:textId="2AB29968" w:rsidR="00D6580B" w:rsidRPr="00D6580B" w:rsidRDefault="00D6580B" w:rsidP="0059374F">
            <w:pPr>
              <w:rPr>
                <w:rFonts w:eastAsia="Times New Roman" w:cs="Calibri"/>
                <w:b w:val="0"/>
                <w:color w:val="797325" w:themeColor="accent3" w:themeShade="80"/>
                <w:spacing w:val="1"/>
                <w:sz w:val="18"/>
                <w:szCs w:val="18"/>
              </w:rPr>
            </w:pPr>
            <w:r w:rsidRPr="00D6580B">
              <w:rPr>
                <w:rFonts w:eastAsia="Times New Roman" w:cs="Calibri"/>
                <w:b w:val="0"/>
                <w:color w:val="797325" w:themeColor="accent3" w:themeShade="80"/>
                <w:sz w:val="18"/>
                <w:szCs w:val="18"/>
              </w:rPr>
              <w:t>Surface water flow is considered to be near natural condition^</w:t>
            </w:r>
          </w:p>
        </w:tc>
        <w:tc>
          <w:tcPr>
            <w:tcW w:w="2605" w:type="dxa"/>
            <w:vMerge/>
          </w:tcPr>
          <w:p w14:paraId="17CA678F" w14:textId="77777777" w:rsidR="00D6580B" w:rsidRPr="00583019" w:rsidRDefault="00D6580B" w:rsidP="00583019">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797325" w:themeColor="accent3" w:themeShade="80"/>
                <w:sz w:val="18"/>
                <w:szCs w:val="18"/>
              </w:rPr>
            </w:pPr>
          </w:p>
        </w:tc>
        <w:tc>
          <w:tcPr>
            <w:tcW w:w="0" w:type="auto"/>
            <w:vMerge/>
          </w:tcPr>
          <w:p w14:paraId="51D07259" w14:textId="77777777" w:rsidR="00D6580B" w:rsidRPr="00AF446E" w:rsidRDefault="00D6580B" w:rsidP="00D6580B">
            <w:pPr>
              <w:ind w:left="36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797325" w:themeColor="accent3" w:themeShade="80"/>
                <w:sz w:val="18"/>
                <w:szCs w:val="18"/>
              </w:rPr>
            </w:pPr>
          </w:p>
        </w:tc>
      </w:tr>
      <w:tr w:rsidR="00D6580B" w:rsidRPr="00494796" w14:paraId="19F23580" w14:textId="44BFAC3B" w:rsidTr="003909B8">
        <w:trPr>
          <w:cantSplit/>
        </w:trPr>
        <w:tc>
          <w:tcPr>
            <w:cnfStyle w:val="001000000000" w:firstRow="0" w:lastRow="0" w:firstColumn="1" w:lastColumn="0" w:oddVBand="0" w:evenVBand="0" w:oddHBand="0" w:evenHBand="0" w:firstRowFirstColumn="0" w:firstRowLastColumn="0" w:lastRowFirstColumn="0" w:lastRowLastColumn="0"/>
            <w:tcW w:w="5103" w:type="dxa"/>
          </w:tcPr>
          <w:p w14:paraId="66EB0C07" w14:textId="46A770B9" w:rsidR="00D6580B" w:rsidRPr="00D6580B" w:rsidRDefault="00D6580B" w:rsidP="0059374F">
            <w:pPr>
              <w:rPr>
                <w:rFonts w:eastAsia="Times New Roman" w:cs="Calibri"/>
                <w:b w:val="0"/>
                <w:color w:val="797325" w:themeColor="accent3" w:themeShade="80"/>
                <w:spacing w:val="1"/>
                <w:sz w:val="18"/>
                <w:szCs w:val="18"/>
              </w:rPr>
            </w:pPr>
            <w:r w:rsidRPr="00D6580B">
              <w:rPr>
                <w:rFonts w:eastAsia="Times New Roman" w:cs="Calibri"/>
                <w:b w:val="0"/>
                <w:color w:val="797325" w:themeColor="accent3" w:themeShade="80"/>
                <w:spacing w:val="1"/>
                <w:sz w:val="18"/>
                <w:szCs w:val="18"/>
              </w:rPr>
              <w:t>Underneath most of the Basin … lies the Great Artesian Basin … which is essential for the Great Artesian Basin springs, permanent wetlands that provide habitat for unique aquatic life forms in otherwise dry landscapes.</w:t>
            </w:r>
          </w:p>
        </w:tc>
        <w:tc>
          <w:tcPr>
            <w:tcW w:w="2605" w:type="dxa"/>
          </w:tcPr>
          <w:p w14:paraId="62394C32" w14:textId="77777777" w:rsidR="00D6580B" w:rsidRPr="004B5E30" w:rsidRDefault="00D6580B" w:rsidP="00F4328F">
            <w:pPr>
              <w:pStyle w:val="ListParagraph"/>
              <w:numPr>
                <w:ilvl w:val="0"/>
                <w:numId w:val="44"/>
              </w:num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Significant subsurface aquatic ecosystems</w:t>
            </w:r>
          </w:p>
          <w:p w14:paraId="4B2D0A55" w14:textId="77777777" w:rsidR="00D6580B" w:rsidRPr="004B5E30" w:rsidRDefault="00D6580B" w:rsidP="006D4FE7">
            <w:pPr>
              <w:pStyle w:val="ListParagraph"/>
              <w:ind w:left="36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p>
        </w:tc>
        <w:tc>
          <w:tcPr>
            <w:tcW w:w="0" w:type="auto"/>
          </w:tcPr>
          <w:p w14:paraId="083F1C7E" w14:textId="6BC841F9" w:rsidR="00D6580B" w:rsidRPr="00AF446E" w:rsidRDefault="00D6580B" w:rsidP="00D6580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r w:rsidRPr="00AF446E">
              <w:rPr>
                <w:rFonts w:eastAsia="Times New Roman" w:cs="Calibri"/>
                <w:color w:val="797325" w:themeColor="accent3" w:themeShade="80"/>
                <w:sz w:val="18"/>
                <w:szCs w:val="18"/>
              </w:rPr>
              <w:t>Hydrology - groundwater</w:t>
            </w:r>
          </w:p>
        </w:tc>
      </w:tr>
      <w:tr w:rsidR="00D6580B" w:rsidRPr="00494796" w14:paraId="0130428A" w14:textId="7834C511" w:rsidTr="003909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03" w:type="dxa"/>
          </w:tcPr>
          <w:p w14:paraId="0B4A35AE" w14:textId="77777777" w:rsidR="00D6580B" w:rsidRPr="00D6580B" w:rsidRDefault="00D6580B" w:rsidP="006D4FE7">
            <w:pPr>
              <w:jc w:val="left"/>
              <w:rPr>
                <w:rFonts w:eastAsia="Times New Roman" w:cs="Calibri"/>
                <w:b w:val="0"/>
                <w:color w:val="797325" w:themeColor="accent3" w:themeShade="80"/>
                <w:spacing w:val="1"/>
                <w:sz w:val="18"/>
                <w:szCs w:val="18"/>
              </w:rPr>
            </w:pPr>
            <w:r w:rsidRPr="00D6580B">
              <w:rPr>
                <w:rFonts w:eastAsia="Calibri" w:cs="Calibri"/>
                <w:b w:val="0"/>
                <w:color w:val="797325" w:themeColor="accent3" w:themeShade="80"/>
                <w:sz w:val="18"/>
                <w:szCs w:val="18"/>
              </w:rPr>
              <w:t>Hydrology has an overriding influence on the riverine ecosystems and the plants and animals inhabiting those systems in the Basin.</w:t>
            </w:r>
          </w:p>
        </w:tc>
        <w:tc>
          <w:tcPr>
            <w:tcW w:w="2605" w:type="dxa"/>
          </w:tcPr>
          <w:p w14:paraId="38FA1254" w14:textId="77777777" w:rsidR="00D6580B" w:rsidRPr="004B5E30" w:rsidRDefault="00D6580B" w:rsidP="00F4328F">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Times New Roman"/>
                <w:color w:val="797325" w:themeColor="accent3" w:themeShade="80"/>
                <w:sz w:val="18"/>
                <w:szCs w:val="18"/>
              </w:rPr>
              <w:t>*Provides refuges for aquatic biota</w:t>
            </w:r>
          </w:p>
          <w:p w14:paraId="6C9DEA3E" w14:textId="77777777" w:rsidR="00D6580B" w:rsidRPr="004B5E30" w:rsidRDefault="00D6580B" w:rsidP="00F4328F">
            <w:pPr>
              <w:pStyle w:val="ListParagraph"/>
              <w:numPr>
                <w:ilvl w:val="0"/>
                <w:numId w:val="44"/>
              </w:num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Times New Roman"/>
                <w:color w:val="797325" w:themeColor="accent3" w:themeShade="80"/>
                <w:sz w:val="18"/>
                <w:szCs w:val="18"/>
              </w:rPr>
              <w:t>Supports migratory species</w:t>
            </w:r>
          </w:p>
        </w:tc>
        <w:tc>
          <w:tcPr>
            <w:tcW w:w="0" w:type="auto"/>
          </w:tcPr>
          <w:p w14:paraId="1B791F54" w14:textId="03B40C94" w:rsidR="00D6580B" w:rsidRPr="00AF446E" w:rsidRDefault="00D6580B" w:rsidP="00D6580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797325" w:themeColor="accent3" w:themeShade="80"/>
                <w:sz w:val="18"/>
                <w:szCs w:val="18"/>
              </w:rPr>
            </w:pPr>
            <w:r w:rsidRPr="00AF446E">
              <w:rPr>
                <w:rFonts w:eastAsia="Times New Roman" w:cs="Calibri"/>
                <w:color w:val="797325" w:themeColor="accent3" w:themeShade="80"/>
                <w:sz w:val="18"/>
                <w:szCs w:val="18"/>
              </w:rPr>
              <w:t>Aquatic ecosystem connectivity</w:t>
            </w:r>
          </w:p>
        </w:tc>
      </w:tr>
      <w:tr w:rsidR="00D6580B" w:rsidRPr="00494796" w14:paraId="7EEFF600" w14:textId="10B3A0A0" w:rsidTr="003909B8">
        <w:trPr>
          <w:cantSplit/>
        </w:trPr>
        <w:tc>
          <w:tcPr>
            <w:cnfStyle w:val="001000000000" w:firstRow="0" w:lastRow="0" w:firstColumn="1" w:lastColumn="0" w:oddVBand="0" w:evenVBand="0" w:oddHBand="0" w:evenHBand="0" w:firstRowFirstColumn="0" w:firstRowLastColumn="0" w:lastRowFirstColumn="0" w:lastRowLastColumn="0"/>
            <w:tcW w:w="5103" w:type="dxa"/>
          </w:tcPr>
          <w:p w14:paraId="38C6BBA8" w14:textId="77777777" w:rsidR="00D6580B" w:rsidRPr="00D6580B" w:rsidRDefault="00D6580B" w:rsidP="006D4FE7">
            <w:pPr>
              <w:rPr>
                <w:rFonts w:eastAsia="Times New Roman" w:cs="Calibri"/>
                <w:b w:val="0"/>
                <w:color w:val="797325" w:themeColor="accent3" w:themeShade="80"/>
                <w:sz w:val="18"/>
                <w:szCs w:val="18"/>
              </w:rPr>
            </w:pPr>
            <w:r w:rsidRPr="00D6580B">
              <w:rPr>
                <w:rFonts w:eastAsia="Times New Roman" w:cs="Calibri"/>
                <w:b w:val="0"/>
                <w:color w:val="797325" w:themeColor="accent3" w:themeShade="80"/>
                <w:spacing w:val="1"/>
                <w:sz w:val="18"/>
                <w:szCs w:val="18"/>
              </w:rPr>
              <w:t>Many plants and fish in these diverse aquatic ecosystems only occur in the Basin.</w:t>
            </w:r>
          </w:p>
        </w:tc>
        <w:tc>
          <w:tcPr>
            <w:tcW w:w="2605" w:type="dxa"/>
            <w:vMerge w:val="restart"/>
          </w:tcPr>
          <w:p w14:paraId="3B19E50D" w14:textId="77777777" w:rsidR="00D6580B" w:rsidRPr="004B5E30" w:rsidRDefault="00D6580B" w:rsidP="00F4328F">
            <w:pPr>
              <w:pStyle w:val="ListParagraph"/>
              <w:numPr>
                <w:ilvl w:val="0"/>
                <w:numId w:val="44"/>
              </w:num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**Supports rare and threatened species</w:t>
            </w:r>
          </w:p>
          <w:p w14:paraId="6B74EAC1" w14:textId="77777777" w:rsidR="00D6580B" w:rsidRPr="004B5E30" w:rsidRDefault="00D6580B" w:rsidP="00F4328F">
            <w:pPr>
              <w:pStyle w:val="ListParagraph"/>
              <w:numPr>
                <w:ilvl w:val="0"/>
                <w:numId w:val="44"/>
              </w:num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Supports endemic species</w:t>
            </w:r>
          </w:p>
          <w:p w14:paraId="7F5ECF71" w14:textId="77777777" w:rsidR="00D6580B" w:rsidRPr="004B5E30" w:rsidRDefault="00D6580B" w:rsidP="00F4328F">
            <w:pPr>
              <w:pStyle w:val="ListParagraph"/>
              <w:numPr>
                <w:ilvl w:val="0"/>
                <w:numId w:val="44"/>
              </w:num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Vegetation diversity</w:t>
            </w:r>
          </w:p>
          <w:p w14:paraId="73492074" w14:textId="77777777" w:rsidR="00D6580B" w:rsidRPr="004B5E30" w:rsidRDefault="00D6580B" w:rsidP="00F4328F">
            <w:pPr>
              <w:pStyle w:val="ListParagraph"/>
              <w:numPr>
                <w:ilvl w:val="0"/>
                <w:numId w:val="44"/>
              </w:num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Waterbird abundance</w:t>
            </w:r>
          </w:p>
          <w:p w14:paraId="576EEC76" w14:textId="77777777" w:rsidR="00D6580B" w:rsidRPr="004B5E30" w:rsidRDefault="00D6580B" w:rsidP="00F4328F">
            <w:pPr>
              <w:pStyle w:val="ListParagraph"/>
              <w:numPr>
                <w:ilvl w:val="0"/>
                <w:numId w:val="44"/>
              </w:num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Waterbird diversity</w:t>
            </w:r>
          </w:p>
          <w:p w14:paraId="5572617A" w14:textId="77777777" w:rsidR="00D6580B" w:rsidRPr="004B5E30" w:rsidRDefault="00D6580B" w:rsidP="00F4328F">
            <w:pPr>
              <w:pStyle w:val="ListParagraph"/>
              <w:numPr>
                <w:ilvl w:val="0"/>
                <w:numId w:val="44"/>
              </w:num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High native fish diversity</w:t>
            </w:r>
          </w:p>
          <w:p w14:paraId="201273C4" w14:textId="77777777" w:rsidR="00D6580B" w:rsidRPr="004B5E30" w:rsidRDefault="00D6580B" w:rsidP="00F4328F">
            <w:pPr>
              <w:pStyle w:val="ListParagraph"/>
              <w:numPr>
                <w:ilvl w:val="0"/>
                <w:numId w:val="44"/>
              </w:num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Low proportion of invasive species</w:t>
            </w:r>
          </w:p>
        </w:tc>
        <w:tc>
          <w:tcPr>
            <w:tcW w:w="0" w:type="auto"/>
            <w:vMerge w:val="restart"/>
          </w:tcPr>
          <w:p w14:paraId="5625DC10" w14:textId="761F0ACC" w:rsidR="00D6580B" w:rsidRPr="00AF446E" w:rsidRDefault="00D6580B" w:rsidP="00D6580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r w:rsidRPr="00AF446E">
              <w:rPr>
                <w:rFonts w:eastAsia="Times New Roman" w:cs="Calibri"/>
                <w:color w:val="797325" w:themeColor="accent3" w:themeShade="80"/>
                <w:sz w:val="18"/>
                <w:szCs w:val="18"/>
              </w:rPr>
              <w:t>Biodiversity</w:t>
            </w:r>
          </w:p>
        </w:tc>
      </w:tr>
      <w:tr w:rsidR="00D6580B" w:rsidRPr="00494796" w14:paraId="68F8093B" w14:textId="057825A9" w:rsidTr="003909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03" w:type="dxa"/>
          </w:tcPr>
          <w:p w14:paraId="36A6472A" w14:textId="77777777" w:rsidR="00D6580B" w:rsidRPr="00D6580B" w:rsidRDefault="00D6580B" w:rsidP="006D4FE7">
            <w:pPr>
              <w:rPr>
                <w:rFonts w:eastAsia="Times New Roman" w:cs="Calibri"/>
                <w:b w:val="0"/>
                <w:color w:val="797325" w:themeColor="accent3" w:themeShade="80"/>
                <w:spacing w:val="1"/>
                <w:sz w:val="18"/>
                <w:szCs w:val="18"/>
              </w:rPr>
            </w:pPr>
            <w:r w:rsidRPr="00D6580B">
              <w:rPr>
                <w:rFonts w:eastAsia="Times New Roman" w:cs="Calibri"/>
                <w:b w:val="0"/>
                <w:color w:val="797325" w:themeColor="accent3" w:themeShade="80"/>
                <w:spacing w:val="1"/>
                <w:sz w:val="18"/>
                <w:szCs w:val="18"/>
              </w:rPr>
              <w:t xml:space="preserve">Wetlands of the </w:t>
            </w:r>
            <w:r w:rsidRPr="00D6580B">
              <w:rPr>
                <w:rFonts w:eastAsia="Times New Roman" w:cs="Calibri"/>
                <w:b w:val="0"/>
                <w:color w:val="797325" w:themeColor="accent3" w:themeShade="80"/>
                <w:sz w:val="18"/>
                <w:szCs w:val="18"/>
              </w:rPr>
              <w:t xml:space="preserve">Basin </w:t>
            </w:r>
            <w:r w:rsidRPr="00D6580B">
              <w:rPr>
                <w:rFonts w:eastAsia="Times New Roman" w:cs="Calibri"/>
                <w:b w:val="0"/>
                <w:color w:val="797325" w:themeColor="accent3" w:themeShade="80"/>
                <w:spacing w:val="1"/>
                <w:sz w:val="18"/>
                <w:szCs w:val="18"/>
              </w:rPr>
              <w:t>are amongst the most significant in Australia for abundance and diversity of waterbirds and several, including Coongie Lakes, have been recognized for their high natural values.</w:t>
            </w:r>
          </w:p>
        </w:tc>
        <w:tc>
          <w:tcPr>
            <w:tcW w:w="2605" w:type="dxa"/>
            <w:vMerge/>
          </w:tcPr>
          <w:p w14:paraId="2404D8A5" w14:textId="77777777" w:rsidR="00D6580B" w:rsidRPr="004B5E30" w:rsidRDefault="00D6580B" w:rsidP="006D4FE7">
            <w:pPr>
              <w:cnfStyle w:val="000000100000" w:firstRow="0" w:lastRow="0" w:firstColumn="0" w:lastColumn="0" w:oddVBand="0" w:evenVBand="0" w:oddHBand="1" w:evenHBand="0" w:firstRowFirstColumn="0" w:firstRowLastColumn="0" w:lastRowFirstColumn="0" w:lastRowLastColumn="0"/>
              <w:rPr>
                <w:rFonts w:eastAsia="Times New Roman" w:cs="Calibri"/>
                <w:color w:val="797325" w:themeColor="accent3" w:themeShade="80"/>
                <w:sz w:val="18"/>
                <w:szCs w:val="18"/>
              </w:rPr>
            </w:pPr>
          </w:p>
        </w:tc>
        <w:tc>
          <w:tcPr>
            <w:tcW w:w="0" w:type="auto"/>
            <w:vMerge/>
          </w:tcPr>
          <w:p w14:paraId="6D4981AF" w14:textId="77777777" w:rsidR="00D6580B" w:rsidRPr="00AF446E" w:rsidRDefault="00D6580B" w:rsidP="00D6580B">
            <w:pPr>
              <w:ind w:left="360"/>
              <w:cnfStyle w:val="000000100000" w:firstRow="0" w:lastRow="0" w:firstColumn="0" w:lastColumn="0" w:oddVBand="0" w:evenVBand="0" w:oddHBand="1" w:evenHBand="0" w:firstRowFirstColumn="0" w:firstRowLastColumn="0" w:lastRowFirstColumn="0" w:lastRowLastColumn="0"/>
              <w:rPr>
                <w:rFonts w:eastAsia="Times New Roman" w:cs="Calibri"/>
                <w:color w:val="797325" w:themeColor="accent3" w:themeShade="80"/>
                <w:sz w:val="18"/>
                <w:szCs w:val="18"/>
              </w:rPr>
            </w:pPr>
          </w:p>
        </w:tc>
      </w:tr>
      <w:tr w:rsidR="00D6580B" w:rsidRPr="00494796" w14:paraId="6000DA57" w14:textId="380106BE" w:rsidTr="003909B8">
        <w:trPr>
          <w:cantSplit/>
        </w:trPr>
        <w:tc>
          <w:tcPr>
            <w:cnfStyle w:val="001000000000" w:firstRow="0" w:lastRow="0" w:firstColumn="1" w:lastColumn="0" w:oddVBand="0" w:evenVBand="0" w:oddHBand="0" w:evenHBand="0" w:firstRowFirstColumn="0" w:firstRowLastColumn="0" w:lastRowFirstColumn="0" w:lastRowLastColumn="0"/>
            <w:tcW w:w="5103" w:type="dxa"/>
          </w:tcPr>
          <w:p w14:paraId="6E26649F" w14:textId="77777777" w:rsidR="00D6580B" w:rsidRPr="00D6580B" w:rsidRDefault="00D6580B" w:rsidP="006D4FE7">
            <w:pPr>
              <w:rPr>
                <w:rFonts w:eastAsia="Times New Roman" w:cs="Calibri"/>
                <w:b w:val="0"/>
                <w:color w:val="797325" w:themeColor="accent3" w:themeShade="80"/>
                <w:spacing w:val="1"/>
                <w:sz w:val="18"/>
                <w:szCs w:val="18"/>
              </w:rPr>
            </w:pPr>
            <w:r w:rsidRPr="00D6580B">
              <w:rPr>
                <w:rFonts w:eastAsia="Times New Roman" w:cs="Calibri"/>
                <w:b w:val="0"/>
                <w:color w:val="797325" w:themeColor="accent3" w:themeShade="80"/>
                <w:sz w:val="18"/>
                <w:szCs w:val="18"/>
              </w:rPr>
              <w:t>Grazing occupies the greatest area as a land use, although oil and gas extraction are the most economically significant.</w:t>
            </w:r>
          </w:p>
        </w:tc>
        <w:tc>
          <w:tcPr>
            <w:tcW w:w="2605" w:type="dxa"/>
          </w:tcPr>
          <w:p w14:paraId="51EF0F9D" w14:textId="77777777" w:rsidR="00D6580B" w:rsidRPr="004B5E30" w:rsidRDefault="00D6580B" w:rsidP="00F4328F">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Supports livestock grazing</w:t>
            </w:r>
          </w:p>
          <w:p w14:paraId="5B36CA6F" w14:textId="77777777" w:rsidR="00D6580B" w:rsidRPr="004B5E30" w:rsidRDefault="00D6580B" w:rsidP="00F4328F">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Supplies water for stock</w:t>
            </w:r>
          </w:p>
        </w:tc>
        <w:tc>
          <w:tcPr>
            <w:tcW w:w="0" w:type="auto"/>
          </w:tcPr>
          <w:p w14:paraId="1A6C7DB8" w14:textId="1AADB629" w:rsidR="00D6580B" w:rsidRPr="00AF446E" w:rsidRDefault="00D6580B" w:rsidP="00D6580B">
            <w:pPr>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r w:rsidRPr="00AF446E">
              <w:rPr>
                <w:rFonts w:eastAsia="Times New Roman" w:cs="Calibri"/>
                <w:color w:val="797325" w:themeColor="accent3" w:themeShade="80"/>
                <w:sz w:val="18"/>
                <w:szCs w:val="18"/>
              </w:rPr>
              <w:t>Services - provisioning</w:t>
            </w:r>
          </w:p>
        </w:tc>
      </w:tr>
      <w:tr w:rsidR="00D6580B" w:rsidRPr="00494796" w14:paraId="5CBE39F9" w14:textId="4F1FB563" w:rsidTr="003909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03" w:type="dxa"/>
          </w:tcPr>
          <w:p w14:paraId="75D6E56C" w14:textId="77777777" w:rsidR="00D6580B" w:rsidRPr="00D6580B" w:rsidRDefault="00D6580B" w:rsidP="006D4FE7">
            <w:pPr>
              <w:rPr>
                <w:rFonts w:eastAsia="Times New Roman" w:cs="Calibri"/>
                <w:b w:val="0"/>
                <w:color w:val="797325" w:themeColor="accent3" w:themeShade="80"/>
                <w:spacing w:val="1"/>
                <w:sz w:val="18"/>
                <w:szCs w:val="18"/>
              </w:rPr>
            </w:pPr>
            <w:r w:rsidRPr="00D6580B">
              <w:rPr>
                <w:rFonts w:eastAsia="Times New Roman" w:cs="Calibri"/>
                <w:b w:val="0"/>
                <w:color w:val="797325" w:themeColor="accent3" w:themeShade="80"/>
                <w:sz w:val="18"/>
                <w:szCs w:val="18"/>
              </w:rPr>
              <w:t>There is a long and continuous Aboriginal history in the Basin, and a rich and complex culture that reflects thousands of years of living with and surviving highly variable conditions. The dreaming paths of Aboriginal nations across the Basin form ceremonial routes along which goods and knowledge originally flowed, and which are alive and relevant today</w:t>
            </w:r>
          </w:p>
        </w:tc>
        <w:tc>
          <w:tcPr>
            <w:tcW w:w="2605" w:type="dxa"/>
          </w:tcPr>
          <w:p w14:paraId="502C6814" w14:textId="77777777" w:rsidR="00D6580B" w:rsidRPr="004B5E30" w:rsidRDefault="00D6580B" w:rsidP="00F4328F">
            <w:pPr>
              <w:pStyle w:val="ListParagraph"/>
              <w:numPr>
                <w:ilvl w:val="0"/>
                <w:numId w:val="46"/>
              </w:num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Spiritual identity</w:t>
            </w:r>
          </w:p>
          <w:p w14:paraId="52A1AD3E" w14:textId="77777777" w:rsidR="00D6580B" w:rsidRPr="004B5E30" w:rsidRDefault="00D6580B" w:rsidP="00F4328F">
            <w:pPr>
              <w:pStyle w:val="ListParagraph"/>
              <w:numPr>
                <w:ilvl w:val="0"/>
                <w:numId w:val="46"/>
              </w:num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 xml:space="preserve">Aboriginal heritage </w:t>
            </w:r>
          </w:p>
          <w:p w14:paraId="1F800588" w14:textId="77777777" w:rsidR="00D6580B" w:rsidRPr="004B5E30" w:rsidRDefault="00D6580B" w:rsidP="00F4328F">
            <w:pPr>
              <w:pStyle w:val="ListParagraph"/>
              <w:numPr>
                <w:ilvl w:val="0"/>
                <w:numId w:val="46"/>
              </w:num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Cultural economy</w:t>
            </w:r>
          </w:p>
          <w:p w14:paraId="0D60FC5D" w14:textId="77777777" w:rsidR="00D6580B" w:rsidRPr="004B5E30" w:rsidRDefault="00D6580B" w:rsidP="00F4328F">
            <w:pPr>
              <w:pStyle w:val="ListParagraph"/>
              <w:numPr>
                <w:ilvl w:val="0"/>
                <w:numId w:val="46"/>
              </w:num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Important for intergenerational knowledge transfer</w:t>
            </w:r>
          </w:p>
        </w:tc>
        <w:tc>
          <w:tcPr>
            <w:tcW w:w="0" w:type="auto"/>
            <w:vMerge w:val="restart"/>
          </w:tcPr>
          <w:p w14:paraId="0E7E83FD" w14:textId="7755CA97" w:rsidR="00D6580B" w:rsidRPr="00AF446E" w:rsidRDefault="00D6580B" w:rsidP="00D6580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797325" w:themeColor="accent3" w:themeShade="80"/>
                <w:sz w:val="18"/>
                <w:szCs w:val="18"/>
              </w:rPr>
            </w:pPr>
            <w:r w:rsidRPr="00AF446E">
              <w:rPr>
                <w:rFonts w:eastAsia="Times New Roman" w:cs="Calibri"/>
                <w:color w:val="797325" w:themeColor="accent3" w:themeShade="80"/>
                <w:sz w:val="18"/>
                <w:szCs w:val="18"/>
              </w:rPr>
              <w:t>Services - cultural</w:t>
            </w:r>
          </w:p>
        </w:tc>
      </w:tr>
      <w:tr w:rsidR="00D6580B" w:rsidRPr="00494796" w14:paraId="77CC49A6" w14:textId="269A3F67" w:rsidTr="003909B8">
        <w:trPr>
          <w:cantSplit/>
        </w:trPr>
        <w:tc>
          <w:tcPr>
            <w:cnfStyle w:val="001000000000" w:firstRow="0" w:lastRow="0" w:firstColumn="1" w:lastColumn="0" w:oddVBand="0" w:evenVBand="0" w:oddHBand="0" w:evenHBand="0" w:firstRowFirstColumn="0" w:firstRowLastColumn="0" w:lastRowFirstColumn="0" w:lastRowLastColumn="0"/>
            <w:tcW w:w="5103" w:type="dxa"/>
          </w:tcPr>
          <w:p w14:paraId="3B5E45D8" w14:textId="77777777" w:rsidR="00D6580B" w:rsidRPr="00D6580B" w:rsidRDefault="00D6580B" w:rsidP="006D4FE7">
            <w:pPr>
              <w:rPr>
                <w:rFonts w:eastAsia="Times New Roman" w:cs="Calibri"/>
                <w:b w:val="0"/>
                <w:color w:val="797325" w:themeColor="accent3" w:themeShade="80"/>
                <w:spacing w:val="1"/>
                <w:sz w:val="18"/>
                <w:szCs w:val="18"/>
              </w:rPr>
            </w:pPr>
            <w:r w:rsidRPr="00D6580B">
              <w:rPr>
                <w:rFonts w:eastAsia="Times New Roman" w:cs="Calibri"/>
                <w:b w:val="0"/>
                <w:color w:val="797325" w:themeColor="accent3" w:themeShade="80"/>
                <w:sz w:val="18"/>
                <w:szCs w:val="18"/>
              </w:rPr>
              <w:t>Conservation and heritage areas represent a further significant land use and provide a major focus for a growing tourism industry.</w:t>
            </w:r>
          </w:p>
        </w:tc>
        <w:tc>
          <w:tcPr>
            <w:tcW w:w="2605" w:type="dxa"/>
          </w:tcPr>
          <w:p w14:paraId="2AAA4CE8" w14:textId="77777777" w:rsidR="00D6580B" w:rsidRPr="004B5E30" w:rsidRDefault="00D6580B" w:rsidP="00F4328F">
            <w:pPr>
              <w:pStyle w:val="ListParagraph"/>
              <w:numPr>
                <w:ilvl w:val="0"/>
                <w:numId w:val="47"/>
              </w:num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Indigenous and European heritage areas</w:t>
            </w:r>
          </w:p>
          <w:p w14:paraId="62552729" w14:textId="77777777" w:rsidR="00D6580B" w:rsidRPr="004B5E30" w:rsidRDefault="00D6580B" w:rsidP="00F4328F">
            <w:pPr>
              <w:pStyle w:val="ListParagraph"/>
              <w:numPr>
                <w:ilvl w:val="0"/>
                <w:numId w:val="47"/>
              </w:num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r w:rsidRPr="004B5E30">
              <w:rPr>
                <w:rFonts w:eastAsia="Times New Roman" w:cs="Calibri"/>
                <w:color w:val="797325" w:themeColor="accent3" w:themeShade="80"/>
                <w:sz w:val="18"/>
                <w:szCs w:val="18"/>
              </w:rPr>
              <w:t>Supports tourism</w:t>
            </w:r>
          </w:p>
        </w:tc>
        <w:tc>
          <w:tcPr>
            <w:tcW w:w="0" w:type="auto"/>
            <w:vMerge/>
          </w:tcPr>
          <w:p w14:paraId="067F18A1" w14:textId="77777777" w:rsidR="00D6580B" w:rsidRPr="00D6580B" w:rsidRDefault="00D6580B" w:rsidP="00D6580B">
            <w:pPr>
              <w:ind w:left="36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797325" w:themeColor="accent3" w:themeShade="80"/>
                <w:sz w:val="18"/>
                <w:szCs w:val="18"/>
              </w:rPr>
            </w:pPr>
          </w:p>
        </w:tc>
      </w:tr>
    </w:tbl>
    <w:p w14:paraId="5AA052F3" w14:textId="2B9B9E7D" w:rsidR="004B5E30" w:rsidRPr="00AE602F" w:rsidRDefault="00AE602F" w:rsidP="004B5E30">
      <w:pPr>
        <w:shd w:val="clear" w:color="auto" w:fill="F6F4E1" w:themeFill="accent3" w:themeFillTint="33"/>
        <w:rPr>
          <w:sz w:val="18"/>
          <w:szCs w:val="18"/>
        </w:rPr>
      </w:pPr>
      <w:r w:rsidRPr="00AE602F">
        <w:rPr>
          <w:sz w:val="18"/>
          <w:szCs w:val="18"/>
        </w:rPr>
        <w:t xml:space="preserve">^ Not listed under ‘Key values’ but is one of the key messages  </w:t>
      </w:r>
    </w:p>
    <w:p w14:paraId="7849E493" w14:textId="77777777" w:rsidR="00C54BB5" w:rsidRDefault="00C54BB5" w:rsidP="00C54BB5"/>
    <w:p w14:paraId="350CAB7F" w14:textId="77777777" w:rsidR="003909B8" w:rsidRDefault="003909B8" w:rsidP="00C54BB5"/>
    <w:p w14:paraId="008CE32B" w14:textId="69116C14" w:rsidR="002873A1" w:rsidRPr="002873A1" w:rsidRDefault="00EC7357" w:rsidP="00F4328F">
      <w:pPr>
        <w:pStyle w:val="ListParagraph"/>
        <w:numPr>
          <w:ilvl w:val="0"/>
          <w:numId w:val="12"/>
        </w:numPr>
        <w:rPr>
          <w:b/>
          <w:i/>
        </w:rPr>
      </w:pPr>
      <w:r>
        <w:rPr>
          <w:b/>
          <w:i/>
        </w:rPr>
        <w:lastRenderedPageBreak/>
        <w:t>P</w:t>
      </w:r>
      <w:r w:rsidR="002873A1" w:rsidRPr="002873A1">
        <w:rPr>
          <w:b/>
          <w:i/>
        </w:rPr>
        <w:t>rioritis</w:t>
      </w:r>
      <w:r>
        <w:rPr>
          <w:b/>
          <w:i/>
        </w:rPr>
        <w:t xml:space="preserve">e the </w:t>
      </w:r>
      <w:r w:rsidR="002873A1" w:rsidRPr="002873A1">
        <w:rPr>
          <w:b/>
          <w:i/>
        </w:rPr>
        <w:t>values.</w:t>
      </w:r>
    </w:p>
    <w:p w14:paraId="06C9E84A" w14:textId="5C6C388B" w:rsidR="002873A1" w:rsidRDefault="002873A1" w:rsidP="002873A1">
      <w:r>
        <w:t xml:space="preserve">Undertake a </w:t>
      </w:r>
      <w:r w:rsidR="00EC7357">
        <w:t xml:space="preserve">simple </w:t>
      </w:r>
      <w:r>
        <w:t>multi-criteria analysis (MCA) to identify the highest priority values which will become the focus of the condition assessment. An MCA uses a series of defined criteria to provide a relative ranking of values in order of priority. Criteria for prioritising values should be:</w:t>
      </w:r>
    </w:p>
    <w:p w14:paraId="0AE104A6" w14:textId="6B60635F" w:rsidR="002873A1" w:rsidRPr="002873A1" w:rsidRDefault="00772C28" w:rsidP="00F4328F">
      <w:pPr>
        <w:pStyle w:val="ListParagraph"/>
        <w:numPr>
          <w:ilvl w:val="0"/>
          <w:numId w:val="13"/>
        </w:numPr>
        <w:spacing w:after="120" w:line="288" w:lineRule="auto"/>
        <w:jc w:val="left"/>
      </w:pPr>
      <w:r>
        <w:t>C</w:t>
      </w:r>
      <w:r w:rsidR="002873A1" w:rsidRPr="002873A1">
        <w:t>onsistent and logical</w:t>
      </w:r>
      <w:r w:rsidR="009F2C3C">
        <w:t>;</w:t>
      </w:r>
      <w:r w:rsidR="002873A1" w:rsidRPr="002873A1">
        <w:t xml:space="preserve"> </w:t>
      </w:r>
    </w:p>
    <w:p w14:paraId="757C1CC2" w14:textId="5360B4B3" w:rsidR="002873A1" w:rsidRPr="002873A1" w:rsidRDefault="00772C28" w:rsidP="00F4328F">
      <w:pPr>
        <w:pStyle w:val="ListParagraph"/>
        <w:numPr>
          <w:ilvl w:val="0"/>
          <w:numId w:val="13"/>
        </w:numPr>
        <w:spacing w:after="120" w:line="288" w:lineRule="auto"/>
        <w:jc w:val="left"/>
      </w:pPr>
      <w:r>
        <w:t>T</w:t>
      </w:r>
      <w:r w:rsidR="002873A1" w:rsidRPr="002873A1">
        <w:t>ransparent</w:t>
      </w:r>
      <w:r w:rsidR="009F2C3C">
        <w:t>;</w:t>
      </w:r>
    </w:p>
    <w:p w14:paraId="3568311E" w14:textId="05A012ED" w:rsidR="002873A1" w:rsidRPr="002873A1" w:rsidRDefault="00772C28" w:rsidP="00F4328F">
      <w:pPr>
        <w:pStyle w:val="ListParagraph"/>
        <w:numPr>
          <w:ilvl w:val="0"/>
          <w:numId w:val="13"/>
        </w:numPr>
        <w:spacing w:after="120" w:line="288" w:lineRule="auto"/>
        <w:jc w:val="left"/>
      </w:pPr>
      <w:r>
        <w:t>E</w:t>
      </w:r>
      <w:r w:rsidR="002873A1" w:rsidRPr="002873A1">
        <w:t>asy to use</w:t>
      </w:r>
      <w:r w:rsidR="009F2C3C">
        <w:t>; and</w:t>
      </w:r>
    </w:p>
    <w:p w14:paraId="7931224A" w14:textId="2910FE5A" w:rsidR="002873A1" w:rsidRPr="002873A1" w:rsidRDefault="00772C28" w:rsidP="00F4328F">
      <w:pPr>
        <w:pStyle w:val="ListParagraph"/>
        <w:numPr>
          <w:ilvl w:val="0"/>
          <w:numId w:val="13"/>
        </w:numPr>
        <w:spacing w:after="120" w:line="288" w:lineRule="auto"/>
        <w:jc w:val="left"/>
      </w:pPr>
      <w:r>
        <w:t>A</w:t>
      </w:r>
      <w:r w:rsidR="002873A1" w:rsidRPr="002873A1">
        <w:t>ble to be evaluated using available documentation and data.</w:t>
      </w:r>
    </w:p>
    <w:p w14:paraId="6CFD5B47" w14:textId="73E7C8D3" w:rsidR="002873A1" w:rsidRDefault="002873A1" w:rsidP="002873A1">
      <w:r>
        <w:t xml:space="preserve">The </w:t>
      </w:r>
      <w:r w:rsidR="00D02424">
        <w:t xml:space="preserve">management </w:t>
      </w:r>
      <w:r>
        <w:t>objectives</w:t>
      </w:r>
      <w:r w:rsidR="00D02424">
        <w:t xml:space="preserve"> for the assessment unit</w:t>
      </w:r>
      <w:r>
        <w:t xml:space="preserve"> will guide the </w:t>
      </w:r>
      <w:r w:rsidR="00D02424">
        <w:t>development</w:t>
      </w:r>
      <w:r>
        <w:t xml:space="preserve"> of criteria. Criteria for prioritising values may be related to (for example):</w:t>
      </w:r>
    </w:p>
    <w:p w14:paraId="4EA3B04C" w14:textId="6D7E507F" w:rsidR="002873A1" w:rsidRDefault="002873A1" w:rsidP="00F4328F">
      <w:pPr>
        <w:pStyle w:val="ListParagraph"/>
        <w:numPr>
          <w:ilvl w:val="0"/>
          <w:numId w:val="11"/>
        </w:numPr>
      </w:pPr>
      <w:r>
        <w:t xml:space="preserve">Policy or legislative importance (e.g. </w:t>
      </w:r>
      <w:r w:rsidR="00D02424">
        <w:t xml:space="preserve">maintaining </w:t>
      </w:r>
      <w:r>
        <w:t>listed threatened species o</w:t>
      </w:r>
      <w:r w:rsidR="00D02424">
        <w:t xml:space="preserve">r </w:t>
      </w:r>
      <w:r>
        <w:t xml:space="preserve">communities; </w:t>
      </w:r>
      <w:r w:rsidR="002D2C2D">
        <w:t xml:space="preserve">meeting </w:t>
      </w:r>
      <w:r>
        <w:t xml:space="preserve">priorities under the </w:t>
      </w:r>
      <w:r w:rsidR="00772C28">
        <w:t xml:space="preserve">Murray Darling </w:t>
      </w:r>
      <w:r>
        <w:t>Basin Plan</w:t>
      </w:r>
      <w:r w:rsidR="00D02424">
        <w:t>; relate to meeting regional waterway restoration targets</w:t>
      </w:r>
      <w:r w:rsidR="00772C28">
        <w:t>);</w:t>
      </w:r>
    </w:p>
    <w:p w14:paraId="78AF3709" w14:textId="3C6E5337" w:rsidR="002873A1" w:rsidRDefault="002D2C2D" w:rsidP="00F4328F">
      <w:pPr>
        <w:pStyle w:val="ListParagraph"/>
        <w:numPr>
          <w:ilvl w:val="0"/>
          <w:numId w:val="11"/>
        </w:numPr>
      </w:pPr>
      <w:r>
        <w:t xml:space="preserve">Retaining or improving condition of the assessment unit in relation to </w:t>
      </w:r>
      <w:r w:rsidR="002873A1">
        <w:t xml:space="preserve">components and processes that contribute to the high ecological value of the </w:t>
      </w:r>
      <w:r>
        <w:t>assessment unit (e.g. maintaining ecological character at Ramsar sites, meeting the listing criteria for HEVAE</w:t>
      </w:r>
      <w:r w:rsidR="002873A1">
        <w:t>)</w:t>
      </w:r>
      <w:r w:rsidR="00772C28">
        <w:t>;</w:t>
      </w:r>
    </w:p>
    <w:p w14:paraId="74DF55E4" w14:textId="62AAB80D" w:rsidR="002873A1" w:rsidRDefault="002873A1" w:rsidP="00F4328F">
      <w:pPr>
        <w:pStyle w:val="ListParagraph"/>
        <w:numPr>
          <w:ilvl w:val="0"/>
          <w:numId w:val="11"/>
        </w:numPr>
      </w:pPr>
      <w:r>
        <w:t>Significance to the ecosystem(s) in question (e.g. fundamental or unique components or processes of the wetland or river reach)</w:t>
      </w:r>
      <w:r w:rsidR="00772C28">
        <w:t>;</w:t>
      </w:r>
    </w:p>
    <w:p w14:paraId="36EF152C" w14:textId="2411F377" w:rsidR="002873A1" w:rsidRDefault="002873A1" w:rsidP="00F4328F">
      <w:pPr>
        <w:pStyle w:val="ListParagraph"/>
        <w:numPr>
          <w:ilvl w:val="0"/>
          <w:numId w:val="11"/>
        </w:numPr>
      </w:pPr>
      <w:r>
        <w:t>Community significance (e.g. species or communities important to the local community or stakeholder groups)</w:t>
      </w:r>
      <w:r w:rsidR="00772C28">
        <w:t xml:space="preserve">; </w:t>
      </w:r>
      <w:r w:rsidR="00BA09E3">
        <w:t xml:space="preserve"> and</w:t>
      </w:r>
    </w:p>
    <w:p w14:paraId="0D0C10E1" w14:textId="28A8C0F4" w:rsidR="002873A1" w:rsidRDefault="002873A1" w:rsidP="00F4328F">
      <w:pPr>
        <w:pStyle w:val="ListParagraph"/>
        <w:numPr>
          <w:ilvl w:val="0"/>
          <w:numId w:val="11"/>
        </w:numPr>
      </w:pPr>
      <w:r>
        <w:t>Relationship to current management actions (e.g. focus of on-ground management actions or of interest to site managers).</w:t>
      </w:r>
    </w:p>
    <w:p w14:paraId="22F03DB0" w14:textId="77777777" w:rsidR="002873A1" w:rsidRDefault="002873A1" w:rsidP="002873A1">
      <w:r>
        <w:t xml:space="preserve">In some instances different criteria will need to be applied to values within different themes. Once the criteria are developed, review them for redundancy and logic. </w:t>
      </w:r>
    </w:p>
    <w:p w14:paraId="3CEF3C56" w14:textId="533D3A9D" w:rsidR="002873A1" w:rsidRPr="00583A43" w:rsidRDefault="002873A1" w:rsidP="00D02424">
      <w:pPr>
        <w:shd w:val="clear" w:color="auto" w:fill="F6F4E1" w:themeFill="accent3" w:themeFillTint="33"/>
        <w:rPr>
          <w:color w:val="456867" w:themeColor="accent2" w:themeShade="80"/>
        </w:rPr>
      </w:pPr>
      <w:r w:rsidRPr="00583A43">
        <w:rPr>
          <w:b/>
          <w:i/>
          <w:color w:val="456867" w:themeColor="accent2" w:themeShade="80"/>
        </w:rPr>
        <w:t>Tip</w:t>
      </w:r>
      <w:r w:rsidR="00D02424" w:rsidRPr="00583A43">
        <w:rPr>
          <w:b/>
          <w:i/>
          <w:color w:val="456867" w:themeColor="accent2" w:themeShade="80"/>
        </w:rPr>
        <w:t>:</w:t>
      </w:r>
      <w:r w:rsidRPr="00583A43">
        <w:rPr>
          <w:b/>
          <w:i/>
          <w:color w:val="456867" w:themeColor="accent2" w:themeShade="80"/>
        </w:rPr>
        <w:t xml:space="preserve"> Don’t have too many criteria, as </w:t>
      </w:r>
      <w:r w:rsidR="00D02424" w:rsidRPr="00583A43">
        <w:rPr>
          <w:b/>
          <w:i/>
          <w:color w:val="456867" w:themeColor="accent2" w:themeShade="80"/>
        </w:rPr>
        <w:t>this will likely result in redundancy and over complicate the process, significantly increasing the time required to complete this task.</w:t>
      </w:r>
      <w:r w:rsidRPr="00583A43">
        <w:rPr>
          <w:b/>
          <w:i/>
          <w:color w:val="456867" w:themeColor="accent2" w:themeShade="80"/>
        </w:rPr>
        <w:t xml:space="preserve"> </w:t>
      </w:r>
      <w:r w:rsidR="00D02424" w:rsidRPr="00583A43">
        <w:rPr>
          <w:b/>
          <w:i/>
          <w:color w:val="456867" w:themeColor="accent2" w:themeShade="80"/>
        </w:rPr>
        <w:t>T</w:t>
      </w:r>
      <w:r w:rsidRPr="00583A43">
        <w:rPr>
          <w:b/>
          <w:i/>
          <w:color w:val="456867" w:themeColor="accent2" w:themeShade="80"/>
        </w:rPr>
        <w:t>hree to six criteria for the MCA</w:t>
      </w:r>
      <w:r w:rsidR="00D02424" w:rsidRPr="00583A43">
        <w:rPr>
          <w:b/>
          <w:i/>
          <w:color w:val="456867" w:themeColor="accent2" w:themeShade="80"/>
        </w:rPr>
        <w:t xml:space="preserve"> should be enough</w:t>
      </w:r>
      <w:r w:rsidRPr="00583A43">
        <w:rPr>
          <w:color w:val="456867" w:themeColor="accent2" w:themeShade="80"/>
        </w:rPr>
        <w:t>.</w:t>
      </w:r>
    </w:p>
    <w:p w14:paraId="67A6B109" w14:textId="47B045DB" w:rsidR="00B56B9B" w:rsidRDefault="003A2740" w:rsidP="003616F1">
      <w:bookmarkStart w:id="60" w:name="_Ref275265509"/>
      <w:r>
        <w:t>Next, d</w:t>
      </w:r>
      <w:r w:rsidR="003616F1">
        <w:t>evelop</w:t>
      </w:r>
      <w:r w:rsidR="003616F1" w:rsidRPr="003616F1">
        <w:t xml:space="preserve"> a </w:t>
      </w:r>
      <w:r w:rsidR="003616F1">
        <w:t xml:space="preserve">simple </w:t>
      </w:r>
      <w:r w:rsidR="003616F1" w:rsidRPr="003616F1">
        <w:t xml:space="preserve">scoring and weighting system. Scoring </w:t>
      </w:r>
      <w:r>
        <w:t xml:space="preserve">can be </w:t>
      </w:r>
      <w:r w:rsidR="003616F1" w:rsidRPr="003616F1">
        <w:t>based on relative preference, importance or contribution to the objective for prioritisation. More preferred options should score higher on the scale, and less preferred options score lower.</w:t>
      </w:r>
      <w:r w:rsidR="003616F1">
        <w:t xml:space="preserve"> A simple scoring system would be 1-3, where 1 is low and 3 is high. </w:t>
      </w:r>
    </w:p>
    <w:p w14:paraId="1F9880C1" w14:textId="2AC4D7B3" w:rsidR="003616F1" w:rsidRDefault="003616F1" w:rsidP="003616F1">
      <w:r w:rsidRPr="00DE147E">
        <w:t xml:space="preserve">Weighting assigns a numerical </w:t>
      </w:r>
      <w:r w:rsidR="003A2740">
        <w:t>factor</w:t>
      </w:r>
      <w:r w:rsidRPr="00DE147E">
        <w:t xml:space="preserve"> </w:t>
      </w:r>
      <w:r>
        <w:t xml:space="preserve">to each criterion based on the relative importance of the </w:t>
      </w:r>
      <w:r w:rsidRPr="00DE147E">
        <w:rPr>
          <w:i/>
        </w:rPr>
        <w:t>criterion</w:t>
      </w:r>
      <w:r w:rsidRPr="00DE147E">
        <w:t xml:space="preserve">. </w:t>
      </w:r>
      <w:r>
        <w:t xml:space="preserve"> For example, if </w:t>
      </w:r>
      <w:r w:rsidR="003A2740">
        <w:t>C</w:t>
      </w:r>
      <w:r>
        <w:t xml:space="preserve">riterion 1 is considered to be of greater relevance to the objectives of the assessment than other criteria, it may be weighted with a higher numerical score, to reflect this.  </w:t>
      </w:r>
      <w:r w:rsidRPr="00DE147E">
        <w:t xml:space="preserve">Undertaking a sensitivity analysis is recommended to determine how to weight the criteria, and </w:t>
      </w:r>
      <w:r>
        <w:t>whether</w:t>
      </w:r>
      <w:r w:rsidRPr="00DE147E">
        <w:t xml:space="preserve"> weighting actually makes a difference in the outcome. It is important to justify and document why different weights were given to different criteria.</w:t>
      </w:r>
    </w:p>
    <w:p w14:paraId="38903133" w14:textId="1D20098E" w:rsidR="003616F1" w:rsidRDefault="003A2740" w:rsidP="003616F1">
      <w:r>
        <w:t>The</w:t>
      </w:r>
      <w:r w:rsidR="003616F1">
        <w:t xml:space="preserve"> TAG </w:t>
      </w:r>
      <w:r>
        <w:t xml:space="preserve">can be engaged in this process either directly or in a review capacity. </w:t>
      </w:r>
    </w:p>
    <w:p w14:paraId="3884B45C" w14:textId="4DB1712F" w:rsidR="00EC7357" w:rsidRDefault="00EC7357" w:rsidP="003616F1">
      <w:r>
        <w:t>A</w:t>
      </w:r>
      <w:r w:rsidR="003A2740">
        <w:t xml:space="preserve">n example </w:t>
      </w:r>
      <w:r>
        <w:t xml:space="preserve">set of criteria and a simple scoring system are illustrated </w:t>
      </w:r>
      <w:r w:rsidR="003A2740">
        <w:t xml:space="preserve">for a Ramsar site </w:t>
      </w:r>
      <w:r>
        <w:t xml:space="preserve">in </w:t>
      </w:r>
      <w:r>
        <w:fldChar w:fldCharType="begin"/>
      </w:r>
      <w:r>
        <w:instrText xml:space="preserve"> REF _Ref479003659 \h </w:instrText>
      </w:r>
      <w:r>
        <w:fldChar w:fldCharType="separate"/>
      </w:r>
      <w:r w:rsidR="005F359C" w:rsidRPr="00280362">
        <w:t xml:space="preserve">Table </w:t>
      </w:r>
      <w:r w:rsidR="005F359C">
        <w:rPr>
          <w:noProof/>
        </w:rPr>
        <w:t>7</w:t>
      </w:r>
      <w:r>
        <w:fldChar w:fldCharType="end"/>
      </w:r>
      <w:r>
        <w:t xml:space="preserve">. These may or may not be suitable to the assessment being undertaken. </w:t>
      </w:r>
      <w:r w:rsidR="00F97BE1">
        <w:t xml:space="preserve">Keep in mind that </w:t>
      </w:r>
      <w:r w:rsidR="00A46DEA">
        <w:t xml:space="preserve">the </w:t>
      </w:r>
      <w:r w:rsidR="00F97BE1">
        <w:t>prioritisation is about focusing the assessment on the main values</w:t>
      </w:r>
      <w:r w:rsidR="00A46DEA">
        <w:t xml:space="preserve"> (and threats in Step 2)</w:t>
      </w:r>
      <w:r w:rsidR="00F97BE1">
        <w:t xml:space="preserve">, </w:t>
      </w:r>
      <w:r w:rsidR="00A46DEA">
        <w:t xml:space="preserve">and </w:t>
      </w:r>
      <w:r w:rsidR="00F97BE1">
        <w:t xml:space="preserve">getting an appreciation of the </w:t>
      </w:r>
      <w:r w:rsidR="00F97BE1" w:rsidRPr="00F97BE1">
        <w:t>scope</w:t>
      </w:r>
      <w:r w:rsidR="00F97BE1">
        <w:t xml:space="preserve"> – it doesn’t need to be overly complicated. </w:t>
      </w:r>
    </w:p>
    <w:p w14:paraId="00E29AF0" w14:textId="77777777" w:rsidR="00B56B9B" w:rsidRDefault="00B56B9B" w:rsidP="00B56B9B">
      <w:pPr>
        <w:pStyle w:val="Caption"/>
      </w:pPr>
      <w:bookmarkStart w:id="61" w:name="_Ref479003659"/>
      <w:r w:rsidRPr="00280362">
        <w:lastRenderedPageBreak/>
        <w:t xml:space="preserve">Table </w:t>
      </w:r>
      <w:fldSimple w:instr=" SEQ Table \* ARABIC ">
        <w:r w:rsidR="005F359C">
          <w:rPr>
            <w:noProof/>
          </w:rPr>
          <w:t>7</w:t>
        </w:r>
      </w:fldSimple>
      <w:bookmarkEnd w:id="60"/>
      <w:bookmarkEnd w:id="61"/>
      <w:r w:rsidRPr="00280362">
        <w:t xml:space="preserve">: </w:t>
      </w:r>
      <w:r>
        <w:t xml:space="preserve">Example of a set of </w:t>
      </w:r>
      <w:r w:rsidRPr="00280362">
        <w:t>Criteria</w:t>
      </w:r>
      <w:r>
        <w:t xml:space="preserve"> and scores</w:t>
      </w:r>
      <w:r w:rsidRPr="00280362">
        <w:t xml:space="preserve"> for prioritisation of values (and descriptions of low (1), medium (2) and high (3) rankings)</w:t>
      </w:r>
      <w:r>
        <w:t xml:space="preserve"> for a Ramsar site</w:t>
      </w:r>
      <w:r w:rsidRPr="00280362">
        <w:t>.</w:t>
      </w:r>
    </w:p>
    <w:tbl>
      <w:tblPr>
        <w:tblStyle w:val="LightList-Accent1"/>
        <w:tblW w:w="5000" w:type="pct"/>
        <w:tblBorders>
          <w:top w:val="single" w:sz="4" w:space="0" w:color="9CBEBD" w:themeColor="accent2"/>
          <w:left w:val="single" w:sz="4" w:space="0" w:color="9CBEBD" w:themeColor="accent2"/>
          <w:bottom w:val="single" w:sz="4" w:space="0" w:color="9CBEBD" w:themeColor="accent2"/>
          <w:right w:val="single" w:sz="4" w:space="0" w:color="9CBEBD" w:themeColor="accent2"/>
          <w:insideH w:val="single" w:sz="4" w:space="0" w:color="9CBEBD" w:themeColor="accent2"/>
          <w:insideV w:val="single" w:sz="4" w:space="0" w:color="9CBEBD" w:themeColor="accent2"/>
        </w:tblBorders>
        <w:tblLook w:val="04A0" w:firstRow="1" w:lastRow="0" w:firstColumn="1" w:lastColumn="0" w:noHBand="0" w:noVBand="1"/>
      </w:tblPr>
      <w:tblGrid>
        <w:gridCol w:w="2014"/>
        <w:gridCol w:w="6328"/>
        <w:gridCol w:w="674"/>
      </w:tblGrid>
      <w:tr w:rsidR="00B56B9B" w:rsidRPr="00415F45" w14:paraId="72F093CE" w14:textId="77777777" w:rsidTr="00AF0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shd w:val="clear" w:color="auto" w:fill="9CBEBD" w:themeFill="accent2"/>
            <w:hideMark/>
          </w:tcPr>
          <w:p w14:paraId="105E958C" w14:textId="77777777" w:rsidR="00B56B9B" w:rsidRPr="00415F45" w:rsidRDefault="00B56B9B" w:rsidP="003616F1">
            <w:pPr>
              <w:spacing w:before="100" w:beforeAutospacing="1" w:after="100" w:afterAutospacing="1"/>
              <w:rPr>
                <w:rFonts w:asciiTheme="minorHAnsi" w:hAnsiTheme="minorHAnsi"/>
              </w:rPr>
            </w:pPr>
            <w:r w:rsidRPr="00415F45">
              <w:rPr>
                <w:rFonts w:asciiTheme="minorHAnsi" w:hAnsiTheme="minorHAnsi"/>
              </w:rPr>
              <w:t>Criteria</w:t>
            </w:r>
          </w:p>
        </w:tc>
        <w:tc>
          <w:tcPr>
            <w:tcW w:w="3514" w:type="pct"/>
            <w:shd w:val="clear" w:color="auto" w:fill="9CBEBD" w:themeFill="accent2"/>
            <w:hideMark/>
          </w:tcPr>
          <w:p w14:paraId="179BE3B8" w14:textId="77777777" w:rsidR="00B56B9B" w:rsidRPr="00415F45" w:rsidRDefault="00B56B9B" w:rsidP="003616F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15F45">
              <w:rPr>
                <w:rFonts w:asciiTheme="minorHAnsi" w:hAnsiTheme="minorHAnsi"/>
              </w:rPr>
              <w:t>Description</w:t>
            </w:r>
          </w:p>
        </w:tc>
        <w:tc>
          <w:tcPr>
            <w:tcW w:w="365" w:type="pct"/>
            <w:shd w:val="clear" w:color="auto" w:fill="9CBEBD" w:themeFill="accent2"/>
            <w:hideMark/>
          </w:tcPr>
          <w:p w14:paraId="527BD03D" w14:textId="77777777" w:rsidR="00B56B9B" w:rsidRPr="00415F45" w:rsidRDefault="00B56B9B" w:rsidP="003616F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15F45">
              <w:rPr>
                <w:rFonts w:asciiTheme="minorHAnsi" w:hAnsiTheme="minorHAnsi"/>
              </w:rPr>
              <w:t>Score</w:t>
            </w:r>
          </w:p>
        </w:tc>
      </w:tr>
      <w:tr w:rsidR="00B56B9B" w:rsidRPr="00415F45" w14:paraId="433197E6" w14:textId="77777777" w:rsidTr="00AF0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vMerge w:val="restart"/>
            <w:tcBorders>
              <w:top w:val="none" w:sz="0" w:space="0" w:color="auto"/>
              <w:left w:val="none" w:sz="0" w:space="0" w:color="auto"/>
              <w:bottom w:val="none" w:sz="0" w:space="0" w:color="auto"/>
            </w:tcBorders>
            <w:hideMark/>
          </w:tcPr>
          <w:p w14:paraId="12632DB1" w14:textId="77777777" w:rsidR="00B56B9B" w:rsidRPr="00B56B9B" w:rsidRDefault="00B56B9B" w:rsidP="003616F1">
            <w:pPr>
              <w:spacing w:before="100" w:beforeAutospacing="1" w:after="100" w:afterAutospacing="1"/>
              <w:jc w:val="left"/>
              <w:rPr>
                <w:rFonts w:asciiTheme="minorHAnsi" w:hAnsiTheme="minorHAnsi"/>
                <w:b w:val="0"/>
              </w:rPr>
            </w:pPr>
            <w:r w:rsidRPr="00B56B9B">
              <w:rPr>
                <w:rFonts w:asciiTheme="minorHAnsi" w:hAnsiTheme="minorHAnsi"/>
                <w:b w:val="0"/>
              </w:rPr>
              <w:t xml:space="preserve">1. Critical to the ecological character of </w:t>
            </w:r>
            <w:r w:rsidRPr="00B56B9B">
              <w:rPr>
                <w:rFonts w:asciiTheme="minorHAnsi" w:hAnsiTheme="minorHAnsi"/>
                <w:b w:val="0"/>
                <w:bCs w:val="0"/>
              </w:rPr>
              <w:t xml:space="preserve">a </w:t>
            </w:r>
            <w:r w:rsidRPr="00B56B9B">
              <w:rPr>
                <w:rFonts w:asciiTheme="minorHAnsi" w:hAnsiTheme="minorHAnsi"/>
                <w:b w:val="0"/>
              </w:rPr>
              <w:t>Ramsar site</w:t>
            </w:r>
          </w:p>
        </w:tc>
        <w:tc>
          <w:tcPr>
            <w:tcW w:w="3514" w:type="pct"/>
            <w:tcBorders>
              <w:top w:val="none" w:sz="0" w:space="0" w:color="auto"/>
              <w:bottom w:val="none" w:sz="0" w:space="0" w:color="auto"/>
            </w:tcBorders>
            <w:hideMark/>
          </w:tcPr>
          <w:p w14:paraId="01DC8957" w14:textId="4B02FFF9" w:rsidR="00B56B9B" w:rsidRPr="00415F45" w:rsidRDefault="00B56B9B" w:rsidP="00A46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5F45">
              <w:rPr>
                <w:rFonts w:asciiTheme="minorHAnsi" w:hAnsiTheme="minorHAnsi"/>
                <w:b/>
                <w:bCs/>
              </w:rPr>
              <w:t>Low priority:</w:t>
            </w:r>
            <w:r w:rsidRPr="00415F45">
              <w:rPr>
                <w:rFonts w:asciiTheme="minorHAnsi" w:hAnsiTheme="minorHAnsi"/>
              </w:rPr>
              <w:t xml:space="preserve"> Not identified as </w:t>
            </w:r>
            <w:r w:rsidR="00A46DEA">
              <w:rPr>
                <w:rFonts w:asciiTheme="minorHAnsi" w:hAnsiTheme="minorHAnsi"/>
              </w:rPr>
              <w:t xml:space="preserve">a </w:t>
            </w:r>
            <w:r w:rsidRPr="00415F45">
              <w:rPr>
                <w:rFonts w:asciiTheme="minorHAnsi" w:hAnsiTheme="minorHAnsi"/>
              </w:rPr>
              <w:t>critical or supporting C</w:t>
            </w:r>
            <w:r>
              <w:rPr>
                <w:rFonts w:asciiTheme="minorHAnsi" w:hAnsiTheme="minorHAnsi"/>
              </w:rPr>
              <w:t>omponents, Processes, or Services (CPS)</w:t>
            </w:r>
            <w:r w:rsidRPr="00415F45">
              <w:rPr>
                <w:rFonts w:asciiTheme="minorHAnsi" w:hAnsiTheme="minorHAnsi"/>
              </w:rPr>
              <w:t xml:space="preserve">, but occurs within the </w:t>
            </w:r>
            <w:r>
              <w:rPr>
                <w:rFonts w:asciiTheme="minorHAnsi" w:hAnsiTheme="minorHAnsi"/>
              </w:rPr>
              <w:t>site</w:t>
            </w:r>
            <w:r w:rsidRPr="00415F45">
              <w:rPr>
                <w:rFonts w:asciiTheme="minorHAnsi" w:hAnsiTheme="minorHAnsi"/>
              </w:rPr>
              <w:t>.</w:t>
            </w:r>
          </w:p>
        </w:tc>
        <w:tc>
          <w:tcPr>
            <w:tcW w:w="365" w:type="pct"/>
            <w:tcBorders>
              <w:top w:val="none" w:sz="0" w:space="0" w:color="auto"/>
              <w:bottom w:val="none" w:sz="0" w:space="0" w:color="auto"/>
              <w:right w:val="none" w:sz="0" w:space="0" w:color="auto"/>
            </w:tcBorders>
            <w:hideMark/>
          </w:tcPr>
          <w:p w14:paraId="048D7E44" w14:textId="77777777" w:rsidR="00B56B9B" w:rsidRPr="00415F45" w:rsidRDefault="00B56B9B" w:rsidP="003616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5F45">
              <w:rPr>
                <w:rFonts w:asciiTheme="minorHAnsi" w:hAnsiTheme="minorHAnsi"/>
              </w:rPr>
              <w:t>1</w:t>
            </w:r>
          </w:p>
        </w:tc>
      </w:tr>
      <w:tr w:rsidR="00B56B9B" w:rsidRPr="00415F45" w14:paraId="4A6DAF99" w14:textId="77777777" w:rsidTr="00AF0126">
        <w:tc>
          <w:tcPr>
            <w:cnfStyle w:val="001000000000" w:firstRow="0" w:lastRow="0" w:firstColumn="1" w:lastColumn="0" w:oddVBand="0" w:evenVBand="0" w:oddHBand="0" w:evenHBand="0" w:firstRowFirstColumn="0" w:firstRowLastColumn="0" w:lastRowFirstColumn="0" w:lastRowLastColumn="0"/>
            <w:tcW w:w="1122" w:type="pct"/>
            <w:vMerge/>
            <w:hideMark/>
          </w:tcPr>
          <w:p w14:paraId="609D2EEF" w14:textId="77777777" w:rsidR="00B56B9B" w:rsidRPr="00B56B9B" w:rsidRDefault="00B56B9B" w:rsidP="003616F1">
            <w:pPr>
              <w:rPr>
                <w:rFonts w:asciiTheme="minorHAnsi" w:hAnsiTheme="minorHAnsi"/>
                <w:b w:val="0"/>
              </w:rPr>
            </w:pPr>
          </w:p>
        </w:tc>
        <w:tc>
          <w:tcPr>
            <w:tcW w:w="3514" w:type="pct"/>
            <w:hideMark/>
          </w:tcPr>
          <w:p w14:paraId="091E7DF7" w14:textId="00E06C6C" w:rsidR="00B56B9B" w:rsidRPr="00415F45" w:rsidRDefault="00B56B9B" w:rsidP="00EC2E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15F45">
              <w:rPr>
                <w:rFonts w:asciiTheme="minorHAnsi" w:hAnsiTheme="minorHAnsi"/>
                <w:b/>
                <w:bCs/>
              </w:rPr>
              <w:t>Medium priority</w:t>
            </w:r>
            <w:r w:rsidRPr="00415F45">
              <w:rPr>
                <w:rFonts w:asciiTheme="minorHAnsi" w:hAnsiTheme="minorHAnsi"/>
              </w:rPr>
              <w:t xml:space="preserve">: Value relates to a supporting CPS identified </w:t>
            </w:r>
            <w:r>
              <w:rPr>
                <w:rFonts w:asciiTheme="minorHAnsi" w:hAnsiTheme="minorHAnsi"/>
              </w:rPr>
              <w:t>for the site (typically in the R</w:t>
            </w:r>
            <w:r w:rsidR="00EC2EEA">
              <w:rPr>
                <w:rFonts w:asciiTheme="minorHAnsi" w:hAnsiTheme="minorHAnsi"/>
              </w:rPr>
              <w:t xml:space="preserve">amsar Information Sheet </w:t>
            </w:r>
            <w:r>
              <w:rPr>
                <w:rFonts w:asciiTheme="minorHAnsi" w:hAnsiTheme="minorHAnsi"/>
              </w:rPr>
              <w:t>or Ecological Character Description)</w:t>
            </w:r>
            <w:r w:rsidRPr="00415F45">
              <w:rPr>
                <w:rFonts w:asciiTheme="minorHAnsi" w:hAnsiTheme="minorHAnsi"/>
              </w:rPr>
              <w:t>.</w:t>
            </w:r>
          </w:p>
        </w:tc>
        <w:tc>
          <w:tcPr>
            <w:tcW w:w="365" w:type="pct"/>
            <w:hideMark/>
          </w:tcPr>
          <w:p w14:paraId="71D318DC" w14:textId="77777777" w:rsidR="00B56B9B" w:rsidRPr="00415F45" w:rsidRDefault="00B56B9B" w:rsidP="003616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15F45">
              <w:rPr>
                <w:rFonts w:asciiTheme="minorHAnsi" w:hAnsiTheme="minorHAnsi"/>
              </w:rPr>
              <w:t>2</w:t>
            </w:r>
          </w:p>
        </w:tc>
      </w:tr>
      <w:tr w:rsidR="00B56B9B" w:rsidRPr="00415F45" w14:paraId="6B58153D" w14:textId="77777777" w:rsidTr="00AF0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vMerge/>
            <w:tcBorders>
              <w:top w:val="none" w:sz="0" w:space="0" w:color="auto"/>
              <w:left w:val="none" w:sz="0" w:space="0" w:color="auto"/>
              <w:bottom w:val="none" w:sz="0" w:space="0" w:color="auto"/>
            </w:tcBorders>
            <w:hideMark/>
          </w:tcPr>
          <w:p w14:paraId="6CF66E33" w14:textId="77777777" w:rsidR="00B56B9B" w:rsidRPr="00B56B9B" w:rsidRDefault="00B56B9B" w:rsidP="003616F1">
            <w:pPr>
              <w:rPr>
                <w:rFonts w:asciiTheme="minorHAnsi" w:hAnsiTheme="minorHAnsi"/>
                <w:b w:val="0"/>
              </w:rPr>
            </w:pPr>
          </w:p>
        </w:tc>
        <w:tc>
          <w:tcPr>
            <w:tcW w:w="3514" w:type="pct"/>
            <w:tcBorders>
              <w:top w:val="none" w:sz="0" w:space="0" w:color="auto"/>
              <w:bottom w:val="none" w:sz="0" w:space="0" w:color="auto"/>
            </w:tcBorders>
            <w:hideMark/>
          </w:tcPr>
          <w:p w14:paraId="44EE90C4" w14:textId="77777777" w:rsidR="00B56B9B" w:rsidRPr="00415F45" w:rsidRDefault="00B56B9B" w:rsidP="003616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5F45">
              <w:rPr>
                <w:rFonts w:asciiTheme="minorHAnsi" w:hAnsiTheme="minorHAnsi"/>
                <w:b/>
                <w:bCs/>
              </w:rPr>
              <w:t>High priority:</w:t>
            </w:r>
            <w:r w:rsidRPr="00415F45">
              <w:rPr>
                <w:rFonts w:asciiTheme="minorHAnsi" w:hAnsiTheme="minorHAnsi"/>
              </w:rPr>
              <w:t xml:space="preserve"> Value is a critical component, process or service/benefit and present in the management unit.</w:t>
            </w:r>
          </w:p>
        </w:tc>
        <w:tc>
          <w:tcPr>
            <w:tcW w:w="365" w:type="pct"/>
            <w:tcBorders>
              <w:top w:val="none" w:sz="0" w:space="0" w:color="auto"/>
              <w:bottom w:val="none" w:sz="0" w:space="0" w:color="auto"/>
              <w:right w:val="none" w:sz="0" w:space="0" w:color="auto"/>
            </w:tcBorders>
            <w:hideMark/>
          </w:tcPr>
          <w:p w14:paraId="0F347ACF" w14:textId="77777777" w:rsidR="00B56B9B" w:rsidRPr="00415F45" w:rsidRDefault="00B56B9B" w:rsidP="003616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5F45">
              <w:rPr>
                <w:rFonts w:asciiTheme="minorHAnsi" w:hAnsiTheme="minorHAnsi"/>
              </w:rPr>
              <w:t>3</w:t>
            </w:r>
          </w:p>
        </w:tc>
      </w:tr>
      <w:tr w:rsidR="00B56B9B" w:rsidRPr="00415F45" w14:paraId="287DA9DB" w14:textId="77777777" w:rsidTr="00AF0126">
        <w:tc>
          <w:tcPr>
            <w:cnfStyle w:val="001000000000" w:firstRow="0" w:lastRow="0" w:firstColumn="1" w:lastColumn="0" w:oddVBand="0" w:evenVBand="0" w:oddHBand="0" w:evenHBand="0" w:firstRowFirstColumn="0" w:firstRowLastColumn="0" w:lastRowFirstColumn="0" w:lastRowLastColumn="0"/>
            <w:tcW w:w="1122" w:type="pct"/>
            <w:vMerge w:val="restart"/>
            <w:hideMark/>
          </w:tcPr>
          <w:p w14:paraId="2D33AE49" w14:textId="77777777" w:rsidR="00B56B9B" w:rsidRPr="00B56B9B" w:rsidRDefault="00B56B9B" w:rsidP="003616F1">
            <w:pPr>
              <w:spacing w:before="100" w:beforeAutospacing="1" w:after="100" w:afterAutospacing="1"/>
              <w:jc w:val="left"/>
              <w:rPr>
                <w:rFonts w:asciiTheme="minorHAnsi" w:hAnsiTheme="minorHAnsi"/>
                <w:b w:val="0"/>
              </w:rPr>
            </w:pPr>
            <w:r w:rsidRPr="00B56B9B">
              <w:rPr>
                <w:rFonts w:asciiTheme="minorHAnsi" w:hAnsiTheme="minorHAnsi"/>
                <w:b w:val="0"/>
              </w:rPr>
              <w:t>2. Management priority</w:t>
            </w:r>
          </w:p>
        </w:tc>
        <w:tc>
          <w:tcPr>
            <w:tcW w:w="3514" w:type="pct"/>
            <w:hideMark/>
          </w:tcPr>
          <w:p w14:paraId="32B1FA5E" w14:textId="77777777" w:rsidR="00B56B9B" w:rsidRPr="00415F45" w:rsidRDefault="00B56B9B" w:rsidP="003616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15F45">
              <w:rPr>
                <w:rFonts w:asciiTheme="minorHAnsi" w:hAnsiTheme="minorHAnsi"/>
                <w:b/>
                <w:bCs/>
              </w:rPr>
              <w:t xml:space="preserve">Low priority: </w:t>
            </w:r>
            <w:r w:rsidRPr="00FA00EA">
              <w:rPr>
                <w:rFonts w:asciiTheme="minorHAnsi" w:hAnsiTheme="minorHAnsi"/>
                <w:bCs/>
              </w:rPr>
              <w:t>Value n</w:t>
            </w:r>
            <w:r w:rsidRPr="00415F45">
              <w:rPr>
                <w:rFonts w:asciiTheme="minorHAnsi" w:hAnsiTheme="minorHAnsi"/>
              </w:rPr>
              <w:t>ot currently identified as a management priority.</w:t>
            </w:r>
          </w:p>
        </w:tc>
        <w:tc>
          <w:tcPr>
            <w:tcW w:w="365" w:type="pct"/>
            <w:hideMark/>
          </w:tcPr>
          <w:p w14:paraId="70DEA570" w14:textId="77777777" w:rsidR="00B56B9B" w:rsidRPr="00415F45" w:rsidRDefault="00B56B9B" w:rsidP="003616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15F45">
              <w:rPr>
                <w:rFonts w:asciiTheme="minorHAnsi" w:hAnsiTheme="minorHAnsi"/>
              </w:rPr>
              <w:t>1</w:t>
            </w:r>
          </w:p>
        </w:tc>
      </w:tr>
      <w:tr w:rsidR="00B56B9B" w:rsidRPr="00415F45" w14:paraId="4C1C1513" w14:textId="77777777" w:rsidTr="00AF0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vMerge/>
            <w:tcBorders>
              <w:top w:val="none" w:sz="0" w:space="0" w:color="auto"/>
              <w:left w:val="none" w:sz="0" w:space="0" w:color="auto"/>
              <w:bottom w:val="none" w:sz="0" w:space="0" w:color="auto"/>
            </w:tcBorders>
            <w:hideMark/>
          </w:tcPr>
          <w:p w14:paraId="77EA0D3F" w14:textId="77777777" w:rsidR="00B56B9B" w:rsidRPr="00B56B9B" w:rsidRDefault="00B56B9B" w:rsidP="003616F1">
            <w:pPr>
              <w:rPr>
                <w:rFonts w:asciiTheme="minorHAnsi" w:hAnsiTheme="minorHAnsi"/>
                <w:b w:val="0"/>
              </w:rPr>
            </w:pPr>
          </w:p>
        </w:tc>
        <w:tc>
          <w:tcPr>
            <w:tcW w:w="3514" w:type="pct"/>
            <w:tcBorders>
              <w:top w:val="none" w:sz="0" w:space="0" w:color="auto"/>
              <w:bottom w:val="none" w:sz="0" w:space="0" w:color="auto"/>
            </w:tcBorders>
            <w:hideMark/>
          </w:tcPr>
          <w:p w14:paraId="690B3028" w14:textId="77777777" w:rsidR="00B56B9B" w:rsidRPr="00415F45" w:rsidRDefault="00B56B9B" w:rsidP="003616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5F45">
              <w:rPr>
                <w:rFonts w:asciiTheme="minorHAnsi" w:hAnsiTheme="minorHAnsi"/>
                <w:b/>
                <w:bCs/>
              </w:rPr>
              <w:t>Medium priority</w:t>
            </w:r>
            <w:r w:rsidRPr="00415F45">
              <w:rPr>
                <w:rFonts w:asciiTheme="minorHAnsi" w:hAnsiTheme="minorHAnsi"/>
              </w:rPr>
              <w:t>:  Value relates to one or more state listed and/or one or more items listed under international agreements; regional management priority included in regional planning frameworks, management plans etc. Management may be only partially implemented.</w:t>
            </w:r>
          </w:p>
        </w:tc>
        <w:tc>
          <w:tcPr>
            <w:tcW w:w="365" w:type="pct"/>
            <w:tcBorders>
              <w:top w:val="none" w:sz="0" w:space="0" w:color="auto"/>
              <w:bottom w:val="none" w:sz="0" w:space="0" w:color="auto"/>
              <w:right w:val="none" w:sz="0" w:space="0" w:color="auto"/>
            </w:tcBorders>
            <w:hideMark/>
          </w:tcPr>
          <w:p w14:paraId="6D435B8D" w14:textId="77777777" w:rsidR="00B56B9B" w:rsidRPr="00415F45" w:rsidRDefault="00B56B9B" w:rsidP="003616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5F45">
              <w:rPr>
                <w:rFonts w:asciiTheme="minorHAnsi" w:hAnsiTheme="minorHAnsi"/>
              </w:rPr>
              <w:t>2</w:t>
            </w:r>
          </w:p>
        </w:tc>
      </w:tr>
      <w:tr w:rsidR="00B56B9B" w:rsidRPr="00415F45" w14:paraId="23A0A114" w14:textId="77777777" w:rsidTr="00AF0126">
        <w:tc>
          <w:tcPr>
            <w:cnfStyle w:val="001000000000" w:firstRow="0" w:lastRow="0" w:firstColumn="1" w:lastColumn="0" w:oddVBand="0" w:evenVBand="0" w:oddHBand="0" w:evenHBand="0" w:firstRowFirstColumn="0" w:firstRowLastColumn="0" w:lastRowFirstColumn="0" w:lastRowLastColumn="0"/>
            <w:tcW w:w="1122" w:type="pct"/>
            <w:vMerge/>
            <w:hideMark/>
          </w:tcPr>
          <w:p w14:paraId="6C616679" w14:textId="77777777" w:rsidR="00B56B9B" w:rsidRPr="00B56B9B" w:rsidRDefault="00B56B9B" w:rsidP="003616F1">
            <w:pPr>
              <w:rPr>
                <w:rFonts w:asciiTheme="minorHAnsi" w:hAnsiTheme="minorHAnsi"/>
                <w:b w:val="0"/>
              </w:rPr>
            </w:pPr>
          </w:p>
        </w:tc>
        <w:tc>
          <w:tcPr>
            <w:tcW w:w="3514" w:type="pct"/>
            <w:hideMark/>
          </w:tcPr>
          <w:p w14:paraId="6FA5115C" w14:textId="77777777" w:rsidR="00B56B9B" w:rsidRPr="00415F45" w:rsidRDefault="00B56B9B" w:rsidP="003616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15F45">
              <w:rPr>
                <w:rFonts w:asciiTheme="minorHAnsi" w:hAnsiTheme="minorHAnsi"/>
                <w:b/>
                <w:bCs/>
              </w:rPr>
              <w:t>High priority:</w:t>
            </w:r>
            <w:r w:rsidRPr="00415F45">
              <w:rPr>
                <w:rFonts w:asciiTheme="minorHAnsi" w:hAnsiTheme="minorHAnsi"/>
              </w:rPr>
              <w:t xml:space="preserve"> Value relates to one or more matters of National Environmental Significance under the Environment Protection and Biodiversity Conservation Act (EPBC), or other national planning instrument, may or may not include state listed or internationally listed taxa. </w:t>
            </w:r>
          </w:p>
        </w:tc>
        <w:tc>
          <w:tcPr>
            <w:tcW w:w="365" w:type="pct"/>
            <w:hideMark/>
          </w:tcPr>
          <w:p w14:paraId="2A97FBB9" w14:textId="77777777" w:rsidR="00B56B9B" w:rsidRPr="00415F45" w:rsidRDefault="00B56B9B" w:rsidP="003616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15F45">
              <w:rPr>
                <w:rFonts w:asciiTheme="minorHAnsi" w:hAnsiTheme="minorHAnsi"/>
              </w:rPr>
              <w:t>3</w:t>
            </w:r>
          </w:p>
        </w:tc>
      </w:tr>
      <w:tr w:rsidR="00B56B9B" w:rsidRPr="00415F45" w14:paraId="67B36422" w14:textId="77777777" w:rsidTr="00AF0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vMerge w:val="restart"/>
            <w:tcBorders>
              <w:top w:val="none" w:sz="0" w:space="0" w:color="auto"/>
              <w:left w:val="none" w:sz="0" w:space="0" w:color="auto"/>
              <w:bottom w:val="none" w:sz="0" w:space="0" w:color="auto"/>
            </w:tcBorders>
            <w:hideMark/>
          </w:tcPr>
          <w:p w14:paraId="645050EF" w14:textId="77777777" w:rsidR="00B56B9B" w:rsidRPr="00B56B9B" w:rsidRDefault="00B56B9B" w:rsidP="003616F1">
            <w:pPr>
              <w:spacing w:before="100" w:beforeAutospacing="1" w:after="100" w:afterAutospacing="1"/>
              <w:jc w:val="left"/>
              <w:rPr>
                <w:rFonts w:asciiTheme="minorHAnsi" w:hAnsiTheme="minorHAnsi"/>
                <w:b w:val="0"/>
              </w:rPr>
            </w:pPr>
            <w:r w:rsidRPr="00B56B9B">
              <w:rPr>
                <w:rFonts w:asciiTheme="minorHAnsi" w:hAnsiTheme="minorHAnsi"/>
                <w:b w:val="0"/>
              </w:rPr>
              <w:t>3. Community priority</w:t>
            </w:r>
          </w:p>
        </w:tc>
        <w:tc>
          <w:tcPr>
            <w:tcW w:w="3514" w:type="pct"/>
            <w:tcBorders>
              <w:top w:val="none" w:sz="0" w:space="0" w:color="auto"/>
              <w:bottom w:val="none" w:sz="0" w:space="0" w:color="auto"/>
            </w:tcBorders>
            <w:hideMark/>
          </w:tcPr>
          <w:p w14:paraId="783DC467" w14:textId="77777777" w:rsidR="00B56B9B" w:rsidRPr="00415F45" w:rsidRDefault="00B56B9B" w:rsidP="003616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5F45">
              <w:rPr>
                <w:rFonts w:asciiTheme="minorHAnsi" w:hAnsiTheme="minorHAnsi"/>
                <w:b/>
                <w:bCs/>
              </w:rPr>
              <w:t>Low priority:</w:t>
            </w:r>
            <w:r w:rsidRPr="00415F45">
              <w:rPr>
                <w:rFonts w:asciiTheme="minorHAnsi" w:hAnsiTheme="minorHAnsi"/>
              </w:rPr>
              <w:t xml:space="preserve"> Value identified as a low priority by general community.</w:t>
            </w:r>
          </w:p>
        </w:tc>
        <w:tc>
          <w:tcPr>
            <w:tcW w:w="365" w:type="pct"/>
            <w:tcBorders>
              <w:top w:val="none" w:sz="0" w:space="0" w:color="auto"/>
              <w:bottom w:val="none" w:sz="0" w:space="0" w:color="auto"/>
              <w:right w:val="none" w:sz="0" w:space="0" w:color="auto"/>
            </w:tcBorders>
            <w:hideMark/>
          </w:tcPr>
          <w:p w14:paraId="74A48C9D" w14:textId="77777777" w:rsidR="00B56B9B" w:rsidRPr="00415F45" w:rsidRDefault="00B56B9B" w:rsidP="003616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5F45">
              <w:rPr>
                <w:rFonts w:asciiTheme="minorHAnsi" w:hAnsiTheme="minorHAnsi"/>
              </w:rPr>
              <w:t>1</w:t>
            </w:r>
          </w:p>
        </w:tc>
      </w:tr>
      <w:tr w:rsidR="00B56B9B" w:rsidRPr="00415F45" w14:paraId="07AC4722" w14:textId="77777777" w:rsidTr="00AF0126">
        <w:tc>
          <w:tcPr>
            <w:cnfStyle w:val="001000000000" w:firstRow="0" w:lastRow="0" w:firstColumn="1" w:lastColumn="0" w:oddVBand="0" w:evenVBand="0" w:oddHBand="0" w:evenHBand="0" w:firstRowFirstColumn="0" w:firstRowLastColumn="0" w:lastRowFirstColumn="0" w:lastRowLastColumn="0"/>
            <w:tcW w:w="1122" w:type="pct"/>
            <w:vMerge/>
            <w:hideMark/>
          </w:tcPr>
          <w:p w14:paraId="68156B5A" w14:textId="77777777" w:rsidR="00B56B9B" w:rsidRPr="00B56B9B" w:rsidRDefault="00B56B9B" w:rsidP="003616F1">
            <w:pPr>
              <w:rPr>
                <w:rFonts w:asciiTheme="minorHAnsi" w:hAnsiTheme="minorHAnsi"/>
                <w:b w:val="0"/>
              </w:rPr>
            </w:pPr>
          </w:p>
        </w:tc>
        <w:tc>
          <w:tcPr>
            <w:tcW w:w="3514" w:type="pct"/>
            <w:hideMark/>
          </w:tcPr>
          <w:p w14:paraId="18C45754" w14:textId="77777777" w:rsidR="00B56B9B" w:rsidRPr="00415F45" w:rsidRDefault="00B56B9B" w:rsidP="003616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15F45">
              <w:rPr>
                <w:rFonts w:asciiTheme="minorHAnsi" w:hAnsiTheme="minorHAnsi"/>
                <w:b/>
                <w:bCs/>
              </w:rPr>
              <w:t>Medium priority</w:t>
            </w:r>
            <w:r w:rsidRPr="00415F45">
              <w:rPr>
                <w:rFonts w:asciiTheme="minorHAnsi" w:hAnsiTheme="minorHAnsi"/>
              </w:rPr>
              <w:t>: Value identified as of moderate priority for the community.</w:t>
            </w:r>
          </w:p>
        </w:tc>
        <w:tc>
          <w:tcPr>
            <w:tcW w:w="365" w:type="pct"/>
            <w:hideMark/>
          </w:tcPr>
          <w:p w14:paraId="3F57001E" w14:textId="77777777" w:rsidR="00B56B9B" w:rsidRPr="00415F45" w:rsidRDefault="00B56B9B" w:rsidP="003616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15F45">
              <w:rPr>
                <w:rFonts w:asciiTheme="minorHAnsi" w:hAnsiTheme="minorHAnsi"/>
              </w:rPr>
              <w:t>2</w:t>
            </w:r>
          </w:p>
        </w:tc>
      </w:tr>
      <w:tr w:rsidR="00B56B9B" w:rsidRPr="00415F45" w14:paraId="54371849" w14:textId="77777777" w:rsidTr="00AF0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vMerge/>
            <w:tcBorders>
              <w:top w:val="none" w:sz="0" w:space="0" w:color="auto"/>
              <w:left w:val="none" w:sz="0" w:space="0" w:color="auto"/>
              <w:bottom w:val="none" w:sz="0" w:space="0" w:color="auto"/>
            </w:tcBorders>
            <w:hideMark/>
          </w:tcPr>
          <w:p w14:paraId="77319AB8" w14:textId="77777777" w:rsidR="00B56B9B" w:rsidRPr="00B56B9B" w:rsidRDefault="00B56B9B" w:rsidP="003616F1">
            <w:pPr>
              <w:rPr>
                <w:rFonts w:asciiTheme="minorHAnsi" w:hAnsiTheme="minorHAnsi"/>
                <w:b w:val="0"/>
              </w:rPr>
            </w:pPr>
          </w:p>
        </w:tc>
        <w:tc>
          <w:tcPr>
            <w:tcW w:w="3514" w:type="pct"/>
            <w:tcBorders>
              <w:top w:val="none" w:sz="0" w:space="0" w:color="auto"/>
              <w:bottom w:val="none" w:sz="0" w:space="0" w:color="auto"/>
            </w:tcBorders>
            <w:hideMark/>
          </w:tcPr>
          <w:p w14:paraId="45098DF6" w14:textId="77777777" w:rsidR="00B56B9B" w:rsidRPr="00415F45" w:rsidRDefault="00B56B9B" w:rsidP="003616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5F45">
              <w:rPr>
                <w:rFonts w:asciiTheme="minorHAnsi" w:hAnsiTheme="minorHAnsi"/>
                <w:b/>
                <w:bCs/>
              </w:rPr>
              <w:t>High priority:</w:t>
            </w:r>
            <w:r w:rsidRPr="00415F45">
              <w:rPr>
                <w:rFonts w:asciiTheme="minorHAnsi" w:hAnsiTheme="minorHAnsi"/>
              </w:rPr>
              <w:t xml:space="preserve"> Value identified as a high priority by the community</w:t>
            </w:r>
          </w:p>
        </w:tc>
        <w:tc>
          <w:tcPr>
            <w:tcW w:w="365" w:type="pct"/>
            <w:tcBorders>
              <w:top w:val="none" w:sz="0" w:space="0" w:color="auto"/>
              <w:bottom w:val="none" w:sz="0" w:space="0" w:color="auto"/>
              <w:right w:val="none" w:sz="0" w:space="0" w:color="auto"/>
            </w:tcBorders>
            <w:hideMark/>
          </w:tcPr>
          <w:p w14:paraId="1A97FFA5" w14:textId="77777777" w:rsidR="00B56B9B" w:rsidRPr="00415F45" w:rsidRDefault="00B56B9B" w:rsidP="003616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5F45">
              <w:rPr>
                <w:rFonts w:asciiTheme="minorHAnsi" w:hAnsiTheme="minorHAnsi"/>
              </w:rPr>
              <w:t>3</w:t>
            </w:r>
          </w:p>
        </w:tc>
      </w:tr>
      <w:tr w:rsidR="00B56B9B" w:rsidRPr="00415F45" w14:paraId="0BBC18CD" w14:textId="77777777" w:rsidTr="00AF0126">
        <w:tc>
          <w:tcPr>
            <w:cnfStyle w:val="001000000000" w:firstRow="0" w:lastRow="0" w:firstColumn="1" w:lastColumn="0" w:oddVBand="0" w:evenVBand="0" w:oddHBand="0" w:evenHBand="0" w:firstRowFirstColumn="0" w:firstRowLastColumn="0" w:lastRowFirstColumn="0" w:lastRowLastColumn="0"/>
            <w:tcW w:w="1122" w:type="pct"/>
            <w:vMerge w:val="restart"/>
            <w:hideMark/>
          </w:tcPr>
          <w:p w14:paraId="60AB7CF6" w14:textId="77777777" w:rsidR="00B56B9B" w:rsidRPr="00B56B9B" w:rsidRDefault="00B56B9B" w:rsidP="003616F1">
            <w:pPr>
              <w:spacing w:before="100" w:beforeAutospacing="1" w:after="100" w:afterAutospacing="1"/>
              <w:jc w:val="left"/>
              <w:rPr>
                <w:rFonts w:asciiTheme="minorHAnsi" w:hAnsiTheme="minorHAnsi"/>
                <w:b w:val="0"/>
              </w:rPr>
            </w:pPr>
            <w:r w:rsidRPr="00B56B9B">
              <w:rPr>
                <w:rFonts w:asciiTheme="minorHAnsi" w:hAnsiTheme="minorHAnsi"/>
                <w:b w:val="0"/>
              </w:rPr>
              <w:t>4. Risk (from risk assessment</w:t>
            </w:r>
            <w:r w:rsidRPr="00B56B9B">
              <w:rPr>
                <w:rFonts w:asciiTheme="minorHAnsi" w:hAnsiTheme="minorHAnsi"/>
                <w:b w:val="0"/>
                <w:bCs w:val="0"/>
              </w:rPr>
              <w:t>- Step 2 in IECA</w:t>
            </w:r>
            <w:r w:rsidRPr="00B56B9B">
              <w:rPr>
                <w:rFonts w:asciiTheme="minorHAnsi" w:hAnsiTheme="minorHAnsi"/>
                <w:b w:val="0"/>
              </w:rPr>
              <w:t>)</w:t>
            </w:r>
          </w:p>
        </w:tc>
        <w:tc>
          <w:tcPr>
            <w:tcW w:w="3514" w:type="pct"/>
            <w:hideMark/>
          </w:tcPr>
          <w:p w14:paraId="2DE5DE68" w14:textId="77777777" w:rsidR="00B56B9B" w:rsidRPr="00415F45" w:rsidRDefault="00B56B9B" w:rsidP="003616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15F45">
              <w:rPr>
                <w:rFonts w:asciiTheme="minorHAnsi" w:hAnsiTheme="minorHAnsi"/>
                <w:b/>
                <w:bCs/>
              </w:rPr>
              <w:t>Low priority:</w:t>
            </w:r>
            <w:r w:rsidRPr="00415F45">
              <w:rPr>
                <w:rFonts w:asciiTheme="minorHAnsi" w:hAnsiTheme="minorHAnsi"/>
              </w:rPr>
              <w:t xml:space="preserve"> No high or extreme risks identified for the value.</w:t>
            </w:r>
          </w:p>
        </w:tc>
        <w:tc>
          <w:tcPr>
            <w:tcW w:w="365" w:type="pct"/>
            <w:hideMark/>
          </w:tcPr>
          <w:p w14:paraId="66920AFA" w14:textId="77777777" w:rsidR="00B56B9B" w:rsidRPr="00415F45" w:rsidRDefault="00B56B9B" w:rsidP="003616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15F45">
              <w:rPr>
                <w:rFonts w:asciiTheme="minorHAnsi" w:hAnsiTheme="minorHAnsi"/>
              </w:rPr>
              <w:t>1</w:t>
            </w:r>
          </w:p>
        </w:tc>
      </w:tr>
      <w:tr w:rsidR="00B56B9B" w:rsidRPr="00415F45" w14:paraId="02D3A07E" w14:textId="77777777" w:rsidTr="00AF0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vMerge/>
            <w:tcBorders>
              <w:top w:val="none" w:sz="0" w:space="0" w:color="auto"/>
              <w:left w:val="none" w:sz="0" w:space="0" w:color="auto"/>
              <w:bottom w:val="none" w:sz="0" w:space="0" w:color="auto"/>
            </w:tcBorders>
            <w:hideMark/>
          </w:tcPr>
          <w:p w14:paraId="4A102D3D" w14:textId="77777777" w:rsidR="00B56B9B" w:rsidRPr="00415F45" w:rsidRDefault="00B56B9B" w:rsidP="003616F1">
            <w:pPr>
              <w:rPr>
                <w:rFonts w:asciiTheme="minorHAnsi" w:hAnsiTheme="minorHAnsi"/>
              </w:rPr>
            </w:pPr>
          </w:p>
        </w:tc>
        <w:tc>
          <w:tcPr>
            <w:tcW w:w="3514" w:type="pct"/>
            <w:tcBorders>
              <w:top w:val="none" w:sz="0" w:space="0" w:color="auto"/>
              <w:bottom w:val="none" w:sz="0" w:space="0" w:color="auto"/>
            </w:tcBorders>
            <w:hideMark/>
          </w:tcPr>
          <w:p w14:paraId="69A462E9" w14:textId="77777777" w:rsidR="00B56B9B" w:rsidRPr="00415F45" w:rsidRDefault="00B56B9B" w:rsidP="003616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5F45">
              <w:rPr>
                <w:rFonts w:asciiTheme="minorHAnsi" w:hAnsiTheme="minorHAnsi"/>
                <w:b/>
                <w:bCs/>
              </w:rPr>
              <w:t>Medium priority</w:t>
            </w:r>
            <w:r w:rsidRPr="00415F45">
              <w:rPr>
                <w:rFonts w:asciiTheme="minorHAnsi" w:hAnsiTheme="minorHAnsi"/>
              </w:rPr>
              <w:t>: One high risk identified for the value.</w:t>
            </w:r>
          </w:p>
        </w:tc>
        <w:tc>
          <w:tcPr>
            <w:tcW w:w="365" w:type="pct"/>
            <w:tcBorders>
              <w:top w:val="none" w:sz="0" w:space="0" w:color="auto"/>
              <w:bottom w:val="none" w:sz="0" w:space="0" w:color="auto"/>
              <w:right w:val="none" w:sz="0" w:space="0" w:color="auto"/>
            </w:tcBorders>
            <w:hideMark/>
          </w:tcPr>
          <w:p w14:paraId="6273781B" w14:textId="77777777" w:rsidR="00B56B9B" w:rsidRPr="00415F45" w:rsidRDefault="00B56B9B" w:rsidP="003616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5F45">
              <w:rPr>
                <w:rFonts w:asciiTheme="minorHAnsi" w:hAnsiTheme="minorHAnsi"/>
              </w:rPr>
              <w:t>2</w:t>
            </w:r>
          </w:p>
        </w:tc>
      </w:tr>
      <w:tr w:rsidR="00B56B9B" w:rsidRPr="00415F45" w14:paraId="2BE4FC17" w14:textId="77777777" w:rsidTr="00AF0126">
        <w:tc>
          <w:tcPr>
            <w:cnfStyle w:val="001000000000" w:firstRow="0" w:lastRow="0" w:firstColumn="1" w:lastColumn="0" w:oddVBand="0" w:evenVBand="0" w:oddHBand="0" w:evenHBand="0" w:firstRowFirstColumn="0" w:firstRowLastColumn="0" w:lastRowFirstColumn="0" w:lastRowLastColumn="0"/>
            <w:tcW w:w="1122" w:type="pct"/>
            <w:vMerge/>
            <w:hideMark/>
          </w:tcPr>
          <w:p w14:paraId="0BC0BED8" w14:textId="77777777" w:rsidR="00B56B9B" w:rsidRPr="00415F45" w:rsidRDefault="00B56B9B" w:rsidP="003616F1">
            <w:pPr>
              <w:rPr>
                <w:rFonts w:asciiTheme="minorHAnsi" w:hAnsiTheme="minorHAnsi"/>
              </w:rPr>
            </w:pPr>
          </w:p>
        </w:tc>
        <w:tc>
          <w:tcPr>
            <w:tcW w:w="3514" w:type="pct"/>
            <w:hideMark/>
          </w:tcPr>
          <w:p w14:paraId="7C66195E" w14:textId="77777777" w:rsidR="00B56B9B" w:rsidRPr="00415F45" w:rsidRDefault="00B56B9B" w:rsidP="003616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15F45">
              <w:rPr>
                <w:rFonts w:asciiTheme="minorHAnsi" w:hAnsiTheme="minorHAnsi"/>
                <w:b/>
                <w:bCs/>
              </w:rPr>
              <w:t>High priority:</w:t>
            </w:r>
            <w:r w:rsidRPr="00415F45">
              <w:rPr>
                <w:rFonts w:asciiTheme="minorHAnsi" w:hAnsiTheme="minorHAnsi"/>
              </w:rPr>
              <w:t xml:space="preserve"> An “extreme” risk and / or two or more “high” risks identified for the value.</w:t>
            </w:r>
          </w:p>
        </w:tc>
        <w:tc>
          <w:tcPr>
            <w:tcW w:w="365" w:type="pct"/>
            <w:hideMark/>
          </w:tcPr>
          <w:p w14:paraId="73E8251F" w14:textId="77777777" w:rsidR="00B56B9B" w:rsidRPr="00415F45" w:rsidRDefault="00B56B9B" w:rsidP="003616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15F45">
              <w:rPr>
                <w:rFonts w:asciiTheme="minorHAnsi" w:hAnsiTheme="minorHAnsi"/>
              </w:rPr>
              <w:t>3</w:t>
            </w:r>
          </w:p>
        </w:tc>
      </w:tr>
    </w:tbl>
    <w:p w14:paraId="6E0F6777" w14:textId="77777777" w:rsidR="00E4353F" w:rsidRDefault="00E4353F"/>
    <w:p w14:paraId="4B936E55" w14:textId="40E5B36B" w:rsidR="00BC1852" w:rsidRPr="00A94E33" w:rsidRDefault="00BC1852" w:rsidP="00BC1852">
      <w:pPr>
        <w:shd w:val="clear" w:color="auto" w:fill="F6F4E1" w:themeFill="accent3" w:themeFillTint="33"/>
        <w:rPr>
          <w:b/>
          <w:i/>
          <w:color w:val="679B9A" w:themeColor="accent2" w:themeShade="BF"/>
        </w:rPr>
      </w:pPr>
      <w:r w:rsidRPr="00A94E33">
        <w:rPr>
          <w:b/>
          <w:i/>
          <w:color w:val="679B9A" w:themeColor="accent2" w:themeShade="BF"/>
        </w:rPr>
        <w:t xml:space="preserve">Tip: If including a risk assessment output as part of the MCA for prioritising values, then this will require Step 2 to be undertaken in parallel with Step 1. </w:t>
      </w:r>
      <w:r w:rsidR="007B3DF9" w:rsidRPr="00A94E33">
        <w:rPr>
          <w:b/>
          <w:i/>
          <w:color w:val="679B9A" w:themeColor="accent2" w:themeShade="BF"/>
        </w:rPr>
        <w:t>For this reason i</w:t>
      </w:r>
      <w:r w:rsidRPr="00A94E33">
        <w:rPr>
          <w:b/>
          <w:i/>
          <w:color w:val="679B9A" w:themeColor="accent2" w:themeShade="BF"/>
        </w:rPr>
        <w:t xml:space="preserve">t can be beneficial to engage the TAG to address prioritising values and risk at the same time. </w:t>
      </w:r>
    </w:p>
    <w:p w14:paraId="60F9E66C" w14:textId="77777777" w:rsidR="00583A43" w:rsidRDefault="00583A43" w:rsidP="00583A43"/>
    <w:p w14:paraId="24B31C14" w14:textId="77777777" w:rsidR="003A2740" w:rsidRPr="00FE509A" w:rsidRDefault="003A2740" w:rsidP="00F4328F">
      <w:pPr>
        <w:pStyle w:val="ListParagraph"/>
        <w:numPr>
          <w:ilvl w:val="0"/>
          <w:numId w:val="12"/>
        </w:numPr>
        <w:rPr>
          <w:b/>
          <w:i/>
        </w:rPr>
      </w:pPr>
      <w:r w:rsidRPr="00FE509A">
        <w:rPr>
          <w:b/>
          <w:i/>
        </w:rPr>
        <w:t>Create a performance matrix for values under each theme (applying the scoring system)</w:t>
      </w:r>
      <w:r>
        <w:rPr>
          <w:b/>
          <w:i/>
        </w:rPr>
        <w:t>.</w:t>
      </w:r>
    </w:p>
    <w:p w14:paraId="06490183" w14:textId="7B14E26B" w:rsidR="003A2740" w:rsidRDefault="003A2740" w:rsidP="003A2740">
      <w:r>
        <w:t xml:space="preserve">A performance matrix is </w:t>
      </w:r>
      <w:r w:rsidR="002322CC">
        <w:t>the table of</w:t>
      </w:r>
      <w:r>
        <w:t xml:space="preserve"> scores for each value, grouped by theme. This is the main output of the prioritisation. It provides a visual summary of the ranking of each option against each criterion. The performance matrix has the following characteristics:</w:t>
      </w:r>
    </w:p>
    <w:p w14:paraId="39CBB4B0" w14:textId="44CF7F22" w:rsidR="003A2740" w:rsidRDefault="003A2740" w:rsidP="003A2740">
      <w:r>
        <w:t>•</w:t>
      </w:r>
      <w:r>
        <w:tab/>
        <w:t>Each row represents a value (component, process or service)</w:t>
      </w:r>
      <w:r w:rsidR="00BA09E3">
        <w:t>;</w:t>
      </w:r>
    </w:p>
    <w:p w14:paraId="56DFA352" w14:textId="22F7B703" w:rsidR="003A2740" w:rsidRDefault="003A2740" w:rsidP="003A2740">
      <w:r>
        <w:t>•</w:t>
      </w:r>
      <w:r>
        <w:tab/>
        <w:t>Each column corresponds to a criterion, considered in the comparison of the different options</w:t>
      </w:r>
      <w:r w:rsidR="00BA09E3">
        <w:t>; and</w:t>
      </w:r>
    </w:p>
    <w:p w14:paraId="5C896365" w14:textId="77777777" w:rsidR="003A2740" w:rsidRDefault="003A2740" w:rsidP="003A2740">
      <w:r>
        <w:t>•</w:t>
      </w:r>
      <w:r>
        <w:tab/>
        <w:t>The entries in the body of the matrix reflect the combined scores by the TAG.</w:t>
      </w:r>
    </w:p>
    <w:p w14:paraId="1DB6F508" w14:textId="77777777" w:rsidR="003A2740" w:rsidRDefault="003A2740" w:rsidP="003A2740">
      <w:r>
        <w:t xml:space="preserve">Once the scores have been applied, weighted and summed, it is necessary to determine a threshold for those that will be considered a high priority and continue through the condition assessment process.  Several methods of scoring and integration are available including categorical scales (e.g. Jenks natural breaks, k-means algorithm), averaging (e.g. all values above the average are considered a priority), and percentiles (e.g. values </w:t>
      </w:r>
      <w:r>
        <w:lastRenderedPageBreak/>
        <w:t>that score in the top 25th percentile are considered a priority). Module 3, Guidelines for Identifying HEVAE provides a summary of the advantages and disadvantages of several methods.</w:t>
      </w:r>
    </w:p>
    <w:p w14:paraId="6E59F6DB" w14:textId="7353F0A7" w:rsidR="002322CC" w:rsidRDefault="002322CC" w:rsidP="003A2740">
      <w:r>
        <w:t>It is also useful to update the conceptual model following the identification and prioritisation of values.</w:t>
      </w:r>
    </w:p>
    <w:p w14:paraId="0EE2F77F" w14:textId="0253CABD" w:rsidR="003A2740" w:rsidRDefault="003A2740" w:rsidP="003A2740">
      <w:pPr>
        <w:shd w:val="clear" w:color="auto" w:fill="F6F4E1" w:themeFill="accent3" w:themeFillTint="33"/>
        <w:rPr>
          <w:b/>
          <w:color w:val="679B9A" w:themeColor="accent2" w:themeShade="BF"/>
        </w:rPr>
      </w:pPr>
      <w:r w:rsidRPr="003616F1">
        <w:rPr>
          <w:b/>
          <w:i/>
          <w:color w:val="679B9A" w:themeColor="accent2" w:themeShade="BF"/>
        </w:rPr>
        <w:t>Tip</w:t>
      </w:r>
      <w:r w:rsidR="001004DB">
        <w:rPr>
          <w:b/>
          <w:i/>
          <w:color w:val="679B9A" w:themeColor="accent2" w:themeShade="BF"/>
        </w:rPr>
        <w:t xml:space="preserve">: </w:t>
      </w:r>
      <w:r w:rsidRPr="003616F1">
        <w:rPr>
          <w:b/>
          <w:i/>
          <w:color w:val="679B9A" w:themeColor="accent2" w:themeShade="BF"/>
        </w:rPr>
        <w:t>The method of determining the high priority value threshold must be set a priori, that is before the criteria are scored. This will allow for an independent and transparent decision on high priority values.</w:t>
      </w:r>
    </w:p>
    <w:p w14:paraId="22E77653" w14:textId="77777777" w:rsidR="003A2740" w:rsidRDefault="003A2740"/>
    <w:p w14:paraId="5F989DB6" w14:textId="7A311807" w:rsidR="00C54BB5" w:rsidRPr="0018013E" w:rsidRDefault="00C54BB5" w:rsidP="00C54BB5">
      <w:pPr>
        <w:pStyle w:val="Caption"/>
        <w:shd w:val="clear" w:color="auto" w:fill="F6F4E1" w:themeFill="accent3" w:themeFillTint="33"/>
        <w:rPr>
          <w:rFonts w:asciiTheme="minorHAnsi" w:hAnsiTheme="minorHAnsi" w:cstheme="minorHAnsi"/>
          <w:b w:val="0"/>
          <w:i/>
        </w:rPr>
      </w:pPr>
      <w:r>
        <w:t xml:space="preserve">Text Box </w:t>
      </w:r>
      <w:fldSimple w:instr=" SEQ Text_Box \* ARABIC ">
        <w:r w:rsidR="005F359C">
          <w:rPr>
            <w:noProof/>
          </w:rPr>
          <w:t>3</w:t>
        </w:r>
      </w:fldSimple>
      <w:r>
        <w:t xml:space="preserve">. </w:t>
      </w:r>
      <w:r w:rsidRPr="004A60EA">
        <w:rPr>
          <w:rFonts w:asciiTheme="minorHAnsi" w:hAnsiTheme="minorHAnsi" w:cstheme="minorHAnsi"/>
        </w:rPr>
        <w:t xml:space="preserve">Example ecological value prioritisation matrix for a subset of values from the IECA proof of concept trial at Hattah Lakes </w:t>
      </w:r>
      <w:r w:rsidRPr="004A60EA">
        <w:rPr>
          <w:rFonts w:asciiTheme="minorHAnsi" w:hAnsiTheme="minorHAnsi" w:cstheme="minorHAnsi"/>
        </w:rPr>
        <w:fldChar w:fldCharType="begin"/>
      </w:r>
      <w:r w:rsidRPr="004A60EA">
        <w:rPr>
          <w:rFonts w:asciiTheme="minorHAnsi" w:hAnsiTheme="minorHAnsi" w:cstheme="minorHAnsi"/>
          <w:caps w:val="0"/>
        </w:rPr>
        <w:instrText xml:space="preserve"> ADDIN ZOTERO_ITEM CSL_CITATION {"citationID":"1u4h5kfm9r","properties":{"formattedCitation":"(Gawne et al. 2013)","plainCitation":"(GAWNE ET AL. 2013)"},"citationItems":[{"id":407,"uris":["http://zotero.org/users/3119797/items/8KTWFNUC"],"uri":["http://zotero.org/users/3119797/items/8KTWFNUC"],"itemData":{"id":407,"type":"article","title":"IECA Proof of Concept Trial – Technical report. Final Report prepared for the Department of Sustainability, Environment, Water, Population and Communities by The Murray-Darling Freshwater Research Centre, MDFRC Publication 27/2013","author":[{"family":"Gawne","given":"Ben"},{"family":"Butcher","given":"R."},{"family":"Durant","given":"R."},{"family":"Ellis","given":"Iain"},{"family":"Henderson","given":"M."},{"family":"Ning","given":"N."},{"family":"Campbell","given":"C."},{"family":"Hawking","given":"J."}],"issued":{"date-parts":[["2013"]]}}}],"schema":"https://github.com/citation-style-language/schema/raw/master/csl-citation.json"} </w:instrText>
      </w:r>
      <w:r w:rsidRPr="004A60EA">
        <w:rPr>
          <w:rFonts w:asciiTheme="minorHAnsi" w:hAnsiTheme="minorHAnsi" w:cstheme="minorHAnsi"/>
        </w:rPr>
        <w:fldChar w:fldCharType="separate"/>
      </w:r>
      <w:r w:rsidRPr="004A60EA">
        <w:rPr>
          <w:rFonts w:cs="Calibri"/>
        </w:rPr>
        <w:t>(Gawne et al. 2013)</w:t>
      </w:r>
      <w:r w:rsidRPr="004A60EA">
        <w:rPr>
          <w:rFonts w:asciiTheme="minorHAnsi" w:hAnsiTheme="minorHAnsi" w:cstheme="minorHAnsi"/>
        </w:rPr>
        <w:fldChar w:fldCharType="end"/>
      </w:r>
      <w:r w:rsidRPr="004A60EA">
        <w:rPr>
          <w:rFonts w:asciiTheme="minorHAnsi" w:hAnsiTheme="minorHAnsi" w:cstheme="minorHAnsi"/>
        </w:rPr>
        <w:t>.</w:t>
      </w:r>
    </w:p>
    <w:p w14:paraId="7CE730D2" w14:textId="77777777" w:rsidR="00C54BB5" w:rsidRPr="0018013E" w:rsidRDefault="00C54BB5" w:rsidP="00C54BB5">
      <w:pPr>
        <w:shd w:val="clear" w:color="auto" w:fill="F6F4E1" w:themeFill="accent3" w:themeFillTint="33"/>
        <w:spacing w:after="0" w:line="240" w:lineRule="auto"/>
        <w:rPr>
          <w:rFonts w:asciiTheme="minorHAnsi" w:hAnsiTheme="minorHAnsi" w:cstheme="minorHAnsi"/>
        </w:rPr>
      </w:pPr>
      <w:r w:rsidRPr="0018013E">
        <w:rPr>
          <w:rFonts w:asciiTheme="minorHAnsi" w:hAnsiTheme="minorHAnsi" w:cstheme="minorHAnsi"/>
        </w:rPr>
        <w:t xml:space="preserve">Note that </w:t>
      </w:r>
      <w:r>
        <w:rPr>
          <w:rFonts w:asciiTheme="minorHAnsi" w:hAnsiTheme="minorHAnsi" w:cstheme="minorHAnsi"/>
        </w:rPr>
        <w:t>C</w:t>
      </w:r>
      <w:r w:rsidRPr="0018013E">
        <w:rPr>
          <w:rFonts w:asciiTheme="minorHAnsi" w:hAnsiTheme="minorHAnsi" w:cstheme="minorHAnsi"/>
        </w:rPr>
        <w:t xml:space="preserve">riterion </w:t>
      </w:r>
      <w:r>
        <w:rPr>
          <w:rFonts w:asciiTheme="minorHAnsi" w:hAnsiTheme="minorHAnsi" w:cstheme="minorHAnsi"/>
        </w:rPr>
        <w:t>1</w:t>
      </w:r>
      <w:r w:rsidRPr="0018013E">
        <w:rPr>
          <w:rFonts w:asciiTheme="minorHAnsi" w:hAnsiTheme="minorHAnsi" w:cstheme="minorHAnsi"/>
        </w:rPr>
        <w:t xml:space="preserve"> has been weighted as twice as important as </w:t>
      </w:r>
      <w:r>
        <w:rPr>
          <w:rFonts w:asciiTheme="minorHAnsi" w:hAnsiTheme="minorHAnsi" w:cstheme="minorHAnsi"/>
        </w:rPr>
        <w:t>C</w:t>
      </w:r>
      <w:r w:rsidRPr="0018013E">
        <w:rPr>
          <w:rFonts w:asciiTheme="minorHAnsi" w:hAnsiTheme="minorHAnsi" w:cstheme="minorHAnsi"/>
        </w:rPr>
        <w:t>riteria 2 and 3.</w:t>
      </w:r>
    </w:p>
    <w:p w14:paraId="4C48E319" w14:textId="77777777" w:rsidR="00C54BB5" w:rsidRPr="0018013E" w:rsidRDefault="00C54BB5" w:rsidP="00C54BB5">
      <w:pPr>
        <w:shd w:val="clear" w:color="auto" w:fill="F6F4E1" w:themeFill="accent3" w:themeFillTint="33"/>
        <w:spacing w:after="0" w:line="240" w:lineRule="auto"/>
        <w:rPr>
          <w:rFonts w:asciiTheme="minorHAnsi" w:hAnsiTheme="minorHAnsi" w:cstheme="minorHAnsi"/>
        </w:rPr>
      </w:pPr>
      <w:r w:rsidRPr="0018013E">
        <w:rPr>
          <w:rFonts w:asciiTheme="minorHAnsi" w:hAnsiTheme="minorHAnsi" w:cstheme="minorHAnsi"/>
        </w:rPr>
        <w:t>Priority threshold</w:t>
      </w:r>
      <w:r>
        <w:rPr>
          <w:rFonts w:asciiTheme="minorHAnsi" w:hAnsiTheme="minorHAnsi" w:cstheme="minorHAnsi"/>
        </w:rPr>
        <w:t xml:space="preserve">s were </w:t>
      </w:r>
      <w:r w:rsidRPr="0018013E">
        <w:rPr>
          <w:rFonts w:asciiTheme="minorHAnsi" w:hAnsiTheme="minorHAnsi" w:cstheme="minorHAnsi"/>
        </w:rPr>
        <w:t>determined based on percentages as follows:</w:t>
      </w:r>
    </w:p>
    <w:p w14:paraId="233D04D5" w14:textId="6A9CBB48" w:rsidR="00C54BB5" w:rsidRPr="0018013E" w:rsidRDefault="00C54BB5" w:rsidP="00F4328F">
      <w:pPr>
        <w:pStyle w:val="ListParagraph"/>
        <w:numPr>
          <w:ilvl w:val="0"/>
          <w:numId w:val="29"/>
        </w:numPr>
        <w:shd w:val="clear" w:color="auto" w:fill="F6F4E1" w:themeFill="accent3" w:themeFillTint="33"/>
        <w:spacing w:after="0" w:line="240" w:lineRule="auto"/>
        <w:jc w:val="left"/>
        <w:rPr>
          <w:rFonts w:asciiTheme="minorHAnsi" w:hAnsiTheme="minorHAnsi" w:cstheme="minorHAnsi"/>
        </w:rPr>
      </w:pPr>
      <w:r w:rsidRPr="0018013E">
        <w:rPr>
          <w:rFonts w:asciiTheme="minorHAnsi" w:hAnsiTheme="minorHAnsi" w:cstheme="minorHAnsi"/>
        </w:rPr>
        <w:t>High = 67</w:t>
      </w:r>
      <w:r>
        <w:rPr>
          <w:rFonts w:asciiTheme="minorHAnsi" w:hAnsiTheme="minorHAnsi" w:cstheme="minorHAnsi"/>
        </w:rPr>
        <w:t>–</w:t>
      </w:r>
      <w:r w:rsidRPr="0018013E">
        <w:rPr>
          <w:rFonts w:asciiTheme="minorHAnsi" w:hAnsiTheme="minorHAnsi" w:cstheme="minorHAnsi"/>
        </w:rPr>
        <w:t xml:space="preserve">100%, </w:t>
      </w:r>
    </w:p>
    <w:p w14:paraId="76EF358B" w14:textId="77777777" w:rsidR="00C54BB5" w:rsidRPr="0018013E" w:rsidRDefault="00C54BB5" w:rsidP="00F4328F">
      <w:pPr>
        <w:pStyle w:val="ListParagraph"/>
        <w:numPr>
          <w:ilvl w:val="0"/>
          <w:numId w:val="29"/>
        </w:numPr>
        <w:shd w:val="clear" w:color="auto" w:fill="F6F4E1" w:themeFill="accent3" w:themeFillTint="33"/>
        <w:spacing w:after="0" w:line="240" w:lineRule="auto"/>
        <w:jc w:val="left"/>
        <w:rPr>
          <w:rFonts w:asciiTheme="minorHAnsi" w:hAnsiTheme="minorHAnsi" w:cstheme="minorHAnsi"/>
        </w:rPr>
      </w:pPr>
      <w:r w:rsidRPr="0018013E">
        <w:rPr>
          <w:rFonts w:asciiTheme="minorHAnsi" w:hAnsiTheme="minorHAnsi" w:cstheme="minorHAnsi"/>
        </w:rPr>
        <w:t xml:space="preserve">Medium = </w:t>
      </w:r>
      <w:r>
        <w:rPr>
          <w:rFonts w:asciiTheme="minorHAnsi" w:hAnsiTheme="minorHAnsi" w:cstheme="minorHAnsi"/>
        </w:rPr>
        <w:t>3</w:t>
      </w:r>
      <w:r w:rsidRPr="0018013E">
        <w:rPr>
          <w:rFonts w:asciiTheme="minorHAnsi" w:hAnsiTheme="minorHAnsi" w:cstheme="minorHAnsi"/>
        </w:rPr>
        <w:t>4</w:t>
      </w:r>
      <w:r>
        <w:rPr>
          <w:rFonts w:asciiTheme="minorHAnsi" w:hAnsiTheme="minorHAnsi" w:cstheme="minorHAnsi"/>
        </w:rPr>
        <w:t>–</w:t>
      </w:r>
      <w:r w:rsidRPr="0018013E">
        <w:rPr>
          <w:rFonts w:asciiTheme="minorHAnsi" w:hAnsiTheme="minorHAnsi" w:cstheme="minorHAnsi"/>
        </w:rPr>
        <w:t xml:space="preserve">66% and </w:t>
      </w:r>
    </w:p>
    <w:p w14:paraId="51E6115A" w14:textId="77777777" w:rsidR="00C54BB5" w:rsidRPr="0018013E" w:rsidRDefault="00C54BB5" w:rsidP="00F4328F">
      <w:pPr>
        <w:pStyle w:val="ListParagraph"/>
        <w:numPr>
          <w:ilvl w:val="0"/>
          <w:numId w:val="29"/>
        </w:numPr>
        <w:shd w:val="clear" w:color="auto" w:fill="F6F4E1" w:themeFill="accent3" w:themeFillTint="33"/>
        <w:spacing w:after="0" w:line="240" w:lineRule="auto"/>
        <w:jc w:val="left"/>
        <w:rPr>
          <w:rFonts w:asciiTheme="minorHAnsi" w:hAnsiTheme="minorHAnsi" w:cstheme="minorHAnsi"/>
        </w:rPr>
      </w:pPr>
      <w:r w:rsidRPr="0018013E">
        <w:rPr>
          <w:rFonts w:asciiTheme="minorHAnsi" w:hAnsiTheme="minorHAnsi" w:cstheme="minorHAnsi"/>
        </w:rPr>
        <w:t>Low = 0</w:t>
      </w:r>
      <w:r>
        <w:rPr>
          <w:rFonts w:asciiTheme="minorHAnsi" w:hAnsiTheme="minorHAnsi" w:cstheme="minorHAnsi"/>
        </w:rPr>
        <w:t>–</w:t>
      </w:r>
      <w:r w:rsidRPr="0018013E">
        <w:rPr>
          <w:rFonts w:asciiTheme="minorHAnsi" w:hAnsiTheme="minorHAnsi" w:cstheme="minorHAnsi"/>
        </w:rPr>
        <w:t>33%.</w:t>
      </w:r>
    </w:p>
    <w:tbl>
      <w:tblPr>
        <w:tblStyle w:val="TableGrid"/>
        <w:tblOverlap w:val="never"/>
        <w:tblW w:w="0" w:type="auto"/>
        <w:tblInd w:w="108" w:type="dxa"/>
        <w:tblLayout w:type="fixed"/>
        <w:tblLook w:val="04A0" w:firstRow="1" w:lastRow="0" w:firstColumn="1" w:lastColumn="0" w:noHBand="0" w:noVBand="1"/>
      </w:tblPr>
      <w:tblGrid>
        <w:gridCol w:w="3544"/>
        <w:gridCol w:w="1223"/>
        <w:gridCol w:w="936"/>
        <w:gridCol w:w="936"/>
        <w:gridCol w:w="878"/>
        <w:gridCol w:w="714"/>
        <w:gridCol w:w="903"/>
      </w:tblGrid>
      <w:tr w:rsidR="00C54BB5" w:rsidRPr="0018013E" w14:paraId="2624BE3B" w14:textId="77777777" w:rsidTr="00643E8D">
        <w:trPr>
          <w:cnfStyle w:val="100000000000" w:firstRow="1" w:lastRow="0" w:firstColumn="0" w:lastColumn="0" w:oddVBand="0" w:evenVBand="0" w:oddHBand="0" w:evenHBand="0" w:firstRowFirstColumn="0" w:firstRowLastColumn="0" w:lastRowFirstColumn="0" w:lastRowLastColumn="0"/>
          <w:trHeight w:val="274"/>
        </w:trPr>
        <w:tc>
          <w:tcPr>
            <w:tcW w:w="3544" w:type="dxa"/>
            <w:tcBorders>
              <w:top w:val="nil"/>
              <w:left w:val="nil"/>
              <w:bottom w:val="single" w:sz="4" w:space="0" w:color="ACA287" w:themeColor="text2" w:themeTint="99"/>
              <w:right w:val="single" w:sz="4" w:space="0" w:color="ACA287" w:themeColor="text2" w:themeTint="99"/>
            </w:tcBorders>
            <w:shd w:val="clear" w:color="auto" w:fill="ACA287" w:themeFill="text2" w:themeFillTint="99"/>
            <w:noWrap/>
            <w:hideMark/>
          </w:tcPr>
          <w:p w14:paraId="02348D47" w14:textId="77777777" w:rsidR="00C54BB5" w:rsidRPr="0018013E" w:rsidRDefault="00C54BB5" w:rsidP="00295D14">
            <w:pPr>
              <w:suppressOverlap/>
              <w:rPr>
                <w:rFonts w:asciiTheme="minorHAnsi" w:hAnsiTheme="minorHAnsi" w:cstheme="minorHAnsi"/>
              </w:rPr>
            </w:pPr>
          </w:p>
        </w:tc>
        <w:tc>
          <w:tcPr>
            <w:tcW w:w="5590" w:type="dxa"/>
            <w:gridSpan w:val="6"/>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848057" w:themeFill="accent1" w:themeFillShade="BF"/>
            <w:hideMark/>
          </w:tcPr>
          <w:p w14:paraId="351C9FA1" w14:textId="77777777" w:rsidR="00C54BB5" w:rsidRPr="0018013E" w:rsidRDefault="00C54BB5" w:rsidP="00295D14">
            <w:pPr>
              <w:pStyle w:val="Title"/>
              <w:pBdr>
                <w:top w:val="none" w:sz="0" w:space="0" w:color="auto"/>
              </w:pBdr>
              <w:spacing w:line="288" w:lineRule="auto"/>
              <w:suppressOverlap/>
              <w:jc w:val="center"/>
              <w:rPr>
                <w:rFonts w:asciiTheme="minorHAnsi" w:hAnsiTheme="minorHAnsi" w:cstheme="minorHAnsi"/>
                <w:sz w:val="20"/>
                <w:szCs w:val="20"/>
              </w:rPr>
            </w:pPr>
            <w:r w:rsidRPr="0018013E">
              <w:rPr>
                <w:rFonts w:asciiTheme="minorHAnsi" w:hAnsiTheme="minorHAnsi" w:cstheme="minorHAnsi"/>
                <w:sz w:val="20"/>
                <w:szCs w:val="20"/>
              </w:rPr>
              <w:t>Criteria</w:t>
            </w:r>
            <w:r>
              <w:rPr>
                <w:rFonts w:asciiTheme="minorHAnsi" w:hAnsiTheme="minorHAnsi" w:cstheme="minorHAnsi"/>
                <w:sz w:val="20"/>
                <w:szCs w:val="20"/>
              </w:rPr>
              <w:t>*</w:t>
            </w:r>
          </w:p>
        </w:tc>
      </w:tr>
      <w:tr w:rsidR="00C54BB5" w:rsidRPr="0018013E" w14:paraId="17E0C998" w14:textId="77777777" w:rsidTr="00643E8D">
        <w:trPr>
          <w:cnfStyle w:val="000000100000" w:firstRow="0" w:lastRow="0" w:firstColumn="0" w:lastColumn="0" w:oddVBand="0" w:evenVBand="0" w:oddHBand="1" w:evenHBand="0" w:firstRowFirstColumn="0" w:firstRowLastColumn="0" w:lastRowFirstColumn="0" w:lastRowLastColumn="0"/>
          <w:trHeight w:val="655"/>
        </w:trPr>
        <w:tc>
          <w:tcPr>
            <w:tcW w:w="3544"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CA287" w:themeFill="text2" w:themeFillTint="99"/>
            <w:vAlign w:val="center"/>
            <w:hideMark/>
          </w:tcPr>
          <w:p w14:paraId="6AA2A6A3" w14:textId="77777777" w:rsidR="00C54BB5" w:rsidRPr="0018013E" w:rsidRDefault="00C54BB5" w:rsidP="00295D14">
            <w:pPr>
              <w:pStyle w:val="Title"/>
              <w:pBdr>
                <w:top w:val="none" w:sz="0" w:space="0" w:color="auto"/>
              </w:pBdr>
              <w:suppressOverlap/>
              <w:jc w:val="center"/>
              <w:rPr>
                <w:rFonts w:asciiTheme="minorHAnsi" w:hAnsiTheme="minorHAnsi" w:cstheme="minorHAnsi"/>
                <w:sz w:val="20"/>
                <w:szCs w:val="20"/>
              </w:rPr>
            </w:pPr>
            <w:r w:rsidRPr="0018013E">
              <w:rPr>
                <w:rFonts w:asciiTheme="minorHAnsi" w:hAnsiTheme="minorHAnsi" w:cstheme="minorHAnsi"/>
                <w:sz w:val="20"/>
                <w:szCs w:val="20"/>
              </w:rPr>
              <w:t>Values</w:t>
            </w:r>
          </w:p>
        </w:tc>
        <w:tc>
          <w:tcPr>
            <w:tcW w:w="1223"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EDECE4" w:themeFill="accent1" w:themeFillTint="33"/>
            <w:hideMark/>
          </w:tcPr>
          <w:p w14:paraId="7CDFA6CF" w14:textId="77777777" w:rsidR="00C54BB5" w:rsidRPr="0018013E" w:rsidRDefault="00C54BB5" w:rsidP="00295D14">
            <w:pPr>
              <w:suppressOverlap/>
              <w:rPr>
                <w:rFonts w:asciiTheme="minorHAnsi" w:hAnsiTheme="minorHAnsi" w:cstheme="minorHAnsi"/>
              </w:rPr>
            </w:pPr>
            <w:r>
              <w:rPr>
                <w:rFonts w:asciiTheme="minorHAnsi" w:hAnsiTheme="minorHAnsi" w:cstheme="minorHAnsi"/>
              </w:rPr>
              <w:t>Criterion 1</w:t>
            </w:r>
            <w:r w:rsidRPr="0018013E">
              <w:rPr>
                <w:rFonts w:asciiTheme="minorHAnsi" w:hAnsiTheme="minorHAnsi" w:cstheme="minorHAnsi"/>
              </w:rPr>
              <w:t xml:space="preserve"> </w:t>
            </w:r>
            <w:r>
              <w:rPr>
                <w:rFonts w:asciiTheme="minorHAnsi" w:hAnsiTheme="minorHAnsi" w:cstheme="minorHAnsi"/>
              </w:rPr>
              <w:t xml:space="preserve">Weighted </w:t>
            </w:r>
            <w:r w:rsidRPr="0018013E">
              <w:rPr>
                <w:rFonts w:asciiTheme="minorHAnsi" w:hAnsiTheme="minorHAnsi" w:cstheme="minorHAnsi"/>
              </w:rPr>
              <w:t>x2</w:t>
            </w:r>
          </w:p>
        </w:tc>
        <w:tc>
          <w:tcPr>
            <w:tcW w:w="936"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EDECE4" w:themeFill="accent1" w:themeFillTint="33"/>
            <w:hideMark/>
          </w:tcPr>
          <w:p w14:paraId="2B0F4D1C" w14:textId="77777777" w:rsidR="00C54BB5" w:rsidRPr="0018013E" w:rsidRDefault="00C54BB5" w:rsidP="00295D14">
            <w:pPr>
              <w:suppressOverlap/>
              <w:rPr>
                <w:rFonts w:asciiTheme="minorHAnsi" w:hAnsiTheme="minorHAnsi" w:cstheme="minorHAnsi"/>
              </w:rPr>
            </w:pPr>
            <w:r>
              <w:rPr>
                <w:rFonts w:asciiTheme="minorHAnsi" w:hAnsiTheme="minorHAnsi" w:cstheme="minorHAnsi"/>
              </w:rPr>
              <w:t>Criterion 2</w:t>
            </w:r>
          </w:p>
        </w:tc>
        <w:tc>
          <w:tcPr>
            <w:tcW w:w="936"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EDECE4" w:themeFill="accent1" w:themeFillTint="33"/>
            <w:hideMark/>
          </w:tcPr>
          <w:p w14:paraId="050DF308" w14:textId="77777777" w:rsidR="00C54BB5" w:rsidRPr="0018013E" w:rsidRDefault="00C54BB5" w:rsidP="00295D14">
            <w:pPr>
              <w:suppressOverlap/>
              <w:rPr>
                <w:rFonts w:asciiTheme="minorHAnsi" w:hAnsiTheme="minorHAnsi" w:cstheme="minorHAnsi"/>
              </w:rPr>
            </w:pPr>
            <w:r>
              <w:rPr>
                <w:rFonts w:asciiTheme="minorHAnsi" w:hAnsiTheme="minorHAnsi" w:cstheme="minorHAnsi"/>
              </w:rPr>
              <w:t>Criterion 3</w:t>
            </w:r>
          </w:p>
        </w:tc>
        <w:tc>
          <w:tcPr>
            <w:tcW w:w="878"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EDECE4" w:themeFill="accent1" w:themeFillTint="33"/>
            <w:hideMark/>
          </w:tcPr>
          <w:p w14:paraId="033134CE"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Ranking score</w:t>
            </w:r>
          </w:p>
        </w:tc>
        <w:tc>
          <w:tcPr>
            <w:tcW w:w="714"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EDECE4" w:themeFill="accent1" w:themeFillTint="33"/>
            <w:hideMark/>
          </w:tcPr>
          <w:p w14:paraId="11C36D79"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Final rating %</w:t>
            </w:r>
          </w:p>
        </w:tc>
        <w:tc>
          <w:tcPr>
            <w:tcW w:w="903"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EDECE4" w:themeFill="accent1" w:themeFillTint="33"/>
            <w:hideMark/>
          </w:tcPr>
          <w:p w14:paraId="114B7C00"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Priority</w:t>
            </w:r>
          </w:p>
        </w:tc>
      </w:tr>
      <w:tr w:rsidR="00C54BB5" w:rsidRPr="0018013E" w14:paraId="44594EDC" w14:textId="77777777" w:rsidTr="00643E8D">
        <w:trPr>
          <w:cnfStyle w:val="000000010000" w:firstRow="0" w:lastRow="0" w:firstColumn="0" w:lastColumn="0" w:oddVBand="0" w:evenVBand="0" w:oddHBand="0" w:evenHBand="1" w:firstRowFirstColumn="0" w:firstRowLastColumn="0" w:lastRowFirstColumn="0" w:lastRowLastColumn="0"/>
          <w:trHeight w:val="315"/>
        </w:trPr>
        <w:tc>
          <w:tcPr>
            <w:tcW w:w="3544"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E3E0D7" w:themeFill="text2" w:themeFillTint="33"/>
            <w:noWrap/>
            <w:hideMark/>
          </w:tcPr>
          <w:p w14:paraId="25A28B89" w14:textId="77777777" w:rsidR="00C54BB5" w:rsidRPr="0018013E" w:rsidRDefault="00C54BB5" w:rsidP="00295D14">
            <w:pPr>
              <w:suppressOverlap/>
              <w:jc w:val="left"/>
              <w:rPr>
                <w:rFonts w:asciiTheme="minorHAnsi" w:hAnsiTheme="minorHAnsi" w:cstheme="minorHAnsi"/>
              </w:rPr>
            </w:pPr>
            <w:r w:rsidRPr="0018013E">
              <w:rPr>
                <w:rFonts w:asciiTheme="minorHAnsi" w:hAnsiTheme="minorHAnsi" w:cstheme="minorHAnsi"/>
              </w:rPr>
              <w:t>Connectivity</w:t>
            </w:r>
          </w:p>
        </w:tc>
        <w:tc>
          <w:tcPr>
            <w:tcW w:w="1223"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uto"/>
            <w:noWrap/>
            <w:hideMark/>
          </w:tcPr>
          <w:p w14:paraId="67CFCCE6"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6</w:t>
            </w:r>
          </w:p>
        </w:tc>
        <w:tc>
          <w:tcPr>
            <w:tcW w:w="936"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uto"/>
            <w:noWrap/>
            <w:hideMark/>
          </w:tcPr>
          <w:p w14:paraId="29F4945C"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3</w:t>
            </w:r>
          </w:p>
        </w:tc>
        <w:tc>
          <w:tcPr>
            <w:tcW w:w="936"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uto"/>
            <w:noWrap/>
            <w:hideMark/>
          </w:tcPr>
          <w:p w14:paraId="26EC4A1E"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3</w:t>
            </w:r>
          </w:p>
        </w:tc>
        <w:tc>
          <w:tcPr>
            <w:tcW w:w="878"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uto"/>
            <w:noWrap/>
            <w:hideMark/>
          </w:tcPr>
          <w:p w14:paraId="51E41952"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12</w:t>
            </w:r>
          </w:p>
        </w:tc>
        <w:tc>
          <w:tcPr>
            <w:tcW w:w="714"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uto"/>
            <w:noWrap/>
            <w:hideMark/>
          </w:tcPr>
          <w:p w14:paraId="36AC3003"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100</w:t>
            </w:r>
          </w:p>
        </w:tc>
        <w:tc>
          <w:tcPr>
            <w:tcW w:w="903"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D4DAD7" w:themeFill="accent4" w:themeFillTint="66"/>
            <w:noWrap/>
            <w:hideMark/>
          </w:tcPr>
          <w:p w14:paraId="06BAB909"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High</w:t>
            </w:r>
          </w:p>
        </w:tc>
      </w:tr>
      <w:tr w:rsidR="00C54BB5" w:rsidRPr="0018013E" w14:paraId="5D8E5C2A" w14:textId="77777777" w:rsidTr="00643E8D">
        <w:trPr>
          <w:cnfStyle w:val="000000100000" w:firstRow="0" w:lastRow="0" w:firstColumn="0" w:lastColumn="0" w:oddVBand="0" w:evenVBand="0" w:oddHBand="1" w:evenHBand="0" w:firstRowFirstColumn="0" w:firstRowLastColumn="0" w:lastRowFirstColumn="0" w:lastRowLastColumn="0"/>
          <w:trHeight w:val="315"/>
        </w:trPr>
        <w:tc>
          <w:tcPr>
            <w:tcW w:w="3544"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E3E0D7" w:themeFill="text2" w:themeFillTint="33"/>
            <w:noWrap/>
            <w:hideMark/>
          </w:tcPr>
          <w:p w14:paraId="3133176E" w14:textId="77777777" w:rsidR="00C54BB5" w:rsidRPr="0018013E" w:rsidRDefault="00C54BB5" w:rsidP="00295D14">
            <w:pPr>
              <w:suppressOverlap/>
              <w:jc w:val="left"/>
              <w:rPr>
                <w:rFonts w:asciiTheme="minorHAnsi" w:hAnsiTheme="minorHAnsi" w:cstheme="minorHAnsi"/>
              </w:rPr>
            </w:pPr>
            <w:r w:rsidRPr="0018013E">
              <w:rPr>
                <w:rFonts w:asciiTheme="minorHAnsi" w:hAnsiTheme="minorHAnsi" w:cstheme="minorHAnsi"/>
              </w:rPr>
              <w:t>Waterbird recruitment</w:t>
            </w:r>
          </w:p>
        </w:tc>
        <w:tc>
          <w:tcPr>
            <w:tcW w:w="1223"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uto"/>
            <w:noWrap/>
            <w:hideMark/>
          </w:tcPr>
          <w:p w14:paraId="101691B5"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6</w:t>
            </w:r>
          </w:p>
        </w:tc>
        <w:tc>
          <w:tcPr>
            <w:tcW w:w="936"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uto"/>
            <w:noWrap/>
            <w:hideMark/>
          </w:tcPr>
          <w:p w14:paraId="4CE08FD0"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2</w:t>
            </w:r>
          </w:p>
        </w:tc>
        <w:tc>
          <w:tcPr>
            <w:tcW w:w="936"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uto"/>
            <w:noWrap/>
            <w:hideMark/>
          </w:tcPr>
          <w:p w14:paraId="5DFA0E34"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3</w:t>
            </w:r>
          </w:p>
        </w:tc>
        <w:tc>
          <w:tcPr>
            <w:tcW w:w="878"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uto"/>
            <w:noWrap/>
            <w:hideMark/>
          </w:tcPr>
          <w:p w14:paraId="5CFFD374"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11</w:t>
            </w:r>
          </w:p>
        </w:tc>
        <w:tc>
          <w:tcPr>
            <w:tcW w:w="714"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uto"/>
            <w:noWrap/>
            <w:hideMark/>
          </w:tcPr>
          <w:p w14:paraId="5D5FFEED"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92</w:t>
            </w:r>
          </w:p>
        </w:tc>
        <w:tc>
          <w:tcPr>
            <w:tcW w:w="903"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D4DAD7" w:themeFill="accent4" w:themeFillTint="66"/>
            <w:noWrap/>
            <w:hideMark/>
          </w:tcPr>
          <w:p w14:paraId="46C3B89E"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High</w:t>
            </w:r>
          </w:p>
        </w:tc>
      </w:tr>
      <w:tr w:rsidR="00C54BB5" w:rsidRPr="0018013E" w14:paraId="03E52B73" w14:textId="77777777" w:rsidTr="00643E8D">
        <w:trPr>
          <w:cnfStyle w:val="000000010000" w:firstRow="0" w:lastRow="0" w:firstColumn="0" w:lastColumn="0" w:oddVBand="0" w:evenVBand="0" w:oddHBand="0" w:evenHBand="1" w:firstRowFirstColumn="0" w:firstRowLastColumn="0" w:lastRowFirstColumn="0" w:lastRowLastColumn="0"/>
          <w:trHeight w:val="375"/>
        </w:trPr>
        <w:tc>
          <w:tcPr>
            <w:tcW w:w="3544"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E3E0D7" w:themeFill="text2" w:themeFillTint="33"/>
            <w:noWrap/>
            <w:hideMark/>
          </w:tcPr>
          <w:p w14:paraId="39729E23" w14:textId="77777777" w:rsidR="00C54BB5" w:rsidRPr="0018013E" w:rsidRDefault="00C54BB5" w:rsidP="00295D14">
            <w:pPr>
              <w:suppressOverlap/>
              <w:jc w:val="left"/>
              <w:rPr>
                <w:rFonts w:asciiTheme="minorHAnsi" w:hAnsiTheme="minorHAnsi" w:cstheme="minorHAnsi"/>
              </w:rPr>
            </w:pPr>
            <w:r w:rsidRPr="0018013E">
              <w:rPr>
                <w:rFonts w:asciiTheme="minorHAnsi" w:hAnsiTheme="minorHAnsi" w:cstheme="minorHAnsi"/>
              </w:rPr>
              <w:t>Dispersal waterbird (migration)</w:t>
            </w:r>
          </w:p>
        </w:tc>
        <w:tc>
          <w:tcPr>
            <w:tcW w:w="1223"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uto"/>
            <w:noWrap/>
            <w:hideMark/>
          </w:tcPr>
          <w:p w14:paraId="7D29673F"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6</w:t>
            </w:r>
          </w:p>
        </w:tc>
        <w:tc>
          <w:tcPr>
            <w:tcW w:w="936"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uto"/>
            <w:noWrap/>
            <w:hideMark/>
          </w:tcPr>
          <w:p w14:paraId="386AE77B"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2</w:t>
            </w:r>
          </w:p>
        </w:tc>
        <w:tc>
          <w:tcPr>
            <w:tcW w:w="936"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uto"/>
            <w:noWrap/>
            <w:hideMark/>
          </w:tcPr>
          <w:p w14:paraId="783F1C71"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3</w:t>
            </w:r>
          </w:p>
        </w:tc>
        <w:tc>
          <w:tcPr>
            <w:tcW w:w="878"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uto"/>
            <w:noWrap/>
            <w:hideMark/>
          </w:tcPr>
          <w:p w14:paraId="28331530"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11</w:t>
            </w:r>
          </w:p>
        </w:tc>
        <w:tc>
          <w:tcPr>
            <w:tcW w:w="714"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auto"/>
            <w:noWrap/>
            <w:hideMark/>
          </w:tcPr>
          <w:p w14:paraId="4AC088C3"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92</w:t>
            </w:r>
          </w:p>
        </w:tc>
        <w:tc>
          <w:tcPr>
            <w:tcW w:w="903"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D4DAD7" w:themeFill="accent4" w:themeFillTint="66"/>
            <w:noWrap/>
            <w:hideMark/>
          </w:tcPr>
          <w:p w14:paraId="574B6EC4"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High</w:t>
            </w:r>
          </w:p>
        </w:tc>
      </w:tr>
      <w:tr w:rsidR="00C54BB5" w:rsidRPr="0018013E" w14:paraId="5F496BEA" w14:textId="77777777" w:rsidTr="00643E8D">
        <w:trPr>
          <w:cnfStyle w:val="000000100000" w:firstRow="0" w:lastRow="0" w:firstColumn="0" w:lastColumn="0" w:oddVBand="0" w:evenVBand="0" w:oddHBand="1" w:evenHBand="0" w:firstRowFirstColumn="0" w:firstRowLastColumn="0" w:lastRowFirstColumn="0" w:lastRowLastColumn="0"/>
          <w:trHeight w:val="315"/>
        </w:trPr>
        <w:tc>
          <w:tcPr>
            <w:tcW w:w="3544"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E3E0D7" w:themeFill="text2" w:themeFillTint="33"/>
            <w:noWrap/>
            <w:hideMark/>
          </w:tcPr>
          <w:p w14:paraId="09C090E1" w14:textId="77777777" w:rsidR="00C54BB5" w:rsidRPr="0018013E" w:rsidRDefault="00C54BB5" w:rsidP="00295D14">
            <w:pPr>
              <w:suppressOverlap/>
              <w:jc w:val="left"/>
              <w:rPr>
                <w:rFonts w:asciiTheme="minorHAnsi" w:hAnsiTheme="minorHAnsi" w:cstheme="minorHAnsi"/>
              </w:rPr>
            </w:pPr>
            <w:r w:rsidRPr="0018013E">
              <w:rPr>
                <w:rFonts w:asciiTheme="minorHAnsi" w:hAnsiTheme="minorHAnsi" w:cstheme="minorHAnsi"/>
              </w:rPr>
              <w:t>Nutrient cycling</w:t>
            </w:r>
          </w:p>
        </w:tc>
        <w:tc>
          <w:tcPr>
            <w:tcW w:w="1223"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3B82C0C2"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2</w:t>
            </w:r>
          </w:p>
        </w:tc>
        <w:tc>
          <w:tcPr>
            <w:tcW w:w="936"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2229B516"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2</w:t>
            </w:r>
          </w:p>
        </w:tc>
        <w:tc>
          <w:tcPr>
            <w:tcW w:w="936"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3514C1F8"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2</w:t>
            </w:r>
          </w:p>
        </w:tc>
        <w:tc>
          <w:tcPr>
            <w:tcW w:w="878"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78620AAD"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6</w:t>
            </w:r>
          </w:p>
        </w:tc>
        <w:tc>
          <w:tcPr>
            <w:tcW w:w="714"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644088E7"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50</w:t>
            </w:r>
          </w:p>
        </w:tc>
        <w:tc>
          <w:tcPr>
            <w:tcW w:w="903"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1AD10214"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Medium</w:t>
            </w:r>
          </w:p>
        </w:tc>
      </w:tr>
      <w:tr w:rsidR="00C54BB5" w:rsidRPr="0018013E" w14:paraId="0B3C299B" w14:textId="77777777" w:rsidTr="00643E8D">
        <w:trPr>
          <w:cnfStyle w:val="000000010000" w:firstRow="0" w:lastRow="0" w:firstColumn="0" w:lastColumn="0" w:oddVBand="0" w:evenVBand="0" w:oddHBand="0" w:evenHBand="1" w:firstRowFirstColumn="0" w:firstRowLastColumn="0" w:lastRowFirstColumn="0" w:lastRowLastColumn="0"/>
          <w:trHeight w:val="315"/>
        </w:trPr>
        <w:tc>
          <w:tcPr>
            <w:tcW w:w="3544"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E3E0D7" w:themeFill="text2" w:themeFillTint="33"/>
            <w:noWrap/>
            <w:hideMark/>
          </w:tcPr>
          <w:p w14:paraId="1EBDE81F" w14:textId="77777777" w:rsidR="00C54BB5" w:rsidRPr="0018013E" w:rsidRDefault="00C54BB5" w:rsidP="00295D14">
            <w:pPr>
              <w:suppressOverlap/>
              <w:jc w:val="left"/>
              <w:rPr>
                <w:rFonts w:asciiTheme="minorHAnsi" w:hAnsiTheme="minorHAnsi" w:cstheme="minorHAnsi"/>
              </w:rPr>
            </w:pPr>
            <w:r w:rsidRPr="0018013E">
              <w:rPr>
                <w:rFonts w:asciiTheme="minorHAnsi" w:hAnsiTheme="minorHAnsi" w:cstheme="minorHAnsi"/>
              </w:rPr>
              <w:t>Sediment trapping</w:t>
            </w:r>
          </w:p>
        </w:tc>
        <w:tc>
          <w:tcPr>
            <w:tcW w:w="1223"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767EA741"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2</w:t>
            </w:r>
          </w:p>
        </w:tc>
        <w:tc>
          <w:tcPr>
            <w:tcW w:w="936"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73E35914"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1</w:t>
            </w:r>
          </w:p>
        </w:tc>
        <w:tc>
          <w:tcPr>
            <w:tcW w:w="936"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73DD46D4"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1</w:t>
            </w:r>
          </w:p>
        </w:tc>
        <w:tc>
          <w:tcPr>
            <w:tcW w:w="878"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0AF328E2"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4</w:t>
            </w:r>
          </w:p>
        </w:tc>
        <w:tc>
          <w:tcPr>
            <w:tcW w:w="714"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2D740EF0"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33</w:t>
            </w:r>
          </w:p>
        </w:tc>
        <w:tc>
          <w:tcPr>
            <w:tcW w:w="903"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586DE6CD"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Low</w:t>
            </w:r>
          </w:p>
        </w:tc>
      </w:tr>
      <w:tr w:rsidR="00C54BB5" w:rsidRPr="0018013E" w14:paraId="315EE21A" w14:textId="77777777" w:rsidTr="00643E8D">
        <w:trPr>
          <w:cnfStyle w:val="000000100000" w:firstRow="0" w:lastRow="0" w:firstColumn="0" w:lastColumn="0" w:oddVBand="0" w:evenVBand="0" w:oddHBand="1" w:evenHBand="0" w:firstRowFirstColumn="0" w:firstRowLastColumn="0" w:lastRowFirstColumn="0" w:lastRowLastColumn="0"/>
          <w:trHeight w:val="315"/>
        </w:trPr>
        <w:tc>
          <w:tcPr>
            <w:tcW w:w="3544"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shd w:val="clear" w:color="auto" w:fill="E3E0D7" w:themeFill="text2" w:themeFillTint="33"/>
            <w:noWrap/>
            <w:hideMark/>
          </w:tcPr>
          <w:p w14:paraId="1E14DEB3" w14:textId="77777777" w:rsidR="00C54BB5" w:rsidRPr="0018013E" w:rsidRDefault="00C54BB5" w:rsidP="00295D14">
            <w:pPr>
              <w:suppressOverlap/>
              <w:jc w:val="left"/>
              <w:rPr>
                <w:rFonts w:asciiTheme="minorHAnsi" w:hAnsiTheme="minorHAnsi" w:cstheme="minorHAnsi"/>
              </w:rPr>
            </w:pPr>
            <w:r w:rsidRPr="0018013E">
              <w:rPr>
                <w:rFonts w:asciiTheme="minorHAnsi" w:hAnsiTheme="minorHAnsi" w:cstheme="minorHAnsi"/>
              </w:rPr>
              <w:t>Natural hazard reduction (flood mitigation)</w:t>
            </w:r>
          </w:p>
        </w:tc>
        <w:tc>
          <w:tcPr>
            <w:tcW w:w="1223"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21B04621"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2</w:t>
            </w:r>
          </w:p>
        </w:tc>
        <w:tc>
          <w:tcPr>
            <w:tcW w:w="936"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027F364F"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1</w:t>
            </w:r>
          </w:p>
        </w:tc>
        <w:tc>
          <w:tcPr>
            <w:tcW w:w="936"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655331C4"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1</w:t>
            </w:r>
          </w:p>
        </w:tc>
        <w:tc>
          <w:tcPr>
            <w:tcW w:w="878"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43A90778"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4</w:t>
            </w:r>
          </w:p>
        </w:tc>
        <w:tc>
          <w:tcPr>
            <w:tcW w:w="714"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46905A37"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33</w:t>
            </w:r>
          </w:p>
        </w:tc>
        <w:tc>
          <w:tcPr>
            <w:tcW w:w="903" w:type="dxa"/>
            <w:tcBorders>
              <w:top w:val="single" w:sz="4" w:space="0" w:color="ACA287" w:themeColor="text2" w:themeTint="99"/>
              <w:left w:val="single" w:sz="4" w:space="0" w:color="ACA287" w:themeColor="text2" w:themeTint="99"/>
              <w:bottom w:val="single" w:sz="4" w:space="0" w:color="ACA287" w:themeColor="text2" w:themeTint="99"/>
              <w:right w:val="single" w:sz="4" w:space="0" w:color="ACA287" w:themeColor="text2" w:themeTint="99"/>
            </w:tcBorders>
            <w:noWrap/>
            <w:hideMark/>
          </w:tcPr>
          <w:p w14:paraId="2AE1BEBB" w14:textId="77777777" w:rsidR="00C54BB5" w:rsidRPr="0018013E" w:rsidRDefault="00C54BB5" w:rsidP="00295D14">
            <w:pPr>
              <w:suppressOverlap/>
              <w:rPr>
                <w:rFonts w:asciiTheme="minorHAnsi" w:hAnsiTheme="minorHAnsi" w:cstheme="minorHAnsi"/>
              </w:rPr>
            </w:pPr>
            <w:r w:rsidRPr="0018013E">
              <w:rPr>
                <w:rFonts w:asciiTheme="minorHAnsi" w:hAnsiTheme="minorHAnsi" w:cstheme="minorHAnsi"/>
              </w:rPr>
              <w:t>Low</w:t>
            </w:r>
          </w:p>
        </w:tc>
      </w:tr>
    </w:tbl>
    <w:p w14:paraId="2014D4F1" w14:textId="48DD4A7A" w:rsidR="00C54BB5" w:rsidRPr="0018013E" w:rsidRDefault="00C54BB5" w:rsidP="00C54BB5">
      <w:pPr>
        <w:shd w:val="clear" w:color="auto" w:fill="F6F4E1" w:themeFill="accent3" w:themeFillTint="33"/>
        <w:spacing w:after="0"/>
        <w:rPr>
          <w:rFonts w:asciiTheme="minorHAnsi" w:hAnsiTheme="minorHAnsi" w:cstheme="minorHAnsi"/>
        </w:rPr>
      </w:pPr>
      <w:r>
        <w:rPr>
          <w:rFonts w:asciiTheme="minorHAnsi" w:hAnsiTheme="minorHAnsi" w:cstheme="minorHAnsi"/>
        </w:rPr>
        <w:t xml:space="preserve">* see </w:t>
      </w:r>
      <w:r w:rsidR="004A60EA">
        <w:rPr>
          <w:rFonts w:asciiTheme="minorHAnsi" w:hAnsiTheme="minorHAnsi" w:cstheme="minorHAnsi"/>
        </w:rPr>
        <w:fldChar w:fldCharType="begin"/>
      </w:r>
      <w:r w:rsidR="004A60EA">
        <w:rPr>
          <w:rFonts w:asciiTheme="minorHAnsi" w:hAnsiTheme="minorHAnsi" w:cstheme="minorHAnsi"/>
        </w:rPr>
        <w:instrText xml:space="preserve"> ADDIN ZOTERO_ITEM CSL_CITATION {"citationID":"23u5s719be","properties":{"formattedCitation":"(Gawne et al. 2013)","plainCitation":"(Gawne et al. 2013)"},"citationItems":[{"id":407,"uris":["http://zotero.org/users/3119797/items/8KTWFNUC"],"uri":["http://zotero.org/users/3119797/items/8KTWFNUC"],"itemData":{"id":407,"type":"article","title":"IECA Proof of Concept Trial – Technical report. Final Report prepared for the Department of Sustainability, Environment, Water, Population and Communities by The Murray-Darling Freshwater Research Centre, MDFRC Publication 27/2013","author":[{"family":"Gawne","given":"Ben"},{"family":"Butcher","given":"R."},{"family":"Durant","given":"R."},{"family":"Ellis","given":"Iain"},{"family":"Henderson","given":"M."},{"family":"Ning","given":"N."},{"family":"Campbell","given":"C."},{"family":"Hawking","given":"J."}],"issued":{"date-parts":[["2013"]]}}}],"schema":"https://github.com/citation-style-language/schema/raw/master/csl-citation.json"} </w:instrText>
      </w:r>
      <w:r w:rsidR="004A60EA">
        <w:rPr>
          <w:rFonts w:asciiTheme="minorHAnsi" w:hAnsiTheme="minorHAnsi" w:cstheme="minorHAnsi"/>
        </w:rPr>
        <w:fldChar w:fldCharType="separate"/>
      </w:r>
      <w:r w:rsidR="004A60EA" w:rsidRPr="004A60EA">
        <w:rPr>
          <w:rFonts w:cs="Calibri"/>
        </w:rPr>
        <w:t>Gawne et al.</w:t>
      </w:r>
      <w:r w:rsidR="004A60EA">
        <w:rPr>
          <w:rFonts w:cs="Calibri"/>
        </w:rPr>
        <w:t xml:space="preserve"> (</w:t>
      </w:r>
      <w:r w:rsidR="004A60EA" w:rsidRPr="004A60EA">
        <w:rPr>
          <w:rFonts w:cs="Calibri"/>
        </w:rPr>
        <w:t>2013)</w:t>
      </w:r>
      <w:r w:rsidR="004A60EA">
        <w:rPr>
          <w:rFonts w:asciiTheme="minorHAnsi" w:hAnsiTheme="minorHAnsi" w:cstheme="minorHAnsi"/>
        </w:rPr>
        <w:fldChar w:fldCharType="end"/>
      </w:r>
      <w:r>
        <w:rPr>
          <w:rFonts w:asciiTheme="minorHAnsi" w:hAnsiTheme="minorHAnsi" w:cstheme="minorHAnsi"/>
        </w:rPr>
        <w:t xml:space="preserve"> for details of each criterion</w:t>
      </w:r>
    </w:p>
    <w:p w14:paraId="1AE85F31" w14:textId="77777777" w:rsidR="00C54BB5" w:rsidRDefault="00C54BB5" w:rsidP="00C54BB5"/>
    <w:p w14:paraId="0BD10FA2" w14:textId="77777777" w:rsidR="00FE509A" w:rsidRPr="004E7EB5" w:rsidRDefault="00FE509A" w:rsidP="00FE509A">
      <w:pPr>
        <w:rPr>
          <w:b/>
          <w:i/>
          <w:color w:val="8C863E" w:themeColor="background2" w:themeShade="80"/>
          <w:sz w:val="24"/>
          <w:szCs w:val="24"/>
        </w:rPr>
      </w:pPr>
      <w:r w:rsidRPr="004E7EB5">
        <w:rPr>
          <w:b/>
          <w:i/>
          <w:color w:val="8C863E" w:themeColor="background2" w:themeShade="80"/>
          <w:sz w:val="24"/>
          <w:szCs w:val="24"/>
        </w:rPr>
        <w:t>Other resources</w:t>
      </w:r>
    </w:p>
    <w:p w14:paraId="6E516F20" w14:textId="0C0B8C0E" w:rsidR="00FE509A" w:rsidRDefault="002D2C2D" w:rsidP="00E221CF">
      <w:pPr>
        <w:pStyle w:val="ListParagraph"/>
        <w:numPr>
          <w:ilvl w:val="0"/>
          <w:numId w:val="14"/>
        </w:numPr>
      </w:pPr>
      <w:r>
        <w:t xml:space="preserve">HEVAE criteria – see </w:t>
      </w:r>
      <w:r w:rsidR="00491F32">
        <w:t xml:space="preserve">Australian Aquatic Ecosystem Toolkit, </w:t>
      </w:r>
      <w:r>
        <w:t>Module 3</w:t>
      </w:r>
      <w:r w:rsidR="00FD667F">
        <w:t xml:space="preserve"> (AETG 2012c)</w:t>
      </w:r>
      <w:r w:rsidR="00E221CF">
        <w:t xml:space="preserve"> </w:t>
      </w:r>
      <w:hyperlink r:id="rId43" w:history="1">
        <w:r w:rsidR="00E221CF" w:rsidRPr="009645F8">
          <w:rPr>
            <w:rStyle w:val="Hyperlink"/>
          </w:rPr>
          <w:t>http://www.environment.gov.au/resource/aquatic-ecosystems-toolkit-module-3-guidelines-identifying-high-ecological-value-aquatic</w:t>
        </w:r>
      </w:hyperlink>
      <w:r w:rsidR="00DA7F47">
        <w:t>;</w:t>
      </w:r>
    </w:p>
    <w:p w14:paraId="0517065E" w14:textId="2F90A9E5" w:rsidR="002D2C2D" w:rsidRDefault="002D2C2D" w:rsidP="00F4328F">
      <w:pPr>
        <w:pStyle w:val="ListParagraph"/>
        <w:numPr>
          <w:ilvl w:val="0"/>
          <w:numId w:val="14"/>
        </w:numPr>
      </w:pPr>
      <w:r>
        <w:t>National Guidance for Describing Ecological Character at Ramsar Sites</w:t>
      </w:r>
      <w:r w:rsidR="00FD667F">
        <w:t xml:space="preserve"> </w:t>
      </w:r>
      <w:r w:rsidR="004A60EA">
        <w:fldChar w:fldCharType="begin"/>
      </w:r>
      <w:r w:rsidR="004A60EA">
        <w:instrText xml:space="preserve"> ADDIN ZOTERO_ITEM CSL_CITATION {"citationID":"1eo5m7p9h","properties":{"formattedCitation":"(DEWHA 2008)","plainCitation":"(DEWHA 2008)"},"citationItems":[{"id":3317,"uris":["http://zotero.org/users/3119797/items/2FEDVCUP"],"uri":["http://zotero.org/users/3119797/items/2FEDVCUP"],"itemData":{"id":3317,"type":"article","title":"National framework and guidance for describing the ecological character of Australian Ramsar Wetlands: Module 2 of the National Guidelines for Ramsar Wetlands - implementing the Ramsar Convention in Australia. Dept. of the Environment, Water, Heritage and the Arts, Canberra.","author":[{"family":"DEWHA","given":""}],"issued":{"date-parts":[["2008"]]}}}],"schema":"https://github.com/citation-style-language/schema/raw/master/csl-citation.json"} </w:instrText>
      </w:r>
      <w:r w:rsidR="004A60EA">
        <w:fldChar w:fldCharType="separate"/>
      </w:r>
      <w:r w:rsidR="004A60EA" w:rsidRPr="004A60EA">
        <w:rPr>
          <w:rFonts w:cs="Calibri"/>
        </w:rPr>
        <w:t>(DEWHA 2008)</w:t>
      </w:r>
      <w:r w:rsidR="004A60EA">
        <w:fldChar w:fldCharType="end"/>
      </w:r>
      <w:r w:rsidR="004A60EA">
        <w:t xml:space="preserve"> </w:t>
      </w:r>
      <w:hyperlink r:id="rId44" w:history="1">
        <w:r w:rsidR="004A60EA" w:rsidRPr="00454FE1">
          <w:rPr>
            <w:rStyle w:val="Hyperlink"/>
          </w:rPr>
          <w:t>http://www.environment.gov.au/water/wetlands/publications/national-framework-and-guidance-describing-ecological-character-australian-ramsar-wetlands</w:t>
        </w:r>
      </w:hyperlink>
      <w:r w:rsidR="004A60EA">
        <w:t xml:space="preserve"> </w:t>
      </w:r>
      <w:r w:rsidR="00DA7F47">
        <w:t>;</w:t>
      </w:r>
      <w:r w:rsidR="00BA09E3">
        <w:t xml:space="preserve"> </w:t>
      </w:r>
    </w:p>
    <w:p w14:paraId="18778EBD" w14:textId="34BBF94F" w:rsidR="00AD5BBE" w:rsidRDefault="00AD5BBE" w:rsidP="00F4328F">
      <w:pPr>
        <w:pStyle w:val="ListParagraph"/>
        <w:numPr>
          <w:ilvl w:val="0"/>
          <w:numId w:val="14"/>
        </w:numPr>
        <w:jc w:val="left"/>
      </w:pPr>
      <w:r w:rsidRPr="00AD5BBE">
        <w:t>Queensland conceptual model guide</w:t>
      </w:r>
      <w:r w:rsidRPr="00AD5BBE">
        <w:rPr>
          <w:i/>
        </w:rPr>
        <w:t xml:space="preserve"> </w:t>
      </w:r>
      <w:hyperlink r:id="rId45" w:history="1">
        <w:r w:rsidRPr="009D0649">
          <w:rPr>
            <w:rStyle w:val="Hyperlink"/>
          </w:rPr>
          <w:t>http://wetlandinfo.ehp.qld.gov.au/resources/static/pdf/resources/pictorial-conceptual-models/30150-wetlands-conceptual-model-guidelines-25-01-13.zip</w:t>
        </w:r>
      </w:hyperlink>
      <w:r>
        <w:rPr>
          <w:i/>
        </w:rPr>
        <w:t xml:space="preserve"> </w:t>
      </w:r>
      <w:r w:rsidR="001004DB">
        <w:t xml:space="preserve">; and </w:t>
      </w:r>
    </w:p>
    <w:p w14:paraId="639572B3" w14:textId="49648009" w:rsidR="001004DB" w:rsidRDefault="001004DB" w:rsidP="001004DB">
      <w:pPr>
        <w:pStyle w:val="ListParagraph"/>
        <w:numPr>
          <w:ilvl w:val="0"/>
          <w:numId w:val="14"/>
        </w:numPr>
        <w:jc w:val="left"/>
      </w:pPr>
      <w:r>
        <w:t xml:space="preserve">Queensland list of values </w:t>
      </w:r>
      <w:r w:rsidRPr="001004DB">
        <w:t xml:space="preserve"> </w:t>
      </w:r>
      <w:hyperlink r:id="rId46" w:history="1">
        <w:r w:rsidRPr="001C0525">
          <w:rPr>
            <w:rStyle w:val="Hyperlink"/>
          </w:rPr>
          <w:t>https://wetlandinfo.ehp.qld.gov.au/wetlands/management/wetland-values/values-services.html</w:t>
        </w:r>
      </w:hyperlink>
      <w:r>
        <w:t xml:space="preserve"> </w:t>
      </w:r>
    </w:p>
    <w:p w14:paraId="396DA04E" w14:textId="1D05EBB5" w:rsidR="00542076" w:rsidRDefault="00542076" w:rsidP="001004DB">
      <w:pPr>
        <w:pStyle w:val="ListParagraph"/>
        <w:numPr>
          <w:ilvl w:val="0"/>
          <w:numId w:val="14"/>
        </w:numPr>
        <w:jc w:val="left"/>
      </w:pPr>
      <w:r>
        <w:t>Prioritisation references</w:t>
      </w:r>
      <w:r w:rsidR="00182D57">
        <w:t xml:space="preserve"> (there is a large </w:t>
      </w:r>
      <w:r w:rsidR="00E221CF">
        <w:t xml:space="preserve">volume of </w:t>
      </w:r>
      <w:r w:rsidR="00182D57">
        <w:t>literature on multi-criteria analysis and decision making)</w:t>
      </w:r>
      <w:r>
        <w:t>:</w:t>
      </w:r>
    </w:p>
    <w:p w14:paraId="6E09AA54" w14:textId="1476AA9C" w:rsidR="00583A43" w:rsidRDefault="00F97BE1" w:rsidP="00542076">
      <w:pPr>
        <w:pStyle w:val="ListParagraph"/>
        <w:numPr>
          <w:ilvl w:val="1"/>
          <w:numId w:val="14"/>
        </w:numPr>
        <w:jc w:val="left"/>
      </w:pPr>
      <w:r>
        <w:lastRenderedPageBreak/>
        <w:fldChar w:fldCharType="begin"/>
      </w:r>
      <w:r>
        <w:instrText xml:space="preserve"> ADDIN ZOTERO_ITEM CSL_CITATION {"citationID":"15nohj8tp0","properties":{"formattedCitation":"(Dodgson et al. 2009)","plainCitation":"(Dodgson et al. 2009)"},"citationItems":[{"id":3558,"uris":["http://zotero.org/users/3119797/items/SJEFUU8X"],"uri":["http://zotero.org/users/3119797/items/SJEFUU8X"],"itemData":{"id":3558,"type":"book","title":"Multi-criteria analysis: a manual.","publisher":"Department of the Environment, Transport and Regions","publisher-place":"London","source":"Open WorldCat","event-place":"London","URL":"http://www.communities.gov.uk/documents/corporate/pdf/1132618.pdf","note":"OCLC: 502304922","shortTitle":"Multi-criteria analysis","language":"English","author":[{"family":"Dodgson","given":"J."},{"family":"Spackman","given":"M."},{"family":"Pearman","given":"A.D."},{"family":"Phillips","given":"L.D."}],"issued":{"date-parts":[["2009"]]}}}],"schema":"https://github.com/citation-style-language/schema/raw/master/csl-citation.json"} </w:instrText>
      </w:r>
      <w:r>
        <w:fldChar w:fldCharType="separate"/>
      </w:r>
      <w:r w:rsidRPr="00F97BE1">
        <w:rPr>
          <w:rFonts w:cs="Calibri"/>
        </w:rPr>
        <w:t xml:space="preserve">Dodgson </w:t>
      </w:r>
      <w:r>
        <w:fldChar w:fldCharType="end"/>
      </w:r>
      <w:r w:rsidR="00542076" w:rsidRPr="00542076">
        <w:t xml:space="preserve">, J., Spackman, M., Pearman, A.D., and Phillips, L.D. 2009. </w:t>
      </w:r>
      <w:r w:rsidR="00542076" w:rsidRPr="00542076">
        <w:rPr>
          <w:i/>
        </w:rPr>
        <w:t>Multi-criteria analysis: a manual</w:t>
      </w:r>
      <w:r w:rsidR="00542076" w:rsidRPr="00542076">
        <w:t xml:space="preserve">. Department of the Environment, Transport and Regions, London. Available from </w:t>
      </w:r>
      <w:hyperlink r:id="rId47" w:history="1">
        <w:r w:rsidR="00542076" w:rsidRPr="000D5484">
          <w:rPr>
            <w:rStyle w:val="Hyperlink"/>
          </w:rPr>
          <w:t>http://www.communities.gov.uk/documents/corporate/pdf/1132618.pdf</w:t>
        </w:r>
      </w:hyperlink>
      <w:r w:rsidR="00542076">
        <w:t xml:space="preserve"> </w:t>
      </w:r>
      <w:r w:rsidR="00542076" w:rsidRPr="00542076">
        <w:t xml:space="preserve"> </w:t>
      </w:r>
    </w:p>
    <w:p w14:paraId="3A3E14F2" w14:textId="69934308" w:rsidR="00182D57" w:rsidRPr="00AD5BBE" w:rsidRDefault="00F97BE1" w:rsidP="00F97BE1">
      <w:pPr>
        <w:pStyle w:val="ListParagraph"/>
        <w:numPr>
          <w:ilvl w:val="1"/>
          <w:numId w:val="14"/>
        </w:numPr>
        <w:jc w:val="left"/>
      </w:pPr>
      <w:r>
        <w:fldChar w:fldCharType="begin"/>
      </w:r>
      <w:r>
        <w:instrText xml:space="preserve"> ADDIN ZOTERO_ITEM CSL_CITATION {"citationID":"1ol1f6rata","properties":{"formattedCitation":"(Langemeyer et al. 2016)","plainCitation":"(Langemeyer et al. 2016)"},"citationItems":[{"id":3559,"uris":["http://zotero.org/users/3119797/items/FNWNZF8C"],"uri":["http://zotero.org/users/3119797/items/FNWNZF8C"],"itemData":{"id":3559,"type":"article-journal","title":"Bridging the gap between ecosystem service assessments and land-use planning through Multi-Criteria Decision Analysis (MCDA)","container-title":"Environmental Science &amp; Policy","page":"45-56","volume":"62","source":"CrossRef","DOI":"10.1016/j.envsci.2016.02.013","ISSN":"14629011","language":"en","author":[{"family":"Langemeyer","given":"Johannes"},{"family":"Gomez-Baggethun","given":"Erik"},{"family":"Haase","given":"Dagmar"},{"family":"Scheuer","given":"Sebastian"},{"family":"Elmqvist","given":"Thomas"}],"issued":{"date-parts":[["2016",8]]}}}],"schema":"https://github.com/citation-style-language/schema/raw/master/csl-citation.json"} </w:instrText>
      </w:r>
      <w:r>
        <w:fldChar w:fldCharType="separate"/>
      </w:r>
      <w:r w:rsidRPr="00F97BE1">
        <w:rPr>
          <w:rFonts w:cs="Calibri"/>
        </w:rPr>
        <w:t>Langemeyer</w:t>
      </w:r>
      <w:r>
        <w:fldChar w:fldCharType="end"/>
      </w:r>
      <w:r w:rsidRPr="00F97BE1">
        <w:t xml:space="preserve">, J., Gomez-Baggethun, E., Haase, D., Scheuer, S., and Elmqvist, T. 2016. Bridging the gap between ecosystem service assessments and land-use planning through Multi-Criteria Decision Analysis (MCDA). </w:t>
      </w:r>
      <w:r w:rsidRPr="000256DB">
        <w:rPr>
          <w:i/>
        </w:rPr>
        <w:t>Environmental Science &amp; Policy</w:t>
      </w:r>
      <w:r w:rsidRPr="00F97BE1">
        <w:t xml:space="preserve"> 62: 45–56.</w:t>
      </w:r>
    </w:p>
    <w:p w14:paraId="3C2B8951" w14:textId="77777777" w:rsidR="00C27582" w:rsidRPr="004E7EB5" w:rsidRDefault="00C27582" w:rsidP="00C27582">
      <w:pPr>
        <w:rPr>
          <w:b/>
          <w:i/>
          <w:color w:val="8C863E" w:themeColor="background2" w:themeShade="80"/>
          <w:sz w:val="24"/>
          <w:szCs w:val="24"/>
        </w:rPr>
      </w:pPr>
      <w:r w:rsidRPr="004E7EB5">
        <w:rPr>
          <w:b/>
          <w:i/>
          <w:color w:val="8C863E" w:themeColor="background2" w:themeShade="80"/>
          <w:sz w:val="24"/>
          <w:szCs w:val="24"/>
        </w:rPr>
        <w:t>Assumptions and Knowledge gaps</w:t>
      </w:r>
    </w:p>
    <w:p w14:paraId="6D3FC493" w14:textId="68E1C800" w:rsidR="00C27582" w:rsidRPr="00402A9E" w:rsidRDefault="00C27582" w:rsidP="00C27582">
      <w:r>
        <w:t>Clearly articulate and document any assumptions made in relation to assigning scores, confidence ratings and weightings</w:t>
      </w:r>
      <w:r w:rsidR="00DA7F47">
        <w:t xml:space="preserve"> as part of the values prioritisation process</w:t>
      </w:r>
      <w:r>
        <w:t xml:space="preserve">. </w:t>
      </w:r>
      <w:r w:rsidR="00DA7F47">
        <w:t xml:space="preserve">Any </w:t>
      </w:r>
      <w:r>
        <w:t>knowledge gaps associated with this step in the workflow</w:t>
      </w:r>
      <w:r w:rsidR="00DA7F47">
        <w:t xml:space="preserve"> should also be documented</w:t>
      </w:r>
      <w:r>
        <w:t>.</w:t>
      </w:r>
    </w:p>
    <w:p w14:paraId="42653C5B" w14:textId="32A1A63D" w:rsidR="00C27582" w:rsidRDefault="00C27582" w:rsidP="00C27582">
      <w:r>
        <w:t>For example</w:t>
      </w:r>
      <w:r w:rsidR="00DA7F47">
        <w:t>,</w:t>
      </w:r>
      <w:r>
        <w:t xml:space="preserve"> the identified values of an assessment unit </w:t>
      </w:r>
      <w:r w:rsidR="00DA7F47">
        <w:t>may</w:t>
      </w:r>
      <w:r>
        <w:t xml:space="preserve"> be constrained by available data and local knowledge. There may be uncertainty around whether the assessment unit supports particular values. An assessment unit may contain suitable habitat and the relevant range for particular threatened species or ecological communities, but limited or historical survey data creates doubt as to whether the species is present and supported by the aquatic ecosystems in question. These uncertainties should be documented clearly as knowledge gaps. Decisions as to whether to include uncertain values in the assessment are made with advice from the TAG, and should consider:</w:t>
      </w:r>
    </w:p>
    <w:p w14:paraId="40C939C3" w14:textId="77777777" w:rsidR="00C27582" w:rsidRPr="004E3DB4" w:rsidRDefault="00C27582" w:rsidP="00F4328F">
      <w:pPr>
        <w:pStyle w:val="ListParagraph"/>
        <w:numPr>
          <w:ilvl w:val="0"/>
          <w:numId w:val="30"/>
        </w:numPr>
        <w:spacing w:after="120" w:line="288" w:lineRule="auto"/>
        <w:jc w:val="left"/>
      </w:pPr>
      <w:r w:rsidRPr="004E3DB4">
        <w:t>How likely it is that the system supports the value.</w:t>
      </w:r>
    </w:p>
    <w:p w14:paraId="02B9CB5B" w14:textId="77777777" w:rsidR="00C27582" w:rsidRDefault="00C27582" w:rsidP="00F4328F">
      <w:pPr>
        <w:pStyle w:val="ListParagraph"/>
        <w:numPr>
          <w:ilvl w:val="0"/>
          <w:numId w:val="30"/>
        </w:numPr>
        <w:spacing w:after="120" w:line="288" w:lineRule="auto"/>
        <w:jc w:val="left"/>
      </w:pPr>
      <w:r w:rsidRPr="004E3DB4">
        <w:t>The likelihood that the value would be considered a high priority value. This judgement would be based on the conceptual models of the system and experts’ understanding of the values of similar systems.</w:t>
      </w:r>
    </w:p>
    <w:p w14:paraId="2CBB098C" w14:textId="43747A59" w:rsidR="00C27582" w:rsidRPr="00402A9E" w:rsidRDefault="00C27582" w:rsidP="00F4328F">
      <w:pPr>
        <w:pStyle w:val="ListParagraph"/>
        <w:numPr>
          <w:ilvl w:val="0"/>
          <w:numId w:val="30"/>
        </w:numPr>
        <w:spacing w:after="120" w:line="288" w:lineRule="auto"/>
        <w:jc w:val="left"/>
      </w:pPr>
      <w:r w:rsidRPr="004E3DB4">
        <w:t>The consequences of not including the value in the assessment. This judgement would be based on the conceptual models of the system, whether there are likely to be trade-offs between this value and other system values and/or the extent to which other values are reliant on this value</w:t>
      </w:r>
      <w:r w:rsidR="00BA09E3">
        <w:t>.</w:t>
      </w:r>
    </w:p>
    <w:p w14:paraId="1DC05535" w14:textId="77777777" w:rsidR="00FE509A" w:rsidRPr="004E7EB5" w:rsidRDefault="00FE509A" w:rsidP="00FE509A">
      <w:pPr>
        <w:rPr>
          <w:b/>
          <w:i/>
          <w:color w:val="8C863E" w:themeColor="background2" w:themeShade="80"/>
          <w:sz w:val="24"/>
          <w:szCs w:val="24"/>
        </w:rPr>
      </w:pPr>
      <w:r w:rsidRPr="004E7EB5">
        <w:rPr>
          <w:b/>
          <w:i/>
          <w:color w:val="8C863E" w:themeColor="background2" w:themeShade="80"/>
          <w:sz w:val="24"/>
          <w:szCs w:val="24"/>
        </w:rPr>
        <w:t>Outputs</w:t>
      </w:r>
    </w:p>
    <w:p w14:paraId="09728FB2" w14:textId="3DDB62E3" w:rsidR="00CA02CC" w:rsidRDefault="00CA02CC" w:rsidP="00CA02CC">
      <w:pPr>
        <w:shd w:val="clear" w:color="auto" w:fill="C3D8D7" w:themeFill="accent2" w:themeFillTint="99"/>
      </w:pPr>
      <w:r>
        <w:t xml:space="preserve">The </w:t>
      </w:r>
      <w:r w:rsidR="00E557B7">
        <w:t>required</w:t>
      </w:r>
      <w:r>
        <w:t xml:space="preserve"> outputs of Step 1 are:</w:t>
      </w:r>
    </w:p>
    <w:p w14:paraId="672EBC2A" w14:textId="01CF726D" w:rsidR="00EC7357" w:rsidRDefault="00DA7F47" w:rsidP="00F4328F">
      <w:pPr>
        <w:pStyle w:val="ListParagraph"/>
        <w:numPr>
          <w:ilvl w:val="0"/>
          <w:numId w:val="4"/>
        </w:numPr>
        <w:shd w:val="clear" w:color="auto" w:fill="C3D8D7" w:themeFill="accent2" w:themeFillTint="99"/>
        <w:spacing w:after="120" w:line="288" w:lineRule="auto"/>
        <w:jc w:val="left"/>
      </w:pPr>
      <w:r>
        <w:t>A d</w:t>
      </w:r>
      <w:r w:rsidR="00EC7357">
        <w:t>istilled set of values for the assessme</w:t>
      </w:r>
      <w:r>
        <w:t>nt unit and scale of assessment;</w:t>
      </w:r>
    </w:p>
    <w:p w14:paraId="47643653" w14:textId="77777777" w:rsidR="002322CC" w:rsidRDefault="00DA7F47" w:rsidP="00F4328F">
      <w:pPr>
        <w:pStyle w:val="ListParagraph"/>
        <w:numPr>
          <w:ilvl w:val="0"/>
          <w:numId w:val="4"/>
        </w:numPr>
        <w:shd w:val="clear" w:color="auto" w:fill="C3D8D7" w:themeFill="accent2" w:themeFillTint="99"/>
        <w:spacing w:after="120" w:line="288" w:lineRule="auto"/>
        <w:jc w:val="left"/>
      </w:pPr>
      <w:r>
        <w:t>A p</w:t>
      </w:r>
      <w:r w:rsidR="00F275A5">
        <w:t>rioritised list of ecological values by theme and scale of assessment</w:t>
      </w:r>
      <w:r>
        <w:t>;</w:t>
      </w:r>
    </w:p>
    <w:p w14:paraId="0AFF479B" w14:textId="0640BE68" w:rsidR="00CA02CC" w:rsidRDefault="002322CC" w:rsidP="00F4328F">
      <w:pPr>
        <w:pStyle w:val="ListParagraph"/>
        <w:numPr>
          <w:ilvl w:val="0"/>
          <w:numId w:val="4"/>
        </w:numPr>
        <w:shd w:val="clear" w:color="auto" w:fill="C3D8D7" w:themeFill="accent2" w:themeFillTint="99"/>
        <w:spacing w:after="120" w:line="288" w:lineRule="auto"/>
        <w:jc w:val="left"/>
      </w:pPr>
      <w:r>
        <w:t>An updated conceptual model;</w:t>
      </w:r>
      <w:r w:rsidR="00CA02CC">
        <w:t xml:space="preserve"> </w:t>
      </w:r>
      <w:r w:rsidR="00BA09E3">
        <w:t>and</w:t>
      </w:r>
    </w:p>
    <w:p w14:paraId="0AD3B295" w14:textId="47101DAF" w:rsidR="00CA02CC" w:rsidRDefault="00F275A5" w:rsidP="00F4328F">
      <w:pPr>
        <w:pStyle w:val="ListParagraph"/>
        <w:numPr>
          <w:ilvl w:val="0"/>
          <w:numId w:val="4"/>
        </w:numPr>
        <w:shd w:val="clear" w:color="auto" w:fill="C3D8D7" w:themeFill="accent2" w:themeFillTint="99"/>
        <w:spacing w:after="120" w:line="288" w:lineRule="auto"/>
        <w:jc w:val="left"/>
      </w:pPr>
      <w:r>
        <w:t>Documentation of assumptions and knowledge gaps.</w:t>
      </w:r>
    </w:p>
    <w:p w14:paraId="7691831B" w14:textId="77777777" w:rsidR="00FE509A" w:rsidRPr="004E7EB5" w:rsidRDefault="00FE509A" w:rsidP="00FE509A"/>
    <w:p w14:paraId="1D19B158" w14:textId="77777777" w:rsidR="00FE509A" w:rsidRPr="004E7EB5" w:rsidRDefault="00FE509A" w:rsidP="00FE509A"/>
    <w:p w14:paraId="78D597B6" w14:textId="77777777" w:rsidR="00FE509A" w:rsidRPr="00FE509A" w:rsidRDefault="00FE509A" w:rsidP="00FE509A">
      <w:pPr>
        <w:rPr>
          <w:b/>
          <w:i/>
        </w:rPr>
        <w:sectPr w:rsidR="00FE509A" w:rsidRPr="00FE509A" w:rsidSect="00CA2773">
          <w:headerReference w:type="even" r:id="rId48"/>
          <w:headerReference w:type="default" r:id="rId49"/>
          <w:headerReference w:type="first" r:id="rId50"/>
          <w:pgSz w:w="11906" w:h="16838"/>
          <w:pgMar w:top="1440" w:right="1440" w:bottom="1440" w:left="1440" w:header="708" w:footer="708" w:gutter="0"/>
          <w:cols w:space="708"/>
          <w:docGrid w:linePitch="360"/>
        </w:sectPr>
      </w:pPr>
    </w:p>
    <w:p w14:paraId="774C1943" w14:textId="77777777" w:rsidR="00B27B0F" w:rsidRDefault="00B27B0F" w:rsidP="006E6D41">
      <w:pPr>
        <w:pStyle w:val="Heading2"/>
      </w:pPr>
      <w:bookmarkStart w:id="62" w:name="_Toc493774219"/>
      <w:r w:rsidRPr="004E7EB5">
        <w:lastRenderedPageBreak/>
        <w:t>Step 2: Identify and prioritise threats</w:t>
      </w:r>
      <w:bookmarkEnd w:id="62"/>
    </w:p>
    <w:p w14:paraId="4355D6A2" w14:textId="77777777" w:rsidR="00DA7F47" w:rsidRPr="002540F9" w:rsidRDefault="00DA7F47" w:rsidP="00DA7F47">
      <w:r w:rsidRPr="00317B32">
        <w:t xml:space="preserve">Identifying the influence of threats on </w:t>
      </w:r>
      <w:r>
        <w:t>assessment units</w:t>
      </w:r>
      <w:r w:rsidRPr="00317B32">
        <w:t xml:space="preserve"> is an important constituent of the IECA </w:t>
      </w:r>
      <w:r>
        <w:t>F</w:t>
      </w:r>
      <w:r w:rsidRPr="00317B32">
        <w:t xml:space="preserve">ramework as it underpins the assessment’s capacity to inform management responses to condition assessments that suggest </w:t>
      </w:r>
      <w:r>
        <w:t xml:space="preserve">management </w:t>
      </w:r>
      <w:r w:rsidRPr="00317B32">
        <w:t>objectives are not being met</w:t>
      </w:r>
      <w:r>
        <w:t>.</w:t>
      </w:r>
    </w:p>
    <w:p w14:paraId="4F17D3C0" w14:textId="77777777" w:rsidR="00DA7F47" w:rsidRPr="00280362" w:rsidRDefault="00DA7F47" w:rsidP="00DA7F47">
      <w:pPr>
        <w:widowControl w:val="0"/>
        <w:autoSpaceDE w:val="0"/>
        <w:autoSpaceDN w:val="0"/>
        <w:adjustRightInd w:val="0"/>
      </w:pPr>
      <w:r w:rsidRPr="00280362">
        <w:t xml:space="preserve">The risk assessment process </w:t>
      </w:r>
      <w:r>
        <w:t xml:space="preserve">recommended is </w:t>
      </w:r>
      <w:r w:rsidRPr="00280362">
        <w:t>consistent with the Australian/New Zealand Standard: Risk Management (AS/NZS 4360:2004; Standards Australia and Standards New Zealand 2004) and the Standards Australia Handbook: Environmental risk management - principles and process (HB 203-2000; Standards Australia and Standards New Zealand 2006). The risk assessment approach follows a structured and iterative process, with the following steps:</w:t>
      </w:r>
    </w:p>
    <w:p w14:paraId="602350DA" w14:textId="77777777" w:rsidR="00DA7F47" w:rsidRPr="00280362" w:rsidRDefault="00DA7F47" w:rsidP="00F4328F">
      <w:pPr>
        <w:pStyle w:val="ListParagraph"/>
        <w:widowControl w:val="0"/>
        <w:numPr>
          <w:ilvl w:val="0"/>
          <w:numId w:val="18"/>
        </w:numPr>
        <w:autoSpaceDE w:val="0"/>
        <w:autoSpaceDN w:val="0"/>
        <w:adjustRightInd w:val="0"/>
        <w:spacing w:after="0" w:line="240" w:lineRule="auto"/>
        <w:jc w:val="left"/>
      </w:pPr>
      <w:r w:rsidRPr="00280362">
        <w:t>Establish the context – existing values and environmental conditions;</w:t>
      </w:r>
    </w:p>
    <w:p w14:paraId="45E1AECF" w14:textId="77777777" w:rsidR="00DA7F47" w:rsidRPr="00280362" w:rsidRDefault="00DA7F47" w:rsidP="00F4328F">
      <w:pPr>
        <w:pStyle w:val="ListParagraph"/>
        <w:widowControl w:val="0"/>
        <w:numPr>
          <w:ilvl w:val="0"/>
          <w:numId w:val="18"/>
        </w:numPr>
        <w:autoSpaceDE w:val="0"/>
        <w:autoSpaceDN w:val="0"/>
        <w:adjustRightInd w:val="0"/>
        <w:spacing w:after="0" w:line="240" w:lineRule="auto"/>
        <w:jc w:val="left"/>
      </w:pPr>
      <w:r w:rsidRPr="00280362">
        <w:t>Identify risks – threats and associated potential impacts; and</w:t>
      </w:r>
    </w:p>
    <w:p w14:paraId="7DFC1F73" w14:textId="4E8502F4" w:rsidR="00DA7F47" w:rsidRPr="00280362" w:rsidRDefault="00DA7F47" w:rsidP="00F4328F">
      <w:pPr>
        <w:pStyle w:val="ListParagraph"/>
        <w:widowControl w:val="0"/>
        <w:numPr>
          <w:ilvl w:val="0"/>
          <w:numId w:val="18"/>
        </w:numPr>
        <w:autoSpaceDE w:val="0"/>
        <w:autoSpaceDN w:val="0"/>
        <w:adjustRightInd w:val="0"/>
        <w:spacing w:after="0" w:line="240" w:lineRule="auto"/>
        <w:jc w:val="left"/>
      </w:pPr>
      <w:r w:rsidRPr="00280362">
        <w:t>Analyse risks – assign likelihoods and consequences to determine level of risk</w:t>
      </w:r>
      <w:r w:rsidR="00BA09E3">
        <w:t>.</w:t>
      </w:r>
    </w:p>
    <w:p w14:paraId="4C4F8054" w14:textId="77777777" w:rsidR="00DA7F47" w:rsidRDefault="00DA7F47" w:rsidP="002540F9"/>
    <w:p w14:paraId="7B146489" w14:textId="1FF946EF" w:rsidR="002540F9" w:rsidRDefault="002540F9" w:rsidP="002540F9">
      <w:r>
        <w:t>In most cases</w:t>
      </w:r>
      <w:r w:rsidR="00DA7F47">
        <w:t>,</w:t>
      </w:r>
      <w:r>
        <w:t xml:space="preserve"> it will not be feasible</w:t>
      </w:r>
      <w:r w:rsidRPr="002540F9">
        <w:t xml:space="preserve"> to undertake a comprehensive assessment of all threats to </w:t>
      </w:r>
      <w:r>
        <w:t>an assessment unit</w:t>
      </w:r>
      <w:r w:rsidRPr="002540F9">
        <w:t xml:space="preserve">, so a risk assessment </w:t>
      </w:r>
      <w:r w:rsidR="00261EBE">
        <w:t xml:space="preserve">approach </w:t>
      </w:r>
      <w:r>
        <w:t xml:space="preserve">is used to identify </w:t>
      </w:r>
      <w:r w:rsidRPr="002540F9">
        <w:t xml:space="preserve">the </w:t>
      </w:r>
      <w:r w:rsidR="00D547B8">
        <w:t>high priority</w:t>
      </w:r>
      <w:r w:rsidRPr="002540F9">
        <w:t xml:space="preserve"> threats to each</w:t>
      </w:r>
      <w:r>
        <w:t xml:space="preserve"> of the values</w:t>
      </w:r>
      <w:r w:rsidRPr="002540F9">
        <w:t xml:space="preserve">. In order to prioritise threats, members of the </w:t>
      </w:r>
      <w:r>
        <w:t>TAG/oversight body need to</w:t>
      </w:r>
      <w:r w:rsidRPr="002540F9">
        <w:t xml:space="preserve"> evaluate the likelihood of occurrence and consequences</w:t>
      </w:r>
      <w:r>
        <w:t xml:space="preserve"> </w:t>
      </w:r>
      <w:r w:rsidRPr="002540F9">
        <w:t xml:space="preserve">of each of the threats occurring at each </w:t>
      </w:r>
      <w:r>
        <w:t>assessment level</w:t>
      </w:r>
      <w:r w:rsidRPr="002540F9">
        <w:t xml:space="preserve">. The confidence of each response </w:t>
      </w:r>
      <w:r>
        <w:t xml:space="preserve">should also be recorded using a </w:t>
      </w:r>
      <w:r w:rsidRPr="002540F9">
        <w:t xml:space="preserve">scale of 1 to 3 with 3 being </w:t>
      </w:r>
      <w:r w:rsidR="00DA7F47">
        <w:t>high</w:t>
      </w:r>
      <w:r w:rsidRPr="002540F9">
        <w:t xml:space="preserve"> confiden</w:t>
      </w:r>
      <w:r w:rsidR="00DA7F47">
        <w:t>ce and 1 being low confidence</w:t>
      </w:r>
      <w:r w:rsidRPr="002540F9">
        <w:t xml:space="preserve">. The likelihood and consequence scores </w:t>
      </w:r>
      <w:r>
        <w:t>are then</w:t>
      </w:r>
      <w:r w:rsidRPr="002540F9">
        <w:t xml:space="preserve"> multiplied together and the average of all responses calculated to provide an overall risk matrix</w:t>
      </w:r>
      <w:r>
        <w:t>.</w:t>
      </w:r>
    </w:p>
    <w:p w14:paraId="5A9F5158" w14:textId="77777777" w:rsidR="001E76C4" w:rsidRPr="004E7EB5" w:rsidRDefault="001E76C4" w:rsidP="001E76C4">
      <w:pPr>
        <w:rPr>
          <w:b/>
          <w:i/>
          <w:sz w:val="24"/>
          <w:szCs w:val="24"/>
        </w:rPr>
      </w:pPr>
      <w:r w:rsidRPr="004E7EB5">
        <w:rPr>
          <w:b/>
          <w:i/>
          <w:color w:val="8C863E" w:themeColor="background2" w:themeShade="80"/>
          <w:sz w:val="24"/>
          <w:szCs w:val="24"/>
        </w:rPr>
        <w:t>Aim</w:t>
      </w:r>
    </w:p>
    <w:p w14:paraId="2D007336" w14:textId="4EEF17C0" w:rsidR="001E76C4" w:rsidRPr="004E7EB5" w:rsidRDefault="00D547B8" w:rsidP="001E76C4">
      <w:r w:rsidRPr="00D547B8">
        <w:t>T</w:t>
      </w:r>
      <w:r w:rsidR="00DA7F47" w:rsidRPr="00D547B8">
        <w:t xml:space="preserve">o identify </w:t>
      </w:r>
      <w:r w:rsidR="00B17EC9" w:rsidRPr="00D547B8">
        <w:t>and prioritise the threats to the ecological values identified in Step 1, at each scale of assessment.</w:t>
      </w:r>
      <w:r>
        <w:t xml:space="preserve"> </w:t>
      </w:r>
      <w:r w:rsidR="00CC3F30">
        <w:t xml:space="preserve"> </w:t>
      </w:r>
    </w:p>
    <w:p w14:paraId="6C53472C" w14:textId="77777777" w:rsidR="007168D1" w:rsidRDefault="007168D1" w:rsidP="007168D1">
      <w:pPr>
        <w:rPr>
          <w:b/>
          <w:i/>
          <w:color w:val="8C863E" w:themeColor="background2" w:themeShade="80"/>
          <w:sz w:val="24"/>
          <w:szCs w:val="24"/>
        </w:rPr>
      </w:pPr>
      <w:r w:rsidRPr="004E7EB5">
        <w:rPr>
          <w:b/>
          <w:i/>
          <w:color w:val="8C863E" w:themeColor="background2" w:themeShade="80"/>
          <w:sz w:val="24"/>
          <w:szCs w:val="24"/>
        </w:rPr>
        <w:t>Inputs</w:t>
      </w:r>
    </w:p>
    <w:p w14:paraId="51DE559E" w14:textId="5EFB337E" w:rsidR="007168D1" w:rsidRDefault="0056152E" w:rsidP="00F4328F">
      <w:pPr>
        <w:pStyle w:val="ListParagraph"/>
        <w:numPr>
          <w:ilvl w:val="0"/>
          <w:numId w:val="31"/>
        </w:numPr>
      </w:pPr>
      <w:r>
        <w:t>IUCN-CMP threat classification v2.0</w:t>
      </w:r>
      <w:r w:rsidR="00DA7F47">
        <w:t xml:space="preserve"> (</w:t>
      </w:r>
      <w:r>
        <w:t xml:space="preserve">see Appendix </w:t>
      </w:r>
      <w:r w:rsidR="00E221CF">
        <w:t>E</w:t>
      </w:r>
      <w:r w:rsidR="00DA7F47">
        <w:t>);</w:t>
      </w:r>
    </w:p>
    <w:p w14:paraId="73C624E8" w14:textId="5FCF23E1" w:rsidR="0056152E" w:rsidRDefault="002F6D8E" w:rsidP="00F4328F">
      <w:pPr>
        <w:pStyle w:val="ListParagraph"/>
        <w:numPr>
          <w:ilvl w:val="0"/>
          <w:numId w:val="31"/>
        </w:numPr>
      </w:pPr>
      <w:r>
        <w:t>Conceptual models from Part A</w:t>
      </w:r>
      <w:r w:rsidR="00DA7F47">
        <w:t>;</w:t>
      </w:r>
      <w:r w:rsidR="00BA09E3">
        <w:t xml:space="preserve"> and</w:t>
      </w:r>
    </w:p>
    <w:p w14:paraId="1ED46BD6" w14:textId="35427C70" w:rsidR="002F6D8E" w:rsidRPr="004E7EB5" w:rsidRDefault="002F6D8E" w:rsidP="00F4328F">
      <w:pPr>
        <w:pStyle w:val="ListParagraph"/>
        <w:numPr>
          <w:ilvl w:val="0"/>
          <w:numId w:val="31"/>
        </w:numPr>
      </w:pPr>
      <w:r>
        <w:t xml:space="preserve">List of </w:t>
      </w:r>
      <w:r w:rsidR="00911B1D">
        <w:t>pressures</w:t>
      </w:r>
      <w:r>
        <w:t xml:space="preserve"> and stressors derived from published information such as </w:t>
      </w:r>
      <w:r w:rsidR="00DA7F47">
        <w:t xml:space="preserve">relevant </w:t>
      </w:r>
      <w:r>
        <w:t>management plans, watering plans, and monitoring reports.</w:t>
      </w:r>
    </w:p>
    <w:p w14:paraId="0550BB15" w14:textId="7CF21AED" w:rsidR="001E76C4" w:rsidRPr="004E7EB5" w:rsidRDefault="001E76C4" w:rsidP="001E76C4">
      <w:pPr>
        <w:rPr>
          <w:b/>
          <w:i/>
          <w:color w:val="8C863E" w:themeColor="background2" w:themeShade="80"/>
          <w:sz w:val="24"/>
          <w:szCs w:val="24"/>
        </w:rPr>
      </w:pPr>
      <w:r w:rsidRPr="004E7EB5">
        <w:rPr>
          <w:b/>
          <w:i/>
          <w:color w:val="8C863E" w:themeColor="background2" w:themeShade="80"/>
          <w:sz w:val="24"/>
          <w:szCs w:val="24"/>
        </w:rPr>
        <w:t>Task</w:t>
      </w:r>
      <w:r w:rsidR="00736D3B">
        <w:rPr>
          <w:b/>
          <w:i/>
          <w:color w:val="8C863E" w:themeColor="background2" w:themeShade="80"/>
          <w:sz w:val="24"/>
          <w:szCs w:val="24"/>
        </w:rPr>
        <w:t>s</w:t>
      </w:r>
    </w:p>
    <w:p w14:paraId="002DCF2F" w14:textId="77777777" w:rsidR="00B17EC9" w:rsidRPr="00B17EC9" w:rsidRDefault="00B17EC9" w:rsidP="00F4328F">
      <w:pPr>
        <w:pStyle w:val="ListParagraph"/>
        <w:numPr>
          <w:ilvl w:val="0"/>
          <w:numId w:val="15"/>
        </w:numPr>
        <w:rPr>
          <w:b/>
          <w:i/>
        </w:rPr>
      </w:pPr>
      <w:r w:rsidRPr="00B17EC9">
        <w:rPr>
          <w:b/>
          <w:i/>
        </w:rPr>
        <w:t>List pressures and stressors for the values identified in Step 1</w:t>
      </w:r>
    </w:p>
    <w:p w14:paraId="732080B8" w14:textId="0FBAD69A" w:rsidR="002F6D8E" w:rsidRDefault="008E39E6" w:rsidP="00B17EC9">
      <w:pPr>
        <w:rPr>
          <w:rFonts w:asciiTheme="minorHAnsi" w:hAnsiTheme="minorHAnsi" w:cstheme="minorHAnsi"/>
          <w:lang w:eastAsia="en-AU"/>
        </w:rPr>
      </w:pPr>
      <w:r>
        <w:rPr>
          <w:rFonts w:asciiTheme="minorHAnsi" w:hAnsiTheme="minorHAnsi" w:cstheme="minorHAnsi"/>
        </w:rPr>
        <w:t>‘</w:t>
      </w:r>
      <w:r w:rsidR="002F6D8E" w:rsidRPr="002F6D8E">
        <w:rPr>
          <w:rFonts w:asciiTheme="minorHAnsi" w:hAnsiTheme="minorHAnsi" w:cstheme="minorHAnsi"/>
        </w:rPr>
        <w:t>Threat</w:t>
      </w:r>
      <w:r>
        <w:rPr>
          <w:rFonts w:asciiTheme="minorHAnsi" w:hAnsiTheme="minorHAnsi" w:cstheme="minorHAnsi"/>
        </w:rPr>
        <w:t>’</w:t>
      </w:r>
      <w:r w:rsidR="002F6D8E" w:rsidRPr="002F6D8E">
        <w:rPr>
          <w:rFonts w:asciiTheme="minorHAnsi" w:hAnsiTheme="minorHAnsi" w:cstheme="minorHAnsi"/>
        </w:rPr>
        <w:t xml:space="preserve"> is a generic term that includes the combination of a pressure and all its associated stressors</w:t>
      </w:r>
      <w:r w:rsidR="002F6D8E" w:rsidRPr="002F6D8E">
        <w:rPr>
          <w:rFonts w:asciiTheme="minorHAnsi" w:hAnsiTheme="minorHAnsi" w:cstheme="minorHAnsi"/>
          <w:lang w:eastAsia="en-AU"/>
        </w:rPr>
        <w:t>.</w:t>
      </w:r>
      <w:r w:rsidR="002F6D8E">
        <w:rPr>
          <w:rFonts w:asciiTheme="minorHAnsi" w:hAnsiTheme="minorHAnsi" w:cstheme="minorHAnsi"/>
          <w:lang w:eastAsia="en-AU"/>
        </w:rPr>
        <w:t xml:space="preserve"> Within the context of the IECA Framework:</w:t>
      </w:r>
    </w:p>
    <w:p w14:paraId="549657CD" w14:textId="5BDF0F23" w:rsidR="002F6D8E" w:rsidRDefault="00DA7F47" w:rsidP="00F4328F">
      <w:pPr>
        <w:pStyle w:val="ListParagraph"/>
        <w:numPr>
          <w:ilvl w:val="0"/>
          <w:numId w:val="32"/>
        </w:numPr>
        <w:rPr>
          <w:rFonts w:asciiTheme="minorHAnsi" w:hAnsiTheme="minorHAnsi" w:cstheme="minorHAnsi"/>
        </w:rPr>
      </w:pPr>
      <w:r>
        <w:rPr>
          <w:rFonts w:asciiTheme="minorHAnsi" w:hAnsiTheme="minorHAnsi" w:cstheme="minorHAnsi"/>
          <w:b/>
          <w:i/>
          <w:lang w:eastAsia="en-AU"/>
        </w:rPr>
        <w:t>P</w:t>
      </w:r>
      <w:r w:rsidR="002F6D8E" w:rsidRPr="002F6D8E">
        <w:rPr>
          <w:rFonts w:asciiTheme="minorHAnsi" w:hAnsiTheme="minorHAnsi" w:cstheme="minorHAnsi"/>
          <w:b/>
          <w:i/>
          <w:lang w:eastAsia="en-AU"/>
        </w:rPr>
        <w:t>ressures</w:t>
      </w:r>
      <w:r w:rsidR="002F6D8E" w:rsidRPr="002F6D8E">
        <w:rPr>
          <w:rFonts w:asciiTheme="minorHAnsi" w:hAnsiTheme="minorHAnsi" w:cstheme="minorHAnsi"/>
          <w:lang w:eastAsia="en-AU"/>
        </w:rPr>
        <w:t xml:space="preserve"> </w:t>
      </w:r>
      <w:r w:rsidR="002F6D8E" w:rsidRPr="002F6D8E">
        <w:rPr>
          <w:rFonts w:asciiTheme="minorHAnsi" w:hAnsiTheme="minorHAnsi" w:cstheme="minorHAnsi"/>
        </w:rPr>
        <w:t>are defined as human activities and natural processes (i.e. drivers) that have the potential to impact the natural environment</w:t>
      </w:r>
      <w:r w:rsidR="002F6D8E">
        <w:rPr>
          <w:rFonts w:asciiTheme="minorHAnsi" w:hAnsiTheme="minorHAnsi" w:cstheme="minorHAnsi"/>
        </w:rPr>
        <w:t xml:space="preserve">; and </w:t>
      </w:r>
    </w:p>
    <w:p w14:paraId="49CF97D6" w14:textId="4B70FEFE" w:rsidR="002F6D8E" w:rsidRPr="002F6D8E" w:rsidRDefault="00DA7F47" w:rsidP="00F4328F">
      <w:pPr>
        <w:pStyle w:val="ListParagraph"/>
        <w:numPr>
          <w:ilvl w:val="0"/>
          <w:numId w:val="32"/>
        </w:numPr>
      </w:pPr>
      <w:r>
        <w:rPr>
          <w:rFonts w:asciiTheme="minorHAnsi" w:hAnsiTheme="minorHAnsi" w:cstheme="minorHAnsi"/>
          <w:b/>
          <w:i/>
          <w:lang w:eastAsia="en-AU"/>
        </w:rPr>
        <w:t>S</w:t>
      </w:r>
      <w:r w:rsidR="002F6D8E" w:rsidRPr="002F6D8E">
        <w:rPr>
          <w:rFonts w:asciiTheme="minorHAnsi" w:hAnsiTheme="minorHAnsi" w:cstheme="minorHAnsi"/>
          <w:b/>
          <w:i/>
          <w:lang w:eastAsia="en-AU"/>
        </w:rPr>
        <w:t>tressors</w:t>
      </w:r>
      <w:r w:rsidR="002F6D8E" w:rsidRPr="002F6D8E">
        <w:rPr>
          <w:rFonts w:asciiTheme="minorHAnsi" w:hAnsiTheme="minorHAnsi" w:cstheme="minorHAnsi"/>
          <w:lang w:eastAsia="en-AU"/>
        </w:rPr>
        <w:t xml:space="preserve"> are </w:t>
      </w:r>
      <w:r w:rsidR="002F6D8E">
        <w:rPr>
          <w:rFonts w:asciiTheme="minorHAnsi" w:hAnsiTheme="minorHAnsi" w:cstheme="minorHAnsi"/>
          <w:lang w:eastAsia="en-AU"/>
        </w:rPr>
        <w:t>t</w:t>
      </w:r>
      <w:r w:rsidR="002F6D8E" w:rsidRPr="002F6D8E">
        <w:rPr>
          <w:rFonts w:asciiTheme="minorHAnsi" w:hAnsiTheme="minorHAnsi" w:cstheme="minorHAnsi"/>
        </w:rPr>
        <w:t xml:space="preserve">he </w:t>
      </w:r>
      <w:r w:rsidR="00D547B8">
        <w:rPr>
          <w:rFonts w:asciiTheme="minorHAnsi" w:hAnsiTheme="minorHAnsi" w:cstheme="minorHAnsi"/>
        </w:rPr>
        <w:t xml:space="preserve">altered </w:t>
      </w:r>
      <w:r w:rsidR="002F6D8E" w:rsidRPr="002F6D8E">
        <w:rPr>
          <w:rFonts w:asciiTheme="minorHAnsi" w:hAnsiTheme="minorHAnsi" w:cstheme="minorHAnsi"/>
        </w:rPr>
        <w:t>physical, chemical, or biological agents or processes arising from a pressure or pressures, which can induce an adverse environmental response</w:t>
      </w:r>
      <w:r w:rsidR="002F6D8E">
        <w:rPr>
          <w:rFonts w:asciiTheme="minorHAnsi" w:hAnsiTheme="minorHAnsi" w:cstheme="minorHAnsi"/>
        </w:rPr>
        <w:t>.</w:t>
      </w:r>
      <w:r w:rsidR="00D547B8">
        <w:rPr>
          <w:rFonts w:asciiTheme="minorHAnsi" w:hAnsiTheme="minorHAnsi" w:cstheme="minorHAnsi"/>
        </w:rPr>
        <w:t xml:space="preserve"> For example it is the </w:t>
      </w:r>
      <w:r w:rsidR="00D547B8" w:rsidRPr="00D547B8">
        <w:rPr>
          <w:rFonts w:asciiTheme="minorHAnsi" w:hAnsiTheme="minorHAnsi" w:cstheme="minorHAnsi"/>
          <w:b/>
          <w:i/>
        </w:rPr>
        <w:t>reduced</w:t>
      </w:r>
      <w:r w:rsidR="00D547B8" w:rsidRPr="00D547B8">
        <w:rPr>
          <w:rFonts w:asciiTheme="minorHAnsi" w:hAnsiTheme="minorHAnsi" w:cstheme="minorHAnsi"/>
          <w:b/>
        </w:rPr>
        <w:t xml:space="preserve"> inflows</w:t>
      </w:r>
      <w:r w:rsidR="00D547B8">
        <w:rPr>
          <w:rFonts w:asciiTheme="minorHAnsi" w:hAnsiTheme="minorHAnsi" w:cstheme="minorHAnsi"/>
        </w:rPr>
        <w:t xml:space="preserve">, or the </w:t>
      </w:r>
      <w:r w:rsidR="00D547B8" w:rsidRPr="00D547B8">
        <w:rPr>
          <w:rFonts w:asciiTheme="minorHAnsi" w:hAnsiTheme="minorHAnsi" w:cstheme="minorHAnsi"/>
          <w:b/>
          <w:i/>
        </w:rPr>
        <w:t>increased</w:t>
      </w:r>
      <w:r w:rsidR="00D547B8" w:rsidRPr="00D547B8">
        <w:rPr>
          <w:rFonts w:asciiTheme="minorHAnsi" w:hAnsiTheme="minorHAnsi" w:cstheme="minorHAnsi"/>
          <w:b/>
        </w:rPr>
        <w:t xml:space="preserve"> salinity</w:t>
      </w:r>
      <w:r w:rsidR="00D547B8">
        <w:rPr>
          <w:rFonts w:asciiTheme="minorHAnsi" w:hAnsiTheme="minorHAnsi" w:cstheme="minorHAnsi"/>
        </w:rPr>
        <w:t xml:space="preserve"> that are the stressors</w:t>
      </w:r>
      <w:r w:rsidR="00D547B8" w:rsidRPr="00D547B8">
        <w:rPr>
          <w:rFonts w:asciiTheme="minorHAnsi" w:hAnsiTheme="minorHAnsi" w:cstheme="minorHAnsi"/>
        </w:rPr>
        <w:t xml:space="preserve"> </w:t>
      </w:r>
      <w:r w:rsidR="00D547B8">
        <w:rPr>
          <w:rFonts w:asciiTheme="minorHAnsi" w:hAnsiTheme="minorHAnsi" w:cstheme="minorHAnsi"/>
        </w:rPr>
        <w:t>associated with water resource management, which is the pressure.</w:t>
      </w:r>
    </w:p>
    <w:p w14:paraId="79F16BDD" w14:textId="5F543E06" w:rsidR="002F6D8E" w:rsidRPr="00B17EC9" w:rsidRDefault="002F6D8E" w:rsidP="002F6D8E">
      <w:r w:rsidRPr="002F6D8E">
        <w:lastRenderedPageBreak/>
        <w:t xml:space="preserve">From the information collated in previous tasks, construct a list of </w:t>
      </w:r>
      <w:r w:rsidR="00911B1D">
        <w:t>pressures and stressors</w:t>
      </w:r>
      <w:r w:rsidRPr="002F6D8E">
        <w:t xml:space="preserve"> to the </w:t>
      </w:r>
      <w:r w:rsidR="00025D35">
        <w:t xml:space="preserve">ecological values of the </w:t>
      </w:r>
      <w:r>
        <w:t>assessment unit</w:t>
      </w:r>
      <w:r w:rsidRPr="002F6D8E">
        <w:t xml:space="preserve">. The IECA Framework </w:t>
      </w:r>
      <w:r>
        <w:t xml:space="preserve">has adopted </w:t>
      </w:r>
      <w:r w:rsidRPr="002F6D8E">
        <w:t>the IUCN</w:t>
      </w:r>
      <w:r w:rsidR="00911B1D">
        <w:t>-CMP</w:t>
      </w:r>
      <w:r w:rsidRPr="002F6D8E">
        <w:t xml:space="preserve"> threat classification scheme for </w:t>
      </w:r>
      <w:r w:rsidR="00952396">
        <w:t>threats</w:t>
      </w:r>
      <w:r w:rsidRPr="002F6D8E">
        <w:t xml:space="preserve"> (Appendix </w:t>
      </w:r>
      <w:r w:rsidR="00E221CF">
        <w:t>E</w:t>
      </w:r>
      <w:r w:rsidRPr="002F6D8E">
        <w:t xml:space="preserve">). This scheme is being adopted as a common basis to describe </w:t>
      </w:r>
      <w:r w:rsidR="00911B1D">
        <w:t>threats</w:t>
      </w:r>
      <w:r w:rsidRPr="002F6D8E">
        <w:t xml:space="preserve"> at the National level.</w:t>
      </w:r>
      <w:r w:rsidR="00952396">
        <w:t xml:space="preserve"> </w:t>
      </w:r>
      <w:r w:rsidR="00952396" w:rsidRPr="00952396">
        <w:t xml:space="preserve">An indicative list of </w:t>
      </w:r>
      <w:r w:rsidR="00E221CF">
        <w:t xml:space="preserve">indicators of </w:t>
      </w:r>
      <w:r w:rsidR="00952396" w:rsidRPr="00952396">
        <w:t>stressors is provided in Appendix</w:t>
      </w:r>
      <w:r w:rsidR="00E221CF">
        <w:t xml:space="preserve"> F</w:t>
      </w:r>
      <w:r w:rsidR="00952396">
        <w:t>.</w:t>
      </w:r>
    </w:p>
    <w:p w14:paraId="4E198E86" w14:textId="51700017" w:rsidR="008E3E62" w:rsidRPr="008E3E62" w:rsidRDefault="00B17EC9" w:rsidP="00F4328F">
      <w:pPr>
        <w:pStyle w:val="ListParagraph"/>
        <w:numPr>
          <w:ilvl w:val="0"/>
          <w:numId w:val="15"/>
        </w:numPr>
        <w:rPr>
          <w:b/>
          <w:i/>
        </w:rPr>
      </w:pPr>
      <w:r w:rsidRPr="00B17EC9">
        <w:rPr>
          <w:b/>
          <w:i/>
        </w:rPr>
        <w:t>Develop a stressor model</w:t>
      </w:r>
      <w:r w:rsidR="002C2AF7">
        <w:rPr>
          <w:i/>
        </w:rPr>
        <w:t xml:space="preserve"> </w:t>
      </w:r>
      <w:r w:rsidR="002C2AF7" w:rsidRPr="002C2AF7">
        <w:rPr>
          <w:b/>
          <w:i/>
        </w:rPr>
        <w:t>to illustrate impact pathways</w:t>
      </w:r>
    </w:p>
    <w:p w14:paraId="4B4D0C47" w14:textId="7C53A202" w:rsidR="002C2AF7" w:rsidRDefault="00DA7F47" w:rsidP="002540F9">
      <w:pPr>
        <w:pStyle w:val="ListParagraph"/>
        <w:ind w:left="0"/>
      </w:pPr>
      <w:r>
        <w:t xml:space="preserve">Develop a stressor model for the </w:t>
      </w:r>
      <w:r w:rsidR="00694E8E">
        <w:t xml:space="preserve">ecological </w:t>
      </w:r>
      <w:r>
        <w:t xml:space="preserve">values from Step 1 and threats </w:t>
      </w:r>
      <w:r w:rsidR="00694E8E">
        <w:t>identified in the previous task</w:t>
      </w:r>
      <w:r>
        <w:t xml:space="preserve">. </w:t>
      </w:r>
      <w:r w:rsidR="00D534FF">
        <w:t xml:space="preserve">A stressor model clearly shows the relationship between the pressure, associated stressor and impact on the high priority values. </w:t>
      </w:r>
      <w:r w:rsidR="00694E8E">
        <w:t xml:space="preserve">The stressor model should evolve from any existing model identified or developed in the previous steps. </w:t>
      </w:r>
      <w:r w:rsidR="00D534FF">
        <w:t>It informs the identification of impact pathways for the risk assessment and prioritisation of threats. A</w:t>
      </w:r>
      <w:r w:rsidR="00485D6A">
        <w:t xml:space="preserve"> hypothetical </w:t>
      </w:r>
      <w:r w:rsidR="00D534FF">
        <w:t xml:space="preserve">stressor model </w:t>
      </w:r>
      <w:r w:rsidR="00485D6A">
        <w:t xml:space="preserve">for an estuary </w:t>
      </w:r>
      <w:r w:rsidR="00D534FF">
        <w:t xml:space="preserve">is provided in </w:t>
      </w:r>
      <w:r w:rsidR="003E7472">
        <w:fldChar w:fldCharType="begin"/>
      </w:r>
      <w:r w:rsidR="003E7472">
        <w:instrText xml:space="preserve"> REF _Ref479016712 \h </w:instrText>
      </w:r>
      <w:r w:rsidR="003E7472">
        <w:fldChar w:fldCharType="separate"/>
      </w:r>
      <w:r w:rsidR="005F359C">
        <w:t xml:space="preserve">Figure </w:t>
      </w:r>
      <w:r w:rsidR="005F359C">
        <w:rPr>
          <w:noProof/>
        </w:rPr>
        <w:t>6</w:t>
      </w:r>
      <w:r w:rsidR="003E7472">
        <w:fldChar w:fldCharType="end"/>
      </w:r>
      <w:r w:rsidR="003E7472">
        <w:t>, showing the linkages between the threat categories, the stressors and values impacted.</w:t>
      </w:r>
      <w:r w:rsidR="00317B32">
        <w:t xml:space="preserve"> </w:t>
      </w:r>
      <w:r w:rsidR="00952396" w:rsidRPr="00952396">
        <w:t xml:space="preserve"> </w:t>
      </w:r>
    </w:p>
    <w:p w14:paraId="62AA63A3" w14:textId="77777777" w:rsidR="002C2AF7" w:rsidRDefault="002C2AF7" w:rsidP="002540F9">
      <w:pPr>
        <w:pStyle w:val="ListParagraph"/>
        <w:ind w:left="0"/>
      </w:pPr>
    </w:p>
    <w:p w14:paraId="5C8325FC" w14:textId="77777777" w:rsidR="00FD667F" w:rsidRDefault="00FD667F" w:rsidP="002540F9">
      <w:pPr>
        <w:pStyle w:val="ListParagraph"/>
        <w:ind w:left="0"/>
        <w:rPr>
          <w:b/>
        </w:rPr>
      </w:pPr>
    </w:p>
    <w:p w14:paraId="2E550DCA" w14:textId="1CD12125" w:rsidR="00FD667F" w:rsidRDefault="003444F0" w:rsidP="002540F9">
      <w:pPr>
        <w:pStyle w:val="ListParagraph"/>
        <w:ind w:left="0"/>
      </w:pPr>
      <w:r>
        <w:rPr>
          <w:noProof/>
          <w:lang w:eastAsia="en-AU"/>
        </w:rPr>
        <w:drawing>
          <wp:inline distT="0" distB="0" distL="0" distR="0" wp14:anchorId="1DF145BC" wp14:editId="797109C0">
            <wp:extent cx="5731510" cy="297561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or model v2.png"/>
                    <pic:cNvPicPr/>
                  </pic:nvPicPr>
                  <pic:blipFill>
                    <a:blip r:embed="rId51">
                      <a:extLst>
                        <a:ext uri="{28A0092B-C50C-407E-A947-70E740481C1C}">
                          <a14:useLocalDpi xmlns:a14="http://schemas.microsoft.com/office/drawing/2010/main" val="0"/>
                        </a:ext>
                      </a:extLst>
                    </a:blip>
                    <a:stretch>
                      <a:fillRect/>
                    </a:stretch>
                  </pic:blipFill>
                  <pic:spPr>
                    <a:xfrm>
                      <a:off x="0" y="0"/>
                      <a:ext cx="5731510" cy="2975610"/>
                    </a:xfrm>
                    <a:prstGeom prst="rect">
                      <a:avLst/>
                    </a:prstGeom>
                  </pic:spPr>
                </pic:pic>
              </a:graphicData>
            </a:graphic>
          </wp:inline>
        </w:drawing>
      </w:r>
    </w:p>
    <w:p w14:paraId="200FC44D" w14:textId="7B9736D0" w:rsidR="008E3E62" w:rsidRDefault="0012788C" w:rsidP="0012788C">
      <w:pPr>
        <w:pStyle w:val="Caption"/>
      </w:pPr>
      <w:bookmarkStart w:id="63" w:name="_Ref479016712"/>
      <w:r>
        <w:t xml:space="preserve">Figure </w:t>
      </w:r>
      <w:fldSimple w:instr=" SEQ Figure \* ARABIC ">
        <w:r w:rsidR="005F359C">
          <w:rPr>
            <w:noProof/>
          </w:rPr>
          <w:t>6</w:t>
        </w:r>
      </w:fldSimple>
      <w:bookmarkEnd w:id="63"/>
      <w:r w:rsidR="00FD50A9">
        <w:rPr>
          <w:noProof/>
        </w:rPr>
        <w:t>:</w:t>
      </w:r>
      <w:r>
        <w:t xml:space="preserve"> </w:t>
      </w:r>
      <w:r w:rsidR="00485D6A">
        <w:t xml:space="preserve">Hypothetical </w:t>
      </w:r>
      <w:r>
        <w:t>s</w:t>
      </w:r>
      <w:r w:rsidR="00AD6740">
        <w:t>tressor model for an estuarine assessment unit</w:t>
      </w:r>
      <w:r>
        <w:t xml:space="preserve">. </w:t>
      </w:r>
      <w:r w:rsidR="003444F0">
        <w:t xml:space="preserve">In this model all identified ecological </w:t>
      </w:r>
      <w:r w:rsidR="00694E8E">
        <w:t xml:space="preserve">VALUES AND threats </w:t>
      </w:r>
      <w:r w:rsidR="003444F0">
        <w:t>are included.</w:t>
      </w:r>
    </w:p>
    <w:p w14:paraId="46523FA3" w14:textId="24DE57E2" w:rsidR="00B17EC9" w:rsidRPr="00B17EC9" w:rsidRDefault="002C2AF7" w:rsidP="00F4328F">
      <w:pPr>
        <w:pStyle w:val="ListParagraph"/>
        <w:numPr>
          <w:ilvl w:val="0"/>
          <w:numId w:val="15"/>
        </w:numPr>
        <w:rPr>
          <w:b/>
          <w:i/>
        </w:rPr>
      </w:pPr>
      <w:r>
        <w:rPr>
          <w:b/>
          <w:i/>
        </w:rPr>
        <w:t xml:space="preserve">Assign risk to each threat-value combination and rank threats </w:t>
      </w:r>
    </w:p>
    <w:p w14:paraId="20D340A3" w14:textId="1024AA0F" w:rsidR="002540F9" w:rsidRDefault="002C2AF7" w:rsidP="002540F9">
      <w:r>
        <w:t xml:space="preserve">Use the </w:t>
      </w:r>
      <w:r w:rsidR="00796183">
        <w:t xml:space="preserve">stressor </w:t>
      </w:r>
      <w:r>
        <w:t xml:space="preserve">conceptual model to </w:t>
      </w:r>
      <w:r w:rsidR="00796183">
        <w:t xml:space="preserve">help </w:t>
      </w:r>
      <w:r>
        <w:t>identify impact pathways linking threats to values. For example, impact pathway</w:t>
      </w:r>
      <w:r w:rsidR="00485D6A">
        <w:t>s associated with changed precipitation and hydrological regimes,</w:t>
      </w:r>
      <w:r w:rsidR="0075439E">
        <w:t xml:space="preserve"> as</w:t>
      </w:r>
      <w:r>
        <w:t xml:space="preserve"> illustrated in </w:t>
      </w:r>
      <w:r>
        <w:fldChar w:fldCharType="begin"/>
      </w:r>
      <w:r>
        <w:instrText xml:space="preserve"> REF _Ref479016712 \h </w:instrText>
      </w:r>
      <w:r>
        <w:fldChar w:fldCharType="separate"/>
      </w:r>
      <w:r w:rsidR="005F359C">
        <w:t xml:space="preserve">Figure </w:t>
      </w:r>
      <w:r w:rsidR="005F359C">
        <w:rPr>
          <w:noProof/>
        </w:rPr>
        <w:t>6</w:t>
      </w:r>
      <w:r>
        <w:fldChar w:fldCharType="end"/>
      </w:r>
      <w:r w:rsidR="00485D6A">
        <w:t>,</w:t>
      </w:r>
      <w:r>
        <w:t xml:space="preserve"> </w:t>
      </w:r>
      <w:r w:rsidR="0075439E">
        <w:t>are</w:t>
      </w:r>
      <w:r>
        <w:t xml:space="preserve"> </w:t>
      </w:r>
      <w:r w:rsidR="00DA7F47">
        <w:t>described</w:t>
      </w:r>
      <w:r w:rsidR="00796183">
        <w:t xml:space="preserve"> in </w:t>
      </w:r>
      <w:r w:rsidR="00796183">
        <w:fldChar w:fldCharType="begin"/>
      </w:r>
      <w:r w:rsidR="00796183">
        <w:instrText xml:space="preserve"> REF _Ref479028001 \h </w:instrText>
      </w:r>
      <w:r w:rsidR="00796183">
        <w:fldChar w:fldCharType="separate"/>
      </w:r>
      <w:r w:rsidR="005F359C">
        <w:t xml:space="preserve">Table </w:t>
      </w:r>
      <w:r w:rsidR="005F359C">
        <w:rPr>
          <w:noProof/>
        </w:rPr>
        <w:t>8</w:t>
      </w:r>
      <w:r w:rsidR="00796183">
        <w:fldChar w:fldCharType="end"/>
      </w:r>
      <w:r w:rsidR="00796183">
        <w:t>.</w:t>
      </w:r>
      <w:r w:rsidR="00796183" w:rsidRPr="00796183">
        <w:t xml:space="preserve"> </w:t>
      </w:r>
    </w:p>
    <w:p w14:paraId="33168EF4" w14:textId="470FF015" w:rsidR="00796183" w:rsidRDefault="00796183" w:rsidP="00796183">
      <w:pPr>
        <w:pStyle w:val="Caption"/>
      </w:pPr>
      <w:bookmarkStart w:id="64" w:name="_Ref479028001"/>
      <w:r>
        <w:t xml:space="preserve">Table </w:t>
      </w:r>
      <w:fldSimple w:instr=" SEQ Table \* ARABIC ">
        <w:r w:rsidR="005F359C">
          <w:rPr>
            <w:noProof/>
          </w:rPr>
          <w:t>8</w:t>
        </w:r>
      </w:fldSimple>
      <w:bookmarkEnd w:id="64"/>
      <w:r w:rsidR="00FD50A9">
        <w:rPr>
          <w:noProof/>
        </w:rPr>
        <w:t>:</w:t>
      </w:r>
      <w:r>
        <w:t xml:space="preserve"> </w:t>
      </w:r>
      <w:r w:rsidR="00AC0597">
        <w:t>Hypothetical</w:t>
      </w:r>
      <w:r>
        <w:t xml:space="preserve"> impact pathways for climate</w:t>
      </w:r>
      <w:r w:rsidR="00312B8A">
        <w:t xml:space="preserve"> change</w:t>
      </w:r>
      <w:r>
        <w:t xml:space="preserve">: </w:t>
      </w:r>
      <w:r w:rsidR="00312B8A">
        <w:t>Changed p</w:t>
      </w:r>
      <w:r w:rsidR="00AE602F">
        <w:t>re</w:t>
      </w:r>
      <w:r w:rsidR="00312B8A">
        <w:t xml:space="preserve">cipitation and hydrological regime </w:t>
      </w:r>
      <w:r>
        <w:t xml:space="preserve">threat </w:t>
      </w:r>
      <w:r w:rsidR="00312B8A">
        <w:t xml:space="preserve">for the estuary example </w:t>
      </w:r>
      <w:r>
        <w:t>pres</w:t>
      </w:r>
      <w:r w:rsidR="00AE602F">
        <w:t>e</w:t>
      </w:r>
      <w:r>
        <w:t xml:space="preserve">nted in Figure 5. </w:t>
      </w:r>
    </w:p>
    <w:tbl>
      <w:tblPr>
        <w:tblStyle w:val="LightList-Accent2"/>
        <w:tblW w:w="0" w:type="auto"/>
        <w:tblLook w:val="04A0" w:firstRow="1" w:lastRow="0" w:firstColumn="1" w:lastColumn="0" w:noHBand="0" w:noVBand="1"/>
      </w:tblPr>
      <w:tblGrid>
        <w:gridCol w:w="941"/>
        <w:gridCol w:w="8065"/>
      </w:tblGrid>
      <w:tr w:rsidR="00796183" w14:paraId="1188B1B9" w14:textId="77777777" w:rsidTr="00796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446B20" w14:textId="5DBBFDAA" w:rsidR="00796183" w:rsidRDefault="00796183" w:rsidP="002540F9">
            <w:r>
              <w:t>Pathway</w:t>
            </w:r>
          </w:p>
        </w:tc>
        <w:tc>
          <w:tcPr>
            <w:tcW w:w="0" w:type="auto"/>
          </w:tcPr>
          <w:p w14:paraId="5FCE89C8" w14:textId="77777777" w:rsidR="00796183" w:rsidRDefault="00796183" w:rsidP="002540F9">
            <w:pPr>
              <w:cnfStyle w:val="100000000000" w:firstRow="1" w:lastRow="0" w:firstColumn="0" w:lastColumn="0" w:oddVBand="0" w:evenVBand="0" w:oddHBand="0" w:evenHBand="0" w:firstRowFirstColumn="0" w:firstRowLastColumn="0" w:lastRowFirstColumn="0" w:lastRowLastColumn="0"/>
            </w:pPr>
          </w:p>
        </w:tc>
      </w:tr>
      <w:tr w:rsidR="00796183" w14:paraId="3836100D" w14:textId="77777777" w:rsidTr="00796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16C78B" w14:textId="0FFF46DE" w:rsidR="00796183" w:rsidRDefault="00796183" w:rsidP="002540F9">
            <w:r>
              <w:t>1</w:t>
            </w:r>
          </w:p>
        </w:tc>
        <w:tc>
          <w:tcPr>
            <w:tcW w:w="0" w:type="auto"/>
          </w:tcPr>
          <w:p w14:paraId="38F20852" w14:textId="08C17D9C" w:rsidR="00796183" w:rsidRPr="00740FE1" w:rsidRDefault="00796183" w:rsidP="00FF36E6">
            <w:pPr>
              <w:cnfStyle w:val="000000100000" w:firstRow="0" w:lastRow="0" w:firstColumn="0" w:lastColumn="0" w:oddVBand="0" w:evenVBand="0" w:oddHBand="1" w:evenHBand="0" w:firstRowFirstColumn="0" w:firstRowLastColumn="0" w:lastRowFirstColumn="0" w:lastRowLastColumn="0"/>
            </w:pPr>
            <w:r w:rsidRPr="00740FE1">
              <w:rPr>
                <w:b/>
              </w:rPr>
              <w:t>Threat</w:t>
            </w:r>
            <w:r w:rsidRPr="00740FE1">
              <w:t xml:space="preserve">: Climate: </w:t>
            </w:r>
            <w:r w:rsidR="00FF36E6">
              <w:t>Changed precipitation and hydrological regime</w:t>
            </w:r>
            <w:r w:rsidRPr="00740FE1">
              <w:t xml:space="preserve"> </w:t>
            </w:r>
            <w:r w:rsidRPr="00740FE1">
              <w:rPr>
                <w:rFonts w:cs="Calibri"/>
              </w:rPr>
              <w:t xml:space="preserve">» </w:t>
            </w:r>
            <w:r w:rsidRPr="00740FE1">
              <w:rPr>
                <w:b/>
              </w:rPr>
              <w:t>Stressor</w:t>
            </w:r>
            <w:r w:rsidRPr="00740FE1">
              <w:t xml:space="preserve">: Decreased freshwater inflows </w:t>
            </w:r>
            <w:r w:rsidRPr="00740FE1">
              <w:rPr>
                <w:rFonts w:cs="Calibri"/>
              </w:rPr>
              <w:t>»</w:t>
            </w:r>
            <w:r w:rsidRPr="00740FE1">
              <w:t xml:space="preserve"> </w:t>
            </w:r>
            <w:r w:rsidRPr="00740FE1">
              <w:rPr>
                <w:b/>
              </w:rPr>
              <w:t>Impact</w:t>
            </w:r>
            <w:r w:rsidRPr="00740FE1">
              <w:t xml:space="preserve">: Altered hydrology leading to more frequent closure of </w:t>
            </w:r>
            <w:r w:rsidRPr="00740FE1">
              <w:rPr>
                <w:b/>
              </w:rPr>
              <w:t>estuary opening</w:t>
            </w:r>
            <w:r w:rsidRPr="00740FE1">
              <w:t xml:space="preserve"> (value)</w:t>
            </w:r>
          </w:p>
        </w:tc>
      </w:tr>
      <w:tr w:rsidR="00796183" w14:paraId="0C9AB9B6" w14:textId="77777777" w:rsidTr="00796183">
        <w:tc>
          <w:tcPr>
            <w:cnfStyle w:val="001000000000" w:firstRow="0" w:lastRow="0" w:firstColumn="1" w:lastColumn="0" w:oddVBand="0" w:evenVBand="0" w:oddHBand="0" w:evenHBand="0" w:firstRowFirstColumn="0" w:firstRowLastColumn="0" w:lastRowFirstColumn="0" w:lastRowLastColumn="0"/>
            <w:tcW w:w="0" w:type="auto"/>
          </w:tcPr>
          <w:p w14:paraId="0D128989" w14:textId="4F4E5989" w:rsidR="00796183" w:rsidRDefault="00796183" w:rsidP="002540F9">
            <w:r>
              <w:t>2</w:t>
            </w:r>
          </w:p>
        </w:tc>
        <w:tc>
          <w:tcPr>
            <w:tcW w:w="0" w:type="auto"/>
          </w:tcPr>
          <w:p w14:paraId="1B32F2D6" w14:textId="13F4C3CC" w:rsidR="00796183" w:rsidRPr="00740FE1" w:rsidRDefault="00796183" w:rsidP="002540F9">
            <w:pPr>
              <w:cnfStyle w:val="000000000000" w:firstRow="0" w:lastRow="0" w:firstColumn="0" w:lastColumn="0" w:oddVBand="0" w:evenVBand="0" w:oddHBand="0" w:evenHBand="0" w:firstRowFirstColumn="0" w:firstRowLastColumn="0" w:lastRowFirstColumn="0" w:lastRowLastColumn="0"/>
            </w:pPr>
            <w:r w:rsidRPr="00740FE1">
              <w:rPr>
                <w:b/>
              </w:rPr>
              <w:t>Threat</w:t>
            </w:r>
            <w:r w:rsidRPr="00740FE1">
              <w:t xml:space="preserve">: Climate: </w:t>
            </w:r>
            <w:r w:rsidR="00FF36E6">
              <w:t>Changed precipitation and hydrological regime</w:t>
            </w:r>
            <w:r w:rsidR="00FF36E6" w:rsidRPr="00740FE1">
              <w:t xml:space="preserve"> </w:t>
            </w:r>
            <w:r w:rsidRPr="00740FE1">
              <w:rPr>
                <w:rFonts w:cs="Calibri"/>
              </w:rPr>
              <w:t xml:space="preserve">» </w:t>
            </w:r>
            <w:r w:rsidRPr="00740FE1">
              <w:rPr>
                <w:b/>
              </w:rPr>
              <w:t>Stressor</w:t>
            </w:r>
            <w:r w:rsidRPr="00740FE1">
              <w:t xml:space="preserve">: Decreased freshwater inflows </w:t>
            </w:r>
            <w:r w:rsidRPr="00740FE1">
              <w:rPr>
                <w:rFonts w:cs="Calibri"/>
              </w:rPr>
              <w:t>»</w:t>
            </w:r>
            <w:r w:rsidRPr="00740FE1">
              <w:t xml:space="preserve"> </w:t>
            </w:r>
            <w:r w:rsidRPr="00740FE1">
              <w:rPr>
                <w:b/>
              </w:rPr>
              <w:t>Impact</w:t>
            </w:r>
            <w:r w:rsidRPr="00740FE1">
              <w:t xml:space="preserve">: Altered hydrology indicative of decline in health of Country and </w:t>
            </w:r>
            <w:r w:rsidRPr="00740FE1">
              <w:rPr>
                <w:b/>
              </w:rPr>
              <w:t>Aboriginal cultural heritage</w:t>
            </w:r>
            <w:r w:rsidRPr="00740FE1">
              <w:t xml:space="preserve"> values</w:t>
            </w:r>
          </w:p>
        </w:tc>
      </w:tr>
      <w:tr w:rsidR="00796183" w14:paraId="46FA4415" w14:textId="77777777" w:rsidTr="00796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D336E9" w14:textId="0BCDC107" w:rsidR="00796183" w:rsidRDefault="00796183" w:rsidP="002540F9">
            <w:r>
              <w:lastRenderedPageBreak/>
              <w:t>3</w:t>
            </w:r>
          </w:p>
        </w:tc>
        <w:tc>
          <w:tcPr>
            <w:tcW w:w="0" w:type="auto"/>
          </w:tcPr>
          <w:p w14:paraId="0FEE608A" w14:textId="41C1DDBA" w:rsidR="00796183" w:rsidRPr="00740FE1" w:rsidRDefault="00740FE1" w:rsidP="00FF36E6">
            <w:pPr>
              <w:cnfStyle w:val="000000100000" w:firstRow="0" w:lastRow="0" w:firstColumn="0" w:lastColumn="0" w:oddVBand="0" w:evenVBand="0" w:oddHBand="1" w:evenHBand="0" w:firstRowFirstColumn="0" w:firstRowLastColumn="0" w:lastRowFirstColumn="0" w:lastRowLastColumn="0"/>
            </w:pPr>
            <w:r w:rsidRPr="00740FE1">
              <w:rPr>
                <w:b/>
              </w:rPr>
              <w:t>Threat</w:t>
            </w:r>
            <w:r w:rsidRPr="00740FE1">
              <w:t xml:space="preserve">: Climate: </w:t>
            </w:r>
            <w:r w:rsidR="00FF36E6">
              <w:t>Changed precipitation and hydrological regime</w:t>
            </w:r>
            <w:r w:rsidR="00FF36E6" w:rsidRPr="00740FE1">
              <w:t xml:space="preserve"> </w:t>
            </w:r>
            <w:r w:rsidRPr="00740FE1">
              <w:rPr>
                <w:rFonts w:cs="Calibri"/>
              </w:rPr>
              <w:t xml:space="preserve">» </w:t>
            </w:r>
            <w:r w:rsidRPr="00740FE1">
              <w:rPr>
                <w:b/>
              </w:rPr>
              <w:t>Stressor</w:t>
            </w:r>
            <w:r w:rsidRPr="00740FE1">
              <w:t xml:space="preserve">: Decreased freshwater inflows </w:t>
            </w:r>
            <w:r w:rsidRPr="00740FE1">
              <w:rPr>
                <w:rFonts w:cs="Calibri"/>
              </w:rPr>
              <w:t xml:space="preserve">» </w:t>
            </w:r>
            <w:r w:rsidRPr="00740FE1">
              <w:rPr>
                <w:rFonts w:cs="Calibri"/>
                <w:b/>
              </w:rPr>
              <w:t>Impact:</w:t>
            </w:r>
            <w:r w:rsidRPr="00740FE1">
              <w:rPr>
                <w:rFonts w:cs="Calibri"/>
              </w:rPr>
              <w:t xml:space="preserve"> Altered hydrology changes spawning and migration cues affecting </w:t>
            </w:r>
            <w:r w:rsidRPr="00740FE1">
              <w:rPr>
                <w:rFonts w:cs="Calibri"/>
                <w:b/>
              </w:rPr>
              <w:t>fish breeding</w:t>
            </w:r>
            <w:r w:rsidRPr="00740FE1">
              <w:rPr>
                <w:rFonts w:cs="Calibri"/>
              </w:rPr>
              <w:t xml:space="preserve"> (value)</w:t>
            </w:r>
          </w:p>
        </w:tc>
      </w:tr>
      <w:tr w:rsidR="00740FE1" w14:paraId="5B242BEE" w14:textId="77777777" w:rsidTr="00796183">
        <w:tc>
          <w:tcPr>
            <w:cnfStyle w:val="001000000000" w:firstRow="0" w:lastRow="0" w:firstColumn="1" w:lastColumn="0" w:oddVBand="0" w:evenVBand="0" w:oddHBand="0" w:evenHBand="0" w:firstRowFirstColumn="0" w:firstRowLastColumn="0" w:lastRowFirstColumn="0" w:lastRowLastColumn="0"/>
            <w:tcW w:w="0" w:type="auto"/>
          </w:tcPr>
          <w:p w14:paraId="43BCA062" w14:textId="15B628D9" w:rsidR="00740FE1" w:rsidRDefault="00740FE1" w:rsidP="002540F9">
            <w:r>
              <w:t>4</w:t>
            </w:r>
          </w:p>
        </w:tc>
        <w:tc>
          <w:tcPr>
            <w:tcW w:w="0" w:type="auto"/>
          </w:tcPr>
          <w:p w14:paraId="3661A5D8" w14:textId="267B81D0" w:rsidR="00740FE1" w:rsidRPr="00740FE1" w:rsidRDefault="00740FE1" w:rsidP="00796183">
            <w:pPr>
              <w:cnfStyle w:val="000000000000" w:firstRow="0" w:lastRow="0" w:firstColumn="0" w:lastColumn="0" w:oddVBand="0" w:evenVBand="0" w:oddHBand="0" w:evenHBand="0" w:firstRowFirstColumn="0" w:firstRowLastColumn="0" w:lastRowFirstColumn="0" w:lastRowLastColumn="0"/>
              <w:rPr>
                <w:b/>
              </w:rPr>
            </w:pPr>
            <w:r w:rsidRPr="00740FE1">
              <w:rPr>
                <w:b/>
              </w:rPr>
              <w:t>Threat</w:t>
            </w:r>
            <w:r w:rsidRPr="00740FE1">
              <w:t xml:space="preserve">: Climate: </w:t>
            </w:r>
            <w:r w:rsidR="00FF36E6">
              <w:t>Changed precipitation and hydrological regime</w:t>
            </w:r>
            <w:r w:rsidR="00FF36E6" w:rsidRPr="00740FE1">
              <w:t xml:space="preserve"> </w:t>
            </w:r>
            <w:r w:rsidRPr="00740FE1">
              <w:rPr>
                <w:rFonts w:cs="Calibri"/>
              </w:rPr>
              <w:t xml:space="preserve">» </w:t>
            </w:r>
            <w:r w:rsidRPr="00740FE1">
              <w:rPr>
                <w:b/>
              </w:rPr>
              <w:t>Stressor</w:t>
            </w:r>
            <w:r w:rsidRPr="00740FE1">
              <w:t xml:space="preserve">: Decreased freshwater inflows </w:t>
            </w:r>
            <w:r w:rsidRPr="00740FE1">
              <w:rPr>
                <w:rFonts w:cs="Calibri"/>
              </w:rPr>
              <w:t>»</w:t>
            </w:r>
            <w:r w:rsidRPr="00740FE1">
              <w:t xml:space="preserve"> </w:t>
            </w:r>
            <w:r w:rsidRPr="00740FE1">
              <w:rPr>
                <w:b/>
              </w:rPr>
              <w:t>Impact</w:t>
            </w:r>
            <w:r w:rsidRPr="00740FE1">
              <w:t xml:space="preserve">: Altered salinity levels affecting </w:t>
            </w:r>
            <w:r w:rsidRPr="00740FE1">
              <w:rPr>
                <w:b/>
              </w:rPr>
              <w:t>water quality</w:t>
            </w:r>
            <w:r w:rsidRPr="00740FE1">
              <w:t xml:space="preserve"> (value).</w:t>
            </w:r>
          </w:p>
        </w:tc>
      </w:tr>
    </w:tbl>
    <w:p w14:paraId="2744B970" w14:textId="77777777" w:rsidR="00796183" w:rsidRDefault="00796183" w:rsidP="002540F9"/>
    <w:p w14:paraId="5692F749" w14:textId="598D53A8" w:rsidR="0050757B" w:rsidRPr="00CC3F30" w:rsidRDefault="00796183" w:rsidP="0050757B">
      <w:r>
        <w:t>Undertake a simple risk assessment</w:t>
      </w:r>
      <w:r w:rsidR="0050757B">
        <w:t xml:space="preserve"> (see </w:t>
      </w:r>
      <w:r w:rsidR="0050757B">
        <w:fldChar w:fldCharType="begin"/>
      </w:r>
      <w:r w:rsidR="0050757B">
        <w:instrText xml:space="preserve"> REF _Ref479028849 \h </w:instrText>
      </w:r>
      <w:r w:rsidR="0050757B">
        <w:fldChar w:fldCharType="separate"/>
      </w:r>
      <w:r w:rsidR="005F359C">
        <w:t xml:space="preserve">Table </w:t>
      </w:r>
      <w:r w:rsidR="005F359C">
        <w:rPr>
          <w:noProof/>
        </w:rPr>
        <w:t>9</w:t>
      </w:r>
      <w:r w:rsidR="0050757B">
        <w:fldChar w:fldCharType="end"/>
      </w:r>
      <w:r w:rsidR="004006CD">
        <w:t xml:space="preserve"> as an example</w:t>
      </w:r>
      <w:r w:rsidR="0050757B">
        <w:t xml:space="preserve">) </w:t>
      </w:r>
      <w:r>
        <w:t>using the TAG/oversight body to assign likelihood (</w:t>
      </w:r>
      <w:r>
        <w:fldChar w:fldCharType="begin"/>
      </w:r>
      <w:r>
        <w:instrText xml:space="preserve"> REF _Ref474585477 \h </w:instrText>
      </w:r>
      <w:r>
        <w:fldChar w:fldCharType="separate"/>
      </w:r>
      <w:r w:rsidR="005F359C">
        <w:t xml:space="preserve">Table </w:t>
      </w:r>
      <w:r w:rsidR="005F359C">
        <w:rPr>
          <w:noProof/>
        </w:rPr>
        <w:t>10</w:t>
      </w:r>
      <w:r>
        <w:fldChar w:fldCharType="end"/>
      </w:r>
      <w:r>
        <w:t>) and consequence (</w:t>
      </w:r>
      <w:r>
        <w:fldChar w:fldCharType="begin"/>
      </w:r>
      <w:r>
        <w:instrText xml:space="preserve"> REF _Ref474585484 \h </w:instrText>
      </w:r>
      <w:r>
        <w:fldChar w:fldCharType="separate"/>
      </w:r>
      <w:r w:rsidR="005F359C">
        <w:t xml:space="preserve">Table </w:t>
      </w:r>
      <w:r w:rsidR="005F359C">
        <w:rPr>
          <w:noProof/>
        </w:rPr>
        <w:t>11</w:t>
      </w:r>
      <w:r>
        <w:fldChar w:fldCharType="end"/>
      </w:r>
      <w:r>
        <w:t>) to each threat/value impact pathway identified.</w:t>
      </w:r>
      <w:r w:rsidR="0050757B" w:rsidRPr="0050757B">
        <w:t xml:space="preserve"> </w:t>
      </w:r>
      <w:r w:rsidR="0050757B" w:rsidRPr="00CC3F30">
        <w:t xml:space="preserve">Use the likelihood and consequence scoring matrix </w:t>
      </w:r>
      <w:r w:rsidR="0050757B">
        <w:t>(</w:t>
      </w:r>
      <w:r w:rsidR="0050757B">
        <w:fldChar w:fldCharType="begin"/>
      </w:r>
      <w:r w:rsidR="0050757B">
        <w:instrText xml:space="preserve"> REF _Ref479028804 \h </w:instrText>
      </w:r>
      <w:r w:rsidR="0050757B">
        <w:fldChar w:fldCharType="separate"/>
      </w:r>
      <w:r w:rsidR="005F359C">
        <w:t xml:space="preserve">Table </w:t>
      </w:r>
      <w:r w:rsidR="005F359C">
        <w:rPr>
          <w:noProof/>
        </w:rPr>
        <w:t>12</w:t>
      </w:r>
      <w:r w:rsidR="0050757B">
        <w:fldChar w:fldCharType="end"/>
      </w:r>
      <w:r w:rsidR="0050757B">
        <w:t xml:space="preserve">) </w:t>
      </w:r>
      <w:r w:rsidR="0050757B" w:rsidRPr="00CC3F30">
        <w:t xml:space="preserve">to assign risk scores to each pathway and then rank into high, medium and low threats for each level of assessment. </w:t>
      </w:r>
      <w:r w:rsidR="008E39E6">
        <w:t xml:space="preserve"> Next decide what level of risk will be included in the assessment (i.e. only high risks, or a subset of moderate and high risks based on a score cut off). </w:t>
      </w:r>
    </w:p>
    <w:p w14:paraId="1FBCB900" w14:textId="6F2B63E2" w:rsidR="00796183" w:rsidRDefault="00796183" w:rsidP="00796183">
      <w:pPr>
        <w:pStyle w:val="Caption"/>
      </w:pPr>
      <w:bookmarkStart w:id="65" w:name="_Ref479028849"/>
      <w:r>
        <w:t xml:space="preserve">Table </w:t>
      </w:r>
      <w:fldSimple w:instr=" SEQ Table \* ARABIC ">
        <w:r w:rsidR="005F359C">
          <w:rPr>
            <w:noProof/>
          </w:rPr>
          <w:t>9</w:t>
        </w:r>
      </w:fldSimple>
      <w:bookmarkEnd w:id="65"/>
      <w:r w:rsidR="00FD50A9">
        <w:rPr>
          <w:noProof/>
        </w:rPr>
        <w:t>:</w:t>
      </w:r>
      <w:r>
        <w:t xml:space="preserve"> </w:t>
      </w:r>
      <w:r w:rsidR="00025D35">
        <w:t xml:space="preserve">Hypothetical </w:t>
      </w:r>
      <w:r w:rsidR="00AC0597">
        <w:t xml:space="preserve">assessment </w:t>
      </w:r>
      <w:r>
        <w:t xml:space="preserve">of risk for each impact pathway for </w:t>
      </w:r>
      <w:r w:rsidR="00485D6A">
        <w:t>the Climate change</w:t>
      </w:r>
      <w:r>
        <w:t xml:space="preserve"> threat </w:t>
      </w:r>
      <w:r w:rsidR="00AC0597">
        <w:t xml:space="preserve">to the estuary example </w:t>
      </w:r>
      <w:r>
        <w:t>pres</w:t>
      </w:r>
      <w:r w:rsidR="00AE602F">
        <w:t>e</w:t>
      </w:r>
      <w:r>
        <w:t>nted in Figure 5</w:t>
      </w:r>
      <w:r w:rsidR="00025D35">
        <w:t xml:space="preserve"> and </w:t>
      </w:r>
      <w:r w:rsidR="00025D35">
        <w:fldChar w:fldCharType="begin"/>
      </w:r>
      <w:r w:rsidR="00025D35">
        <w:instrText xml:space="preserve"> REF _Ref479028001 \h </w:instrText>
      </w:r>
      <w:r w:rsidR="00025D35">
        <w:fldChar w:fldCharType="separate"/>
      </w:r>
      <w:r w:rsidR="005F359C">
        <w:t xml:space="preserve">Table </w:t>
      </w:r>
      <w:r w:rsidR="005F359C">
        <w:rPr>
          <w:noProof/>
        </w:rPr>
        <w:t>8</w:t>
      </w:r>
      <w:r w:rsidR="00025D35">
        <w:fldChar w:fldCharType="end"/>
      </w:r>
      <w:r>
        <w:t xml:space="preserve">. </w:t>
      </w:r>
    </w:p>
    <w:tbl>
      <w:tblPr>
        <w:tblStyle w:val="LightList-Accent2"/>
        <w:tblW w:w="0" w:type="auto"/>
        <w:tblBorders>
          <w:top w:val="single" w:sz="4" w:space="0" w:color="9CBEBD" w:themeColor="accent2"/>
          <w:left w:val="single" w:sz="4" w:space="0" w:color="9CBEBD" w:themeColor="accent2"/>
          <w:bottom w:val="single" w:sz="4" w:space="0" w:color="9CBEBD" w:themeColor="accent2"/>
          <w:right w:val="single" w:sz="4" w:space="0" w:color="9CBEBD" w:themeColor="accent2"/>
          <w:insideH w:val="single" w:sz="4" w:space="0" w:color="9CBEBD" w:themeColor="accent2"/>
          <w:insideV w:val="single" w:sz="4" w:space="0" w:color="9CBEBD" w:themeColor="accent2"/>
        </w:tblBorders>
        <w:tblLook w:val="04A0" w:firstRow="1" w:lastRow="0" w:firstColumn="1" w:lastColumn="0" w:noHBand="0" w:noVBand="1"/>
      </w:tblPr>
      <w:tblGrid>
        <w:gridCol w:w="941"/>
        <w:gridCol w:w="1129"/>
        <w:gridCol w:w="5857"/>
        <w:gridCol w:w="1089"/>
      </w:tblGrid>
      <w:tr w:rsidR="00796183" w14:paraId="762A710C" w14:textId="28EB72AE" w:rsidTr="00AE0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120241" w14:textId="77777777" w:rsidR="00796183" w:rsidRDefault="00796183" w:rsidP="00025D35">
            <w:r>
              <w:t>Pathway</w:t>
            </w:r>
          </w:p>
        </w:tc>
        <w:tc>
          <w:tcPr>
            <w:tcW w:w="0" w:type="auto"/>
          </w:tcPr>
          <w:p w14:paraId="1BED3582" w14:textId="5EADA0FE" w:rsidR="00796183" w:rsidRDefault="00796183" w:rsidP="00796183">
            <w:pPr>
              <w:cnfStyle w:val="100000000000" w:firstRow="1" w:lastRow="0" w:firstColumn="0" w:lastColumn="0" w:oddVBand="0" w:evenVBand="0" w:oddHBand="0" w:evenHBand="0" w:firstRowFirstColumn="0" w:firstRowLastColumn="0" w:lastRowFirstColumn="0" w:lastRowLastColumn="0"/>
            </w:pPr>
            <w:r>
              <w:t>Likelihood</w:t>
            </w:r>
          </w:p>
        </w:tc>
        <w:tc>
          <w:tcPr>
            <w:tcW w:w="0" w:type="auto"/>
          </w:tcPr>
          <w:p w14:paraId="2A452A0F" w14:textId="5449DE38" w:rsidR="00796183" w:rsidRDefault="0050757B" w:rsidP="00025D35">
            <w:pPr>
              <w:cnfStyle w:val="100000000000" w:firstRow="1" w:lastRow="0" w:firstColumn="0" w:lastColumn="0" w:oddVBand="0" w:evenVBand="0" w:oddHBand="0" w:evenHBand="0" w:firstRowFirstColumn="0" w:firstRowLastColumn="0" w:lastRowFirstColumn="0" w:lastRowLastColumn="0"/>
            </w:pPr>
            <w:r>
              <w:t>Consequence</w:t>
            </w:r>
          </w:p>
        </w:tc>
        <w:tc>
          <w:tcPr>
            <w:tcW w:w="0" w:type="auto"/>
          </w:tcPr>
          <w:p w14:paraId="6B9B3EFF" w14:textId="30DEF950" w:rsidR="00796183" w:rsidRDefault="0050757B" w:rsidP="00025D35">
            <w:pPr>
              <w:cnfStyle w:val="100000000000" w:firstRow="1" w:lastRow="0" w:firstColumn="0" w:lastColumn="0" w:oddVBand="0" w:evenVBand="0" w:oddHBand="0" w:evenHBand="0" w:firstRowFirstColumn="0" w:firstRowLastColumn="0" w:lastRowFirstColumn="0" w:lastRowLastColumn="0"/>
            </w:pPr>
            <w:r>
              <w:t>Risk</w:t>
            </w:r>
          </w:p>
        </w:tc>
      </w:tr>
      <w:tr w:rsidR="00796183" w14:paraId="08FFADC5" w14:textId="3DCCA8E9" w:rsidTr="00AE0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553FDBBC" w14:textId="77777777" w:rsidR="00796183" w:rsidRPr="00740FE1" w:rsidRDefault="00796183" w:rsidP="00025D35">
            <w:pPr>
              <w:rPr>
                <w:b w:val="0"/>
              </w:rPr>
            </w:pPr>
            <w:r w:rsidRPr="00740FE1">
              <w:rPr>
                <w:b w:val="0"/>
              </w:rPr>
              <w:t>1</w:t>
            </w:r>
          </w:p>
        </w:tc>
        <w:tc>
          <w:tcPr>
            <w:tcW w:w="0" w:type="auto"/>
            <w:tcBorders>
              <w:top w:val="none" w:sz="0" w:space="0" w:color="auto"/>
              <w:bottom w:val="none" w:sz="0" w:space="0" w:color="auto"/>
            </w:tcBorders>
          </w:tcPr>
          <w:p w14:paraId="0DDD973D" w14:textId="5599C1C6" w:rsidR="00796183" w:rsidRPr="00796183" w:rsidRDefault="0050757B" w:rsidP="00025D35">
            <w:pPr>
              <w:cnfStyle w:val="000000100000" w:firstRow="0" w:lastRow="0" w:firstColumn="0" w:lastColumn="0" w:oddVBand="0" w:evenVBand="0" w:oddHBand="1" w:evenHBand="0" w:firstRowFirstColumn="0" w:firstRowLastColumn="0" w:lastRowFirstColumn="0" w:lastRowLastColumn="0"/>
            </w:pPr>
            <w:r>
              <w:t xml:space="preserve">Likely </w:t>
            </w:r>
          </w:p>
        </w:tc>
        <w:tc>
          <w:tcPr>
            <w:tcW w:w="0" w:type="auto"/>
            <w:tcBorders>
              <w:top w:val="none" w:sz="0" w:space="0" w:color="auto"/>
              <w:bottom w:val="none" w:sz="0" w:space="0" w:color="auto"/>
            </w:tcBorders>
          </w:tcPr>
          <w:p w14:paraId="40D6D75E" w14:textId="715CFAF7" w:rsidR="00796183" w:rsidRPr="00796183" w:rsidRDefault="0050757B" w:rsidP="00025D35">
            <w:pPr>
              <w:cnfStyle w:val="000000100000" w:firstRow="0" w:lastRow="0" w:firstColumn="0" w:lastColumn="0" w:oddVBand="0" w:evenVBand="0" w:oddHBand="1" w:evenHBand="0" w:firstRowFirstColumn="0" w:firstRowLastColumn="0" w:lastRowFirstColumn="0" w:lastRowLastColumn="0"/>
            </w:pPr>
            <w:r>
              <w:t xml:space="preserve">Major - </w:t>
            </w:r>
            <w:r w:rsidRPr="00B56B9B">
              <w:t xml:space="preserve">Widespread measureable changes to the ecosystem components with a major change in </w:t>
            </w:r>
            <w:r>
              <w:t xml:space="preserve">process or </w:t>
            </w:r>
            <w:r w:rsidRPr="00B56B9B">
              <w:t>function. Recovery (i.e. within historic natural variability) in 3 to 10</w:t>
            </w:r>
            <w:r>
              <w:t xml:space="preserve"> years</w:t>
            </w:r>
            <w:r w:rsidRPr="00B56B9B">
              <w:t>.</w:t>
            </w:r>
          </w:p>
        </w:tc>
        <w:tc>
          <w:tcPr>
            <w:tcW w:w="0" w:type="auto"/>
            <w:tcBorders>
              <w:top w:val="none" w:sz="0" w:space="0" w:color="auto"/>
              <w:bottom w:val="none" w:sz="0" w:space="0" w:color="auto"/>
              <w:right w:val="none" w:sz="0" w:space="0" w:color="auto"/>
            </w:tcBorders>
          </w:tcPr>
          <w:p w14:paraId="6F78B840" w14:textId="06CE20B1" w:rsidR="00796183" w:rsidRPr="00796183" w:rsidRDefault="0050757B" w:rsidP="0050757B">
            <w:pPr>
              <w:cnfStyle w:val="000000100000" w:firstRow="0" w:lastRow="0" w:firstColumn="0" w:lastColumn="0" w:oddVBand="0" w:evenVBand="0" w:oddHBand="1" w:evenHBand="0" w:firstRowFirstColumn="0" w:firstRowLastColumn="0" w:lastRowFirstColumn="0" w:lastRowLastColumn="0"/>
            </w:pPr>
            <w:r>
              <w:t>16 – High</w:t>
            </w:r>
          </w:p>
        </w:tc>
      </w:tr>
      <w:tr w:rsidR="00796183" w14:paraId="50B3B39A" w14:textId="054165A4" w:rsidTr="00AE0219">
        <w:tc>
          <w:tcPr>
            <w:cnfStyle w:val="001000000000" w:firstRow="0" w:lastRow="0" w:firstColumn="1" w:lastColumn="0" w:oddVBand="0" w:evenVBand="0" w:oddHBand="0" w:evenHBand="0" w:firstRowFirstColumn="0" w:firstRowLastColumn="0" w:lastRowFirstColumn="0" w:lastRowLastColumn="0"/>
            <w:tcW w:w="0" w:type="auto"/>
          </w:tcPr>
          <w:p w14:paraId="53BA114B" w14:textId="77777777" w:rsidR="00796183" w:rsidRPr="00740FE1" w:rsidRDefault="00796183" w:rsidP="00025D35">
            <w:pPr>
              <w:rPr>
                <w:b w:val="0"/>
              </w:rPr>
            </w:pPr>
            <w:r w:rsidRPr="00740FE1">
              <w:rPr>
                <w:b w:val="0"/>
              </w:rPr>
              <w:t>2</w:t>
            </w:r>
          </w:p>
        </w:tc>
        <w:tc>
          <w:tcPr>
            <w:tcW w:w="0" w:type="auto"/>
          </w:tcPr>
          <w:p w14:paraId="243642F7" w14:textId="18E9BF34" w:rsidR="00796183" w:rsidRPr="00796183" w:rsidRDefault="0050757B" w:rsidP="00025D35">
            <w:pPr>
              <w:cnfStyle w:val="000000000000" w:firstRow="0" w:lastRow="0" w:firstColumn="0" w:lastColumn="0" w:oddVBand="0" w:evenVBand="0" w:oddHBand="0" w:evenHBand="0" w:firstRowFirstColumn="0" w:firstRowLastColumn="0" w:lastRowFirstColumn="0" w:lastRowLastColumn="0"/>
            </w:pPr>
            <w:r>
              <w:t>Unlikely</w:t>
            </w:r>
          </w:p>
        </w:tc>
        <w:tc>
          <w:tcPr>
            <w:tcW w:w="0" w:type="auto"/>
          </w:tcPr>
          <w:p w14:paraId="6440C22A" w14:textId="70F599A7" w:rsidR="00796183" w:rsidRPr="0050757B" w:rsidRDefault="0050757B" w:rsidP="00025D35">
            <w:pPr>
              <w:cnfStyle w:val="000000000000" w:firstRow="0" w:lastRow="0" w:firstColumn="0" w:lastColumn="0" w:oddVBand="0" w:evenVBand="0" w:oddHBand="0" w:evenHBand="0" w:firstRowFirstColumn="0" w:firstRowLastColumn="0" w:lastRowFirstColumn="0" w:lastRowLastColumn="0"/>
            </w:pPr>
            <w:r>
              <w:t xml:space="preserve">Moderate - </w:t>
            </w:r>
            <w:r w:rsidRPr="00066A10">
              <w:t xml:space="preserve">Detectable negative impact on social benefits, cultural heritage, or wellbeing but without long lasting effects. Access to country more limited in some areas and/or resources for cultural heritage purposes also limited. Limitations lasting 1-2 years. </w:t>
            </w:r>
            <w:r>
              <w:t>Traditional owner</w:t>
            </w:r>
            <w:r w:rsidRPr="00066A10">
              <w:t xml:space="preserve"> rights acknowledged and but not engaged in management of country.</w:t>
            </w:r>
          </w:p>
        </w:tc>
        <w:tc>
          <w:tcPr>
            <w:tcW w:w="0" w:type="auto"/>
          </w:tcPr>
          <w:p w14:paraId="38E4F7C1" w14:textId="6CB03283" w:rsidR="00796183" w:rsidRPr="00796183" w:rsidRDefault="0050757B" w:rsidP="00025D35">
            <w:pPr>
              <w:cnfStyle w:val="000000000000" w:firstRow="0" w:lastRow="0" w:firstColumn="0" w:lastColumn="0" w:oddVBand="0" w:evenVBand="0" w:oddHBand="0" w:evenHBand="0" w:firstRowFirstColumn="0" w:firstRowLastColumn="0" w:lastRowFirstColumn="0" w:lastRowLastColumn="0"/>
            </w:pPr>
            <w:r>
              <w:t>6 – Low</w:t>
            </w:r>
          </w:p>
        </w:tc>
      </w:tr>
      <w:tr w:rsidR="00740FE1" w14:paraId="6FA49B95" w14:textId="77777777" w:rsidTr="00AE0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9D0579" w14:textId="5BA8C5C3" w:rsidR="00740FE1" w:rsidRPr="00740FE1" w:rsidRDefault="00740FE1" w:rsidP="00025D35">
            <w:pPr>
              <w:rPr>
                <w:b w:val="0"/>
              </w:rPr>
            </w:pPr>
            <w:r w:rsidRPr="00740FE1">
              <w:rPr>
                <w:b w:val="0"/>
              </w:rPr>
              <w:t>3</w:t>
            </w:r>
          </w:p>
        </w:tc>
        <w:tc>
          <w:tcPr>
            <w:tcW w:w="0" w:type="auto"/>
          </w:tcPr>
          <w:p w14:paraId="57E7B51E" w14:textId="74B7BE20" w:rsidR="00740FE1" w:rsidRDefault="00740FE1" w:rsidP="00025D35">
            <w:pPr>
              <w:cnfStyle w:val="000000100000" w:firstRow="0" w:lastRow="0" w:firstColumn="0" w:lastColumn="0" w:oddVBand="0" w:evenVBand="0" w:oddHBand="1" w:evenHBand="0" w:firstRowFirstColumn="0" w:firstRowLastColumn="0" w:lastRowFirstColumn="0" w:lastRowLastColumn="0"/>
            </w:pPr>
            <w:r>
              <w:t>Possible</w:t>
            </w:r>
          </w:p>
        </w:tc>
        <w:tc>
          <w:tcPr>
            <w:tcW w:w="0" w:type="auto"/>
          </w:tcPr>
          <w:p w14:paraId="6F1C28A5" w14:textId="16870172" w:rsidR="00740FE1" w:rsidRDefault="00740FE1" w:rsidP="00025D35">
            <w:pPr>
              <w:cnfStyle w:val="000000100000" w:firstRow="0" w:lastRow="0" w:firstColumn="0" w:lastColumn="0" w:oddVBand="0" w:evenVBand="0" w:oddHBand="1" w:evenHBand="0" w:firstRowFirstColumn="0" w:firstRowLastColumn="0" w:lastRowFirstColumn="0" w:lastRowLastColumn="0"/>
            </w:pPr>
            <w:r>
              <w:t xml:space="preserve">Major - </w:t>
            </w:r>
            <w:r w:rsidRPr="00B56B9B">
              <w:t xml:space="preserve">Widespread measureable changes to the ecosystem components with a major change in </w:t>
            </w:r>
            <w:r>
              <w:t xml:space="preserve">process or </w:t>
            </w:r>
            <w:r w:rsidRPr="00B56B9B">
              <w:t>function. Recovery (i.e. within historic natural variability) in 3 to 10</w:t>
            </w:r>
            <w:r>
              <w:t xml:space="preserve"> years.</w:t>
            </w:r>
          </w:p>
        </w:tc>
        <w:tc>
          <w:tcPr>
            <w:tcW w:w="0" w:type="auto"/>
          </w:tcPr>
          <w:p w14:paraId="26503F99" w14:textId="14DA9CA4" w:rsidR="00740FE1" w:rsidRDefault="00740FE1" w:rsidP="00740FE1">
            <w:pPr>
              <w:jc w:val="left"/>
              <w:cnfStyle w:val="000000100000" w:firstRow="0" w:lastRow="0" w:firstColumn="0" w:lastColumn="0" w:oddVBand="0" w:evenVBand="0" w:oddHBand="1" w:evenHBand="0" w:firstRowFirstColumn="0" w:firstRowLastColumn="0" w:lastRowFirstColumn="0" w:lastRowLastColumn="0"/>
            </w:pPr>
            <w:r>
              <w:t>12 - Moderate</w:t>
            </w:r>
          </w:p>
        </w:tc>
      </w:tr>
      <w:tr w:rsidR="00796183" w14:paraId="405A2020" w14:textId="43018346" w:rsidTr="00AE0219">
        <w:tc>
          <w:tcPr>
            <w:cnfStyle w:val="001000000000" w:firstRow="0" w:lastRow="0" w:firstColumn="1" w:lastColumn="0" w:oddVBand="0" w:evenVBand="0" w:oddHBand="0" w:evenHBand="0" w:firstRowFirstColumn="0" w:firstRowLastColumn="0" w:lastRowFirstColumn="0" w:lastRowLastColumn="0"/>
            <w:tcW w:w="0" w:type="auto"/>
          </w:tcPr>
          <w:p w14:paraId="18FE0BCA" w14:textId="4805CE3B" w:rsidR="00796183" w:rsidRPr="00740FE1" w:rsidRDefault="00740FE1" w:rsidP="00025D35">
            <w:pPr>
              <w:rPr>
                <w:b w:val="0"/>
              </w:rPr>
            </w:pPr>
            <w:r w:rsidRPr="00740FE1">
              <w:rPr>
                <w:b w:val="0"/>
              </w:rPr>
              <w:t>4</w:t>
            </w:r>
          </w:p>
        </w:tc>
        <w:tc>
          <w:tcPr>
            <w:tcW w:w="0" w:type="auto"/>
          </w:tcPr>
          <w:p w14:paraId="65170CFD" w14:textId="5A58DDEB" w:rsidR="00796183" w:rsidRPr="00796183" w:rsidRDefault="0050757B" w:rsidP="00025D35">
            <w:pPr>
              <w:cnfStyle w:val="000000000000" w:firstRow="0" w:lastRow="0" w:firstColumn="0" w:lastColumn="0" w:oddVBand="0" w:evenVBand="0" w:oddHBand="0" w:evenHBand="0" w:firstRowFirstColumn="0" w:firstRowLastColumn="0" w:lastRowFirstColumn="0" w:lastRowLastColumn="0"/>
            </w:pPr>
            <w:r>
              <w:t>Almost certain</w:t>
            </w:r>
          </w:p>
        </w:tc>
        <w:tc>
          <w:tcPr>
            <w:tcW w:w="0" w:type="auto"/>
          </w:tcPr>
          <w:p w14:paraId="0DD18588" w14:textId="7EC9CD3B" w:rsidR="00796183" w:rsidRPr="00796183" w:rsidRDefault="0050757B" w:rsidP="00025D35">
            <w:pPr>
              <w:cnfStyle w:val="000000000000" w:firstRow="0" w:lastRow="0" w:firstColumn="0" w:lastColumn="0" w:oddVBand="0" w:evenVBand="0" w:oddHBand="0" w:evenHBand="0" w:firstRowFirstColumn="0" w:firstRowLastColumn="0" w:lastRowFirstColumn="0" w:lastRowLastColumn="0"/>
            </w:pPr>
            <w:r>
              <w:t xml:space="preserve">Minor - </w:t>
            </w:r>
            <w:r w:rsidRPr="00B56B9B">
              <w:t xml:space="preserve">Localised measurable changes to the ecosystem components without a major change in </w:t>
            </w:r>
            <w:r>
              <w:t xml:space="preserve">process or </w:t>
            </w:r>
            <w:r w:rsidRPr="00B56B9B">
              <w:t>function.  Recovery (if relevant) in less than 1 year.</w:t>
            </w:r>
          </w:p>
        </w:tc>
        <w:tc>
          <w:tcPr>
            <w:tcW w:w="0" w:type="auto"/>
          </w:tcPr>
          <w:p w14:paraId="2C15FE4E" w14:textId="2CC8C7DF" w:rsidR="00796183" w:rsidRPr="00796183" w:rsidRDefault="0050757B" w:rsidP="00025D35">
            <w:pPr>
              <w:cnfStyle w:val="000000000000" w:firstRow="0" w:lastRow="0" w:firstColumn="0" w:lastColumn="0" w:oddVBand="0" w:evenVBand="0" w:oddHBand="0" w:evenHBand="0" w:firstRowFirstColumn="0" w:firstRowLastColumn="0" w:lastRowFirstColumn="0" w:lastRowLastColumn="0"/>
            </w:pPr>
            <w:r>
              <w:t>10 – Low</w:t>
            </w:r>
          </w:p>
        </w:tc>
      </w:tr>
    </w:tbl>
    <w:p w14:paraId="2355702A" w14:textId="77777777" w:rsidR="00796183" w:rsidRDefault="00796183" w:rsidP="00CC3F30"/>
    <w:p w14:paraId="74E73167" w14:textId="3444F21C" w:rsidR="002540F9" w:rsidRPr="00280362" w:rsidRDefault="004E15BD" w:rsidP="004E15BD">
      <w:pPr>
        <w:pStyle w:val="Caption"/>
      </w:pPr>
      <w:bookmarkStart w:id="66" w:name="_Ref474585477"/>
      <w:r>
        <w:t xml:space="preserve">Table </w:t>
      </w:r>
      <w:fldSimple w:instr=" SEQ Table \* ARABIC ">
        <w:r w:rsidR="005F359C">
          <w:rPr>
            <w:noProof/>
          </w:rPr>
          <w:t>10</w:t>
        </w:r>
      </w:fldSimple>
      <w:bookmarkEnd w:id="66"/>
      <w:r>
        <w:t xml:space="preserve">: </w:t>
      </w:r>
      <w:r w:rsidR="002540F9" w:rsidRPr="00280362">
        <w:t>Likelihood</w:t>
      </w:r>
      <w:r w:rsidR="002540F9">
        <w:t xml:space="preserve"> categories</w:t>
      </w:r>
      <w:r w:rsidR="00B56B9B">
        <w:t>.</w:t>
      </w:r>
    </w:p>
    <w:tbl>
      <w:tblPr>
        <w:tblStyle w:val="LightList-Accent2"/>
        <w:tblW w:w="5000" w:type="pct"/>
        <w:tblBorders>
          <w:top w:val="single" w:sz="4" w:space="0" w:color="9CBEBD" w:themeColor="accent2"/>
          <w:left w:val="single" w:sz="4" w:space="0" w:color="9CBEBD" w:themeColor="accent2"/>
          <w:bottom w:val="single" w:sz="4" w:space="0" w:color="9CBEBD" w:themeColor="accent2"/>
          <w:right w:val="single" w:sz="4" w:space="0" w:color="9CBEBD" w:themeColor="accent2"/>
          <w:insideH w:val="single" w:sz="4" w:space="0" w:color="9CBEBD" w:themeColor="accent2"/>
          <w:insideV w:val="single" w:sz="4" w:space="0" w:color="9CBEBD" w:themeColor="accent2"/>
        </w:tblBorders>
        <w:tblLook w:val="04A0" w:firstRow="1" w:lastRow="0" w:firstColumn="1" w:lastColumn="0" w:noHBand="0" w:noVBand="1"/>
      </w:tblPr>
      <w:tblGrid>
        <w:gridCol w:w="1804"/>
        <w:gridCol w:w="1803"/>
        <w:gridCol w:w="1803"/>
        <w:gridCol w:w="1803"/>
        <w:gridCol w:w="1803"/>
      </w:tblGrid>
      <w:tr w:rsidR="00B56B9B" w:rsidRPr="00280362" w14:paraId="241FD91D" w14:textId="77777777" w:rsidTr="00B56B9B">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00" w:type="pct"/>
            <w:hideMark/>
          </w:tcPr>
          <w:p w14:paraId="645F216B" w14:textId="77777777" w:rsidR="002540F9" w:rsidRPr="002540F9" w:rsidRDefault="002540F9" w:rsidP="002540F9">
            <w:pPr>
              <w:jc w:val="left"/>
              <w:rPr>
                <w:rFonts w:eastAsia="Times New Roman" w:cs="Times New Roman"/>
                <w:b w:val="0"/>
                <w:sz w:val="18"/>
                <w:szCs w:val="18"/>
                <w:lang w:eastAsia="en-AU"/>
              </w:rPr>
            </w:pPr>
            <w:r w:rsidRPr="002540F9">
              <w:rPr>
                <w:rFonts w:eastAsia="Times New Roman" w:cs="Times New Roman"/>
                <w:sz w:val="18"/>
                <w:szCs w:val="18"/>
                <w:lang w:eastAsia="en-AU"/>
              </w:rPr>
              <w:t>Almost certain</w:t>
            </w:r>
          </w:p>
        </w:tc>
        <w:tc>
          <w:tcPr>
            <w:tcW w:w="1000" w:type="pct"/>
            <w:hideMark/>
          </w:tcPr>
          <w:p w14:paraId="30920061" w14:textId="77777777" w:rsidR="002540F9" w:rsidRPr="002540F9" w:rsidRDefault="002540F9" w:rsidP="002540F9">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en-AU"/>
              </w:rPr>
            </w:pPr>
            <w:r w:rsidRPr="002540F9">
              <w:rPr>
                <w:rFonts w:eastAsia="Times New Roman" w:cs="Times New Roman"/>
                <w:sz w:val="18"/>
                <w:szCs w:val="18"/>
                <w:lang w:eastAsia="en-AU"/>
              </w:rPr>
              <w:t>Likely</w:t>
            </w:r>
          </w:p>
        </w:tc>
        <w:tc>
          <w:tcPr>
            <w:tcW w:w="1000" w:type="pct"/>
            <w:hideMark/>
          </w:tcPr>
          <w:p w14:paraId="6C256267" w14:textId="77777777" w:rsidR="002540F9" w:rsidRPr="002540F9" w:rsidRDefault="002540F9" w:rsidP="002540F9">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en-AU"/>
              </w:rPr>
            </w:pPr>
            <w:r w:rsidRPr="002540F9">
              <w:rPr>
                <w:rFonts w:eastAsia="Times New Roman" w:cs="Times New Roman"/>
                <w:sz w:val="18"/>
                <w:szCs w:val="18"/>
                <w:lang w:eastAsia="en-AU"/>
              </w:rPr>
              <w:t>Possible</w:t>
            </w:r>
          </w:p>
        </w:tc>
        <w:tc>
          <w:tcPr>
            <w:tcW w:w="1000" w:type="pct"/>
            <w:hideMark/>
          </w:tcPr>
          <w:p w14:paraId="713CE919" w14:textId="77777777" w:rsidR="002540F9" w:rsidRPr="002540F9" w:rsidRDefault="002540F9" w:rsidP="002540F9">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en-AU"/>
              </w:rPr>
            </w:pPr>
            <w:r w:rsidRPr="002540F9">
              <w:rPr>
                <w:rFonts w:eastAsia="Times New Roman" w:cs="Times New Roman"/>
                <w:sz w:val="18"/>
                <w:szCs w:val="18"/>
                <w:lang w:eastAsia="en-AU"/>
              </w:rPr>
              <w:t>Unlikely</w:t>
            </w:r>
          </w:p>
        </w:tc>
        <w:tc>
          <w:tcPr>
            <w:tcW w:w="1000" w:type="pct"/>
            <w:hideMark/>
          </w:tcPr>
          <w:p w14:paraId="48C762A3" w14:textId="77777777" w:rsidR="002540F9" w:rsidRPr="002540F9" w:rsidRDefault="002540F9" w:rsidP="002540F9">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en-AU"/>
              </w:rPr>
            </w:pPr>
            <w:r w:rsidRPr="002540F9">
              <w:rPr>
                <w:rFonts w:eastAsia="Times New Roman" w:cs="Times New Roman"/>
                <w:sz w:val="18"/>
                <w:szCs w:val="18"/>
                <w:lang w:eastAsia="en-AU"/>
              </w:rPr>
              <w:t>Rare</w:t>
            </w:r>
          </w:p>
        </w:tc>
      </w:tr>
      <w:tr w:rsidR="00B56B9B" w:rsidRPr="00280362" w14:paraId="3AC62272" w14:textId="77777777" w:rsidTr="00B56B9B">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000" w:type="pct"/>
            <w:hideMark/>
          </w:tcPr>
          <w:p w14:paraId="74D8F577" w14:textId="77777777" w:rsidR="002540F9" w:rsidRPr="00B56B9B" w:rsidRDefault="002540F9" w:rsidP="002540F9">
            <w:pPr>
              <w:jc w:val="left"/>
              <w:rPr>
                <w:rFonts w:eastAsia="Times New Roman" w:cs="Times New Roman"/>
                <w:b w:val="0"/>
                <w:sz w:val="18"/>
                <w:szCs w:val="18"/>
                <w:lang w:eastAsia="en-AU"/>
              </w:rPr>
            </w:pPr>
            <w:r w:rsidRPr="00B56B9B">
              <w:rPr>
                <w:rFonts w:eastAsia="Times New Roman" w:cs="Times New Roman"/>
                <w:b w:val="0"/>
                <w:sz w:val="18"/>
                <w:szCs w:val="18"/>
                <w:lang w:eastAsia="en-AU"/>
              </w:rPr>
              <w:t xml:space="preserve">Is expected to occur in most circumstances </w:t>
            </w:r>
          </w:p>
        </w:tc>
        <w:tc>
          <w:tcPr>
            <w:tcW w:w="1000" w:type="pct"/>
            <w:hideMark/>
          </w:tcPr>
          <w:p w14:paraId="424DBE75" w14:textId="77777777" w:rsidR="002540F9" w:rsidRPr="002540F9" w:rsidRDefault="002540F9" w:rsidP="002540F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AU"/>
              </w:rPr>
            </w:pPr>
            <w:r w:rsidRPr="002540F9">
              <w:rPr>
                <w:rFonts w:eastAsia="Times New Roman" w:cs="Times New Roman"/>
                <w:sz w:val="18"/>
                <w:szCs w:val="18"/>
                <w:lang w:eastAsia="en-AU"/>
              </w:rPr>
              <w:t xml:space="preserve">Will probably occur in most circumstances </w:t>
            </w:r>
          </w:p>
        </w:tc>
        <w:tc>
          <w:tcPr>
            <w:tcW w:w="1000" w:type="pct"/>
            <w:hideMark/>
          </w:tcPr>
          <w:p w14:paraId="3B905B75" w14:textId="77777777" w:rsidR="002540F9" w:rsidRPr="002540F9" w:rsidRDefault="002540F9" w:rsidP="002540F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AU"/>
              </w:rPr>
            </w:pPr>
            <w:r w:rsidRPr="002540F9">
              <w:rPr>
                <w:rFonts w:eastAsia="Times New Roman" w:cs="Times New Roman"/>
                <w:sz w:val="18"/>
                <w:szCs w:val="18"/>
                <w:lang w:eastAsia="en-AU"/>
              </w:rPr>
              <w:t>Could occur</w:t>
            </w:r>
          </w:p>
        </w:tc>
        <w:tc>
          <w:tcPr>
            <w:tcW w:w="1000" w:type="pct"/>
            <w:hideMark/>
          </w:tcPr>
          <w:p w14:paraId="2C115FE3" w14:textId="77777777" w:rsidR="002540F9" w:rsidRPr="002540F9" w:rsidRDefault="002540F9" w:rsidP="002540F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AU"/>
              </w:rPr>
            </w:pPr>
            <w:r w:rsidRPr="002540F9">
              <w:rPr>
                <w:rFonts w:eastAsia="Times New Roman" w:cs="Times New Roman"/>
                <w:sz w:val="18"/>
                <w:szCs w:val="18"/>
                <w:lang w:eastAsia="en-AU"/>
              </w:rPr>
              <w:t>Could occur but not expected</w:t>
            </w:r>
          </w:p>
        </w:tc>
        <w:tc>
          <w:tcPr>
            <w:tcW w:w="1000" w:type="pct"/>
            <w:hideMark/>
          </w:tcPr>
          <w:p w14:paraId="31984CC6" w14:textId="77777777" w:rsidR="002540F9" w:rsidRPr="002540F9" w:rsidRDefault="002540F9" w:rsidP="002540F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AU"/>
              </w:rPr>
            </w:pPr>
            <w:r w:rsidRPr="002540F9">
              <w:rPr>
                <w:rFonts w:eastAsia="Times New Roman" w:cs="Times New Roman"/>
                <w:sz w:val="18"/>
                <w:szCs w:val="18"/>
                <w:lang w:eastAsia="en-AU"/>
              </w:rPr>
              <w:t>Occurs only in exceptional circumstances</w:t>
            </w:r>
          </w:p>
        </w:tc>
      </w:tr>
    </w:tbl>
    <w:p w14:paraId="208E7CDA" w14:textId="77777777" w:rsidR="00B56B9B" w:rsidRDefault="00B56B9B" w:rsidP="00B56B9B">
      <w:bookmarkStart w:id="67" w:name="_Ref283730827"/>
    </w:p>
    <w:p w14:paraId="3BC34458" w14:textId="77777777" w:rsidR="0007512A" w:rsidRDefault="0007512A" w:rsidP="00B56B9B">
      <w:pPr>
        <w:sectPr w:rsidR="0007512A" w:rsidSect="00CA2773">
          <w:headerReference w:type="even" r:id="rId52"/>
          <w:headerReference w:type="default" r:id="rId53"/>
          <w:headerReference w:type="first" r:id="rId54"/>
          <w:pgSz w:w="11906" w:h="16838"/>
          <w:pgMar w:top="1440" w:right="1440" w:bottom="1440" w:left="1440" w:header="708" w:footer="708" w:gutter="0"/>
          <w:cols w:space="708"/>
          <w:docGrid w:linePitch="360"/>
        </w:sectPr>
      </w:pPr>
    </w:p>
    <w:p w14:paraId="757B9E45" w14:textId="38D4F4CE" w:rsidR="002540F9" w:rsidRPr="00280362" w:rsidRDefault="0007512A" w:rsidP="0007512A">
      <w:pPr>
        <w:pStyle w:val="Caption"/>
      </w:pPr>
      <w:bookmarkStart w:id="68" w:name="_Ref474585484"/>
      <w:bookmarkEnd w:id="67"/>
      <w:r>
        <w:lastRenderedPageBreak/>
        <w:t xml:space="preserve">Table </w:t>
      </w:r>
      <w:fldSimple w:instr=" SEQ Table \* ARABIC ">
        <w:r w:rsidR="005F359C">
          <w:rPr>
            <w:noProof/>
          </w:rPr>
          <w:t>11</w:t>
        </w:r>
      </w:fldSimple>
      <w:bookmarkEnd w:id="68"/>
      <w:r>
        <w:t xml:space="preserve">: </w:t>
      </w:r>
      <w:r w:rsidR="00B56B9B">
        <w:t xml:space="preserve">Example of </w:t>
      </w:r>
      <w:r w:rsidR="002540F9" w:rsidRPr="00280362">
        <w:t>Consequence</w:t>
      </w:r>
      <w:r w:rsidR="002540F9">
        <w:t xml:space="preserve"> categories</w:t>
      </w:r>
      <w:r w:rsidR="00B56B9B">
        <w:t>. Modify according to assessment objective and values included in assessment.</w:t>
      </w:r>
      <w:r w:rsidR="002540F9">
        <w:t xml:space="preserve"> </w:t>
      </w:r>
      <w:r>
        <w:t>For example time of recovery might be assessed DIFFERENTLY; social consequence categor</w:t>
      </w:r>
      <w:r w:rsidR="00AE602F">
        <w:t>i</w:t>
      </w:r>
      <w:r>
        <w:t>es might</w:t>
      </w:r>
      <w:r w:rsidR="007F5B07">
        <w:t xml:space="preserve"> b</w:t>
      </w:r>
      <w:r>
        <w:t>e described differently dependent on the values of the assessment unit</w:t>
      </w:r>
      <w:r w:rsidR="00F05E06">
        <w:t xml:space="preserve"> (modified from </w:t>
      </w:r>
      <w:r w:rsidR="004A60EA">
        <w:fldChar w:fldCharType="begin"/>
      </w:r>
      <w:r w:rsidR="004A60EA">
        <w:rPr>
          <w:caps w:val="0"/>
        </w:rPr>
        <w:instrText xml:space="preserve"> ADDIN ZOTERO_ITEM CSL_CITATION {"citationID":"2sat6t3m9","properties":{"formattedCitation":"(Cottingham and Butcher 2015)","plainCitation":"(COTTINGHAM AND BUTCHER 2015)"},"citationItems":[{"id":1128,"uris":["http://zotero.org/users/3119797/items/7ZF8ZZNQ"],"uri":["http://zotero.org/users/3119797/items/7ZF8ZZNQ"],"itemData":{"id":1128,"type":"article","title":"Ramsar Managment Plan for the Glenelg River Estuary and Long Swamp Wetland Complex. Prepared for Glenelg Hopkins CMA.","author":[{"family":"Cottingham","given":"P."},{"family":"Butcher","given":"R."}],"issued":{"date-parts":[["2015"]]}}}],"schema":"https://github.com/citation-style-language/schema/raw/master/csl-citation.json"} </w:instrText>
      </w:r>
      <w:r w:rsidR="004A60EA">
        <w:fldChar w:fldCharType="separate"/>
      </w:r>
      <w:r w:rsidR="004A60EA" w:rsidRPr="004A60EA">
        <w:rPr>
          <w:rFonts w:cs="Calibri"/>
        </w:rPr>
        <w:t>Cottingham and Butcher 2015)</w:t>
      </w:r>
      <w:r w:rsidR="004A60EA">
        <w:fldChar w:fldCharType="end"/>
      </w:r>
      <w:r w:rsidR="004A60EA">
        <w:t>.</w:t>
      </w:r>
    </w:p>
    <w:tbl>
      <w:tblPr>
        <w:tblStyle w:val="LightList-Accent2"/>
        <w:tblW w:w="0" w:type="auto"/>
        <w:tblLook w:val="04A0" w:firstRow="1" w:lastRow="0" w:firstColumn="1" w:lastColumn="0" w:noHBand="0" w:noVBand="1"/>
      </w:tblPr>
      <w:tblGrid>
        <w:gridCol w:w="1331"/>
        <w:gridCol w:w="2172"/>
        <w:gridCol w:w="2577"/>
        <w:gridCol w:w="2560"/>
        <w:gridCol w:w="2587"/>
        <w:gridCol w:w="2711"/>
      </w:tblGrid>
      <w:tr w:rsidR="00066A10" w:rsidRPr="00B56B9B" w14:paraId="4ABB44B1" w14:textId="77777777" w:rsidTr="0072297A">
        <w:trPr>
          <w:cnfStyle w:val="100000000000" w:firstRow="1" w:lastRow="0" w:firstColumn="0" w:lastColumn="0" w:oddVBand="0" w:evenVBand="0" w:oddHBand="0" w:evenHBand="0" w:firstRowFirstColumn="0" w:firstRowLastColumn="0" w:lastRowFirstColumn="0" w:lastRowLastColumn="0"/>
          <w:cantSplit/>
          <w:trHeight w:val="3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273B5DA" w14:textId="77777777" w:rsidR="002540F9" w:rsidRPr="00B56B9B" w:rsidRDefault="002540F9" w:rsidP="003616F1">
            <w:pPr>
              <w:rPr>
                <w:b w:val="0"/>
                <w:bCs w:val="0"/>
              </w:rPr>
            </w:pPr>
            <w:r w:rsidRPr="00B56B9B">
              <w:t>Category</w:t>
            </w:r>
          </w:p>
        </w:tc>
        <w:tc>
          <w:tcPr>
            <w:tcW w:w="0" w:type="auto"/>
            <w:hideMark/>
          </w:tcPr>
          <w:p w14:paraId="4C143E8B" w14:textId="77777777" w:rsidR="002540F9" w:rsidRPr="00B56B9B" w:rsidRDefault="002540F9" w:rsidP="003616F1">
            <w:pPr>
              <w:cnfStyle w:val="100000000000" w:firstRow="1" w:lastRow="0" w:firstColumn="0" w:lastColumn="0" w:oddVBand="0" w:evenVBand="0" w:oddHBand="0" w:evenHBand="0" w:firstRowFirstColumn="0" w:firstRowLastColumn="0" w:lastRowFirstColumn="0" w:lastRowLastColumn="0"/>
              <w:rPr>
                <w:b w:val="0"/>
                <w:bCs w:val="0"/>
              </w:rPr>
            </w:pPr>
            <w:r w:rsidRPr="00B56B9B">
              <w:t>Negligible</w:t>
            </w:r>
          </w:p>
        </w:tc>
        <w:tc>
          <w:tcPr>
            <w:tcW w:w="0" w:type="auto"/>
            <w:hideMark/>
          </w:tcPr>
          <w:p w14:paraId="3FB025E0" w14:textId="77777777" w:rsidR="002540F9" w:rsidRPr="00B56B9B" w:rsidRDefault="002540F9" w:rsidP="003616F1">
            <w:pPr>
              <w:cnfStyle w:val="100000000000" w:firstRow="1" w:lastRow="0" w:firstColumn="0" w:lastColumn="0" w:oddVBand="0" w:evenVBand="0" w:oddHBand="0" w:evenHBand="0" w:firstRowFirstColumn="0" w:firstRowLastColumn="0" w:lastRowFirstColumn="0" w:lastRowLastColumn="0"/>
              <w:rPr>
                <w:b w:val="0"/>
                <w:bCs w:val="0"/>
              </w:rPr>
            </w:pPr>
            <w:r w:rsidRPr="00B56B9B">
              <w:t>Minor</w:t>
            </w:r>
          </w:p>
        </w:tc>
        <w:tc>
          <w:tcPr>
            <w:tcW w:w="0" w:type="auto"/>
            <w:hideMark/>
          </w:tcPr>
          <w:p w14:paraId="63A9D1DF" w14:textId="77777777" w:rsidR="002540F9" w:rsidRPr="00B56B9B" w:rsidRDefault="002540F9" w:rsidP="003616F1">
            <w:pPr>
              <w:cnfStyle w:val="100000000000" w:firstRow="1" w:lastRow="0" w:firstColumn="0" w:lastColumn="0" w:oddVBand="0" w:evenVBand="0" w:oddHBand="0" w:evenHBand="0" w:firstRowFirstColumn="0" w:firstRowLastColumn="0" w:lastRowFirstColumn="0" w:lastRowLastColumn="0"/>
              <w:rPr>
                <w:b w:val="0"/>
                <w:bCs w:val="0"/>
              </w:rPr>
            </w:pPr>
            <w:r w:rsidRPr="00B56B9B">
              <w:t>Moderate</w:t>
            </w:r>
          </w:p>
        </w:tc>
        <w:tc>
          <w:tcPr>
            <w:tcW w:w="0" w:type="auto"/>
            <w:hideMark/>
          </w:tcPr>
          <w:p w14:paraId="04E54D81" w14:textId="77777777" w:rsidR="002540F9" w:rsidRPr="00B56B9B" w:rsidRDefault="002540F9" w:rsidP="003616F1">
            <w:pPr>
              <w:cnfStyle w:val="100000000000" w:firstRow="1" w:lastRow="0" w:firstColumn="0" w:lastColumn="0" w:oddVBand="0" w:evenVBand="0" w:oddHBand="0" w:evenHBand="0" w:firstRowFirstColumn="0" w:firstRowLastColumn="0" w:lastRowFirstColumn="0" w:lastRowLastColumn="0"/>
              <w:rPr>
                <w:b w:val="0"/>
                <w:bCs w:val="0"/>
              </w:rPr>
            </w:pPr>
            <w:r w:rsidRPr="00B56B9B">
              <w:t>Major</w:t>
            </w:r>
          </w:p>
        </w:tc>
        <w:tc>
          <w:tcPr>
            <w:tcW w:w="0" w:type="auto"/>
            <w:hideMark/>
          </w:tcPr>
          <w:p w14:paraId="6BDAFA25" w14:textId="77777777" w:rsidR="002540F9" w:rsidRPr="00B56B9B" w:rsidRDefault="002540F9" w:rsidP="003616F1">
            <w:pPr>
              <w:cnfStyle w:val="100000000000" w:firstRow="1" w:lastRow="0" w:firstColumn="0" w:lastColumn="0" w:oddVBand="0" w:evenVBand="0" w:oddHBand="0" w:evenHBand="0" w:firstRowFirstColumn="0" w:firstRowLastColumn="0" w:lastRowFirstColumn="0" w:lastRowLastColumn="0"/>
              <w:rPr>
                <w:b w:val="0"/>
                <w:bCs w:val="0"/>
              </w:rPr>
            </w:pPr>
            <w:r w:rsidRPr="00B56B9B">
              <w:t>Extreme</w:t>
            </w:r>
          </w:p>
        </w:tc>
      </w:tr>
      <w:tr w:rsidR="00066A10" w:rsidRPr="00B56B9B" w14:paraId="6C9D27BF" w14:textId="77777777" w:rsidTr="00D87458">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0" w:type="auto"/>
            <w:hideMark/>
          </w:tcPr>
          <w:p w14:paraId="0D471FAF" w14:textId="2C2D1A7E" w:rsidR="002540F9" w:rsidRPr="00B56B9B" w:rsidRDefault="002540F9" w:rsidP="0007512A">
            <w:pPr>
              <w:jc w:val="left"/>
              <w:rPr>
                <w:b w:val="0"/>
              </w:rPr>
            </w:pPr>
            <w:r w:rsidRPr="00B56B9B">
              <w:rPr>
                <w:b w:val="0"/>
              </w:rPr>
              <w:t xml:space="preserve">Ecosystem </w:t>
            </w:r>
            <w:r w:rsidR="0007512A">
              <w:rPr>
                <w:b w:val="0"/>
              </w:rPr>
              <w:t>process and fu</w:t>
            </w:r>
            <w:r w:rsidRPr="00B56B9B">
              <w:rPr>
                <w:b w:val="0"/>
              </w:rPr>
              <w:t xml:space="preserve">nction </w:t>
            </w:r>
          </w:p>
        </w:tc>
        <w:tc>
          <w:tcPr>
            <w:tcW w:w="0" w:type="auto"/>
            <w:hideMark/>
          </w:tcPr>
          <w:p w14:paraId="7C9726D5" w14:textId="77777777" w:rsidR="002540F9" w:rsidRPr="00B56B9B" w:rsidRDefault="002540F9" w:rsidP="00B56B9B">
            <w:pPr>
              <w:jc w:val="left"/>
              <w:cnfStyle w:val="000000100000" w:firstRow="0" w:lastRow="0" w:firstColumn="0" w:lastColumn="0" w:oddVBand="0" w:evenVBand="0" w:oddHBand="1" w:evenHBand="0" w:firstRowFirstColumn="0" w:firstRowLastColumn="0" w:lastRowFirstColumn="0" w:lastRowLastColumn="0"/>
            </w:pPr>
            <w:r w:rsidRPr="00B56B9B">
              <w:t>Alteration or disturbance to ecosystem within natural variability. Ecosystem interactions may have changed but it is unlikely that there would be any detectable change outside natural variation / occurrence.</w:t>
            </w:r>
          </w:p>
        </w:tc>
        <w:tc>
          <w:tcPr>
            <w:tcW w:w="0" w:type="auto"/>
            <w:hideMark/>
          </w:tcPr>
          <w:p w14:paraId="4DB9A44D" w14:textId="0A4B5144" w:rsidR="002540F9" w:rsidRPr="00B56B9B" w:rsidRDefault="002540F9" w:rsidP="0007512A">
            <w:pPr>
              <w:jc w:val="left"/>
              <w:cnfStyle w:val="000000100000" w:firstRow="0" w:lastRow="0" w:firstColumn="0" w:lastColumn="0" w:oddVBand="0" w:evenVBand="0" w:oddHBand="1" w:evenHBand="0" w:firstRowFirstColumn="0" w:firstRowLastColumn="0" w:lastRowFirstColumn="0" w:lastRowLastColumn="0"/>
            </w:pPr>
            <w:r w:rsidRPr="00B56B9B">
              <w:t xml:space="preserve">Localised measurable changes to the ecosystem components without a major change in </w:t>
            </w:r>
            <w:r w:rsidR="0007512A">
              <w:t xml:space="preserve">process or </w:t>
            </w:r>
            <w:r w:rsidRPr="00B56B9B">
              <w:t>function.  Recovery (if relevant) in less than 1 year.</w:t>
            </w:r>
          </w:p>
        </w:tc>
        <w:tc>
          <w:tcPr>
            <w:tcW w:w="0" w:type="auto"/>
            <w:hideMark/>
          </w:tcPr>
          <w:p w14:paraId="65E0FF9A" w14:textId="78515630" w:rsidR="002540F9" w:rsidRPr="00B56B9B" w:rsidRDefault="002540F9" w:rsidP="0007512A">
            <w:pPr>
              <w:jc w:val="left"/>
              <w:cnfStyle w:val="000000100000" w:firstRow="0" w:lastRow="0" w:firstColumn="0" w:lastColumn="0" w:oddVBand="0" w:evenVBand="0" w:oddHBand="1" w:evenHBand="0" w:firstRowFirstColumn="0" w:firstRowLastColumn="0" w:lastRowFirstColumn="0" w:lastRowLastColumn="0"/>
            </w:pPr>
            <w:r w:rsidRPr="00B56B9B">
              <w:t xml:space="preserve">Widespread measurable changes to the ecosystem components without a major change in function (no loss of components or introduction of new species that affects ecosystem function).  </w:t>
            </w:r>
            <w:r w:rsidR="0007512A">
              <w:t>R</w:t>
            </w:r>
            <w:r w:rsidRPr="00B56B9B">
              <w:t xml:space="preserve">ecovery (if relevant) in 1 to 2 years. </w:t>
            </w:r>
          </w:p>
        </w:tc>
        <w:tc>
          <w:tcPr>
            <w:tcW w:w="0" w:type="auto"/>
            <w:hideMark/>
          </w:tcPr>
          <w:p w14:paraId="03BAAACA" w14:textId="06ABA000" w:rsidR="002540F9" w:rsidRPr="00B56B9B" w:rsidRDefault="002540F9" w:rsidP="00B56B9B">
            <w:pPr>
              <w:jc w:val="left"/>
              <w:cnfStyle w:val="000000100000" w:firstRow="0" w:lastRow="0" w:firstColumn="0" w:lastColumn="0" w:oddVBand="0" w:evenVBand="0" w:oddHBand="1" w:evenHBand="0" w:firstRowFirstColumn="0" w:firstRowLastColumn="0" w:lastRowFirstColumn="0" w:lastRowLastColumn="0"/>
            </w:pPr>
            <w:r w:rsidRPr="00B56B9B">
              <w:t xml:space="preserve">Widespread measureable changes to the ecosystem components with a major change in </w:t>
            </w:r>
            <w:r w:rsidR="0007512A">
              <w:t xml:space="preserve">process or </w:t>
            </w:r>
            <w:r w:rsidRPr="00B56B9B">
              <w:t>function.  Recovery (i.e. within historic natural variability) in 3 to 10</w:t>
            </w:r>
            <w:r w:rsidR="0050757B">
              <w:t xml:space="preserve"> years</w:t>
            </w:r>
            <w:r w:rsidRPr="00B56B9B">
              <w:t>.</w:t>
            </w:r>
          </w:p>
        </w:tc>
        <w:tc>
          <w:tcPr>
            <w:tcW w:w="0" w:type="auto"/>
            <w:hideMark/>
          </w:tcPr>
          <w:p w14:paraId="2B36B3D1" w14:textId="77777777" w:rsidR="002540F9" w:rsidRPr="00B56B9B" w:rsidRDefault="002540F9" w:rsidP="00B56B9B">
            <w:pPr>
              <w:jc w:val="left"/>
              <w:cnfStyle w:val="000000100000" w:firstRow="0" w:lastRow="0" w:firstColumn="0" w:lastColumn="0" w:oddVBand="0" w:evenVBand="0" w:oddHBand="1" w:evenHBand="0" w:firstRowFirstColumn="0" w:firstRowLastColumn="0" w:lastRowFirstColumn="0" w:lastRowLastColumn="0"/>
            </w:pPr>
            <w:r w:rsidRPr="00B56B9B">
              <w:t>Long term and possibly irreversible damage to one or more ecosystem function.  Recovery, if at all, greater than 10 years.</w:t>
            </w:r>
          </w:p>
        </w:tc>
      </w:tr>
      <w:tr w:rsidR="00066A10" w:rsidRPr="00B56B9B" w14:paraId="39E5CAB2" w14:textId="77777777" w:rsidTr="00D87458">
        <w:trPr>
          <w:trHeight w:val="1230"/>
        </w:trPr>
        <w:tc>
          <w:tcPr>
            <w:cnfStyle w:val="001000000000" w:firstRow="0" w:lastRow="0" w:firstColumn="1" w:lastColumn="0" w:oddVBand="0" w:evenVBand="0" w:oddHBand="0" w:evenHBand="0" w:firstRowFirstColumn="0" w:firstRowLastColumn="0" w:lastRowFirstColumn="0" w:lastRowLastColumn="0"/>
            <w:tcW w:w="0" w:type="auto"/>
            <w:hideMark/>
          </w:tcPr>
          <w:p w14:paraId="640ACDE2" w14:textId="77777777" w:rsidR="002540F9" w:rsidRPr="00B56B9B" w:rsidRDefault="002540F9" w:rsidP="00B56B9B">
            <w:pPr>
              <w:jc w:val="left"/>
              <w:rPr>
                <w:b w:val="0"/>
              </w:rPr>
            </w:pPr>
            <w:r w:rsidRPr="00B56B9B">
              <w:rPr>
                <w:b w:val="0"/>
              </w:rPr>
              <w:t xml:space="preserve">Habitat and communities </w:t>
            </w:r>
          </w:p>
        </w:tc>
        <w:tc>
          <w:tcPr>
            <w:tcW w:w="0" w:type="auto"/>
            <w:hideMark/>
          </w:tcPr>
          <w:p w14:paraId="0D894EEA" w14:textId="77777777" w:rsidR="002540F9" w:rsidRPr="00B56B9B" w:rsidRDefault="002540F9" w:rsidP="00B56B9B">
            <w:pPr>
              <w:jc w:val="left"/>
              <w:cnfStyle w:val="000000000000" w:firstRow="0" w:lastRow="0" w:firstColumn="0" w:lastColumn="0" w:oddVBand="0" w:evenVBand="0" w:oddHBand="0" w:evenHBand="0" w:firstRowFirstColumn="0" w:firstRowLastColumn="0" w:lastRowFirstColumn="0" w:lastRowLastColumn="0"/>
            </w:pPr>
            <w:r w:rsidRPr="00B56B9B">
              <w:t>Alteration or disturbance to habitat within natural variability. Less than 1% of the area of habitat affected or removed.</w:t>
            </w:r>
          </w:p>
        </w:tc>
        <w:tc>
          <w:tcPr>
            <w:tcW w:w="0" w:type="auto"/>
            <w:hideMark/>
          </w:tcPr>
          <w:p w14:paraId="67A52B7D" w14:textId="77777777" w:rsidR="002540F9" w:rsidRPr="00B56B9B" w:rsidRDefault="002540F9" w:rsidP="00B56B9B">
            <w:pPr>
              <w:jc w:val="left"/>
              <w:cnfStyle w:val="000000000000" w:firstRow="0" w:lastRow="0" w:firstColumn="0" w:lastColumn="0" w:oddVBand="0" w:evenVBand="0" w:oddHBand="0" w:evenHBand="0" w:firstRowFirstColumn="0" w:firstRowLastColumn="0" w:lastRowFirstColumn="0" w:lastRowLastColumn="0"/>
            </w:pPr>
            <w:r w:rsidRPr="00B56B9B">
              <w:t xml:space="preserve">1 to 5% of the area of habitat affected in a major way or removed. </w:t>
            </w:r>
          </w:p>
        </w:tc>
        <w:tc>
          <w:tcPr>
            <w:tcW w:w="0" w:type="auto"/>
            <w:hideMark/>
          </w:tcPr>
          <w:p w14:paraId="46825B5D" w14:textId="77777777" w:rsidR="002540F9" w:rsidRPr="00B56B9B" w:rsidRDefault="002540F9" w:rsidP="00B56B9B">
            <w:pPr>
              <w:jc w:val="left"/>
              <w:cnfStyle w:val="000000000000" w:firstRow="0" w:lastRow="0" w:firstColumn="0" w:lastColumn="0" w:oddVBand="0" w:evenVBand="0" w:oddHBand="0" w:evenHBand="0" w:firstRowFirstColumn="0" w:firstRowLastColumn="0" w:lastRowFirstColumn="0" w:lastRowLastColumn="0"/>
            </w:pPr>
            <w:r w:rsidRPr="00B56B9B">
              <w:t xml:space="preserve">5 to 30% of the area of habitat affected in a major way or removed.  </w:t>
            </w:r>
          </w:p>
        </w:tc>
        <w:tc>
          <w:tcPr>
            <w:tcW w:w="0" w:type="auto"/>
            <w:hideMark/>
          </w:tcPr>
          <w:p w14:paraId="11F7C96B" w14:textId="77777777" w:rsidR="002540F9" w:rsidRPr="00B56B9B" w:rsidRDefault="002540F9" w:rsidP="00B56B9B">
            <w:pPr>
              <w:jc w:val="left"/>
              <w:cnfStyle w:val="000000000000" w:firstRow="0" w:lastRow="0" w:firstColumn="0" w:lastColumn="0" w:oddVBand="0" w:evenVBand="0" w:oddHBand="0" w:evenHBand="0" w:firstRowFirstColumn="0" w:firstRowLastColumn="0" w:lastRowFirstColumn="0" w:lastRowLastColumn="0"/>
            </w:pPr>
            <w:r w:rsidRPr="00B56B9B">
              <w:t xml:space="preserve">30 to 90% of the area of habitat affected in a major way or removed.  </w:t>
            </w:r>
          </w:p>
        </w:tc>
        <w:tc>
          <w:tcPr>
            <w:tcW w:w="0" w:type="auto"/>
            <w:hideMark/>
          </w:tcPr>
          <w:p w14:paraId="69F6BE0C" w14:textId="77777777" w:rsidR="002540F9" w:rsidRPr="00B56B9B" w:rsidRDefault="002540F9" w:rsidP="00B56B9B">
            <w:pPr>
              <w:jc w:val="left"/>
              <w:cnfStyle w:val="000000000000" w:firstRow="0" w:lastRow="0" w:firstColumn="0" w:lastColumn="0" w:oddVBand="0" w:evenVBand="0" w:oddHBand="0" w:evenHBand="0" w:firstRowFirstColumn="0" w:firstRowLastColumn="0" w:lastRowFirstColumn="0" w:lastRowLastColumn="0"/>
            </w:pPr>
            <w:r w:rsidRPr="00B56B9B">
              <w:t xml:space="preserve">Greater than 90% of the area of habitat affected in a major way or removed.   </w:t>
            </w:r>
          </w:p>
        </w:tc>
      </w:tr>
      <w:tr w:rsidR="00066A10" w:rsidRPr="00B56B9B" w14:paraId="1456F64C" w14:textId="77777777" w:rsidTr="00D87458">
        <w:trPr>
          <w:cnfStyle w:val="000000100000" w:firstRow="0" w:lastRow="0" w:firstColumn="0" w:lastColumn="0" w:oddVBand="0" w:evenVBand="0" w:oddHBand="1" w:evenHBand="0"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0" w:type="auto"/>
            <w:hideMark/>
          </w:tcPr>
          <w:p w14:paraId="3F9DDD90" w14:textId="77777777" w:rsidR="002540F9" w:rsidRPr="00B56B9B" w:rsidRDefault="002540F9" w:rsidP="00B56B9B">
            <w:pPr>
              <w:jc w:val="left"/>
              <w:rPr>
                <w:b w:val="0"/>
              </w:rPr>
            </w:pPr>
            <w:r w:rsidRPr="00B56B9B">
              <w:rPr>
                <w:b w:val="0"/>
              </w:rPr>
              <w:t xml:space="preserve">Species </w:t>
            </w:r>
          </w:p>
        </w:tc>
        <w:tc>
          <w:tcPr>
            <w:tcW w:w="0" w:type="auto"/>
            <w:hideMark/>
          </w:tcPr>
          <w:p w14:paraId="2649C16B" w14:textId="77777777" w:rsidR="002540F9" w:rsidRPr="00B56B9B" w:rsidRDefault="002540F9" w:rsidP="00B56B9B">
            <w:pPr>
              <w:jc w:val="left"/>
              <w:cnfStyle w:val="000000100000" w:firstRow="0" w:lastRow="0" w:firstColumn="0" w:lastColumn="0" w:oddVBand="0" w:evenVBand="0" w:oddHBand="1" w:evenHBand="0" w:firstRowFirstColumn="0" w:firstRowLastColumn="0" w:lastRowFirstColumn="0" w:lastRowLastColumn="0"/>
            </w:pPr>
            <w:r w:rsidRPr="00B56B9B">
              <w:t>Population size or behaviour may have changed but it is unlikely that there would be any detectable change outside natural variation / occurrence.</w:t>
            </w:r>
          </w:p>
        </w:tc>
        <w:tc>
          <w:tcPr>
            <w:tcW w:w="0" w:type="auto"/>
            <w:hideMark/>
          </w:tcPr>
          <w:p w14:paraId="768DF31F" w14:textId="77777777" w:rsidR="002540F9" w:rsidRPr="00B56B9B" w:rsidRDefault="002540F9" w:rsidP="00B56B9B">
            <w:pPr>
              <w:jc w:val="left"/>
              <w:cnfStyle w:val="000000100000" w:firstRow="0" w:lastRow="0" w:firstColumn="0" w:lastColumn="0" w:oddVBand="0" w:evenVBand="0" w:oddHBand="1" w:evenHBand="0" w:firstRowFirstColumn="0" w:firstRowLastColumn="0" w:lastRowFirstColumn="0" w:lastRowLastColumn="0"/>
            </w:pPr>
            <w:r w:rsidRPr="00B56B9B">
              <w:t xml:space="preserve">Detectable change to population size and / or behaviour, with no detectable impact on population viability (recruitment, breeding, recovery) or dynamics.  </w:t>
            </w:r>
          </w:p>
        </w:tc>
        <w:tc>
          <w:tcPr>
            <w:tcW w:w="0" w:type="auto"/>
            <w:hideMark/>
          </w:tcPr>
          <w:p w14:paraId="3EB4D084" w14:textId="77777777" w:rsidR="002540F9" w:rsidRPr="00B56B9B" w:rsidRDefault="002540F9" w:rsidP="00B56B9B">
            <w:pPr>
              <w:jc w:val="left"/>
              <w:cnfStyle w:val="000000100000" w:firstRow="0" w:lastRow="0" w:firstColumn="0" w:lastColumn="0" w:oddVBand="0" w:evenVBand="0" w:oddHBand="1" w:evenHBand="0" w:firstRowFirstColumn="0" w:firstRowLastColumn="0" w:lastRowFirstColumn="0" w:lastRowLastColumn="0"/>
            </w:pPr>
            <w:r w:rsidRPr="00B56B9B">
              <w:t xml:space="preserve">Detectable change to population size and / or behaviour, with no impact on population viability (recruitment, breeding, recovery) or dynamics. </w:t>
            </w:r>
          </w:p>
        </w:tc>
        <w:tc>
          <w:tcPr>
            <w:tcW w:w="0" w:type="auto"/>
            <w:hideMark/>
          </w:tcPr>
          <w:p w14:paraId="39B03324" w14:textId="77777777" w:rsidR="002540F9" w:rsidRPr="00B56B9B" w:rsidRDefault="002540F9" w:rsidP="00B56B9B">
            <w:pPr>
              <w:jc w:val="left"/>
              <w:cnfStyle w:val="000000100000" w:firstRow="0" w:lastRow="0" w:firstColumn="0" w:lastColumn="0" w:oddVBand="0" w:evenVBand="0" w:oddHBand="1" w:evenHBand="0" w:firstRowFirstColumn="0" w:firstRowLastColumn="0" w:lastRowFirstColumn="0" w:lastRowLastColumn="0"/>
            </w:pPr>
            <w:r w:rsidRPr="00B56B9B">
              <w:t xml:space="preserve">Detectable change to population size and / or behaviour, with an impact on population viability and or dynamics.   </w:t>
            </w:r>
          </w:p>
        </w:tc>
        <w:tc>
          <w:tcPr>
            <w:tcW w:w="0" w:type="auto"/>
            <w:hideMark/>
          </w:tcPr>
          <w:p w14:paraId="37A6C817" w14:textId="77777777" w:rsidR="002540F9" w:rsidRPr="00B56B9B" w:rsidRDefault="002540F9" w:rsidP="00B56B9B">
            <w:pPr>
              <w:jc w:val="left"/>
              <w:cnfStyle w:val="000000100000" w:firstRow="0" w:lastRow="0" w:firstColumn="0" w:lastColumn="0" w:oddVBand="0" w:evenVBand="0" w:oddHBand="1" w:evenHBand="0" w:firstRowFirstColumn="0" w:firstRowLastColumn="0" w:lastRowFirstColumn="0" w:lastRowLastColumn="0"/>
            </w:pPr>
            <w:r w:rsidRPr="00B56B9B">
              <w:t xml:space="preserve">Local extinctions are imminent / immediate or population no longer viable.  </w:t>
            </w:r>
          </w:p>
        </w:tc>
      </w:tr>
      <w:tr w:rsidR="00066A10" w:rsidRPr="00B56B9B" w14:paraId="2B248D5B" w14:textId="77777777" w:rsidTr="00D87458">
        <w:trPr>
          <w:trHeight w:val="980"/>
        </w:trPr>
        <w:tc>
          <w:tcPr>
            <w:cnfStyle w:val="001000000000" w:firstRow="0" w:lastRow="0" w:firstColumn="1" w:lastColumn="0" w:oddVBand="0" w:evenVBand="0" w:oddHBand="0" w:evenHBand="0" w:firstRowFirstColumn="0" w:firstRowLastColumn="0" w:lastRowFirstColumn="0" w:lastRowLastColumn="0"/>
            <w:tcW w:w="0" w:type="auto"/>
            <w:hideMark/>
          </w:tcPr>
          <w:p w14:paraId="67337036" w14:textId="421835B2" w:rsidR="002540F9" w:rsidRPr="00B56B9B" w:rsidRDefault="002540F9" w:rsidP="00B56B9B">
            <w:pPr>
              <w:jc w:val="left"/>
              <w:rPr>
                <w:b w:val="0"/>
              </w:rPr>
            </w:pPr>
            <w:r w:rsidRPr="00B56B9B">
              <w:rPr>
                <w:b w:val="0"/>
              </w:rPr>
              <w:t> Social</w:t>
            </w:r>
            <w:r w:rsidR="0007512A">
              <w:rPr>
                <w:b w:val="0"/>
              </w:rPr>
              <w:t xml:space="preserve"> </w:t>
            </w:r>
          </w:p>
        </w:tc>
        <w:tc>
          <w:tcPr>
            <w:tcW w:w="0" w:type="auto"/>
            <w:hideMark/>
          </w:tcPr>
          <w:p w14:paraId="3B64C712" w14:textId="73CFEB25" w:rsidR="002540F9" w:rsidRPr="00B56B9B" w:rsidRDefault="002540F9" w:rsidP="0007512A">
            <w:pPr>
              <w:jc w:val="left"/>
              <w:cnfStyle w:val="000000000000" w:firstRow="0" w:lastRow="0" w:firstColumn="0" w:lastColumn="0" w:oddVBand="0" w:evenVBand="0" w:oddHBand="0" w:evenHBand="0" w:firstRowFirstColumn="0" w:firstRowLastColumn="0" w:lastRowFirstColumn="0" w:lastRowLastColumn="0"/>
            </w:pPr>
            <w:r w:rsidRPr="00B56B9B">
              <w:t xml:space="preserve">Short-term interruptions in </w:t>
            </w:r>
            <w:r w:rsidR="0007512A">
              <w:t xml:space="preserve">cultural services/ benefits </w:t>
            </w:r>
            <w:r w:rsidR="0007512A">
              <w:lastRenderedPageBreak/>
              <w:t xml:space="preserve">(days), perceived benefits </w:t>
            </w:r>
            <w:r w:rsidRPr="00B56B9B">
              <w:t>unaltered.</w:t>
            </w:r>
          </w:p>
        </w:tc>
        <w:tc>
          <w:tcPr>
            <w:tcW w:w="0" w:type="auto"/>
            <w:hideMark/>
          </w:tcPr>
          <w:p w14:paraId="2435D642" w14:textId="2AE8F4A4" w:rsidR="002540F9" w:rsidRPr="00B56B9B" w:rsidRDefault="0007512A" w:rsidP="0007512A">
            <w:pPr>
              <w:jc w:val="left"/>
              <w:cnfStyle w:val="000000000000" w:firstRow="0" w:lastRow="0" w:firstColumn="0" w:lastColumn="0" w:oddVBand="0" w:evenVBand="0" w:oddHBand="0" w:evenHBand="0" w:firstRowFirstColumn="0" w:firstRowLastColumn="0" w:lastRowFirstColumn="0" w:lastRowLastColumn="0"/>
            </w:pPr>
            <w:r>
              <w:lastRenderedPageBreak/>
              <w:t>Cultural services/benefits</w:t>
            </w:r>
            <w:r w:rsidRPr="00B56B9B">
              <w:t xml:space="preserve"> </w:t>
            </w:r>
            <w:r w:rsidR="002540F9" w:rsidRPr="00B56B9B">
              <w:t xml:space="preserve">restricted and perceptions of </w:t>
            </w:r>
            <w:r>
              <w:t>benefits</w:t>
            </w:r>
            <w:r w:rsidR="002540F9" w:rsidRPr="00B56B9B">
              <w:t xml:space="preserve"> altered in a </w:t>
            </w:r>
            <w:r w:rsidR="002540F9" w:rsidRPr="00B56B9B">
              <w:lastRenderedPageBreak/>
              <w:t>localised area for short-term (&lt; 1 year)</w:t>
            </w:r>
          </w:p>
        </w:tc>
        <w:tc>
          <w:tcPr>
            <w:tcW w:w="0" w:type="auto"/>
            <w:hideMark/>
          </w:tcPr>
          <w:p w14:paraId="406957DA" w14:textId="35C98FE5" w:rsidR="002540F9" w:rsidRPr="00B56B9B" w:rsidRDefault="0007512A" w:rsidP="0007512A">
            <w:pPr>
              <w:jc w:val="left"/>
              <w:cnfStyle w:val="000000000000" w:firstRow="0" w:lastRow="0" w:firstColumn="0" w:lastColumn="0" w:oddVBand="0" w:evenVBand="0" w:oddHBand="0" w:evenHBand="0" w:firstRowFirstColumn="0" w:firstRowLastColumn="0" w:lastRowFirstColumn="0" w:lastRowLastColumn="0"/>
            </w:pPr>
            <w:r>
              <w:lastRenderedPageBreak/>
              <w:t>Cultural services/benefits</w:t>
            </w:r>
            <w:r w:rsidRPr="00B56B9B">
              <w:t xml:space="preserve"> </w:t>
            </w:r>
            <w:r w:rsidR="002540F9" w:rsidRPr="00B56B9B">
              <w:t xml:space="preserve">restricted and perceptions of </w:t>
            </w:r>
            <w:r>
              <w:t>benefits</w:t>
            </w:r>
            <w:r w:rsidR="002540F9" w:rsidRPr="00B56B9B">
              <w:t xml:space="preserve"> altered in a localised area for &gt; 1 year.</w:t>
            </w:r>
          </w:p>
        </w:tc>
        <w:tc>
          <w:tcPr>
            <w:tcW w:w="0" w:type="auto"/>
            <w:hideMark/>
          </w:tcPr>
          <w:p w14:paraId="245C10AD" w14:textId="1F92194A" w:rsidR="002540F9" w:rsidRPr="00B56B9B" w:rsidRDefault="002540F9" w:rsidP="0007512A">
            <w:pPr>
              <w:jc w:val="left"/>
              <w:cnfStyle w:val="000000000000" w:firstRow="0" w:lastRow="0" w:firstColumn="0" w:lastColumn="0" w:oddVBand="0" w:evenVBand="0" w:oddHBand="0" w:evenHBand="0" w:firstRowFirstColumn="0" w:firstRowLastColumn="0" w:lastRowFirstColumn="0" w:lastRowLastColumn="0"/>
            </w:pPr>
            <w:r w:rsidRPr="00B56B9B">
              <w:t xml:space="preserve">Long-term disruption to </w:t>
            </w:r>
            <w:r w:rsidR="0007512A">
              <w:t>Cultural services/benefits</w:t>
            </w:r>
            <w:r w:rsidR="0007512A" w:rsidRPr="00B56B9B">
              <w:t xml:space="preserve"> </w:t>
            </w:r>
            <w:r w:rsidRPr="00B56B9B">
              <w:t xml:space="preserve">and perceptions of </w:t>
            </w:r>
            <w:r w:rsidR="0007512A">
              <w:t>benefits</w:t>
            </w:r>
            <w:r w:rsidRPr="00B56B9B">
              <w:t xml:space="preserve"> </w:t>
            </w:r>
            <w:r w:rsidRPr="00B56B9B">
              <w:lastRenderedPageBreak/>
              <w:t>altered at a regional scale for 1 to 5 years.</w:t>
            </w:r>
          </w:p>
        </w:tc>
        <w:tc>
          <w:tcPr>
            <w:tcW w:w="0" w:type="auto"/>
            <w:hideMark/>
          </w:tcPr>
          <w:p w14:paraId="7AF88573" w14:textId="19D0094C" w:rsidR="002540F9" w:rsidRPr="00B56B9B" w:rsidRDefault="002540F9" w:rsidP="0007512A">
            <w:pPr>
              <w:jc w:val="left"/>
              <w:cnfStyle w:val="000000000000" w:firstRow="0" w:lastRow="0" w:firstColumn="0" w:lastColumn="0" w:oddVBand="0" w:evenVBand="0" w:oddHBand="0" w:evenHBand="0" w:firstRowFirstColumn="0" w:firstRowLastColumn="0" w:lastRowFirstColumn="0" w:lastRowLastColumn="0"/>
            </w:pPr>
            <w:r w:rsidRPr="00B56B9B">
              <w:lastRenderedPageBreak/>
              <w:t xml:space="preserve">Long-term disruption to </w:t>
            </w:r>
            <w:r w:rsidR="0007512A">
              <w:t>cultural services/ benefits</w:t>
            </w:r>
            <w:r w:rsidRPr="00B56B9B">
              <w:t xml:space="preserve"> and perceptions of </w:t>
            </w:r>
            <w:r w:rsidR="0007512A">
              <w:t>benefits</w:t>
            </w:r>
            <w:r w:rsidRPr="00B56B9B">
              <w:t xml:space="preserve"> </w:t>
            </w:r>
            <w:r w:rsidRPr="00B56B9B">
              <w:lastRenderedPageBreak/>
              <w:t xml:space="preserve">altered </w:t>
            </w:r>
            <w:r w:rsidR="0007512A">
              <w:t xml:space="preserve">at </w:t>
            </w:r>
            <w:r w:rsidRPr="00B56B9B">
              <w:t>a regional scale for &gt; 5 years.</w:t>
            </w:r>
          </w:p>
        </w:tc>
      </w:tr>
      <w:tr w:rsidR="00066A10" w:rsidRPr="00B56B9B" w14:paraId="568BE3D0" w14:textId="77777777" w:rsidTr="00D87458">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0" w:type="auto"/>
            <w:hideMark/>
          </w:tcPr>
          <w:p w14:paraId="344FAA36" w14:textId="77777777" w:rsidR="002540F9" w:rsidRPr="00B56B9B" w:rsidRDefault="002540F9" w:rsidP="00B56B9B">
            <w:pPr>
              <w:jc w:val="left"/>
              <w:rPr>
                <w:b w:val="0"/>
              </w:rPr>
            </w:pPr>
            <w:r w:rsidRPr="00B56B9B">
              <w:rPr>
                <w:b w:val="0"/>
              </w:rPr>
              <w:lastRenderedPageBreak/>
              <w:t>Economic</w:t>
            </w:r>
          </w:p>
        </w:tc>
        <w:tc>
          <w:tcPr>
            <w:tcW w:w="0" w:type="auto"/>
            <w:hideMark/>
          </w:tcPr>
          <w:p w14:paraId="6F419E66" w14:textId="7B342B40" w:rsidR="002540F9" w:rsidRPr="00B56B9B" w:rsidRDefault="002540F9" w:rsidP="0007512A">
            <w:pPr>
              <w:jc w:val="left"/>
              <w:cnfStyle w:val="000000100000" w:firstRow="0" w:lastRow="0" w:firstColumn="0" w:lastColumn="0" w:oddVBand="0" w:evenVBand="0" w:oddHBand="1" w:evenHBand="0" w:firstRowFirstColumn="0" w:firstRowLastColumn="0" w:lastRowFirstColumn="0" w:lastRowLastColumn="0"/>
            </w:pPr>
            <w:r w:rsidRPr="00B56B9B">
              <w:t xml:space="preserve">No measurable reduction in </w:t>
            </w:r>
            <w:r w:rsidR="0007512A">
              <w:t>provisioning services</w:t>
            </w:r>
            <w:r w:rsidRPr="00B56B9B">
              <w:t xml:space="preserve"> beyond historical variability. No effect on local and regional businesses.</w:t>
            </w:r>
          </w:p>
        </w:tc>
        <w:tc>
          <w:tcPr>
            <w:tcW w:w="0" w:type="auto"/>
            <w:hideMark/>
          </w:tcPr>
          <w:p w14:paraId="4366A584" w14:textId="3E1B313B" w:rsidR="002540F9" w:rsidRPr="00B56B9B" w:rsidRDefault="002540F9" w:rsidP="00B56B9B">
            <w:pPr>
              <w:jc w:val="left"/>
              <w:cnfStyle w:val="000000100000" w:firstRow="0" w:lastRow="0" w:firstColumn="0" w:lastColumn="0" w:oddVBand="0" w:evenVBand="0" w:oddHBand="1" w:evenHBand="0" w:firstRowFirstColumn="0" w:firstRowLastColumn="0" w:lastRowFirstColumn="0" w:lastRowLastColumn="0"/>
            </w:pPr>
            <w:r w:rsidRPr="00B56B9B">
              <w:t xml:space="preserve">Measureable reduction (&lt;5 percent) in local </w:t>
            </w:r>
            <w:r w:rsidR="0007512A">
              <w:t>provisioning services</w:t>
            </w:r>
            <w:r w:rsidR="0007512A" w:rsidRPr="00B56B9B">
              <w:t xml:space="preserve"> </w:t>
            </w:r>
            <w:r w:rsidRPr="00B56B9B">
              <w:t>and or local economy. Effects lasting &lt; 1 year</w:t>
            </w:r>
          </w:p>
        </w:tc>
        <w:tc>
          <w:tcPr>
            <w:tcW w:w="0" w:type="auto"/>
            <w:hideMark/>
          </w:tcPr>
          <w:p w14:paraId="53E89989" w14:textId="0FC5151B" w:rsidR="002540F9" w:rsidRPr="00B56B9B" w:rsidRDefault="002540F9" w:rsidP="00B56B9B">
            <w:pPr>
              <w:jc w:val="left"/>
              <w:cnfStyle w:val="000000100000" w:firstRow="0" w:lastRow="0" w:firstColumn="0" w:lastColumn="0" w:oddVBand="0" w:evenVBand="0" w:oddHBand="1" w:evenHBand="0" w:firstRowFirstColumn="0" w:firstRowLastColumn="0" w:lastRowFirstColumn="0" w:lastRowLastColumn="0"/>
            </w:pPr>
            <w:r w:rsidRPr="00B56B9B">
              <w:t xml:space="preserve">Significant reduction (5 - 30 percent) in </w:t>
            </w:r>
            <w:r w:rsidR="0007512A">
              <w:t>provisioning services</w:t>
            </w:r>
            <w:r w:rsidRPr="00B56B9B">
              <w:t xml:space="preserve"> or local economy, effects lasting &lt; 1 year.</w:t>
            </w:r>
          </w:p>
        </w:tc>
        <w:tc>
          <w:tcPr>
            <w:tcW w:w="0" w:type="auto"/>
            <w:hideMark/>
          </w:tcPr>
          <w:p w14:paraId="1D56FBC8" w14:textId="79B462F7" w:rsidR="002540F9" w:rsidRPr="00B56B9B" w:rsidRDefault="002540F9" w:rsidP="00B56B9B">
            <w:pPr>
              <w:jc w:val="left"/>
              <w:cnfStyle w:val="000000100000" w:firstRow="0" w:lastRow="0" w:firstColumn="0" w:lastColumn="0" w:oddVBand="0" w:evenVBand="0" w:oddHBand="1" w:evenHBand="0" w:firstRowFirstColumn="0" w:firstRowLastColumn="0" w:lastRowFirstColumn="0" w:lastRowLastColumn="0"/>
            </w:pPr>
            <w:r w:rsidRPr="00B56B9B">
              <w:t xml:space="preserve">Significant reduction (5 - 30 percent) in </w:t>
            </w:r>
            <w:r w:rsidR="0007512A">
              <w:t>provisioning services</w:t>
            </w:r>
            <w:r w:rsidRPr="00B56B9B">
              <w:t xml:space="preserve"> or local economy, effects lasting 1 - 5 years.</w:t>
            </w:r>
          </w:p>
        </w:tc>
        <w:tc>
          <w:tcPr>
            <w:tcW w:w="0" w:type="auto"/>
            <w:hideMark/>
          </w:tcPr>
          <w:p w14:paraId="2D05E76C" w14:textId="3FAC43E2" w:rsidR="002540F9" w:rsidRPr="00B56B9B" w:rsidRDefault="002540F9" w:rsidP="00B56B9B">
            <w:pPr>
              <w:jc w:val="left"/>
              <w:cnfStyle w:val="000000100000" w:firstRow="0" w:lastRow="0" w:firstColumn="0" w:lastColumn="0" w:oddVBand="0" w:evenVBand="0" w:oddHBand="1" w:evenHBand="0" w:firstRowFirstColumn="0" w:firstRowLastColumn="0" w:lastRowFirstColumn="0" w:lastRowLastColumn="0"/>
            </w:pPr>
            <w:r w:rsidRPr="00B56B9B">
              <w:t xml:space="preserve">Significant reduction &gt; 30 percent) in </w:t>
            </w:r>
            <w:r w:rsidR="0007512A">
              <w:t>provisioning services</w:t>
            </w:r>
            <w:r w:rsidR="0007512A" w:rsidRPr="00B56B9B">
              <w:t xml:space="preserve"> </w:t>
            </w:r>
            <w:r w:rsidRPr="00B56B9B">
              <w:t>or regional economy, with effects lasting &gt; 5 years.</w:t>
            </w:r>
          </w:p>
        </w:tc>
      </w:tr>
      <w:tr w:rsidR="00066A10" w:rsidRPr="00B56B9B" w14:paraId="2C62A209" w14:textId="77777777" w:rsidTr="00D87458">
        <w:trPr>
          <w:trHeight w:val="980"/>
        </w:trPr>
        <w:tc>
          <w:tcPr>
            <w:cnfStyle w:val="001000000000" w:firstRow="0" w:lastRow="0" w:firstColumn="1" w:lastColumn="0" w:oddVBand="0" w:evenVBand="0" w:oddHBand="0" w:evenHBand="0" w:firstRowFirstColumn="0" w:firstRowLastColumn="0" w:lastRowFirstColumn="0" w:lastRowLastColumn="0"/>
            <w:tcW w:w="0" w:type="auto"/>
          </w:tcPr>
          <w:p w14:paraId="60FF3847" w14:textId="5EEF05FD" w:rsidR="00066A10" w:rsidRPr="00066A10" w:rsidRDefault="00066A10" w:rsidP="00B56B9B">
            <w:pPr>
              <w:jc w:val="left"/>
              <w:rPr>
                <w:b w:val="0"/>
              </w:rPr>
            </w:pPr>
            <w:r w:rsidRPr="00066A10">
              <w:rPr>
                <w:b w:val="0"/>
              </w:rPr>
              <w:t xml:space="preserve">Cultural </w:t>
            </w:r>
          </w:p>
        </w:tc>
        <w:tc>
          <w:tcPr>
            <w:tcW w:w="0" w:type="auto"/>
          </w:tcPr>
          <w:p w14:paraId="3A1EE5AB" w14:textId="564B3417" w:rsidR="00066A10" w:rsidRPr="00B56B9B" w:rsidRDefault="00066A10" w:rsidP="00066A10">
            <w:pPr>
              <w:jc w:val="left"/>
              <w:cnfStyle w:val="000000000000" w:firstRow="0" w:lastRow="0" w:firstColumn="0" w:lastColumn="0" w:oddVBand="0" w:evenVBand="0" w:oddHBand="0" w:evenHBand="0" w:firstRowFirstColumn="0" w:firstRowLastColumn="0" w:lastRowFirstColumn="0" w:lastRowLastColumn="0"/>
            </w:pPr>
            <w:r w:rsidRPr="00066A10">
              <w:t xml:space="preserve">No measurable negative impact on social benefits, cultural heritage, or wellbeing. No limitations on access to country and or resources for cultural heritage purposes. </w:t>
            </w:r>
            <w:r>
              <w:t>Traditional owner</w:t>
            </w:r>
            <w:r w:rsidRPr="00066A10">
              <w:t xml:space="preserve"> rights acknowledged and taken into consideration in management of country. </w:t>
            </w:r>
            <w:r w:rsidRPr="00066A10">
              <w:tab/>
            </w:r>
            <w:r w:rsidRPr="00066A10">
              <w:tab/>
            </w:r>
          </w:p>
        </w:tc>
        <w:tc>
          <w:tcPr>
            <w:tcW w:w="0" w:type="auto"/>
          </w:tcPr>
          <w:p w14:paraId="4E5D9DD9" w14:textId="261D5C22" w:rsidR="00066A10" w:rsidRPr="00B56B9B" w:rsidRDefault="00066A10" w:rsidP="00B56B9B">
            <w:pPr>
              <w:jc w:val="left"/>
              <w:cnfStyle w:val="000000000000" w:firstRow="0" w:lastRow="0" w:firstColumn="0" w:lastColumn="0" w:oddVBand="0" w:evenVBand="0" w:oddHBand="0" w:evenHBand="0" w:firstRowFirstColumn="0" w:firstRowLastColumn="0" w:lastRowFirstColumn="0" w:lastRowLastColumn="0"/>
            </w:pPr>
            <w:r w:rsidRPr="00066A10">
              <w:t xml:space="preserve">Barely discernible and or/temporary negative impact on social benefits, cultural heritage, or wellbeing. Some limitations on access to country in some areas and/or resources for cultural heritage purposes. Limitations only short term (&lt; 6 months). </w:t>
            </w:r>
            <w:r>
              <w:t>Traditional owner</w:t>
            </w:r>
            <w:r w:rsidRPr="00066A10">
              <w:t xml:space="preserve"> rights acknowledged and taken into consideration in management of country.</w:t>
            </w:r>
          </w:p>
        </w:tc>
        <w:tc>
          <w:tcPr>
            <w:tcW w:w="0" w:type="auto"/>
          </w:tcPr>
          <w:p w14:paraId="787D67AB" w14:textId="558491BE" w:rsidR="00066A10" w:rsidRPr="00B56B9B" w:rsidRDefault="00066A10" w:rsidP="00B56B9B">
            <w:pPr>
              <w:jc w:val="left"/>
              <w:cnfStyle w:val="000000000000" w:firstRow="0" w:lastRow="0" w:firstColumn="0" w:lastColumn="0" w:oddVBand="0" w:evenVBand="0" w:oddHBand="0" w:evenHBand="0" w:firstRowFirstColumn="0" w:firstRowLastColumn="0" w:lastRowFirstColumn="0" w:lastRowLastColumn="0"/>
            </w:pPr>
            <w:r w:rsidRPr="00066A10">
              <w:t xml:space="preserve">Detectable negative impact on social benefits, cultural heritage, or wellbeing but without long lasting effects. Access to country more limited in some areas and/or resources for cultural heritage purposes also limited. Limitations lasting 1-2 years. </w:t>
            </w:r>
            <w:r>
              <w:t>Traditional owner</w:t>
            </w:r>
            <w:r w:rsidRPr="00066A10">
              <w:t xml:space="preserve"> rights acknowledged and but not engaged in management of country.</w:t>
            </w:r>
            <w:r w:rsidRPr="00066A10">
              <w:tab/>
            </w:r>
          </w:p>
        </w:tc>
        <w:tc>
          <w:tcPr>
            <w:tcW w:w="0" w:type="auto"/>
          </w:tcPr>
          <w:p w14:paraId="7DFF0327" w14:textId="511D54D3" w:rsidR="00066A10" w:rsidRPr="00B56B9B" w:rsidRDefault="00066A10" w:rsidP="00B56B9B">
            <w:pPr>
              <w:jc w:val="left"/>
              <w:cnfStyle w:val="000000000000" w:firstRow="0" w:lastRow="0" w:firstColumn="0" w:lastColumn="0" w:oddVBand="0" w:evenVBand="0" w:oddHBand="0" w:evenHBand="0" w:firstRowFirstColumn="0" w:firstRowLastColumn="0" w:lastRowFirstColumn="0" w:lastRowLastColumn="0"/>
            </w:pPr>
            <w:r w:rsidRPr="00066A10">
              <w:t xml:space="preserve">Significant negative impact on social benefits, cultural heritage, or wellbeing lasting for 6 to 10 years. Considerable limitations on access to country in majority of areas and/or access to resources for cultural heritage purposes.  </w:t>
            </w:r>
            <w:r>
              <w:t>Traditional owner</w:t>
            </w:r>
            <w:r w:rsidRPr="00066A10">
              <w:t xml:space="preserve"> rights only partly acknowledged and not taken into consideration in management of country. </w:t>
            </w:r>
            <w:r w:rsidRPr="00066A10">
              <w:tab/>
            </w:r>
          </w:p>
        </w:tc>
        <w:tc>
          <w:tcPr>
            <w:tcW w:w="0" w:type="auto"/>
          </w:tcPr>
          <w:p w14:paraId="3B28EEEC" w14:textId="6FC8E2B4" w:rsidR="00066A10" w:rsidRPr="00B56B9B" w:rsidRDefault="00066A10" w:rsidP="00B56B9B">
            <w:pPr>
              <w:jc w:val="left"/>
              <w:cnfStyle w:val="000000000000" w:firstRow="0" w:lastRow="0" w:firstColumn="0" w:lastColumn="0" w:oddVBand="0" w:evenVBand="0" w:oddHBand="0" w:evenHBand="0" w:firstRowFirstColumn="0" w:firstRowLastColumn="0" w:lastRowFirstColumn="0" w:lastRowLastColumn="0"/>
            </w:pPr>
            <w:r w:rsidRPr="00066A10">
              <w:t>Sustained, long term negative impact on social benefits, cultural values, or wellbeing. Complete loss of access to country or resources for cultural heritage purposes. Loss of ability to conduct intergenerational knowledge transfer, destruction of spiritually significant locations.</w:t>
            </w:r>
            <w:r>
              <w:t xml:space="preserve"> Traditional owner</w:t>
            </w:r>
            <w:r w:rsidRPr="00066A10">
              <w:t xml:space="preserve"> rights ignored and actively excluded from consideration of management of country.</w:t>
            </w:r>
          </w:p>
        </w:tc>
      </w:tr>
    </w:tbl>
    <w:p w14:paraId="5664E10A" w14:textId="77777777" w:rsidR="00B56B9B" w:rsidRDefault="00B56B9B" w:rsidP="00B56B9B"/>
    <w:p w14:paraId="7FF429B4" w14:textId="54F0CC4F" w:rsidR="00B350BC" w:rsidRDefault="00B350BC">
      <w:r>
        <w:br w:type="page"/>
      </w:r>
    </w:p>
    <w:p w14:paraId="34DADE86" w14:textId="77777777" w:rsidR="00B350BC" w:rsidRDefault="00B350BC" w:rsidP="00B56B9B"/>
    <w:p w14:paraId="22A94971" w14:textId="29AA0755" w:rsidR="00402A9E" w:rsidRDefault="00402A9E" w:rsidP="00402A9E">
      <w:pPr>
        <w:pStyle w:val="Caption"/>
      </w:pPr>
      <w:bookmarkStart w:id="69" w:name="_Ref479028804"/>
      <w:r>
        <w:t xml:space="preserve">Table </w:t>
      </w:r>
      <w:fldSimple w:instr=" SEQ Table \* ARABIC ">
        <w:r w:rsidR="005F359C">
          <w:rPr>
            <w:noProof/>
          </w:rPr>
          <w:t>12</w:t>
        </w:r>
      </w:fldSimple>
      <w:bookmarkEnd w:id="69"/>
      <w:r>
        <w:t>: Likelihood and Consequence scoring matrix.</w:t>
      </w:r>
      <w:r w:rsidR="0050757B">
        <w:t xml:space="preserve"> Light green = Low risk, Yellow = Moderate risk, Red = High risk.</w:t>
      </w:r>
    </w:p>
    <w:tbl>
      <w:tblPr>
        <w:tblW w:w="5000" w:type="pct"/>
        <w:tblBorders>
          <w:top w:val="single" w:sz="4" w:space="0" w:color="9CBEBD" w:themeColor="accent2"/>
          <w:left w:val="single" w:sz="4" w:space="0" w:color="9CBEBD" w:themeColor="accent2"/>
          <w:bottom w:val="single" w:sz="4" w:space="0" w:color="9CBEBD" w:themeColor="accent2"/>
          <w:right w:val="single" w:sz="4" w:space="0" w:color="9CBEBD" w:themeColor="accent2"/>
          <w:insideH w:val="single" w:sz="4" w:space="0" w:color="9CBEBD" w:themeColor="accent2"/>
          <w:insideV w:val="single" w:sz="4" w:space="0" w:color="9CBEBD" w:themeColor="accent2"/>
        </w:tblBorders>
        <w:tblCellMar>
          <w:top w:w="34" w:type="dxa"/>
        </w:tblCellMar>
        <w:tblLook w:val="00A0" w:firstRow="1" w:lastRow="0" w:firstColumn="1" w:lastColumn="0" w:noHBand="0" w:noVBand="0"/>
      </w:tblPr>
      <w:tblGrid>
        <w:gridCol w:w="2712"/>
        <w:gridCol w:w="516"/>
        <w:gridCol w:w="1962"/>
        <w:gridCol w:w="2135"/>
        <w:gridCol w:w="2417"/>
        <w:gridCol w:w="2199"/>
        <w:gridCol w:w="2012"/>
      </w:tblGrid>
      <w:tr w:rsidR="00402A9E" w:rsidRPr="00402A9E" w14:paraId="1E8E53C2" w14:textId="77777777" w:rsidTr="00402A9E">
        <w:trPr>
          <w:trHeight w:val="261"/>
        </w:trPr>
        <w:tc>
          <w:tcPr>
            <w:tcW w:w="1157" w:type="pct"/>
            <w:gridSpan w:val="2"/>
            <w:tcBorders>
              <w:top w:val="nil"/>
              <w:left w:val="nil"/>
            </w:tcBorders>
            <w:shd w:val="clear" w:color="000000" w:fill="FFFFFF"/>
            <w:noWrap/>
            <w:vAlign w:val="bottom"/>
          </w:tcPr>
          <w:p w14:paraId="1037D234" w14:textId="77777777" w:rsidR="00402A9E" w:rsidRPr="00402A9E" w:rsidRDefault="00402A9E" w:rsidP="00402A9E">
            <w:r w:rsidRPr="00402A9E">
              <w:t> </w:t>
            </w:r>
          </w:p>
        </w:tc>
        <w:tc>
          <w:tcPr>
            <w:tcW w:w="3843" w:type="pct"/>
            <w:gridSpan w:val="5"/>
            <w:shd w:val="clear" w:color="auto" w:fill="848057" w:themeFill="accent1" w:themeFillShade="BF"/>
            <w:noWrap/>
            <w:vAlign w:val="bottom"/>
          </w:tcPr>
          <w:p w14:paraId="4887D8A0" w14:textId="77777777" w:rsidR="00402A9E" w:rsidRPr="00402A9E" w:rsidRDefault="00402A9E" w:rsidP="00EF1EC4">
            <w:pPr>
              <w:rPr>
                <w:rFonts w:asciiTheme="minorHAnsi" w:hAnsiTheme="minorHAnsi" w:cstheme="minorHAnsi"/>
                <w:b/>
              </w:rPr>
            </w:pPr>
            <w:r w:rsidRPr="00402A9E">
              <w:rPr>
                <w:rFonts w:asciiTheme="minorHAnsi" w:hAnsiTheme="minorHAnsi" w:cstheme="minorHAnsi"/>
                <w:b/>
                <w:color w:val="FFFFFF" w:themeColor="background1"/>
              </w:rPr>
              <w:t>CONSEQUENCE</w:t>
            </w:r>
          </w:p>
        </w:tc>
      </w:tr>
      <w:tr w:rsidR="00402A9E" w:rsidRPr="00402A9E" w14:paraId="4DEBE1AB" w14:textId="77777777" w:rsidTr="00402A9E">
        <w:trPr>
          <w:trHeight w:val="275"/>
        </w:trPr>
        <w:tc>
          <w:tcPr>
            <w:tcW w:w="1157" w:type="pct"/>
            <w:gridSpan w:val="2"/>
            <w:vMerge w:val="restart"/>
            <w:shd w:val="clear" w:color="auto" w:fill="ACA287" w:themeFill="text2" w:themeFillTint="99"/>
            <w:noWrap/>
            <w:vAlign w:val="bottom"/>
          </w:tcPr>
          <w:p w14:paraId="553006F4" w14:textId="77777777" w:rsidR="00402A9E" w:rsidRPr="00402A9E" w:rsidRDefault="00402A9E" w:rsidP="00EF1EC4">
            <w:pPr>
              <w:rPr>
                <w:rFonts w:asciiTheme="minorHAnsi" w:hAnsiTheme="minorHAnsi" w:cstheme="minorHAnsi"/>
                <w:b/>
              </w:rPr>
            </w:pPr>
            <w:r w:rsidRPr="00402A9E">
              <w:rPr>
                <w:rFonts w:asciiTheme="minorHAnsi" w:hAnsiTheme="minorHAnsi" w:cstheme="minorHAnsi"/>
                <w:b/>
                <w:color w:val="FFFFFF" w:themeColor="background1"/>
              </w:rPr>
              <w:t>LIKELIHOOD</w:t>
            </w:r>
          </w:p>
        </w:tc>
        <w:tc>
          <w:tcPr>
            <w:tcW w:w="703" w:type="pct"/>
            <w:shd w:val="clear" w:color="auto" w:fill="EDECE4" w:themeFill="accent1" w:themeFillTint="33"/>
            <w:vAlign w:val="bottom"/>
          </w:tcPr>
          <w:p w14:paraId="2E879170" w14:textId="77777777" w:rsidR="00402A9E" w:rsidRPr="00402A9E" w:rsidRDefault="00402A9E" w:rsidP="00EF1EC4">
            <w:pPr>
              <w:pStyle w:val="Table"/>
              <w:jc w:val="center"/>
              <w:rPr>
                <w:rFonts w:asciiTheme="minorHAnsi" w:hAnsiTheme="minorHAnsi" w:cstheme="minorHAnsi"/>
                <w:b/>
                <w:szCs w:val="20"/>
              </w:rPr>
            </w:pPr>
            <w:r w:rsidRPr="00402A9E">
              <w:rPr>
                <w:rFonts w:asciiTheme="minorHAnsi" w:hAnsiTheme="minorHAnsi" w:cstheme="minorHAnsi"/>
                <w:b/>
                <w:szCs w:val="20"/>
              </w:rPr>
              <w:t>Insignificant</w:t>
            </w:r>
          </w:p>
        </w:tc>
        <w:tc>
          <w:tcPr>
            <w:tcW w:w="765" w:type="pct"/>
            <w:shd w:val="clear" w:color="auto" w:fill="EDECE4" w:themeFill="accent1" w:themeFillTint="33"/>
            <w:vAlign w:val="bottom"/>
          </w:tcPr>
          <w:p w14:paraId="21E34484" w14:textId="77777777" w:rsidR="00402A9E" w:rsidRPr="00402A9E" w:rsidRDefault="00402A9E" w:rsidP="00EF1EC4">
            <w:pPr>
              <w:pStyle w:val="Table"/>
              <w:jc w:val="center"/>
              <w:rPr>
                <w:rFonts w:asciiTheme="minorHAnsi" w:hAnsiTheme="minorHAnsi" w:cstheme="minorHAnsi"/>
                <w:b/>
                <w:szCs w:val="20"/>
              </w:rPr>
            </w:pPr>
            <w:r w:rsidRPr="00402A9E">
              <w:rPr>
                <w:rFonts w:asciiTheme="minorHAnsi" w:hAnsiTheme="minorHAnsi" w:cstheme="minorHAnsi"/>
                <w:b/>
                <w:szCs w:val="20"/>
              </w:rPr>
              <w:t>Minor</w:t>
            </w:r>
          </w:p>
        </w:tc>
        <w:tc>
          <w:tcPr>
            <w:tcW w:w="866" w:type="pct"/>
            <w:shd w:val="clear" w:color="auto" w:fill="EDECE4" w:themeFill="accent1" w:themeFillTint="33"/>
            <w:vAlign w:val="bottom"/>
          </w:tcPr>
          <w:p w14:paraId="26C832BA" w14:textId="77777777" w:rsidR="00402A9E" w:rsidRPr="00402A9E" w:rsidRDefault="00402A9E" w:rsidP="00EF1EC4">
            <w:pPr>
              <w:pStyle w:val="Table"/>
              <w:jc w:val="center"/>
              <w:rPr>
                <w:rFonts w:asciiTheme="minorHAnsi" w:hAnsiTheme="minorHAnsi" w:cstheme="minorHAnsi"/>
                <w:b/>
                <w:szCs w:val="20"/>
              </w:rPr>
            </w:pPr>
            <w:r w:rsidRPr="00402A9E">
              <w:rPr>
                <w:rFonts w:asciiTheme="minorHAnsi" w:hAnsiTheme="minorHAnsi" w:cstheme="minorHAnsi"/>
                <w:b/>
                <w:szCs w:val="20"/>
              </w:rPr>
              <w:t>Moderate</w:t>
            </w:r>
          </w:p>
        </w:tc>
        <w:tc>
          <w:tcPr>
            <w:tcW w:w="788" w:type="pct"/>
            <w:shd w:val="clear" w:color="auto" w:fill="EDECE4" w:themeFill="accent1" w:themeFillTint="33"/>
            <w:vAlign w:val="bottom"/>
          </w:tcPr>
          <w:p w14:paraId="694EDAF1" w14:textId="77777777" w:rsidR="00402A9E" w:rsidRPr="00402A9E" w:rsidRDefault="00402A9E" w:rsidP="00EF1EC4">
            <w:pPr>
              <w:pStyle w:val="Table"/>
              <w:jc w:val="center"/>
              <w:rPr>
                <w:rFonts w:asciiTheme="minorHAnsi" w:hAnsiTheme="minorHAnsi" w:cstheme="minorHAnsi"/>
                <w:b/>
                <w:szCs w:val="20"/>
              </w:rPr>
            </w:pPr>
            <w:r w:rsidRPr="00402A9E">
              <w:rPr>
                <w:rFonts w:asciiTheme="minorHAnsi" w:hAnsiTheme="minorHAnsi" w:cstheme="minorHAnsi"/>
                <w:b/>
                <w:szCs w:val="20"/>
              </w:rPr>
              <w:t xml:space="preserve">Major </w:t>
            </w:r>
          </w:p>
        </w:tc>
        <w:tc>
          <w:tcPr>
            <w:tcW w:w="721" w:type="pct"/>
            <w:shd w:val="clear" w:color="auto" w:fill="EDECE4" w:themeFill="accent1" w:themeFillTint="33"/>
            <w:vAlign w:val="bottom"/>
          </w:tcPr>
          <w:p w14:paraId="1132336F" w14:textId="77777777" w:rsidR="00402A9E" w:rsidRPr="00402A9E" w:rsidRDefault="00402A9E" w:rsidP="00EF1EC4">
            <w:pPr>
              <w:pStyle w:val="Table"/>
              <w:jc w:val="center"/>
              <w:rPr>
                <w:rFonts w:asciiTheme="minorHAnsi" w:hAnsiTheme="minorHAnsi" w:cstheme="minorHAnsi"/>
                <w:b/>
                <w:szCs w:val="20"/>
              </w:rPr>
            </w:pPr>
            <w:r w:rsidRPr="00402A9E">
              <w:rPr>
                <w:rFonts w:asciiTheme="minorHAnsi" w:hAnsiTheme="minorHAnsi" w:cstheme="minorHAnsi"/>
                <w:b/>
                <w:szCs w:val="20"/>
              </w:rPr>
              <w:t>Catastrophic</w:t>
            </w:r>
          </w:p>
        </w:tc>
      </w:tr>
      <w:tr w:rsidR="00402A9E" w:rsidRPr="00402A9E" w14:paraId="51E77539" w14:textId="77777777" w:rsidTr="00402A9E">
        <w:trPr>
          <w:trHeight w:val="199"/>
        </w:trPr>
        <w:tc>
          <w:tcPr>
            <w:tcW w:w="1157" w:type="pct"/>
            <w:gridSpan w:val="2"/>
            <w:vMerge/>
            <w:shd w:val="clear" w:color="auto" w:fill="ACA287" w:themeFill="text2" w:themeFillTint="99"/>
            <w:noWrap/>
            <w:vAlign w:val="bottom"/>
          </w:tcPr>
          <w:p w14:paraId="6D3D4DBC" w14:textId="77777777" w:rsidR="00402A9E" w:rsidRPr="00402A9E" w:rsidRDefault="00402A9E" w:rsidP="00EF1EC4">
            <w:pPr>
              <w:pStyle w:val="Table"/>
              <w:jc w:val="center"/>
              <w:rPr>
                <w:rFonts w:asciiTheme="minorHAnsi" w:hAnsiTheme="minorHAnsi" w:cstheme="minorHAnsi"/>
                <w:szCs w:val="20"/>
              </w:rPr>
            </w:pPr>
          </w:p>
        </w:tc>
        <w:tc>
          <w:tcPr>
            <w:tcW w:w="703" w:type="pct"/>
            <w:shd w:val="clear" w:color="auto" w:fill="EDECE4" w:themeFill="accent1" w:themeFillTint="33"/>
            <w:vAlign w:val="bottom"/>
          </w:tcPr>
          <w:p w14:paraId="63DC25B9" w14:textId="77777777" w:rsidR="00402A9E" w:rsidRPr="00402A9E" w:rsidRDefault="00402A9E" w:rsidP="00EF1EC4">
            <w:pPr>
              <w:pStyle w:val="Table"/>
              <w:jc w:val="center"/>
              <w:rPr>
                <w:rFonts w:asciiTheme="minorHAnsi" w:hAnsiTheme="minorHAnsi" w:cstheme="minorHAnsi"/>
                <w:szCs w:val="20"/>
              </w:rPr>
            </w:pPr>
            <w:r w:rsidRPr="00402A9E">
              <w:rPr>
                <w:rFonts w:asciiTheme="minorHAnsi" w:hAnsiTheme="minorHAnsi" w:cstheme="minorHAnsi"/>
                <w:szCs w:val="20"/>
              </w:rPr>
              <w:t>1</w:t>
            </w:r>
          </w:p>
        </w:tc>
        <w:tc>
          <w:tcPr>
            <w:tcW w:w="765" w:type="pct"/>
            <w:shd w:val="clear" w:color="auto" w:fill="EDECE4" w:themeFill="accent1" w:themeFillTint="33"/>
            <w:vAlign w:val="bottom"/>
          </w:tcPr>
          <w:p w14:paraId="0FA010CA" w14:textId="77777777" w:rsidR="00402A9E" w:rsidRPr="00402A9E" w:rsidRDefault="00402A9E" w:rsidP="00EF1EC4">
            <w:pPr>
              <w:pStyle w:val="Table"/>
              <w:jc w:val="center"/>
              <w:rPr>
                <w:rFonts w:asciiTheme="minorHAnsi" w:hAnsiTheme="minorHAnsi" w:cstheme="minorHAnsi"/>
                <w:szCs w:val="20"/>
              </w:rPr>
            </w:pPr>
            <w:r w:rsidRPr="00402A9E">
              <w:rPr>
                <w:rFonts w:asciiTheme="minorHAnsi" w:hAnsiTheme="minorHAnsi" w:cstheme="minorHAnsi"/>
                <w:szCs w:val="20"/>
              </w:rPr>
              <w:t>2</w:t>
            </w:r>
          </w:p>
        </w:tc>
        <w:tc>
          <w:tcPr>
            <w:tcW w:w="866" w:type="pct"/>
            <w:shd w:val="clear" w:color="auto" w:fill="EDECE4" w:themeFill="accent1" w:themeFillTint="33"/>
            <w:vAlign w:val="bottom"/>
          </w:tcPr>
          <w:p w14:paraId="0AB0BC0D" w14:textId="77777777" w:rsidR="00402A9E" w:rsidRPr="00402A9E" w:rsidRDefault="00402A9E" w:rsidP="00EF1EC4">
            <w:pPr>
              <w:pStyle w:val="Table"/>
              <w:jc w:val="center"/>
              <w:rPr>
                <w:rFonts w:asciiTheme="minorHAnsi" w:hAnsiTheme="minorHAnsi" w:cstheme="minorHAnsi"/>
                <w:szCs w:val="20"/>
              </w:rPr>
            </w:pPr>
            <w:r w:rsidRPr="00402A9E">
              <w:rPr>
                <w:rFonts w:asciiTheme="minorHAnsi" w:hAnsiTheme="minorHAnsi" w:cstheme="minorHAnsi"/>
                <w:szCs w:val="20"/>
              </w:rPr>
              <w:t>3</w:t>
            </w:r>
          </w:p>
        </w:tc>
        <w:tc>
          <w:tcPr>
            <w:tcW w:w="788" w:type="pct"/>
            <w:shd w:val="clear" w:color="auto" w:fill="EDECE4" w:themeFill="accent1" w:themeFillTint="33"/>
            <w:vAlign w:val="bottom"/>
          </w:tcPr>
          <w:p w14:paraId="392AE7B6" w14:textId="77777777" w:rsidR="00402A9E" w:rsidRPr="00402A9E" w:rsidRDefault="00402A9E" w:rsidP="00EF1EC4">
            <w:pPr>
              <w:pStyle w:val="Table"/>
              <w:jc w:val="center"/>
              <w:rPr>
                <w:rFonts w:asciiTheme="minorHAnsi" w:hAnsiTheme="minorHAnsi" w:cstheme="minorHAnsi"/>
                <w:szCs w:val="20"/>
              </w:rPr>
            </w:pPr>
            <w:r w:rsidRPr="00402A9E">
              <w:rPr>
                <w:rFonts w:asciiTheme="minorHAnsi" w:hAnsiTheme="minorHAnsi" w:cstheme="minorHAnsi"/>
                <w:szCs w:val="20"/>
              </w:rPr>
              <w:t>4</w:t>
            </w:r>
          </w:p>
        </w:tc>
        <w:tc>
          <w:tcPr>
            <w:tcW w:w="721" w:type="pct"/>
            <w:shd w:val="clear" w:color="auto" w:fill="EDECE4" w:themeFill="accent1" w:themeFillTint="33"/>
            <w:vAlign w:val="bottom"/>
          </w:tcPr>
          <w:p w14:paraId="3E07F24E" w14:textId="77777777" w:rsidR="00402A9E" w:rsidRPr="00402A9E" w:rsidRDefault="00402A9E" w:rsidP="00EF1EC4">
            <w:pPr>
              <w:pStyle w:val="Table"/>
              <w:jc w:val="center"/>
              <w:rPr>
                <w:rFonts w:asciiTheme="minorHAnsi" w:hAnsiTheme="minorHAnsi" w:cstheme="minorHAnsi"/>
                <w:szCs w:val="20"/>
              </w:rPr>
            </w:pPr>
            <w:r w:rsidRPr="00402A9E">
              <w:rPr>
                <w:rFonts w:asciiTheme="minorHAnsi" w:hAnsiTheme="minorHAnsi" w:cstheme="minorHAnsi"/>
                <w:szCs w:val="20"/>
              </w:rPr>
              <w:t>5</w:t>
            </w:r>
          </w:p>
        </w:tc>
      </w:tr>
      <w:tr w:rsidR="00402A9E" w:rsidRPr="00402A9E" w14:paraId="665A74E5" w14:textId="77777777" w:rsidTr="00134EEE">
        <w:trPr>
          <w:trHeight w:val="255"/>
        </w:trPr>
        <w:tc>
          <w:tcPr>
            <w:tcW w:w="972" w:type="pct"/>
            <w:shd w:val="clear" w:color="auto" w:fill="E3E0D7" w:themeFill="text2" w:themeFillTint="33"/>
            <w:noWrap/>
            <w:vAlign w:val="bottom"/>
          </w:tcPr>
          <w:p w14:paraId="3788F236" w14:textId="77777777" w:rsidR="00402A9E" w:rsidRPr="00402A9E" w:rsidRDefault="00402A9E" w:rsidP="00EF1EC4">
            <w:pPr>
              <w:pStyle w:val="Table"/>
              <w:rPr>
                <w:rFonts w:asciiTheme="minorHAnsi" w:hAnsiTheme="minorHAnsi" w:cstheme="minorHAnsi"/>
                <w:b/>
                <w:szCs w:val="20"/>
              </w:rPr>
            </w:pPr>
            <w:r w:rsidRPr="00402A9E">
              <w:rPr>
                <w:rFonts w:asciiTheme="minorHAnsi" w:hAnsiTheme="minorHAnsi" w:cstheme="minorHAnsi"/>
                <w:b/>
                <w:szCs w:val="20"/>
              </w:rPr>
              <w:t>Almost certain</w:t>
            </w:r>
          </w:p>
        </w:tc>
        <w:tc>
          <w:tcPr>
            <w:tcW w:w="185" w:type="pct"/>
            <w:shd w:val="clear" w:color="auto" w:fill="E3E0D7" w:themeFill="text2" w:themeFillTint="33"/>
          </w:tcPr>
          <w:p w14:paraId="1BC0C7AD"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5</w:t>
            </w:r>
          </w:p>
        </w:tc>
        <w:tc>
          <w:tcPr>
            <w:tcW w:w="703" w:type="pct"/>
            <w:shd w:val="clear" w:color="auto" w:fill="CCFF66"/>
            <w:noWrap/>
            <w:vAlign w:val="bottom"/>
          </w:tcPr>
          <w:p w14:paraId="4DB90B51"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5</w:t>
            </w:r>
          </w:p>
        </w:tc>
        <w:tc>
          <w:tcPr>
            <w:tcW w:w="765" w:type="pct"/>
            <w:shd w:val="clear" w:color="auto" w:fill="CCFF66"/>
            <w:noWrap/>
            <w:vAlign w:val="bottom"/>
          </w:tcPr>
          <w:p w14:paraId="4EF4099A"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10</w:t>
            </w:r>
          </w:p>
        </w:tc>
        <w:tc>
          <w:tcPr>
            <w:tcW w:w="866" w:type="pct"/>
            <w:shd w:val="clear" w:color="auto" w:fill="C00000"/>
            <w:noWrap/>
            <w:vAlign w:val="bottom"/>
          </w:tcPr>
          <w:p w14:paraId="0321375C"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15</w:t>
            </w:r>
          </w:p>
        </w:tc>
        <w:tc>
          <w:tcPr>
            <w:tcW w:w="788" w:type="pct"/>
            <w:shd w:val="clear" w:color="auto" w:fill="C00000"/>
            <w:noWrap/>
            <w:vAlign w:val="bottom"/>
          </w:tcPr>
          <w:p w14:paraId="2C5572CE"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20</w:t>
            </w:r>
          </w:p>
        </w:tc>
        <w:tc>
          <w:tcPr>
            <w:tcW w:w="721" w:type="pct"/>
            <w:shd w:val="clear" w:color="auto" w:fill="C00000"/>
            <w:noWrap/>
            <w:vAlign w:val="bottom"/>
          </w:tcPr>
          <w:p w14:paraId="65220D05"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25</w:t>
            </w:r>
          </w:p>
        </w:tc>
      </w:tr>
      <w:tr w:rsidR="00402A9E" w:rsidRPr="00402A9E" w14:paraId="14D4B9B1" w14:textId="77777777" w:rsidTr="00134EEE">
        <w:trPr>
          <w:trHeight w:val="300"/>
        </w:trPr>
        <w:tc>
          <w:tcPr>
            <w:tcW w:w="972" w:type="pct"/>
            <w:shd w:val="clear" w:color="auto" w:fill="E3E0D7" w:themeFill="text2" w:themeFillTint="33"/>
            <w:noWrap/>
            <w:vAlign w:val="bottom"/>
          </w:tcPr>
          <w:p w14:paraId="37436D9A" w14:textId="77777777" w:rsidR="00402A9E" w:rsidRPr="00402A9E" w:rsidRDefault="00402A9E" w:rsidP="00EF1EC4">
            <w:pPr>
              <w:pStyle w:val="Table"/>
              <w:rPr>
                <w:rFonts w:asciiTheme="minorHAnsi" w:hAnsiTheme="minorHAnsi" w:cstheme="minorHAnsi"/>
                <w:b/>
                <w:szCs w:val="20"/>
              </w:rPr>
            </w:pPr>
            <w:r w:rsidRPr="00402A9E">
              <w:rPr>
                <w:rFonts w:asciiTheme="minorHAnsi" w:hAnsiTheme="minorHAnsi" w:cstheme="minorHAnsi"/>
                <w:b/>
                <w:szCs w:val="20"/>
              </w:rPr>
              <w:t>Likely</w:t>
            </w:r>
          </w:p>
        </w:tc>
        <w:tc>
          <w:tcPr>
            <w:tcW w:w="185" w:type="pct"/>
            <w:shd w:val="clear" w:color="auto" w:fill="E3E0D7" w:themeFill="text2" w:themeFillTint="33"/>
          </w:tcPr>
          <w:p w14:paraId="30D082D0"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4</w:t>
            </w:r>
          </w:p>
        </w:tc>
        <w:tc>
          <w:tcPr>
            <w:tcW w:w="703" w:type="pct"/>
            <w:shd w:val="clear" w:color="auto" w:fill="CCFF66"/>
            <w:noWrap/>
            <w:vAlign w:val="bottom"/>
          </w:tcPr>
          <w:p w14:paraId="4A37458C"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4</w:t>
            </w:r>
          </w:p>
        </w:tc>
        <w:tc>
          <w:tcPr>
            <w:tcW w:w="765" w:type="pct"/>
            <w:shd w:val="clear" w:color="auto" w:fill="CCFF66"/>
            <w:noWrap/>
            <w:vAlign w:val="bottom"/>
          </w:tcPr>
          <w:p w14:paraId="4573D97C"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8</w:t>
            </w:r>
          </w:p>
        </w:tc>
        <w:tc>
          <w:tcPr>
            <w:tcW w:w="866" w:type="pct"/>
            <w:shd w:val="clear" w:color="000000" w:fill="FFFF00"/>
            <w:noWrap/>
            <w:vAlign w:val="bottom"/>
          </w:tcPr>
          <w:p w14:paraId="086B4AC8"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12</w:t>
            </w:r>
          </w:p>
        </w:tc>
        <w:tc>
          <w:tcPr>
            <w:tcW w:w="788" w:type="pct"/>
            <w:shd w:val="clear" w:color="auto" w:fill="C00000"/>
            <w:noWrap/>
            <w:vAlign w:val="bottom"/>
          </w:tcPr>
          <w:p w14:paraId="1720A13E"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16</w:t>
            </w:r>
          </w:p>
        </w:tc>
        <w:tc>
          <w:tcPr>
            <w:tcW w:w="721" w:type="pct"/>
            <w:shd w:val="clear" w:color="auto" w:fill="C00000"/>
            <w:noWrap/>
            <w:vAlign w:val="bottom"/>
          </w:tcPr>
          <w:p w14:paraId="59D67F0B"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20</w:t>
            </w:r>
          </w:p>
        </w:tc>
      </w:tr>
      <w:tr w:rsidR="00402A9E" w:rsidRPr="00402A9E" w14:paraId="6C83EF3C" w14:textId="77777777" w:rsidTr="00134EEE">
        <w:trPr>
          <w:trHeight w:val="300"/>
        </w:trPr>
        <w:tc>
          <w:tcPr>
            <w:tcW w:w="972" w:type="pct"/>
            <w:shd w:val="clear" w:color="auto" w:fill="E3E0D7" w:themeFill="text2" w:themeFillTint="33"/>
            <w:noWrap/>
            <w:vAlign w:val="bottom"/>
          </w:tcPr>
          <w:p w14:paraId="3FE475F8" w14:textId="43CE382B" w:rsidR="00402A9E" w:rsidRPr="00402A9E" w:rsidRDefault="00740FE1" w:rsidP="00EF1EC4">
            <w:pPr>
              <w:pStyle w:val="Table"/>
              <w:rPr>
                <w:rFonts w:asciiTheme="minorHAnsi" w:hAnsiTheme="minorHAnsi" w:cstheme="minorHAnsi"/>
                <w:b/>
                <w:szCs w:val="20"/>
              </w:rPr>
            </w:pPr>
            <w:r>
              <w:rPr>
                <w:rFonts w:asciiTheme="minorHAnsi" w:hAnsiTheme="minorHAnsi" w:cstheme="minorHAnsi"/>
                <w:b/>
                <w:szCs w:val="20"/>
              </w:rPr>
              <w:t>Possible</w:t>
            </w:r>
          </w:p>
        </w:tc>
        <w:tc>
          <w:tcPr>
            <w:tcW w:w="185" w:type="pct"/>
            <w:shd w:val="clear" w:color="auto" w:fill="E3E0D7" w:themeFill="text2" w:themeFillTint="33"/>
          </w:tcPr>
          <w:p w14:paraId="3A8E8D8D"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3</w:t>
            </w:r>
          </w:p>
        </w:tc>
        <w:tc>
          <w:tcPr>
            <w:tcW w:w="703" w:type="pct"/>
            <w:shd w:val="clear" w:color="auto" w:fill="CCFF66"/>
            <w:noWrap/>
            <w:vAlign w:val="bottom"/>
          </w:tcPr>
          <w:p w14:paraId="09D927A1"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3</w:t>
            </w:r>
          </w:p>
        </w:tc>
        <w:tc>
          <w:tcPr>
            <w:tcW w:w="765" w:type="pct"/>
            <w:shd w:val="clear" w:color="auto" w:fill="CCFF66"/>
            <w:noWrap/>
            <w:vAlign w:val="bottom"/>
          </w:tcPr>
          <w:p w14:paraId="6AD1F0F3"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6</w:t>
            </w:r>
          </w:p>
        </w:tc>
        <w:tc>
          <w:tcPr>
            <w:tcW w:w="866" w:type="pct"/>
            <w:shd w:val="clear" w:color="auto" w:fill="CCFF66"/>
            <w:noWrap/>
            <w:vAlign w:val="bottom"/>
          </w:tcPr>
          <w:p w14:paraId="13159397"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8</w:t>
            </w:r>
          </w:p>
        </w:tc>
        <w:tc>
          <w:tcPr>
            <w:tcW w:w="788" w:type="pct"/>
            <w:shd w:val="clear" w:color="000000" w:fill="FFFF00"/>
            <w:noWrap/>
            <w:vAlign w:val="bottom"/>
          </w:tcPr>
          <w:p w14:paraId="3DCBBE54"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12</w:t>
            </w:r>
          </w:p>
        </w:tc>
        <w:tc>
          <w:tcPr>
            <w:tcW w:w="721" w:type="pct"/>
            <w:shd w:val="clear" w:color="auto" w:fill="C00000"/>
            <w:noWrap/>
            <w:vAlign w:val="bottom"/>
          </w:tcPr>
          <w:p w14:paraId="4C517861"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15</w:t>
            </w:r>
          </w:p>
        </w:tc>
      </w:tr>
      <w:tr w:rsidR="00402A9E" w:rsidRPr="00402A9E" w14:paraId="3582B7F2" w14:textId="77777777" w:rsidTr="00134EEE">
        <w:trPr>
          <w:trHeight w:val="300"/>
        </w:trPr>
        <w:tc>
          <w:tcPr>
            <w:tcW w:w="972" w:type="pct"/>
            <w:shd w:val="clear" w:color="auto" w:fill="E3E0D7" w:themeFill="text2" w:themeFillTint="33"/>
            <w:noWrap/>
            <w:vAlign w:val="bottom"/>
          </w:tcPr>
          <w:p w14:paraId="1C7DD460" w14:textId="77777777" w:rsidR="00402A9E" w:rsidRPr="00402A9E" w:rsidRDefault="00402A9E" w:rsidP="00EF1EC4">
            <w:pPr>
              <w:pStyle w:val="Table"/>
              <w:rPr>
                <w:rFonts w:asciiTheme="minorHAnsi" w:hAnsiTheme="minorHAnsi" w:cstheme="minorHAnsi"/>
                <w:b/>
                <w:szCs w:val="20"/>
              </w:rPr>
            </w:pPr>
            <w:r w:rsidRPr="00402A9E">
              <w:rPr>
                <w:rFonts w:asciiTheme="minorHAnsi" w:hAnsiTheme="minorHAnsi" w:cstheme="minorHAnsi"/>
                <w:b/>
                <w:szCs w:val="20"/>
              </w:rPr>
              <w:t>Unlikely</w:t>
            </w:r>
          </w:p>
        </w:tc>
        <w:tc>
          <w:tcPr>
            <w:tcW w:w="185" w:type="pct"/>
            <w:shd w:val="clear" w:color="auto" w:fill="E3E0D7" w:themeFill="text2" w:themeFillTint="33"/>
          </w:tcPr>
          <w:p w14:paraId="224918DB"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2</w:t>
            </w:r>
          </w:p>
        </w:tc>
        <w:tc>
          <w:tcPr>
            <w:tcW w:w="703" w:type="pct"/>
            <w:shd w:val="clear" w:color="auto" w:fill="CCFF66"/>
            <w:noWrap/>
            <w:vAlign w:val="bottom"/>
          </w:tcPr>
          <w:p w14:paraId="694B42F4"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2</w:t>
            </w:r>
          </w:p>
        </w:tc>
        <w:tc>
          <w:tcPr>
            <w:tcW w:w="765" w:type="pct"/>
            <w:shd w:val="clear" w:color="auto" w:fill="CCFF66"/>
            <w:noWrap/>
            <w:vAlign w:val="bottom"/>
          </w:tcPr>
          <w:p w14:paraId="075469BA"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4</w:t>
            </w:r>
          </w:p>
        </w:tc>
        <w:tc>
          <w:tcPr>
            <w:tcW w:w="866" w:type="pct"/>
            <w:shd w:val="clear" w:color="auto" w:fill="CCFF66"/>
            <w:noWrap/>
            <w:vAlign w:val="bottom"/>
          </w:tcPr>
          <w:p w14:paraId="4C68CB4D"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6</w:t>
            </w:r>
          </w:p>
        </w:tc>
        <w:tc>
          <w:tcPr>
            <w:tcW w:w="788" w:type="pct"/>
            <w:shd w:val="clear" w:color="auto" w:fill="CCFF66"/>
            <w:noWrap/>
            <w:vAlign w:val="bottom"/>
          </w:tcPr>
          <w:p w14:paraId="6B4C34CB"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8</w:t>
            </w:r>
          </w:p>
        </w:tc>
        <w:tc>
          <w:tcPr>
            <w:tcW w:w="721" w:type="pct"/>
            <w:shd w:val="clear" w:color="000000" w:fill="FFFF00"/>
            <w:noWrap/>
            <w:vAlign w:val="bottom"/>
          </w:tcPr>
          <w:p w14:paraId="65923832"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10</w:t>
            </w:r>
          </w:p>
        </w:tc>
      </w:tr>
      <w:tr w:rsidR="00402A9E" w:rsidRPr="00402A9E" w14:paraId="07F2B689" w14:textId="77777777" w:rsidTr="00134EEE">
        <w:trPr>
          <w:trHeight w:val="315"/>
        </w:trPr>
        <w:tc>
          <w:tcPr>
            <w:tcW w:w="972" w:type="pct"/>
            <w:shd w:val="clear" w:color="auto" w:fill="E3E0D7" w:themeFill="text2" w:themeFillTint="33"/>
            <w:noWrap/>
            <w:vAlign w:val="bottom"/>
          </w:tcPr>
          <w:p w14:paraId="72D79A53" w14:textId="77777777" w:rsidR="00402A9E" w:rsidRPr="00402A9E" w:rsidRDefault="00402A9E" w:rsidP="00EF1EC4">
            <w:pPr>
              <w:pStyle w:val="Table"/>
              <w:rPr>
                <w:rFonts w:asciiTheme="minorHAnsi" w:hAnsiTheme="minorHAnsi" w:cstheme="minorHAnsi"/>
                <w:b/>
                <w:szCs w:val="20"/>
              </w:rPr>
            </w:pPr>
            <w:r w:rsidRPr="00402A9E">
              <w:rPr>
                <w:rFonts w:asciiTheme="minorHAnsi" w:hAnsiTheme="minorHAnsi" w:cstheme="minorHAnsi"/>
                <w:b/>
                <w:szCs w:val="20"/>
              </w:rPr>
              <w:t>Rare</w:t>
            </w:r>
          </w:p>
        </w:tc>
        <w:tc>
          <w:tcPr>
            <w:tcW w:w="185" w:type="pct"/>
            <w:shd w:val="clear" w:color="auto" w:fill="E3E0D7" w:themeFill="text2" w:themeFillTint="33"/>
          </w:tcPr>
          <w:p w14:paraId="54485312"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1</w:t>
            </w:r>
          </w:p>
        </w:tc>
        <w:tc>
          <w:tcPr>
            <w:tcW w:w="703" w:type="pct"/>
            <w:shd w:val="clear" w:color="auto" w:fill="CCFF66"/>
            <w:noWrap/>
            <w:vAlign w:val="bottom"/>
          </w:tcPr>
          <w:p w14:paraId="75A7A92F"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1</w:t>
            </w:r>
          </w:p>
        </w:tc>
        <w:tc>
          <w:tcPr>
            <w:tcW w:w="765" w:type="pct"/>
            <w:shd w:val="clear" w:color="auto" w:fill="CCFF66"/>
            <w:noWrap/>
            <w:vAlign w:val="bottom"/>
          </w:tcPr>
          <w:p w14:paraId="3C127380"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2</w:t>
            </w:r>
          </w:p>
        </w:tc>
        <w:tc>
          <w:tcPr>
            <w:tcW w:w="866" w:type="pct"/>
            <w:shd w:val="clear" w:color="auto" w:fill="CCFF66"/>
            <w:noWrap/>
            <w:vAlign w:val="bottom"/>
          </w:tcPr>
          <w:p w14:paraId="2AE5BFE8"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3</w:t>
            </w:r>
          </w:p>
        </w:tc>
        <w:tc>
          <w:tcPr>
            <w:tcW w:w="788" w:type="pct"/>
            <w:shd w:val="clear" w:color="auto" w:fill="CCFF66"/>
            <w:noWrap/>
            <w:vAlign w:val="bottom"/>
          </w:tcPr>
          <w:p w14:paraId="4AFFE8EB"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4</w:t>
            </w:r>
          </w:p>
        </w:tc>
        <w:tc>
          <w:tcPr>
            <w:tcW w:w="721" w:type="pct"/>
            <w:shd w:val="clear" w:color="auto" w:fill="CCFF66"/>
            <w:noWrap/>
            <w:vAlign w:val="bottom"/>
          </w:tcPr>
          <w:p w14:paraId="56975DB4" w14:textId="77777777" w:rsidR="00402A9E" w:rsidRPr="00402A9E" w:rsidRDefault="00402A9E" w:rsidP="00402A9E">
            <w:pPr>
              <w:pStyle w:val="Table"/>
              <w:jc w:val="center"/>
              <w:rPr>
                <w:rFonts w:asciiTheme="minorHAnsi" w:hAnsiTheme="minorHAnsi" w:cstheme="minorHAnsi"/>
                <w:szCs w:val="20"/>
              </w:rPr>
            </w:pPr>
            <w:r w:rsidRPr="00402A9E">
              <w:rPr>
                <w:rFonts w:asciiTheme="minorHAnsi" w:hAnsiTheme="minorHAnsi" w:cstheme="minorHAnsi"/>
                <w:szCs w:val="20"/>
              </w:rPr>
              <w:t>5</w:t>
            </w:r>
          </w:p>
        </w:tc>
      </w:tr>
    </w:tbl>
    <w:p w14:paraId="085AC2B2" w14:textId="77777777" w:rsidR="00402A9E" w:rsidRDefault="00402A9E" w:rsidP="00B56B9B"/>
    <w:p w14:paraId="31267091" w14:textId="77777777" w:rsidR="00DA7F47" w:rsidRDefault="00DA7F47" w:rsidP="00B56B9B">
      <w:pPr>
        <w:sectPr w:rsidR="00DA7F47" w:rsidSect="00B56B9B">
          <w:pgSz w:w="16838" w:h="11906" w:orient="landscape"/>
          <w:pgMar w:top="1440" w:right="1440" w:bottom="1440" w:left="1440" w:header="708" w:footer="708" w:gutter="0"/>
          <w:cols w:space="708"/>
          <w:docGrid w:linePitch="360"/>
        </w:sectPr>
      </w:pPr>
    </w:p>
    <w:p w14:paraId="2740A2F3" w14:textId="75B80F0E" w:rsidR="00DA7F47" w:rsidRDefault="00DA7F47" w:rsidP="00B56B9B"/>
    <w:p w14:paraId="47470835" w14:textId="77777777" w:rsidR="00DA7F47" w:rsidRPr="00B17EC9" w:rsidRDefault="00DA7F47" w:rsidP="00F4328F">
      <w:pPr>
        <w:pStyle w:val="ListParagraph"/>
        <w:numPr>
          <w:ilvl w:val="0"/>
          <w:numId w:val="15"/>
        </w:numPr>
        <w:rPr>
          <w:b/>
          <w:i/>
        </w:rPr>
      </w:pPr>
      <w:r>
        <w:rPr>
          <w:b/>
          <w:i/>
        </w:rPr>
        <w:t xml:space="preserve">Adapting outputs from existing risk assessments </w:t>
      </w:r>
    </w:p>
    <w:p w14:paraId="0B12A5C2" w14:textId="3A3F2FE6" w:rsidR="00DA7F47" w:rsidRDefault="00DA7F47" w:rsidP="00DA7F47">
      <w:r w:rsidRPr="00811D06">
        <w:t>In many cases risk assessments will have been undertaken as part of the management of the assessment unit</w:t>
      </w:r>
      <w:r w:rsidR="00BA58A7">
        <w:t xml:space="preserve"> and it</w:t>
      </w:r>
      <w:r w:rsidRPr="00811D06">
        <w:t xml:space="preserve"> may be possible to extract the risk categories assigned to value threat combinations. It will be necessary to </w:t>
      </w:r>
      <w:r>
        <w:t xml:space="preserve">document any assumptions made in using existing risk assessment outcomes – </w:t>
      </w:r>
      <w:r w:rsidR="00206331">
        <w:t>including</w:t>
      </w:r>
      <w:r>
        <w:t xml:space="preserve"> that all the values and threats identified via the IECA Framework are captured.</w:t>
      </w:r>
    </w:p>
    <w:p w14:paraId="59955973" w14:textId="0304B3EB" w:rsidR="007B3DF9" w:rsidRDefault="007B3DF9" w:rsidP="00DA7F47">
      <w:r>
        <w:t xml:space="preserve">A critical consideration will be to check if the scale of the existing risk assessment matches that of the IECA assessment. For example if an existing assessment is done at a regional or large spatial unit and the IECA is assessing condition of values at a habitat or ecosystem level, then the existing risk levels are unlikely to be fit for purpose. </w:t>
      </w:r>
    </w:p>
    <w:p w14:paraId="656DC869" w14:textId="77777777" w:rsidR="00DA7F47" w:rsidRPr="004E7EB5" w:rsidRDefault="00DA7F47" w:rsidP="00DA7F47">
      <w:pPr>
        <w:rPr>
          <w:b/>
          <w:i/>
          <w:color w:val="8C863E" w:themeColor="background2" w:themeShade="80"/>
          <w:sz w:val="24"/>
          <w:szCs w:val="24"/>
        </w:rPr>
      </w:pPr>
      <w:r w:rsidRPr="004E7EB5">
        <w:rPr>
          <w:b/>
          <w:i/>
          <w:color w:val="8C863E" w:themeColor="background2" w:themeShade="80"/>
          <w:sz w:val="24"/>
          <w:szCs w:val="24"/>
        </w:rPr>
        <w:t>Other resources</w:t>
      </w:r>
    </w:p>
    <w:p w14:paraId="69D1E444" w14:textId="70DFF946" w:rsidR="000256DB" w:rsidRDefault="000256DB" w:rsidP="000256DB">
      <w:pPr>
        <w:pStyle w:val="ListParagraph"/>
        <w:numPr>
          <w:ilvl w:val="0"/>
          <w:numId w:val="16"/>
        </w:numPr>
      </w:pPr>
      <w:r>
        <w:fldChar w:fldCharType="begin"/>
      </w:r>
      <w:r>
        <w:instrText xml:space="preserve"> ADDIN ZOTERO_ITEM CSL_CITATION {"citationID":"m2o1q7rpo","properties":{"formattedCitation":"(Salafsky et al. 2008)","plainCitation":"(Salafsky et al. 2008)"},"citationItems":[{"id":732,"uris":["http://zotero.org/users/3119797/items/P4VZZF5R"],"uri":["http://zotero.org/users/3119797/items/P4VZZF5R"],"itemData":{"id":732,"type":"article-journal","title":"A Standard Lexicon for Biodiversity Conservation: Unified Classifications of Threats and Actions","container-title":"Conservation Biology","page":"897-911","volume":"22","issue":"4","source":"CrossRef","DOI":"10.1111/j.1523-1739.2008.00937.x","ISSN":"08888892, 15231739","shortTitle":"A Standard Lexicon for Biodiversity Conservation","language":"en","author":[{"family":"Salafsky","given":"Nick"},{"family":"Salzer","given":"Daniel"},{"family":"Stattersfield","given":"Alison J."},{"family":"Hilton-Taylor","given":"Craig"},{"family":"Neugarten","given":"Rachel"},{"family":"Butchart","given":"Stuart H. M."},{"family":"Collen","given":"Ben"},{"family":"Cox","given":"Neil"},{"family":"Master","given":"Lawrence L."},{"family":"O'Connor","given":"Sheila"},{"family":"Wilkie","given":"David"}],"issued":{"date-parts":[["2008",8]]}}}],"schema":"https://github.com/citation-style-language/schema/raw/master/csl-citation.json"} </w:instrText>
      </w:r>
      <w:r>
        <w:fldChar w:fldCharType="separate"/>
      </w:r>
      <w:r w:rsidRPr="000256DB">
        <w:rPr>
          <w:rFonts w:cs="Calibri"/>
        </w:rPr>
        <w:t>Salafsky</w:t>
      </w:r>
      <w:r>
        <w:fldChar w:fldCharType="end"/>
      </w:r>
      <w:r w:rsidRPr="000256DB">
        <w:t xml:space="preserve">, N., Salzer, D., Stattersfield, A.J., Hilton-Taylor, C., Neugarten, R., Butchart, S.H.M., Collen, B., Cox, N., Master, L.L., O’Connor, S., and Wilkie, D. 2008. A Standard Lexicon for Biodiversity Conservation: Unified Classifications of Threats and Actions. </w:t>
      </w:r>
      <w:r w:rsidRPr="000256DB">
        <w:rPr>
          <w:i/>
        </w:rPr>
        <w:t>Conservation Biology</w:t>
      </w:r>
      <w:r w:rsidRPr="000256DB">
        <w:t xml:space="preserve"> 22(4): 897–911</w:t>
      </w:r>
      <w:r>
        <w:t>;</w:t>
      </w:r>
    </w:p>
    <w:p w14:paraId="3FAE422E" w14:textId="492EA031" w:rsidR="00DA7F47" w:rsidRDefault="00DA7F47" w:rsidP="00F4328F">
      <w:pPr>
        <w:pStyle w:val="ListParagraph"/>
        <w:numPr>
          <w:ilvl w:val="0"/>
          <w:numId w:val="16"/>
        </w:numPr>
      </w:pPr>
      <w:r>
        <w:t xml:space="preserve">IUCN-CMP threat classification </w:t>
      </w:r>
      <w:r w:rsidR="00BA58A7">
        <w:t>(</w:t>
      </w:r>
      <w:r w:rsidRPr="003E7472">
        <w:t xml:space="preserve">see Appendix </w:t>
      </w:r>
      <w:r w:rsidR="00E221CF">
        <w:t>E</w:t>
      </w:r>
      <w:r w:rsidR="00BA58A7">
        <w:t>)</w:t>
      </w:r>
      <w:r w:rsidR="00BA09E3">
        <w:t>; and</w:t>
      </w:r>
    </w:p>
    <w:p w14:paraId="1B2DB6FB" w14:textId="12C6907F" w:rsidR="00DA7F47" w:rsidRPr="004E7EB5" w:rsidRDefault="00DA7F47" w:rsidP="00F4328F">
      <w:pPr>
        <w:pStyle w:val="ListParagraph"/>
        <w:numPr>
          <w:ilvl w:val="0"/>
          <w:numId w:val="16"/>
        </w:numPr>
      </w:pPr>
      <w:r>
        <w:t xml:space="preserve">Pressure models – </w:t>
      </w:r>
      <w:r w:rsidRPr="00B17EC9">
        <w:rPr>
          <w:i/>
        </w:rPr>
        <w:t>WetlandInfo</w:t>
      </w:r>
      <w:r>
        <w:rPr>
          <w:i/>
        </w:rPr>
        <w:t xml:space="preserve"> </w:t>
      </w:r>
      <w:hyperlink r:id="rId55" w:history="1">
        <w:r w:rsidRPr="003421CA">
          <w:rPr>
            <w:rStyle w:val="Hyperlink"/>
          </w:rPr>
          <w:t>https://wetlandinfo.ehp.qld.gov.au/wetlands/</w:t>
        </w:r>
      </w:hyperlink>
      <w:r w:rsidR="00BA58A7">
        <w:rPr>
          <w:rStyle w:val="Hyperlink"/>
        </w:rPr>
        <w:t>.</w:t>
      </w:r>
      <w:r>
        <w:t xml:space="preserve"> </w:t>
      </w:r>
    </w:p>
    <w:p w14:paraId="43D16D9C" w14:textId="77777777" w:rsidR="00DA7F47" w:rsidRDefault="00DA7F47" w:rsidP="00DA7F47">
      <w:pPr>
        <w:rPr>
          <w:b/>
          <w:i/>
          <w:color w:val="8C863E" w:themeColor="background2" w:themeShade="80"/>
          <w:sz w:val="24"/>
          <w:szCs w:val="24"/>
        </w:rPr>
      </w:pPr>
      <w:r w:rsidRPr="004E7EB5">
        <w:rPr>
          <w:b/>
          <w:i/>
          <w:color w:val="8C863E" w:themeColor="background2" w:themeShade="80"/>
          <w:sz w:val="24"/>
          <w:szCs w:val="24"/>
        </w:rPr>
        <w:t>Assumptions and Knowledge gaps</w:t>
      </w:r>
    </w:p>
    <w:p w14:paraId="5466DCE0" w14:textId="688AD59C" w:rsidR="00DA7F47" w:rsidRPr="008017DA" w:rsidRDefault="00DA7F47" w:rsidP="00DA7F47">
      <w:r w:rsidRPr="008017DA">
        <w:t xml:space="preserve">There are often knowledge gaps around the effects of </w:t>
      </w:r>
      <w:r>
        <w:t xml:space="preserve">threats </w:t>
      </w:r>
      <w:r w:rsidR="00BA58A7">
        <w:t>on</w:t>
      </w:r>
      <w:r>
        <w:t xml:space="preserve"> ecological values</w:t>
      </w:r>
      <w:r w:rsidRPr="008017DA">
        <w:t xml:space="preserve">. </w:t>
      </w:r>
      <w:r>
        <w:t>Where knowledge gaps exist</w:t>
      </w:r>
      <w:r w:rsidR="00BA58A7">
        <w:t>,</w:t>
      </w:r>
      <w:r>
        <w:t xml:space="preserve"> it is important to consider if the threat is included in the assessment or not. </w:t>
      </w:r>
    </w:p>
    <w:p w14:paraId="09346A1A" w14:textId="369E9902" w:rsidR="00DA7F47" w:rsidRPr="008017DA" w:rsidRDefault="00DA7F47" w:rsidP="00DA7F47">
      <w:r w:rsidRPr="008017DA">
        <w:t xml:space="preserve">The </w:t>
      </w:r>
      <w:r>
        <w:t>decision to include a threat that is a considered a knowledge gap</w:t>
      </w:r>
      <w:r w:rsidRPr="008017DA">
        <w:t xml:space="preserve"> </w:t>
      </w:r>
      <w:r w:rsidR="00BA58A7">
        <w:t>sh</w:t>
      </w:r>
      <w:r w:rsidRPr="008017DA">
        <w:t>ould be based on:</w:t>
      </w:r>
    </w:p>
    <w:p w14:paraId="3AD70A10" w14:textId="77777777" w:rsidR="00DA7F47" w:rsidRPr="00C03857" w:rsidRDefault="00DA7F47" w:rsidP="00F4328F">
      <w:pPr>
        <w:numPr>
          <w:ilvl w:val="0"/>
          <w:numId w:val="17"/>
        </w:numPr>
        <w:spacing w:after="120" w:line="288" w:lineRule="auto"/>
        <w:jc w:val="left"/>
      </w:pPr>
      <w:r>
        <w:t xml:space="preserve">The likelihood </w:t>
      </w:r>
      <w:r w:rsidRPr="00C03857">
        <w:t>that the system experiences the pressure.</w:t>
      </w:r>
    </w:p>
    <w:p w14:paraId="66A9DE81" w14:textId="52B70B6A" w:rsidR="00DA7F47" w:rsidRPr="00C03857" w:rsidRDefault="00DA7F47" w:rsidP="00F4328F">
      <w:pPr>
        <w:numPr>
          <w:ilvl w:val="0"/>
          <w:numId w:val="17"/>
        </w:numPr>
        <w:spacing w:after="120" w:line="288" w:lineRule="auto"/>
        <w:jc w:val="left"/>
      </w:pPr>
      <w:r>
        <w:t>How likely</w:t>
      </w:r>
      <w:r w:rsidRPr="00C03857">
        <w:t xml:space="preserve"> the pressure or stressor would be considered a high priority. This judgement </w:t>
      </w:r>
      <w:r w:rsidR="00BA58A7">
        <w:t>can</w:t>
      </w:r>
      <w:r w:rsidRPr="00C03857">
        <w:t xml:space="preserve"> be based on the conceptual models of the system and experts’ understanding of the pressure or stressor of similar systems.</w:t>
      </w:r>
    </w:p>
    <w:p w14:paraId="1DC9DAC6" w14:textId="533DC0E4" w:rsidR="00DA7F47" w:rsidRPr="00C03857" w:rsidRDefault="00DA7F47" w:rsidP="00F4328F">
      <w:pPr>
        <w:numPr>
          <w:ilvl w:val="0"/>
          <w:numId w:val="17"/>
        </w:numPr>
        <w:spacing w:after="120" w:line="288" w:lineRule="auto"/>
        <w:jc w:val="left"/>
      </w:pPr>
      <w:r w:rsidRPr="00C03857">
        <w:t xml:space="preserve">The consequences of not including the pressure or stressor in the assessment. This judgement </w:t>
      </w:r>
      <w:r w:rsidR="00BA58A7">
        <w:t xml:space="preserve">can </w:t>
      </w:r>
      <w:r w:rsidRPr="00C03857">
        <w:t>be based on the conceptual models</w:t>
      </w:r>
      <w:r w:rsidR="00BA58A7">
        <w:t xml:space="preserve"> of expert judgements</w:t>
      </w:r>
      <w:r w:rsidRPr="00C03857">
        <w:t>.</w:t>
      </w:r>
    </w:p>
    <w:p w14:paraId="63DAA496" w14:textId="295EF6AA" w:rsidR="00DA7F47" w:rsidRPr="00BA58A7" w:rsidRDefault="00DA7F47" w:rsidP="00DA7F47">
      <w:r w:rsidRPr="008017DA">
        <w:t xml:space="preserve">In data poor systems, the assessment can default to large scale pressures for which there is often information available </w:t>
      </w:r>
      <w:r w:rsidR="00BA58A7">
        <w:t>(</w:t>
      </w:r>
      <w:r w:rsidRPr="008017DA">
        <w:t>e.g. water resource development, land use</w:t>
      </w:r>
      <w:r w:rsidR="00BA58A7">
        <w:t>)</w:t>
      </w:r>
      <w:r w:rsidRPr="008017DA">
        <w:t>.</w:t>
      </w:r>
    </w:p>
    <w:p w14:paraId="55E8F358" w14:textId="353F2738" w:rsidR="00DA7F47" w:rsidRDefault="00BA58A7" w:rsidP="00DA7F47">
      <w:r>
        <w:t>A</w:t>
      </w:r>
      <w:r w:rsidR="00DA7F47">
        <w:t>ny assumptions made in relation to assigning risk</w:t>
      </w:r>
      <w:r>
        <w:t xml:space="preserve"> should be clearly articulated and documents. An</w:t>
      </w:r>
      <w:r w:rsidR="00DA7F47">
        <w:t>y knowledge gaps associated with this step in the workflow</w:t>
      </w:r>
      <w:r>
        <w:t xml:space="preserve"> should also be documented</w:t>
      </w:r>
      <w:r w:rsidR="00DA7F47">
        <w:t>.</w:t>
      </w:r>
    </w:p>
    <w:p w14:paraId="64CC638A" w14:textId="77777777" w:rsidR="00DA7F47" w:rsidRPr="004E7EB5" w:rsidRDefault="00DA7F47" w:rsidP="00DA7F47">
      <w:pPr>
        <w:rPr>
          <w:b/>
          <w:i/>
          <w:color w:val="8C863E" w:themeColor="background2" w:themeShade="80"/>
          <w:sz w:val="24"/>
          <w:szCs w:val="24"/>
        </w:rPr>
      </w:pPr>
      <w:r w:rsidRPr="004E7EB5">
        <w:rPr>
          <w:b/>
          <w:i/>
          <w:color w:val="8C863E" w:themeColor="background2" w:themeShade="80"/>
          <w:sz w:val="24"/>
          <w:szCs w:val="24"/>
        </w:rPr>
        <w:t>Outputs</w:t>
      </w:r>
    </w:p>
    <w:p w14:paraId="1013868B" w14:textId="039A7780" w:rsidR="00DA7F47" w:rsidRDefault="00DA7F47" w:rsidP="00DA7F47">
      <w:pPr>
        <w:shd w:val="clear" w:color="auto" w:fill="C3D8D7" w:themeFill="accent2" w:themeFillTint="99"/>
      </w:pPr>
      <w:r>
        <w:t xml:space="preserve">The </w:t>
      </w:r>
      <w:r w:rsidR="00E557B7">
        <w:t>required</w:t>
      </w:r>
      <w:r>
        <w:t xml:space="preserve"> outputs of Step 2 are:</w:t>
      </w:r>
    </w:p>
    <w:p w14:paraId="581D3B11" w14:textId="1F602D42" w:rsidR="00DA7F47" w:rsidRDefault="00DA7F47" w:rsidP="00F4328F">
      <w:pPr>
        <w:pStyle w:val="ListParagraph"/>
        <w:numPr>
          <w:ilvl w:val="0"/>
          <w:numId w:val="4"/>
        </w:numPr>
        <w:shd w:val="clear" w:color="auto" w:fill="C3D8D7" w:themeFill="accent2" w:themeFillTint="99"/>
        <w:spacing w:after="120" w:line="288" w:lineRule="auto"/>
        <w:jc w:val="left"/>
      </w:pPr>
      <w:r>
        <w:t>Stressor model illustrating relationship between threat–stressor–ecological values</w:t>
      </w:r>
      <w:r w:rsidR="00BA58A7">
        <w:t>;</w:t>
      </w:r>
    </w:p>
    <w:p w14:paraId="746FDA55" w14:textId="44B78861" w:rsidR="00DA7F47" w:rsidRDefault="00DA7F47" w:rsidP="00F4328F">
      <w:pPr>
        <w:pStyle w:val="ListParagraph"/>
        <w:numPr>
          <w:ilvl w:val="0"/>
          <w:numId w:val="4"/>
        </w:numPr>
        <w:shd w:val="clear" w:color="auto" w:fill="C3D8D7" w:themeFill="accent2" w:themeFillTint="99"/>
        <w:spacing w:after="120" w:line="288" w:lineRule="auto"/>
        <w:jc w:val="left"/>
      </w:pPr>
      <w:r>
        <w:t>Ranking of threats for each scale of assessment and for the assessment unit</w:t>
      </w:r>
      <w:r w:rsidR="00BA58A7">
        <w:t>;</w:t>
      </w:r>
      <w:r>
        <w:t xml:space="preserve"> </w:t>
      </w:r>
      <w:r w:rsidR="00BA09E3">
        <w:t>and</w:t>
      </w:r>
    </w:p>
    <w:p w14:paraId="1ECBEC60" w14:textId="4C29E78E" w:rsidR="00402A9E" w:rsidRDefault="00DA7F47" w:rsidP="00B56B9B">
      <w:pPr>
        <w:pStyle w:val="ListParagraph"/>
        <w:numPr>
          <w:ilvl w:val="0"/>
          <w:numId w:val="4"/>
        </w:numPr>
        <w:shd w:val="clear" w:color="auto" w:fill="C3D8D7" w:themeFill="accent2" w:themeFillTint="99"/>
        <w:spacing w:after="120" w:line="288" w:lineRule="auto"/>
        <w:jc w:val="left"/>
      </w:pPr>
      <w:r>
        <w:t xml:space="preserve">List of priority threats at each scale of assessment. </w:t>
      </w:r>
    </w:p>
    <w:p w14:paraId="117EF18E" w14:textId="77777777" w:rsidR="00DA7F47" w:rsidRDefault="00DA7F47" w:rsidP="00B56B9B">
      <w:pPr>
        <w:sectPr w:rsidR="00DA7F47" w:rsidSect="00DA7F47">
          <w:pgSz w:w="11906" w:h="16838"/>
          <w:pgMar w:top="1440" w:right="1440" w:bottom="1440" w:left="1440" w:header="708" w:footer="708" w:gutter="0"/>
          <w:cols w:space="708"/>
          <w:docGrid w:linePitch="360"/>
        </w:sectPr>
      </w:pPr>
    </w:p>
    <w:p w14:paraId="4D68AE59" w14:textId="29CFC239" w:rsidR="00B51E63" w:rsidRDefault="00B27B0F" w:rsidP="006E6D41">
      <w:pPr>
        <w:pStyle w:val="Heading2"/>
      </w:pPr>
      <w:bookmarkStart w:id="70" w:name="_Toc493774220"/>
      <w:r w:rsidRPr="004E7EB5">
        <w:lastRenderedPageBreak/>
        <w:t xml:space="preserve">Step 3: </w:t>
      </w:r>
      <w:r w:rsidR="00B51E63" w:rsidRPr="004E7EB5">
        <w:t>Develop Key Evaluation Questions (KEQs)</w:t>
      </w:r>
      <w:bookmarkEnd w:id="70"/>
    </w:p>
    <w:p w14:paraId="12D01424" w14:textId="2BF15BB1" w:rsidR="00EF1EC4" w:rsidRPr="00EF1EC4" w:rsidRDefault="00540B57" w:rsidP="00EF1EC4">
      <w:r>
        <w:t>Condition a</w:t>
      </w:r>
      <w:r w:rsidR="00EF1EC4">
        <w:t xml:space="preserve">ssessments using the IECA Framework are </w:t>
      </w:r>
      <w:r w:rsidR="00EF1EC4" w:rsidRPr="00EF1EC4">
        <w:t>focussed by Key Evaluation Questions (KEQ</w:t>
      </w:r>
      <w:r w:rsidR="00EF1EC4">
        <w:t>s</w:t>
      </w:r>
      <w:r w:rsidR="00EF1EC4" w:rsidRPr="00EF1EC4">
        <w:t xml:space="preserve">) that </w:t>
      </w:r>
      <w:r w:rsidR="00EF1EC4">
        <w:t>are</w:t>
      </w:r>
      <w:r w:rsidR="00EF1EC4" w:rsidRPr="00EF1EC4">
        <w:t xml:space="preserve"> developed by aligning </w:t>
      </w:r>
      <w:r w:rsidR="00025D35">
        <w:t xml:space="preserve">the </w:t>
      </w:r>
      <w:r w:rsidR="00EF1EC4">
        <w:t xml:space="preserve">management </w:t>
      </w:r>
      <w:r w:rsidR="00EF1EC4" w:rsidRPr="00EF1EC4">
        <w:t xml:space="preserve">objective </w:t>
      </w:r>
      <w:r w:rsidR="00EF1EC4">
        <w:t xml:space="preserve">and purpose of </w:t>
      </w:r>
      <w:r w:rsidR="00D547B8">
        <w:t xml:space="preserve">the </w:t>
      </w:r>
      <w:r w:rsidR="00EF1EC4">
        <w:t xml:space="preserve">IECA for each scale of assessment. </w:t>
      </w:r>
      <w:r w:rsidR="00F30476">
        <w:t>Identifying</w:t>
      </w:r>
      <w:r w:rsidR="00F30476" w:rsidRPr="00F30476">
        <w:t xml:space="preserve"> KEQs </w:t>
      </w:r>
      <w:r w:rsidR="00F30476">
        <w:t xml:space="preserve">helps </w:t>
      </w:r>
      <w:r w:rsidR="00F30476" w:rsidRPr="00F30476">
        <w:t xml:space="preserve">frame the </w:t>
      </w:r>
      <w:r w:rsidR="00F30476">
        <w:t xml:space="preserve">assessment </w:t>
      </w:r>
      <w:r w:rsidR="00F30476" w:rsidRPr="00F30476">
        <w:t>design, selection of indic</w:t>
      </w:r>
      <w:r w:rsidR="00F30476">
        <w:t>ators</w:t>
      </w:r>
      <w:r w:rsidR="00F30476" w:rsidRPr="00F30476">
        <w:t>, and the evaluation of responses</w:t>
      </w:r>
      <w:r w:rsidR="00F30476">
        <w:t xml:space="preserve">. </w:t>
      </w:r>
      <w:r>
        <w:t xml:space="preserve">It is important to ensure management questions closely inform the assessment from the beginning, as reviews of past assessments have shown that this can significantly improve the utility of the data collected (e.g. </w:t>
      </w:r>
      <w:r>
        <w:fldChar w:fldCharType="begin"/>
      </w:r>
      <w:r>
        <w:instrText xml:space="preserve"> ADDIN ZOTERO_ITEM CSL_CITATION {"citationID":"22cnatupg1","properties":{"formattedCitation":"(Kuehne et al. 2017)","plainCitation":"(Kuehne et al. 2017)"},"citationItems":[{"id":3542,"uris":["http://zotero.org/users/3119797/items/AT75TI25"],"uri":["http://zotero.org/users/3119797/items/AT75TI25"],"itemData":{"id":3542,"type":"article-journal","title":"Past, present, and future of ecological integrity assessment for fresh waters","container-title":"Frontiers in Ecology and the Environment","page":"197-205","volume":"15","issue":"4","source":"CrossRef","DOI":"10.1002/fee.1483","ISSN":"15409295","language":"en","author":[{"family":"Kuehne","given":"Lauren M"},{"family":"Olden","given":"Julian D"},{"family":"Strecker","given":"Angela L"},{"family":"Lawler","given":"Joshua J"},{"family":"Theobald","given":"David M"}],"issued":{"date-parts":[["2017",5]]}}}],"schema":"https://github.com/citation-style-language/schema/raw/master/csl-citation.json"} </w:instrText>
      </w:r>
      <w:r>
        <w:fldChar w:fldCharType="separate"/>
      </w:r>
      <w:r w:rsidRPr="00540B57">
        <w:rPr>
          <w:rFonts w:cs="Calibri"/>
        </w:rPr>
        <w:t>Kuehne et al. 2017)</w:t>
      </w:r>
      <w:r>
        <w:fldChar w:fldCharType="end"/>
      </w:r>
      <w:r>
        <w:t xml:space="preserve">. </w:t>
      </w:r>
    </w:p>
    <w:p w14:paraId="1F6D5D81" w14:textId="77777777" w:rsidR="00B51E63" w:rsidRPr="004E7EB5" w:rsidRDefault="00B51E63" w:rsidP="00B51E63">
      <w:pPr>
        <w:rPr>
          <w:b/>
          <w:i/>
          <w:sz w:val="24"/>
          <w:szCs w:val="24"/>
        </w:rPr>
      </w:pPr>
      <w:r w:rsidRPr="004E7EB5">
        <w:rPr>
          <w:b/>
          <w:i/>
          <w:color w:val="8C863E" w:themeColor="background2" w:themeShade="80"/>
          <w:sz w:val="24"/>
          <w:szCs w:val="24"/>
        </w:rPr>
        <w:t>Aim</w:t>
      </w:r>
    </w:p>
    <w:p w14:paraId="41A8E8B8" w14:textId="3491C529" w:rsidR="00B51E63" w:rsidRPr="004E7EB5" w:rsidRDefault="00EF1EC4" w:rsidP="00B51E63">
      <w:r>
        <w:t xml:space="preserve">To develop </w:t>
      </w:r>
      <w:r w:rsidR="00BA58A7">
        <w:t>KEQs</w:t>
      </w:r>
      <w:r>
        <w:t xml:space="preserve"> for the priority ecological values and </w:t>
      </w:r>
      <w:r w:rsidR="00EC2EEA">
        <w:t xml:space="preserve">priority </w:t>
      </w:r>
      <w:r>
        <w:t>threats</w:t>
      </w:r>
      <w:r w:rsidR="00F348B1" w:rsidRPr="00F348B1">
        <w:t xml:space="preserve"> </w:t>
      </w:r>
      <w:r w:rsidR="00F348B1">
        <w:t>at each scale of assessment</w:t>
      </w:r>
      <w:r>
        <w:t>.</w:t>
      </w:r>
    </w:p>
    <w:p w14:paraId="647BDE64" w14:textId="77777777" w:rsidR="007168D1" w:rsidRPr="004E7EB5" w:rsidRDefault="007168D1" w:rsidP="007168D1">
      <w:pPr>
        <w:rPr>
          <w:b/>
          <w:i/>
          <w:color w:val="8C863E" w:themeColor="background2" w:themeShade="80"/>
          <w:sz w:val="24"/>
          <w:szCs w:val="24"/>
        </w:rPr>
      </w:pPr>
      <w:r w:rsidRPr="004E7EB5">
        <w:rPr>
          <w:b/>
          <w:i/>
          <w:color w:val="8C863E" w:themeColor="background2" w:themeShade="80"/>
          <w:sz w:val="24"/>
          <w:szCs w:val="24"/>
        </w:rPr>
        <w:t>Inputs</w:t>
      </w:r>
    </w:p>
    <w:p w14:paraId="76EC5FCD" w14:textId="65576938" w:rsidR="00AE69A3" w:rsidRDefault="00AE69A3" w:rsidP="00F4328F">
      <w:pPr>
        <w:pStyle w:val="ListParagraph"/>
        <w:numPr>
          <w:ilvl w:val="0"/>
          <w:numId w:val="26"/>
        </w:numPr>
      </w:pPr>
      <w:r>
        <w:t>Objectives and assessment targets</w:t>
      </w:r>
      <w:r w:rsidR="00D547B8">
        <w:t xml:space="preserve">, </w:t>
      </w:r>
      <w:r>
        <w:t>triggers</w:t>
      </w:r>
      <w:r w:rsidR="00D547B8">
        <w:t xml:space="preserve"> and thresholds (where developed</w:t>
      </w:r>
      <w:r w:rsidR="00540B57">
        <w:t>; see Step 5 as well</w:t>
      </w:r>
      <w:r w:rsidR="00D547B8">
        <w:t>)</w:t>
      </w:r>
      <w:r w:rsidR="00BA09E3">
        <w:t>;</w:t>
      </w:r>
    </w:p>
    <w:p w14:paraId="7F0F847B" w14:textId="46F72F58" w:rsidR="007168D1" w:rsidRDefault="00EF1EC4" w:rsidP="00F4328F">
      <w:pPr>
        <w:pStyle w:val="ListParagraph"/>
        <w:numPr>
          <w:ilvl w:val="0"/>
          <w:numId w:val="26"/>
        </w:numPr>
      </w:pPr>
      <w:r>
        <w:t>Outputs from previous steps</w:t>
      </w:r>
      <w:r w:rsidR="00BA09E3">
        <w:t>; and</w:t>
      </w:r>
    </w:p>
    <w:p w14:paraId="1E0D3CBA" w14:textId="477CD297" w:rsidR="00EF1EC4" w:rsidRDefault="00EF1EC4" w:rsidP="00F4328F">
      <w:pPr>
        <w:pStyle w:val="ListParagraph"/>
        <w:numPr>
          <w:ilvl w:val="0"/>
          <w:numId w:val="26"/>
        </w:numPr>
      </w:pPr>
      <w:r>
        <w:t>Existing conceptual models</w:t>
      </w:r>
      <w:r w:rsidR="00BA58A7">
        <w:t>.</w:t>
      </w:r>
    </w:p>
    <w:p w14:paraId="07F49FEE" w14:textId="6EFFEE21" w:rsidR="00B51E63" w:rsidRPr="004E7EB5" w:rsidRDefault="00B51E63" w:rsidP="00B51E63">
      <w:pPr>
        <w:rPr>
          <w:b/>
          <w:i/>
          <w:color w:val="8C863E" w:themeColor="background2" w:themeShade="80"/>
          <w:sz w:val="24"/>
          <w:szCs w:val="24"/>
        </w:rPr>
      </w:pPr>
      <w:r w:rsidRPr="004E7EB5">
        <w:rPr>
          <w:b/>
          <w:i/>
          <w:color w:val="8C863E" w:themeColor="background2" w:themeShade="80"/>
          <w:sz w:val="24"/>
          <w:szCs w:val="24"/>
        </w:rPr>
        <w:t>Task</w:t>
      </w:r>
      <w:r w:rsidR="00736D3B">
        <w:rPr>
          <w:b/>
          <w:i/>
          <w:color w:val="8C863E" w:themeColor="background2" w:themeShade="80"/>
          <w:sz w:val="24"/>
          <w:szCs w:val="24"/>
        </w:rPr>
        <w:t>s</w:t>
      </w:r>
    </w:p>
    <w:p w14:paraId="5E106C6B" w14:textId="4E267552" w:rsidR="00E93C55" w:rsidRPr="00B17EC9" w:rsidRDefault="00E93C55" w:rsidP="00F4328F">
      <w:pPr>
        <w:pStyle w:val="ListParagraph"/>
        <w:numPr>
          <w:ilvl w:val="0"/>
          <w:numId w:val="33"/>
        </w:numPr>
        <w:rPr>
          <w:b/>
          <w:i/>
        </w:rPr>
      </w:pPr>
      <w:r>
        <w:rPr>
          <w:b/>
          <w:i/>
        </w:rPr>
        <w:t>Refine conceptual model</w:t>
      </w:r>
      <w:r w:rsidR="00AA1EAB">
        <w:rPr>
          <w:b/>
          <w:i/>
        </w:rPr>
        <w:t>(s)</w:t>
      </w:r>
      <w:r>
        <w:rPr>
          <w:b/>
          <w:i/>
        </w:rPr>
        <w:t xml:space="preserve"> </w:t>
      </w:r>
      <w:r w:rsidR="00AA1EAB">
        <w:rPr>
          <w:b/>
          <w:i/>
        </w:rPr>
        <w:t>focusing on KEQs</w:t>
      </w:r>
    </w:p>
    <w:p w14:paraId="39C7B2DA" w14:textId="1F59B9DD" w:rsidR="00B51E63" w:rsidRDefault="00F36BE1" w:rsidP="00B51E63">
      <w:r>
        <w:t xml:space="preserve">Refine the conceptual models to help identify and clarify the </w:t>
      </w:r>
      <w:r w:rsidR="00E82C76">
        <w:t>KEQs for the assessment unit. C</w:t>
      </w:r>
      <w:r w:rsidR="00E82C76" w:rsidRPr="00EF1EC4">
        <w:t xml:space="preserve">onceptual models </w:t>
      </w:r>
      <w:r w:rsidR="00E82C76">
        <w:t>can be</w:t>
      </w:r>
      <w:r w:rsidR="00E82C76" w:rsidRPr="00EF1EC4">
        <w:t xml:space="preserve"> used to show the different ecological responses to </w:t>
      </w:r>
      <w:r w:rsidR="00E93967">
        <w:t xml:space="preserve">stressors and </w:t>
      </w:r>
      <w:r w:rsidR="00E82C76" w:rsidRPr="00EF1EC4">
        <w:t xml:space="preserve">management </w:t>
      </w:r>
      <w:r w:rsidR="00E82C76">
        <w:t>interventions relative to the assessment unit or appropriate scale of assessment</w:t>
      </w:r>
      <w:r w:rsidR="00E82C76" w:rsidRPr="00EF1EC4">
        <w:t>.</w:t>
      </w:r>
      <w:r w:rsidR="00E82C76">
        <w:t xml:space="preserve"> This can be done for each theme, </w:t>
      </w:r>
      <w:r w:rsidR="00426E46">
        <w:t xml:space="preserve">high </w:t>
      </w:r>
      <w:r w:rsidR="00E82C76">
        <w:t xml:space="preserve">priority value </w:t>
      </w:r>
      <w:r w:rsidR="00D547B8">
        <w:t>and/</w:t>
      </w:r>
      <w:r w:rsidR="00E82C76">
        <w:t xml:space="preserve">or high priority threats. The number of models developed </w:t>
      </w:r>
      <w:r w:rsidR="00565D53">
        <w:t>will be determined by the management objectives and the relative complexity of the assessment</w:t>
      </w:r>
      <w:r w:rsidR="00E82C76">
        <w:t>.</w:t>
      </w:r>
      <w:r w:rsidR="00E82C76" w:rsidRPr="00EF1EC4">
        <w:t xml:space="preserve"> The models </w:t>
      </w:r>
      <w:r w:rsidR="00E82C76">
        <w:t>should</w:t>
      </w:r>
      <w:r w:rsidR="00E82C76" w:rsidRPr="00EF1EC4">
        <w:t xml:space="preserve"> clarify the temporal and spatial scale of expected responses, and additional factors that modify those responses among different </w:t>
      </w:r>
      <w:r w:rsidR="00E82C76">
        <w:t>aquatic ecosystem types within the assessment unit</w:t>
      </w:r>
      <w:r w:rsidR="00E82C76" w:rsidRPr="00EF1EC4">
        <w:t xml:space="preserve">. </w:t>
      </w:r>
      <w:r w:rsidR="00E82C76">
        <w:t xml:space="preserve">Where possible it is helpful to </w:t>
      </w:r>
      <w:r w:rsidR="00E82C76" w:rsidRPr="00EF1EC4">
        <w:t>show causal pathways specific to particular responses and or implementation modifiers</w:t>
      </w:r>
      <w:r w:rsidR="00E82C76">
        <w:t>.</w:t>
      </w:r>
      <w:r w:rsidR="006F70A1">
        <w:t xml:space="preserve"> </w:t>
      </w:r>
    </w:p>
    <w:p w14:paraId="6C6523BC" w14:textId="77777777" w:rsidR="00E93967" w:rsidRDefault="006F70A1" w:rsidP="00B51E63">
      <w:r w:rsidRPr="006F70A1">
        <w:t xml:space="preserve">Factors that </w:t>
      </w:r>
      <w:r w:rsidR="00872A24">
        <w:t>influence</w:t>
      </w:r>
      <w:r w:rsidRPr="006F70A1">
        <w:t xml:space="preserve"> the effectiveness of management </w:t>
      </w:r>
      <w:r w:rsidR="00872A24">
        <w:t>interventions</w:t>
      </w:r>
      <w:r w:rsidRPr="006F70A1">
        <w:t xml:space="preserve"> in achieving outcomes are referred to as modifiers</w:t>
      </w:r>
      <w:r w:rsidR="008E39E6">
        <w:rPr>
          <w:rStyle w:val="FootnoteReference"/>
        </w:rPr>
        <w:footnoteReference w:id="4"/>
      </w:r>
      <w:r w:rsidRPr="006F70A1">
        <w:t xml:space="preserve"> </w:t>
      </w:r>
      <w:r>
        <w:t xml:space="preserve">in the IECA Framework </w:t>
      </w:r>
      <w:r w:rsidRPr="006F70A1">
        <w:t>(</w:t>
      </w:r>
      <w:r>
        <w:t xml:space="preserve">after </w:t>
      </w:r>
      <w:r w:rsidRPr="006F70A1">
        <w:t>Brooks and Reich 2012</w:t>
      </w:r>
      <w:r>
        <w:t>,</w:t>
      </w:r>
      <w:r w:rsidRPr="006F70A1">
        <w:t xml:space="preserve"> Morris and Reich 2013</w:t>
      </w:r>
      <w:r>
        <w:t>,</w:t>
      </w:r>
      <w:r w:rsidRPr="006F70A1">
        <w:t xml:space="preserve"> Brooks et al. 2013</w:t>
      </w:r>
      <w:r>
        <w:t>, Morris et al. 2015</w:t>
      </w:r>
      <w:r w:rsidRPr="006F70A1">
        <w:t>).</w:t>
      </w:r>
      <w:r w:rsidR="008E39E6">
        <w:t xml:space="preserve"> </w:t>
      </w:r>
      <w:r w:rsidR="00791D4C">
        <w:t>Modifiers should be included in conceptual model</w:t>
      </w:r>
      <w:r w:rsidR="00872A24">
        <w:t>s</w:t>
      </w:r>
      <w:r w:rsidR="00791D4C">
        <w:t xml:space="preserve"> to illustrate how they influence the condition of values and threatening processes. </w:t>
      </w:r>
    </w:p>
    <w:p w14:paraId="244C35EF" w14:textId="40C901A7" w:rsidR="00A8145C" w:rsidRDefault="00E93967" w:rsidP="00B51E63">
      <w:r>
        <w:t>Using the hypothetical estuary example</w:t>
      </w:r>
      <w:r w:rsidR="00212ADB">
        <w:t>: let’s say there were</w:t>
      </w:r>
      <w:r>
        <w:t xml:space="preserve"> six priority values </w:t>
      </w:r>
      <w:r w:rsidR="00212ADB">
        <w:t xml:space="preserve">identified from Steps 1 </w:t>
      </w:r>
      <w:r>
        <w:t xml:space="preserve">(see bottom row of </w:t>
      </w:r>
      <w:r>
        <w:fldChar w:fldCharType="begin"/>
      </w:r>
      <w:r>
        <w:instrText xml:space="preserve"> REF _Ref479093258 \h </w:instrText>
      </w:r>
      <w:r>
        <w:fldChar w:fldCharType="separate"/>
      </w:r>
      <w:r w:rsidR="005F359C">
        <w:t xml:space="preserve">Figure </w:t>
      </w:r>
      <w:r w:rsidR="005F359C">
        <w:rPr>
          <w:noProof/>
        </w:rPr>
        <w:t>7</w:t>
      </w:r>
      <w:r>
        <w:fldChar w:fldCharType="end"/>
      </w:r>
      <w:r>
        <w:t>a and b) and two priority threats (climate change: change precipitation and hydrological regime and invasive species)</w:t>
      </w:r>
      <w:r w:rsidR="00212ADB">
        <w:t>. I</w:t>
      </w:r>
      <w:r>
        <w:t xml:space="preserve">t is possible to refine the conceptual model shown in </w:t>
      </w:r>
      <w:r>
        <w:fldChar w:fldCharType="begin"/>
      </w:r>
      <w:r>
        <w:instrText xml:space="preserve"> REF _Ref479016712 \h </w:instrText>
      </w:r>
      <w:r>
        <w:fldChar w:fldCharType="separate"/>
      </w:r>
      <w:r w:rsidR="005F359C">
        <w:t xml:space="preserve">Figure </w:t>
      </w:r>
      <w:r w:rsidR="005F359C">
        <w:rPr>
          <w:noProof/>
        </w:rPr>
        <w:t>6</w:t>
      </w:r>
      <w:r>
        <w:fldChar w:fldCharType="end"/>
      </w:r>
      <w:r>
        <w:t xml:space="preserve"> above to focus on the relationships between the priority threats and values.  </w:t>
      </w:r>
      <w:r w:rsidR="00212ADB">
        <w:t xml:space="preserve">This in turn will help focus the development of the KEQs. </w:t>
      </w:r>
    </w:p>
    <w:p w14:paraId="26DA9367" w14:textId="4B0A8651" w:rsidR="001232A0" w:rsidRDefault="001232A0" w:rsidP="00B51E63"/>
    <w:p w14:paraId="48533D7D" w14:textId="32409BCC" w:rsidR="00F51DA8" w:rsidRDefault="00F51DA8" w:rsidP="00F51DA8">
      <w:pPr>
        <w:jc w:val="center"/>
      </w:pPr>
      <w:r>
        <w:rPr>
          <w:noProof/>
          <w:lang w:eastAsia="en-AU"/>
        </w:rPr>
        <w:lastRenderedPageBreak/>
        <w:drawing>
          <wp:inline distT="0" distB="0" distL="0" distR="0" wp14:anchorId="73A59FE5" wp14:editId="66268104">
            <wp:extent cx="5731510" cy="304990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3 model 2.png"/>
                    <pic:cNvPicPr/>
                  </pic:nvPicPr>
                  <pic:blipFill>
                    <a:blip r:embed="rId56">
                      <a:extLst>
                        <a:ext uri="{28A0092B-C50C-407E-A947-70E740481C1C}">
                          <a14:useLocalDpi xmlns:a14="http://schemas.microsoft.com/office/drawing/2010/main" val="0"/>
                        </a:ext>
                      </a:extLst>
                    </a:blip>
                    <a:stretch>
                      <a:fillRect/>
                    </a:stretch>
                  </pic:blipFill>
                  <pic:spPr>
                    <a:xfrm>
                      <a:off x="0" y="0"/>
                      <a:ext cx="5731510" cy="3049905"/>
                    </a:xfrm>
                    <a:prstGeom prst="rect">
                      <a:avLst/>
                    </a:prstGeom>
                  </pic:spPr>
                </pic:pic>
              </a:graphicData>
            </a:graphic>
          </wp:inline>
        </w:drawing>
      </w:r>
    </w:p>
    <w:p w14:paraId="6DCFA259" w14:textId="59849996" w:rsidR="00F51DA8" w:rsidRDefault="00F51DA8" w:rsidP="00F51DA8">
      <w:pPr>
        <w:jc w:val="center"/>
      </w:pPr>
      <w:r>
        <w:rPr>
          <w:noProof/>
          <w:lang w:eastAsia="en-AU"/>
        </w:rPr>
        <w:drawing>
          <wp:inline distT="0" distB="0" distL="0" distR="0" wp14:anchorId="4F04EA01" wp14:editId="224E0416">
            <wp:extent cx="5731510" cy="3406775"/>
            <wp:effectExtent l="0" t="0" r="254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sive species model.png"/>
                    <pic:cNvPicPr/>
                  </pic:nvPicPr>
                  <pic:blipFill>
                    <a:blip r:embed="rId57">
                      <a:extLst>
                        <a:ext uri="{28A0092B-C50C-407E-A947-70E740481C1C}">
                          <a14:useLocalDpi xmlns:a14="http://schemas.microsoft.com/office/drawing/2010/main" val="0"/>
                        </a:ext>
                      </a:extLst>
                    </a:blip>
                    <a:stretch>
                      <a:fillRect/>
                    </a:stretch>
                  </pic:blipFill>
                  <pic:spPr>
                    <a:xfrm>
                      <a:off x="0" y="0"/>
                      <a:ext cx="5731510" cy="3406775"/>
                    </a:xfrm>
                    <a:prstGeom prst="rect">
                      <a:avLst/>
                    </a:prstGeom>
                  </pic:spPr>
                </pic:pic>
              </a:graphicData>
            </a:graphic>
          </wp:inline>
        </w:drawing>
      </w:r>
    </w:p>
    <w:p w14:paraId="6664DC38" w14:textId="616B5FC5" w:rsidR="001232A0" w:rsidRDefault="001232A0" w:rsidP="001232A0">
      <w:pPr>
        <w:pStyle w:val="Caption"/>
      </w:pPr>
      <w:bookmarkStart w:id="71" w:name="_Ref479093258"/>
      <w:r>
        <w:t xml:space="preserve">Figure </w:t>
      </w:r>
      <w:fldSimple w:instr=" SEQ Figure \* ARABIC ">
        <w:r w:rsidR="005F359C">
          <w:rPr>
            <w:noProof/>
          </w:rPr>
          <w:t>7</w:t>
        </w:r>
      </w:fldSimple>
      <w:bookmarkEnd w:id="71"/>
      <w:r w:rsidR="00FD50A9">
        <w:rPr>
          <w:noProof/>
        </w:rPr>
        <w:t>:</w:t>
      </w:r>
      <w:r>
        <w:t xml:space="preserve"> </w:t>
      </w:r>
      <w:r w:rsidR="00E93967">
        <w:t>C</w:t>
      </w:r>
      <w:r>
        <w:t>onceptual model</w:t>
      </w:r>
      <w:r w:rsidR="00F51DA8">
        <w:t>s</w:t>
      </w:r>
      <w:r>
        <w:t xml:space="preserve"> showing potential modifiers and temporal scale of ecological effects</w:t>
      </w:r>
      <w:r w:rsidR="00AC0597">
        <w:t xml:space="preserve"> </w:t>
      </w:r>
      <w:r w:rsidR="00227F42">
        <w:t>associated with</w:t>
      </w:r>
      <w:r w:rsidR="00F51DA8">
        <w:t xml:space="preserve">: A) </w:t>
      </w:r>
      <w:r w:rsidR="00227F42">
        <w:t>climate change pressures</w:t>
      </w:r>
      <w:r w:rsidR="00F51DA8">
        <w:t>, and B). Invasive species</w:t>
      </w:r>
      <w:r w:rsidR="00F96DCB">
        <w:t>,</w:t>
      </w:r>
      <w:r w:rsidR="00227F42">
        <w:t xml:space="preserve"> </w:t>
      </w:r>
      <w:r w:rsidR="00AC0597">
        <w:t>for the estuary example from step 2</w:t>
      </w:r>
      <w:r>
        <w:t xml:space="preserve">.  Short term effects occur on an annual basis, Medium term effects on a </w:t>
      </w:r>
      <w:r w:rsidR="00E93C55">
        <w:t xml:space="preserve">1-5 year basis, Long term effects occur over five or more years. </w:t>
      </w:r>
    </w:p>
    <w:p w14:paraId="45BD4DF1" w14:textId="77777777" w:rsidR="00E93C55" w:rsidRDefault="00E93C55" w:rsidP="00E93C55"/>
    <w:p w14:paraId="1B7DA241" w14:textId="77777777" w:rsidR="00E93967" w:rsidRDefault="00E93967" w:rsidP="00E93967">
      <w:pPr>
        <w:pStyle w:val="ListParagraph"/>
        <w:numPr>
          <w:ilvl w:val="0"/>
          <w:numId w:val="33"/>
        </w:numPr>
        <w:rPr>
          <w:b/>
          <w:i/>
        </w:rPr>
      </w:pPr>
      <w:r>
        <w:rPr>
          <w:b/>
          <w:i/>
        </w:rPr>
        <w:t>Draft KEQs relating to assessment of priority values and priority threats</w:t>
      </w:r>
    </w:p>
    <w:p w14:paraId="3DC66A69" w14:textId="7BBED74B" w:rsidR="00E93967" w:rsidRDefault="00E93967" w:rsidP="00E93967">
      <w:r>
        <w:t xml:space="preserve">Next, list the KEQs </w:t>
      </w:r>
      <w:r w:rsidR="0073025D">
        <w:t>relevant to the purpose of the assessment</w:t>
      </w:r>
      <w:r>
        <w:t xml:space="preserve"> for the priority values and threats identified in the previous steps. KEQs are simple statements that help frame the assessment, and aiding in identifying indicators </w:t>
      </w:r>
      <w:r>
        <w:lastRenderedPageBreak/>
        <w:t>to be assessed. Include the assumptions, such as the temporal and spatial</w:t>
      </w:r>
      <w:r w:rsidR="00212ADB">
        <w:t xml:space="preserve"> scale of effect for each KEQ. These may require some refinement in relation to triggers, targets and thresholds where they are available and or developed in Step 5</w:t>
      </w:r>
      <w:r w:rsidR="00212ADB" w:rsidRPr="00C617F9">
        <w:t>.</w:t>
      </w:r>
      <w:r w:rsidR="0073025D" w:rsidRPr="00C617F9">
        <w:t xml:space="preserve"> As stated in </w:t>
      </w:r>
      <w:r w:rsidR="00025B8B" w:rsidRPr="00C617F9">
        <w:t>Part A</w:t>
      </w:r>
      <w:r w:rsidR="005F0515" w:rsidRPr="00C617F9">
        <w:t xml:space="preserve"> of the Framework, setting</w:t>
      </w:r>
      <w:r w:rsidR="00025B8B" w:rsidRPr="00C617F9">
        <w:t xml:space="preserve"> a baseline</w:t>
      </w:r>
      <w:r w:rsidR="005F0515" w:rsidRPr="00C617F9">
        <w:t>, or reference point</w:t>
      </w:r>
      <w:r w:rsidR="00025B8B" w:rsidRPr="00C617F9">
        <w:t xml:space="preserve"> is essential to assess</w:t>
      </w:r>
      <w:r w:rsidR="005F0515" w:rsidRPr="00C617F9">
        <w:t xml:space="preserve"> changed </w:t>
      </w:r>
      <w:r w:rsidR="00025B8B" w:rsidRPr="00C617F9">
        <w:t>status and trends over the longer term.</w:t>
      </w:r>
      <w:r w:rsidR="0073025D" w:rsidRPr="007930DF">
        <w:t xml:space="preserve"> </w:t>
      </w:r>
    </w:p>
    <w:p w14:paraId="7FED0CF7" w14:textId="77777777" w:rsidR="00E93967" w:rsidRPr="00565D53" w:rsidRDefault="00E93967" w:rsidP="00E93967">
      <w:r>
        <w:t xml:space="preserve">Some hypothetical KEQs for the estuary example are presented in </w:t>
      </w:r>
      <w:r>
        <w:fldChar w:fldCharType="begin"/>
      </w:r>
      <w:r>
        <w:instrText xml:space="preserve"> REF _Ref479107357 \h </w:instrText>
      </w:r>
      <w:r>
        <w:fldChar w:fldCharType="separate"/>
      </w:r>
      <w:r w:rsidR="005F359C">
        <w:t xml:space="preserve">Table </w:t>
      </w:r>
      <w:r w:rsidR="005F359C">
        <w:rPr>
          <w:noProof/>
        </w:rPr>
        <w:t>13</w:t>
      </w:r>
      <w:r>
        <w:fldChar w:fldCharType="end"/>
      </w:r>
      <w:r>
        <w:t>.</w:t>
      </w:r>
    </w:p>
    <w:p w14:paraId="26A71322" w14:textId="1E352358" w:rsidR="00884406" w:rsidRPr="00884406" w:rsidRDefault="00312B8A" w:rsidP="00312B8A">
      <w:pPr>
        <w:pStyle w:val="Caption"/>
      </w:pPr>
      <w:bookmarkStart w:id="72" w:name="_Ref479107357"/>
      <w:r>
        <w:t xml:space="preserve">Table </w:t>
      </w:r>
      <w:fldSimple w:instr=" SEQ Table \* ARABIC ">
        <w:r w:rsidR="005F359C">
          <w:rPr>
            <w:noProof/>
          </w:rPr>
          <w:t>13</w:t>
        </w:r>
      </w:fldSimple>
      <w:bookmarkEnd w:id="72"/>
      <w:r w:rsidR="00FD50A9">
        <w:rPr>
          <w:noProof/>
        </w:rPr>
        <w:t>:</w:t>
      </w:r>
      <w:r>
        <w:t xml:space="preserve"> hypothetical KEQs for the </w:t>
      </w:r>
      <w:r w:rsidR="00CE744D" w:rsidRPr="00CE744D">
        <w:rPr>
          <w:i/>
        </w:rPr>
        <w:t xml:space="preserve">Fictitious River </w:t>
      </w:r>
      <w:r w:rsidRPr="00CE744D">
        <w:rPr>
          <w:i/>
        </w:rPr>
        <w:t>Estuary</w:t>
      </w:r>
      <w:r>
        <w:t xml:space="preserve"> Example</w:t>
      </w:r>
      <w:r w:rsidR="00AC0597">
        <w:t xml:space="preserve"> pr</w:t>
      </w:r>
      <w:r w:rsidR="00AE602F">
        <w:t>e</w:t>
      </w:r>
      <w:r w:rsidR="00AC0597">
        <w:t>sented in Step 2</w:t>
      </w:r>
      <w:r>
        <w:t>.</w:t>
      </w:r>
    </w:p>
    <w:tbl>
      <w:tblPr>
        <w:tblStyle w:val="LightList-Accent2"/>
        <w:tblW w:w="0" w:type="auto"/>
        <w:tblBorders>
          <w:top w:val="single" w:sz="4" w:space="0" w:color="9CBEBD" w:themeColor="accent2"/>
          <w:left w:val="single" w:sz="4" w:space="0" w:color="9CBEBD" w:themeColor="accent2"/>
          <w:bottom w:val="single" w:sz="4" w:space="0" w:color="9CBEBD" w:themeColor="accent2"/>
          <w:right w:val="single" w:sz="4" w:space="0" w:color="9CBEBD" w:themeColor="accent2"/>
          <w:insideH w:val="single" w:sz="4" w:space="0" w:color="9CBEBD" w:themeColor="accent2"/>
          <w:insideV w:val="single" w:sz="4" w:space="0" w:color="9CBEBD" w:themeColor="accent2"/>
        </w:tblBorders>
        <w:tblLook w:val="04A0" w:firstRow="1" w:lastRow="0" w:firstColumn="1" w:lastColumn="0" w:noHBand="0" w:noVBand="1"/>
      </w:tblPr>
      <w:tblGrid>
        <w:gridCol w:w="2668"/>
        <w:gridCol w:w="1822"/>
        <w:gridCol w:w="2322"/>
        <w:gridCol w:w="1046"/>
        <w:gridCol w:w="1158"/>
      </w:tblGrid>
      <w:tr w:rsidR="00146EDC" w:rsidRPr="00794222" w14:paraId="4A2C73C6" w14:textId="759FC5A8" w:rsidTr="00E22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4FA8C0" w14:textId="19BAFBBA" w:rsidR="00F739EE" w:rsidRPr="00794222" w:rsidRDefault="00786248" w:rsidP="00786248">
            <w:pPr>
              <w:pStyle w:val="Tabletext0"/>
            </w:pPr>
            <w:r>
              <w:t xml:space="preserve">Hypothetical </w:t>
            </w:r>
            <w:r w:rsidR="00F739EE">
              <w:t>m</w:t>
            </w:r>
            <w:r w:rsidR="00F739EE" w:rsidRPr="00794222">
              <w:t xml:space="preserve">anagement objective </w:t>
            </w:r>
            <w:r w:rsidR="007930DF">
              <w:t xml:space="preserve"> SMART elements in italics)</w:t>
            </w:r>
          </w:p>
        </w:tc>
        <w:tc>
          <w:tcPr>
            <w:tcW w:w="0" w:type="auto"/>
          </w:tcPr>
          <w:p w14:paraId="3A09D11A" w14:textId="041770CE" w:rsidR="00F739EE" w:rsidRPr="00794222" w:rsidRDefault="00D547B8" w:rsidP="00F05E06">
            <w:pPr>
              <w:pStyle w:val="Tabletext0"/>
              <w:cnfStyle w:val="100000000000" w:firstRow="1" w:lastRow="0" w:firstColumn="0" w:lastColumn="0" w:oddVBand="0" w:evenVBand="0" w:oddHBand="0" w:evenHBand="0" w:firstRowFirstColumn="0" w:firstRowLastColumn="0" w:lastRowFirstColumn="0" w:lastRowLastColumn="0"/>
            </w:pPr>
            <w:r>
              <w:t xml:space="preserve">Hypothetical </w:t>
            </w:r>
            <w:r w:rsidR="00F739EE" w:rsidRPr="00794222">
              <w:t>KEQ</w:t>
            </w:r>
          </w:p>
        </w:tc>
        <w:tc>
          <w:tcPr>
            <w:tcW w:w="0" w:type="auto"/>
          </w:tcPr>
          <w:p w14:paraId="6727FC34" w14:textId="54F0EC09" w:rsidR="00F739EE" w:rsidRDefault="00F739EE" w:rsidP="00AE69A3">
            <w:pPr>
              <w:pStyle w:val="Tabletext0"/>
              <w:cnfStyle w:val="100000000000" w:firstRow="1" w:lastRow="0" w:firstColumn="0" w:lastColumn="0" w:oddVBand="0" w:evenVBand="0" w:oddHBand="0" w:evenHBand="0" w:firstRowFirstColumn="0" w:firstRowLastColumn="0" w:lastRowFirstColumn="0" w:lastRowLastColumn="0"/>
            </w:pPr>
            <w:r>
              <w:t>Assumption</w:t>
            </w:r>
          </w:p>
        </w:tc>
        <w:tc>
          <w:tcPr>
            <w:tcW w:w="0" w:type="auto"/>
          </w:tcPr>
          <w:p w14:paraId="7B5D5937" w14:textId="01C8414A" w:rsidR="00F739EE" w:rsidRDefault="00F739EE" w:rsidP="00F739EE">
            <w:pPr>
              <w:pStyle w:val="Tabletext0"/>
              <w:cnfStyle w:val="100000000000" w:firstRow="1" w:lastRow="0" w:firstColumn="0" w:lastColumn="0" w:oddVBand="0" w:evenVBand="0" w:oddHBand="0" w:evenHBand="0" w:firstRowFirstColumn="0" w:firstRowLastColumn="0" w:lastRowFirstColumn="0" w:lastRowLastColumn="0"/>
            </w:pPr>
            <w:r>
              <w:t>Temporal scale of effect</w:t>
            </w:r>
          </w:p>
        </w:tc>
        <w:tc>
          <w:tcPr>
            <w:tcW w:w="0" w:type="auto"/>
          </w:tcPr>
          <w:p w14:paraId="2930A4BB" w14:textId="3D2DBF3F" w:rsidR="00F739EE" w:rsidRPr="00794222" w:rsidRDefault="00F739EE" w:rsidP="00F739EE">
            <w:pPr>
              <w:pStyle w:val="Tabletext0"/>
              <w:cnfStyle w:val="100000000000" w:firstRow="1" w:lastRow="0" w:firstColumn="0" w:lastColumn="0" w:oddVBand="0" w:evenVBand="0" w:oddHBand="0" w:evenHBand="0" w:firstRowFirstColumn="0" w:firstRowLastColumn="0" w:lastRowFirstColumn="0" w:lastRowLastColumn="0"/>
            </w:pPr>
            <w:r>
              <w:t>Spatial s</w:t>
            </w:r>
            <w:r w:rsidRPr="00794222">
              <w:t xml:space="preserve">cale of </w:t>
            </w:r>
            <w:r>
              <w:t>effect</w:t>
            </w:r>
          </w:p>
        </w:tc>
      </w:tr>
      <w:tr w:rsidR="00146EDC" w:rsidRPr="00794222" w14:paraId="404FC6A6" w14:textId="68F59E76" w:rsidTr="00E2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tcPr>
          <w:p w14:paraId="37B02E78" w14:textId="2E6C80DA" w:rsidR="00F739EE" w:rsidRPr="00AE69A3" w:rsidRDefault="00F739EE" w:rsidP="00146EDC">
            <w:pPr>
              <w:pStyle w:val="tblBody"/>
              <w:rPr>
                <w:b w:val="0"/>
              </w:rPr>
            </w:pPr>
            <w:r>
              <w:rPr>
                <w:b w:val="0"/>
              </w:rPr>
              <w:t xml:space="preserve">Improve </w:t>
            </w:r>
            <w:r w:rsidRPr="00146EDC">
              <w:rPr>
                <w:b w:val="0"/>
                <w:i/>
              </w:rPr>
              <w:t>native fish breeding</w:t>
            </w:r>
            <w:r w:rsidR="00CE744D">
              <w:rPr>
                <w:b w:val="0"/>
              </w:rPr>
              <w:t xml:space="preserve"> at </w:t>
            </w:r>
            <w:r w:rsidR="00CE744D" w:rsidRPr="00CE744D">
              <w:rPr>
                <w:b w:val="0"/>
                <w:i/>
              </w:rPr>
              <w:t>Fictitious River Estuary</w:t>
            </w:r>
            <w:r w:rsidR="00CE744D">
              <w:rPr>
                <w:b w:val="0"/>
              </w:rPr>
              <w:t xml:space="preserve"> </w:t>
            </w:r>
            <w:r w:rsidR="00146EDC">
              <w:rPr>
                <w:b w:val="0"/>
              </w:rPr>
              <w:t>via</w:t>
            </w:r>
            <w:r w:rsidR="00CE744D">
              <w:rPr>
                <w:b w:val="0"/>
              </w:rPr>
              <w:t xml:space="preserve"> </w:t>
            </w:r>
            <w:r w:rsidR="00146EDC">
              <w:rPr>
                <w:b w:val="0"/>
              </w:rPr>
              <w:t xml:space="preserve">increased </w:t>
            </w:r>
            <w:r w:rsidR="00146EDC" w:rsidRPr="00146EDC">
              <w:rPr>
                <w:b w:val="0"/>
                <w:i/>
              </w:rPr>
              <w:t>recruitment</w:t>
            </w:r>
            <w:r w:rsidR="00146EDC">
              <w:rPr>
                <w:b w:val="0"/>
              </w:rPr>
              <w:t xml:space="preserve"> of </w:t>
            </w:r>
            <w:r w:rsidR="00146EDC" w:rsidRPr="00146EDC">
              <w:rPr>
                <w:b w:val="0"/>
                <w:i/>
              </w:rPr>
              <w:t>common galaxias</w:t>
            </w:r>
            <w:r w:rsidR="00146EDC">
              <w:rPr>
                <w:b w:val="0"/>
              </w:rPr>
              <w:t xml:space="preserve"> </w:t>
            </w:r>
            <w:r w:rsidR="007930DF">
              <w:rPr>
                <w:b w:val="0"/>
              </w:rPr>
              <w:t xml:space="preserve">by </w:t>
            </w:r>
            <w:r w:rsidR="007930DF" w:rsidRPr="007930DF">
              <w:rPr>
                <w:b w:val="0"/>
                <w:i/>
              </w:rPr>
              <w:t>2025</w:t>
            </w:r>
            <w:r w:rsidR="007930DF">
              <w:rPr>
                <w:b w:val="0"/>
              </w:rPr>
              <w:t xml:space="preserve">, </w:t>
            </w:r>
            <w:r w:rsidR="00CE744D">
              <w:rPr>
                <w:b w:val="0"/>
              </w:rPr>
              <w:t xml:space="preserve">compared to </w:t>
            </w:r>
            <w:r w:rsidR="00CE744D" w:rsidRPr="007930DF">
              <w:rPr>
                <w:b w:val="0"/>
                <w:i/>
              </w:rPr>
              <w:t>baseline set in 2015</w:t>
            </w:r>
            <w:r w:rsidR="00CE744D">
              <w:rPr>
                <w:b w:val="0"/>
              </w:rPr>
              <w:t>.</w:t>
            </w:r>
          </w:p>
        </w:tc>
        <w:tc>
          <w:tcPr>
            <w:tcW w:w="0" w:type="auto"/>
            <w:tcBorders>
              <w:top w:val="none" w:sz="0" w:space="0" w:color="auto"/>
              <w:bottom w:val="none" w:sz="0" w:space="0" w:color="auto"/>
            </w:tcBorders>
          </w:tcPr>
          <w:p w14:paraId="7CF37D58" w14:textId="5103DE1E" w:rsidR="00F739EE" w:rsidRPr="00794222" w:rsidRDefault="00D547B8" w:rsidP="001778A8">
            <w:pPr>
              <w:pStyle w:val="tblBody"/>
              <w:cnfStyle w:val="000000100000" w:firstRow="0" w:lastRow="0" w:firstColumn="0" w:lastColumn="0" w:oddVBand="0" w:evenVBand="0" w:oddHBand="1" w:evenHBand="0" w:firstRowFirstColumn="0" w:firstRowLastColumn="0" w:lastRowFirstColumn="0" w:lastRowLastColumn="0"/>
            </w:pPr>
            <w:r>
              <w:t>To what extent did</w:t>
            </w:r>
            <w:r w:rsidR="00F739EE" w:rsidRPr="00794222">
              <w:t xml:space="preserve"> environmental water management </w:t>
            </w:r>
            <w:r w:rsidR="001778A8">
              <w:t>affect the status of native fish breeding</w:t>
            </w:r>
            <w:r w:rsidR="00F739EE" w:rsidRPr="00794222">
              <w:t>?</w:t>
            </w:r>
          </w:p>
        </w:tc>
        <w:tc>
          <w:tcPr>
            <w:tcW w:w="0" w:type="auto"/>
            <w:tcBorders>
              <w:top w:val="none" w:sz="0" w:space="0" w:color="auto"/>
              <w:bottom w:val="none" w:sz="0" w:space="0" w:color="auto"/>
            </w:tcBorders>
          </w:tcPr>
          <w:p w14:paraId="0BBBAD3A" w14:textId="389A71C4" w:rsidR="00F739EE" w:rsidRDefault="00F739EE" w:rsidP="00F739EE">
            <w:pPr>
              <w:pStyle w:val="tblBody"/>
              <w:cnfStyle w:val="000000100000" w:firstRow="0" w:lastRow="0" w:firstColumn="0" w:lastColumn="0" w:oddVBand="0" w:evenVBand="0" w:oddHBand="1" w:evenHBand="0" w:firstRowFirstColumn="0" w:firstRowLastColumn="0" w:lastRowFirstColumn="0" w:lastRowLastColumn="0"/>
            </w:pPr>
            <w:r>
              <w:t>Timing and volume of freshwater inflows are main cue for breeding in target species</w:t>
            </w:r>
            <w:r w:rsidR="00D3519B">
              <w:t>.</w:t>
            </w:r>
          </w:p>
        </w:tc>
        <w:tc>
          <w:tcPr>
            <w:tcW w:w="0" w:type="auto"/>
            <w:tcBorders>
              <w:top w:val="none" w:sz="0" w:space="0" w:color="auto"/>
              <w:bottom w:val="none" w:sz="0" w:space="0" w:color="auto"/>
            </w:tcBorders>
          </w:tcPr>
          <w:p w14:paraId="439E0AAC" w14:textId="04034005" w:rsidR="00F739EE" w:rsidRPr="00794222" w:rsidRDefault="00F739EE" w:rsidP="00F05E06">
            <w:pPr>
              <w:pStyle w:val="tblBody"/>
              <w:cnfStyle w:val="000000100000" w:firstRow="0" w:lastRow="0" w:firstColumn="0" w:lastColumn="0" w:oddVBand="0" w:evenVBand="0" w:oddHBand="1" w:evenHBand="0" w:firstRowFirstColumn="0" w:firstRowLastColumn="0" w:lastRowFirstColumn="0" w:lastRowLastColumn="0"/>
            </w:pPr>
            <w:r>
              <w:t>Long term 3-5 years</w:t>
            </w:r>
          </w:p>
        </w:tc>
        <w:tc>
          <w:tcPr>
            <w:tcW w:w="0" w:type="auto"/>
            <w:tcBorders>
              <w:top w:val="none" w:sz="0" w:space="0" w:color="auto"/>
              <w:bottom w:val="none" w:sz="0" w:space="0" w:color="auto"/>
              <w:right w:val="none" w:sz="0" w:space="0" w:color="auto"/>
            </w:tcBorders>
          </w:tcPr>
          <w:p w14:paraId="76193694" w14:textId="5C505ADF" w:rsidR="00F739EE" w:rsidRPr="00794222" w:rsidRDefault="00F739EE" w:rsidP="00F05E06">
            <w:pPr>
              <w:pStyle w:val="tblBody"/>
              <w:cnfStyle w:val="000000100000" w:firstRow="0" w:lastRow="0" w:firstColumn="0" w:lastColumn="0" w:oddVBand="0" w:evenVBand="0" w:oddHBand="1" w:evenHBand="0" w:firstRowFirstColumn="0" w:firstRowLastColumn="0" w:lastRowFirstColumn="0" w:lastRowLastColumn="0"/>
            </w:pPr>
            <w:r>
              <w:t>Assessment unit</w:t>
            </w:r>
          </w:p>
        </w:tc>
      </w:tr>
      <w:tr w:rsidR="00146EDC" w:rsidRPr="00794222" w14:paraId="07395B3F" w14:textId="23EA827F" w:rsidTr="00E221CF">
        <w:tc>
          <w:tcPr>
            <w:cnfStyle w:val="001000000000" w:firstRow="0" w:lastRow="0" w:firstColumn="1" w:lastColumn="0" w:oddVBand="0" w:evenVBand="0" w:oddHBand="0" w:evenHBand="0" w:firstRowFirstColumn="0" w:firstRowLastColumn="0" w:lastRowFirstColumn="0" w:lastRowLastColumn="0"/>
            <w:tcW w:w="0" w:type="auto"/>
            <w:vMerge/>
          </w:tcPr>
          <w:p w14:paraId="4F84A3F2" w14:textId="77777777" w:rsidR="00F739EE" w:rsidRPr="00AE69A3" w:rsidRDefault="00F739EE" w:rsidP="00F05E06">
            <w:pPr>
              <w:pStyle w:val="tblBody"/>
              <w:rPr>
                <w:b w:val="0"/>
              </w:rPr>
            </w:pPr>
          </w:p>
        </w:tc>
        <w:tc>
          <w:tcPr>
            <w:tcW w:w="0" w:type="auto"/>
          </w:tcPr>
          <w:p w14:paraId="2E926C5B" w14:textId="15823B5B" w:rsidR="00F739EE" w:rsidRPr="00794222" w:rsidRDefault="00D547B8" w:rsidP="001778A8">
            <w:pPr>
              <w:pStyle w:val="tblBody"/>
              <w:cnfStyle w:val="000000000000" w:firstRow="0" w:lastRow="0" w:firstColumn="0" w:lastColumn="0" w:oddVBand="0" w:evenVBand="0" w:oddHBand="0" w:evenHBand="0" w:firstRowFirstColumn="0" w:firstRowLastColumn="0" w:lastRowFirstColumn="0" w:lastRowLastColumn="0"/>
            </w:pPr>
            <w:r>
              <w:t>To what extent did</w:t>
            </w:r>
            <w:r w:rsidR="00F739EE" w:rsidRPr="00794222">
              <w:t xml:space="preserve"> environmental water management </w:t>
            </w:r>
            <w:r w:rsidR="001778A8">
              <w:t>affect the condition of</w:t>
            </w:r>
            <w:r w:rsidR="00F739EE">
              <w:t xml:space="preserve"> fish breeding habitat</w:t>
            </w:r>
            <w:r w:rsidR="00F739EE" w:rsidRPr="00794222">
              <w:t xml:space="preserve">? </w:t>
            </w:r>
          </w:p>
        </w:tc>
        <w:tc>
          <w:tcPr>
            <w:tcW w:w="0" w:type="auto"/>
          </w:tcPr>
          <w:p w14:paraId="7740309D" w14:textId="5D5C4A47" w:rsidR="00F739EE" w:rsidRDefault="00F739EE" w:rsidP="00F05E06">
            <w:pPr>
              <w:pStyle w:val="tblBody"/>
              <w:cnfStyle w:val="000000000000" w:firstRow="0" w:lastRow="0" w:firstColumn="0" w:lastColumn="0" w:oddVBand="0" w:evenVBand="0" w:oddHBand="0" w:evenHBand="0" w:firstRowFirstColumn="0" w:firstRowLastColumn="0" w:lastRowFirstColumn="0" w:lastRowLastColumn="0"/>
            </w:pPr>
            <w:r>
              <w:t>Poor spawning success linked to reduced seagrass habitat, reduced extent of nursery habitat leads to reduced recruitment</w:t>
            </w:r>
            <w:r w:rsidR="00D3519B">
              <w:t>.</w:t>
            </w:r>
          </w:p>
        </w:tc>
        <w:tc>
          <w:tcPr>
            <w:tcW w:w="0" w:type="auto"/>
          </w:tcPr>
          <w:p w14:paraId="7033867C" w14:textId="39F14065" w:rsidR="00F739EE" w:rsidRPr="00794222" w:rsidRDefault="00F739EE" w:rsidP="00F05E06">
            <w:pPr>
              <w:pStyle w:val="tblBody"/>
              <w:cnfStyle w:val="000000000000" w:firstRow="0" w:lastRow="0" w:firstColumn="0" w:lastColumn="0" w:oddVBand="0" w:evenVBand="0" w:oddHBand="0" w:evenHBand="0" w:firstRowFirstColumn="0" w:firstRowLastColumn="0" w:lastRowFirstColumn="0" w:lastRowLastColumn="0"/>
            </w:pPr>
            <w:r>
              <w:t>Long term 3-5 years</w:t>
            </w:r>
          </w:p>
        </w:tc>
        <w:tc>
          <w:tcPr>
            <w:tcW w:w="0" w:type="auto"/>
          </w:tcPr>
          <w:p w14:paraId="20EEE0F8" w14:textId="6A39A6D8" w:rsidR="00F739EE" w:rsidRPr="00794222" w:rsidRDefault="00F739EE" w:rsidP="00F05E06">
            <w:pPr>
              <w:pStyle w:val="tblBody"/>
              <w:cnfStyle w:val="000000000000" w:firstRow="0" w:lastRow="0" w:firstColumn="0" w:lastColumn="0" w:oddVBand="0" w:evenVBand="0" w:oddHBand="0" w:evenHBand="0" w:firstRowFirstColumn="0" w:firstRowLastColumn="0" w:lastRowFirstColumn="0" w:lastRowLastColumn="0"/>
            </w:pPr>
            <w:r>
              <w:t>Assessment unit</w:t>
            </w:r>
          </w:p>
        </w:tc>
      </w:tr>
      <w:tr w:rsidR="00146EDC" w:rsidRPr="00794222" w14:paraId="701529D1" w14:textId="77777777" w:rsidTr="00E2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tcPr>
          <w:p w14:paraId="4E44C647" w14:textId="745EE42D" w:rsidR="00F739EE" w:rsidRDefault="00F739EE" w:rsidP="007930DF">
            <w:pPr>
              <w:pStyle w:val="tblBody"/>
              <w:rPr>
                <w:b w:val="0"/>
              </w:rPr>
            </w:pPr>
            <w:r>
              <w:rPr>
                <w:b w:val="0"/>
              </w:rPr>
              <w:t>Maintain cultural values</w:t>
            </w:r>
            <w:r w:rsidR="007930DF">
              <w:rPr>
                <w:b w:val="0"/>
              </w:rPr>
              <w:t xml:space="preserve"> through </w:t>
            </w:r>
            <w:r w:rsidR="007930DF" w:rsidRPr="007930DF">
              <w:rPr>
                <w:b w:val="0"/>
                <w:i/>
              </w:rPr>
              <w:t>improved condition of country (reduced weediness)</w:t>
            </w:r>
            <w:r w:rsidR="007930DF">
              <w:rPr>
                <w:b w:val="0"/>
              </w:rPr>
              <w:t xml:space="preserve">, measurable </w:t>
            </w:r>
            <w:r w:rsidR="007930DF" w:rsidRPr="007930DF">
              <w:rPr>
                <w:b w:val="0"/>
                <w:i/>
              </w:rPr>
              <w:t>improvement in well-being of Traditional owners (increased access to country)</w:t>
            </w:r>
            <w:r w:rsidR="007930DF">
              <w:rPr>
                <w:b w:val="0"/>
              </w:rPr>
              <w:t xml:space="preserve"> and maintenance of</w:t>
            </w:r>
            <w:r w:rsidR="007930DF" w:rsidRPr="00146EDC">
              <w:rPr>
                <w:b w:val="0"/>
                <w:i/>
              </w:rPr>
              <w:t xml:space="preserve"> eel populations at 2015 levels</w:t>
            </w:r>
            <w:r w:rsidR="007930DF">
              <w:rPr>
                <w:b w:val="0"/>
              </w:rPr>
              <w:t xml:space="preserve"> in </w:t>
            </w:r>
            <w:r w:rsidR="007930DF" w:rsidRPr="007930DF">
              <w:rPr>
                <w:b w:val="0"/>
                <w:i/>
              </w:rPr>
              <w:t>Lake Fictitious by 2020</w:t>
            </w:r>
            <w:r w:rsidR="007930DF">
              <w:rPr>
                <w:b w:val="0"/>
              </w:rPr>
              <w:t xml:space="preserve">. </w:t>
            </w:r>
          </w:p>
        </w:tc>
        <w:tc>
          <w:tcPr>
            <w:tcW w:w="0" w:type="auto"/>
            <w:tcBorders>
              <w:top w:val="none" w:sz="0" w:space="0" w:color="auto"/>
              <w:bottom w:val="none" w:sz="0" w:space="0" w:color="auto"/>
            </w:tcBorders>
          </w:tcPr>
          <w:p w14:paraId="3F776D22" w14:textId="0B1BC36B" w:rsidR="00F739EE" w:rsidRPr="00794222" w:rsidRDefault="00D547B8" w:rsidP="001778A8">
            <w:pPr>
              <w:pStyle w:val="tblBody"/>
              <w:cnfStyle w:val="000000100000" w:firstRow="0" w:lastRow="0" w:firstColumn="0" w:lastColumn="0" w:oddVBand="0" w:evenVBand="0" w:oddHBand="1" w:evenHBand="0" w:firstRowFirstColumn="0" w:firstRowLastColumn="0" w:lastRowFirstColumn="0" w:lastRowLastColumn="0"/>
            </w:pPr>
            <w:r>
              <w:t>To what extent did</w:t>
            </w:r>
            <w:r w:rsidRPr="00794222">
              <w:t xml:space="preserve"> </w:t>
            </w:r>
            <w:r w:rsidR="00F739EE">
              <w:t xml:space="preserve">cultural water management </w:t>
            </w:r>
            <w:r w:rsidR="001778A8">
              <w:t>affect</w:t>
            </w:r>
            <w:r w:rsidR="00F739EE">
              <w:t xml:space="preserve"> condition of Country?</w:t>
            </w:r>
          </w:p>
        </w:tc>
        <w:tc>
          <w:tcPr>
            <w:tcW w:w="0" w:type="auto"/>
            <w:vMerge w:val="restart"/>
            <w:tcBorders>
              <w:top w:val="none" w:sz="0" w:space="0" w:color="auto"/>
              <w:bottom w:val="none" w:sz="0" w:space="0" w:color="auto"/>
            </w:tcBorders>
          </w:tcPr>
          <w:p w14:paraId="37B0B71E" w14:textId="6308A2D9" w:rsidR="00F739EE" w:rsidRDefault="00F739EE" w:rsidP="00F05E06">
            <w:pPr>
              <w:pStyle w:val="tblBody"/>
              <w:cnfStyle w:val="000000100000" w:firstRow="0" w:lastRow="0" w:firstColumn="0" w:lastColumn="0" w:oddVBand="0" w:evenVBand="0" w:oddHBand="1" w:evenHBand="0" w:firstRowFirstColumn="0" w:firstRowLastColumn="0" w:lastRowFirstColumn="0" w:lastRowLastColumn="0"/>
            </w:pPr>
            <w:r>
              <w:t>Hydrology is key driver of ecological integrity, which in turn supports cultural economy and wellbeing</w:t>
            </w:r>
            <w:r w:rsidR="00D3519B">
              <w:t>.</w:t>
            </w:r>
          </w:p>
        </w:tc>
        <w:tc>
          <w:tcPr>
            <w:tcW w:w="0" w:type="auto"/>
            <w:tcBorders>
              <w:top w:val="none" w:sz="0" w:space="0" w:color="auto"/>
              <w:bottom w:val="none" w:sz="0" w:space="0" w:color="auto"/>
            </w:tcBorders>
          </w:tcPr>
          <w:p w14:paraId="63A274EF" w14:textId="7495F3A3" w:rsidR="00F739EE" w:rsidRPr="00794222" w:rsidRDefault="00F739EE" w:rsidP="00F05E06">
            <w:pPr>
              <w:pStyle w:val="tblBody"/>
              <w:cnfStyle w:val="000000100000" w:firstRow="0" w:lastRow="0" w:firstColumn="0" w:lastColumn="0" w:oddVBand="0" w:evenVBand="0" w:oddHBand="1" w:evenHBand="0" w:firstRowFirstColumn="0" w:firstRowLastColumn="0" w:lastRowFirstColumn="0" w:lastRowLastColumn="0"/>
            </w:pPr>
            <w:r>
              <w:t>Long term greater than 5 years</w:t>
            </w:r>
          </w:p>
        </w:tc>
        <w:tc>
          <w:tcPr>
            <w:tcW w:w="0" w:type="auto"/>
            <w:tcBorders>
              <w:top w:val="none" w:sz="0" w:space="0" w:color="auto"/>
              <w:bottom w:val="none" w:sz="0" w:space="0" w:color="auto"/>
              <w:right w:val="none" w:sz="0" w:space="0" w:color="auto"/>
            </w:tcBorders>
          </w:tcPr>
          <w:p w14:paraId="6A6CEEE1" w14:textId="06BC0E1B" w:rsidR="00F739EE" w:rsidRDefault="00F739EE" w:rsidP="00F05E06">
            <w:pPr>
              <w:pStyle w:val="tblBody"/>
              <w:cnfStyle w:val="000000100000" w:firstRow="0" w:lastRow="0" w:firstColumn="0" w:lastColumn="0" w:oddVBand="0" w:evenVBand="0" w:oddHBand="1" w:evenHBand="0" w:firstRowFirstColumn="0" w:firstRowLastColumn="0" w:lastRowFirstColumn="0" w:lastRowLastColumn="0"/>
            </w:pPr>
            <w:r>
              <w:t>Assessment unit</w:t>
            </w:r>
          </w:p>
        </w:tc>
      </w:tr>
      <w:tr w:rsidR="00146EDC" w:rsidRPr="00794222" w14:paraId="306B565D" w14:textId="77777777" w:rsidTr="00E221CF">
        <w:tc>
          <w:tcPr>
            <w:cnfStyle w:val="001000000000" w:firstRow="0" w:lastRow="0" w:firstColumn="1" w:lastColumn="0" w:oddVBand="0" w:evenVBand="0" w:oddHBand="0" w:evenHBand="0" w:firstRowFirstColumn="0" w:firstRowLastColumn="0" w:lastRowFirstColumn="0" w:lastRowLastColumn="0"/>
            <w:tcW w:w="0" w:type="auto"/>
            <w:vMerge/>
          </w:tcPr>
          <w:p w14:paraId="105BF7BB" w14:textId="77777777" w:rsidR="00F739EE" w:rsidRDefault="00F739EE" w:rsidP="00F05E06">
            <w:pPr>
              <w:pStyle w:val="tblBody"/>
              <w:rPr>
                <w:b w:val="0"/>
              </w:rPr>
            </w:pPr>
          </w:p>
        </w:tc>
        <w:tc>
          <w:tcPr>
            <w:tcW w:w="0" w:type="auto"/>
          </w:tcPr>
          <w:p w14:paraId="333B7396" w14:textId="1AD85473" w:rsidR="00F739EE" w:rsidRDefault="00D547B8" w:rsidP="001778A8">
            <w:pPr>
              <w:pStyle w:val="tblBody"/>
              <w:cnfStyle w:val="000000000000" w:firstRow="0" w:lastRow="0" w:firstColumn="0" w:lastColumn="0" w:oddVBand="0" w:evenVBand="0" w:oddHBand="0" w:evenHBand="0" w:firstRowFirstColumn="0" w:firstRowLastColumn="0" w:lastRowFirstColumn="0" w:lastRowLastColumn="0"/>
            </w:pPr>
            <w:r>
              <w:t>To what extent did</w:t>
            </w:r>
            <w:r w:rsidRPr="00794222">
              <w:t xml:space="preserve"> </w:t>
            </w:r>
            <w:r w:rsidR="00F739EE">
              <w:t xml:space="preserve">cultural water management </w:t>
            </w:r>
            <w:r w:rsidR="001778A8">
              <w:t>affect</w:t>
            </w:r>
            <w:r w:rsidR="00F739EE">
              <w:t xml:space="preserve"> well-being of Traditional owners?</w:t>
            </w:r>
          </w:p>
        </w:tc>
        <w:tc>
          <w:tcPr>
            <w:tcW w:w="0" w:type="auto"/>
            <w:vMerge/>
          </w:tcPr>
          <w:p w14:paraId="0ACE133E" w14:textId="77777777" w:rsidR="00F739EE" w:rsidRDefault="00F739EE" w:rsidP="00F05E06">
            <w:pPr>
              <w:pStyle w:val="tblBody"/>
              <w:cnfStyle w:val="000000000000" w:firstRow="0" w:lastRow="0" w:firstColumn="0" w:lastColumn="0" w:oddVBand="0" w:evenVBand="0" w:oddHBand="0" w:evenHBand="0" w:firstRowFirstColumn="0" w:firstRowLastColumn="0" w:lastRowFirstColumn="0" w:lastRowLastColumn="0"/>
            </w:pPr>
          </w:p>
        </w:tc>
        <w:tc>
          <w:tcPr>
            <w:tcW w:w="0" w:type="auto"/>
          </w:tcPr>
          <w:p w14:paraId="1EC4EB85" w14:textId="4109851F" w:rsidR="00F739EE" w:rsidRDefault="00F739EE" w:rsidP="00F05E06">
            <w:pPr>
              <w:pStyle w:val="tblBody"/>
              <w:cnfStyle w:val="000000000000" w:firstRow="0" w:lastRow="0" w:firstColumn="0" w:lastColumn="0" w:oddVBand="0" w:evenVBand="0" w:oddHBand="0" w:evenHBand="0" w:firstRowFirstColumn="0" w:firstRowLastColumn="0" w:lastRowFirstColumn="0" w:lastRowLastColumn="0"/>
            </w:pPr>
            <w:r>
              <w:t>Medium term 2-3 years</w:t>
            </w:r>
          </w:p>
        </w:tc>
        <w:tc>
          <w:tcPr>
            <w:tcW w:w="0" w:type="auto"/>
          </w:tcPr>
          <w:p w14:paraId="038C176D" w14:textId="2544C0F8" w:rsidR="00F739EE" w:rsidRDefault="00F739EE" w:rsidP="00F05E06">
            <w:pPr>
              <w:pStyle w:val="tblBody"/>
              <w:cnfStyle w:val="000000000000" w:firstRow="0" w:lastRow="0" w:firstColumn="0" w:lastColumn="0" w:oddVBand="0" w:evenVBand="0" w:oddHBand="0" w:evenHBand="0" w:firstRowFirstColumn="0" w:firstRowLastColumn="0" w:lastRowFirstColumn="0" w:lastRowLastColumn="0"/>
            </w:pPr>
            <w:r>
              <w:t>Assessment unit - regional</w:t>
            </w:r>
          </w:p>
        </w:tc>
      </w:tr>
      <w:tr w:rsidR="00146EDC" w:rsidRPr="00794222" w14:paraId="569B4DBE" w14:textId="77777777" w:rsidTr="00E2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67B7EEEE" w14:textId="77777777" w:rsidR="00F739EE" w:rsidRDefault="00F739EE" w:rsidP="00F05E06">
            <w:pPr>
              <w:pStyle w:val="tblBody"/>
              <w:rPr>
                <w:b w:val="0"/>
              </w:rPr>
            </w:pPr>
          </w:p>
        </w:tc>
        <w:tc>
          <w:tcPr>
            <w:tcW w:w="0" w:type="auto"/>
            <w:tcBorders>
              <w:top w:val="none" w:sz="0" w:space="0" w:color="auto"/>
              <w:bottom w:val="none" w:sz="0" w:space="0" w:color="auto"/>
            </w:tcBorders>
          </w:tcPr>
          <w:p w14:paraId="16561461" w14:textId="41AF7534" w:rsidR="00F739EE" w:rsidRDefault="00D547B8" w:rsidP="001778A8">
            <w:pPr>
              <w:pStyle w:val="tblBody"/>
              <w:cnfStyle w:val="000000100000" w:firstRow="0" w:lastRow="0" w:firstColumn="0" w:lastColumn="0" w:oddVBand="0" w:evenVBand="0" w:oddHBand="1" w:evenHBand="0" w:firstRowFirstColumn="0" w:firstRowLastColumn="0" w:lastRowFirstColumn="0" w:lastRowLastColumn="0"/>
            </w:pPr>
            <w:r>
              <w:t>To what extent did</w:t>
            </w:r>
            <w:r w:rsidR="00F739EE">
              <w:t xml:space="preserve"> dredging </w:t>
            </w:r>
            <w:r w:rsidR="001778A8">
              <w:t>affect status of</w:t>
            </w:r>
            <w:r w:rsidR="00F739EE">
              <w:t xml:space="preserve"> eel migration?</w:t>
            </w:r>
          </w:p>
        </w:tc>
        <w:tc>
          <w:tcPr>
            <w:tcW w:w="0" w:type="auto"/>
            <w:tcBorders>
              <w:top w:val="none" w:sz="0" w:space="0" w:color="auto"/>
              <w:bottom w:val="none" w:sz="0" w:space="0" w:color="auto"/>
            </w:tcBorders>
          </w:tcPr>
          <w:p w14:paraId="3983F7D2" w14:textId="6F45F848" w:rsidR="00F739EE" w:rsidRDefault="00F739EE" w:rsidP="00F05E06">
            <w:pPr>
              <w:pStyle w:val="tblBody"/>
              <w:cnfStyle w:val="000000100000" w:firstRow="0" w:lastRow="0" w:firstColumn="0" w:lastColumn="0" w:oddVBand="0" w:evenVBand="0" w:oddHBand="1" w:evenHBand="0" w:firstRowFirstColumn="0" w:firstRowLastColumn="0" w:lastRowFirstColumn="0" w:lastRowLastColumn="0"/>
            </w:pPr>
            <w:r>
              <w:t>Eels are culturally significant species reliant on free passage between resident wetlands and the ocean for sustaining local populations.</w:t>
            </w:r>
          </w:p>
        </w:tc>
        <w:tc>
          <w:tcPr>
            <w:tcW w:w="0" w:type="auto"/>
            <w:tcBorders>
              <w:top w:val="none" w:sz="0" w:space="0" w:color="auto"/>
              <w:bottom w:val="none" w:sz="0" w:space="0" w:color="auto"/>
            </w:tcBorders>
          </w:tcPr>
          <w:p w14:paraId="7F5880A3" w14:textId="116DB9F7" w:rsidR="00F739EE" w:rsidRPr="00794222" w:rsidRDefault="00F739EE" w:rsidP="00F05E06">
            <w:pPr>
              <w:pStyle w:val="tblBody"/>
              <w:cnfStyle w:val="000000100000" w:firstRow="0" w:lastRow="0" w:firstColumn="0" w:lastColumn="0" w:oddVBand="0" w:evenVBand="0" w:oddHBand="1" w:evenHBand="0" w:firstRowFirstColumn="0" w:firstRowLastColumn="0" w:lastRowFirstColumn="0" w:lastRowLastColumn="0"/>
            </w:pPr>
            <w:r>
              <w:t>Long term greater than 5 years</w:t>
            </w:r>
          </w:p>
        </w:tc>
        <w:tc>
          <w:tcPr>
            <w:tcW w:w="0" w:type="auto"/>
            <w:tcBorders>
              <w:top w:val="none" w:sz="0" w:space="0" w:color="auto"/>
              <w:bottom w:val="none" w:sz="0" w:space="0" w:color="auto"/>
              <w:right w:val="none" w:sz="0" w:space="0" w:color="auto"/>
            </w:tcBorders>
          </w:tcPr>
          <w:p w14:paraId="014BDE49" w14:textId="20F66C78" w:rsidR="00F739EE" w:rsidRDefault="00F739EE" w:rsidP="00F05E06">
            <w:pPr>
              <w:pStyle w:val="tblBody"/>
              <w:cnfStyle w:val="000000100000" w:firstRow="0" w:lastRow="0" w:firstColumn="0" w:lastColumn="0" w:oddVBand="0" w:evenVBand="0" w:oddHBand="1" w:evenHBand="0" w:firstRowFirstColumn="0" w:firstRowLastColumn="0" w:lastRowFirstColumn="0" w:lastRowLastColumn="0"/>
            </w:pPr>
            <w:r>
              <w:t>Estuary opening - local</w:t>
            </w:r>
          </w:p>
        </w:tc>
      </w:tr>
      <w:tr w:rsidR="00146EDC" w:rsidRPr="00794222" w14:paraId="7FFCAC1E" w14:textId="02BD4937" w:rsidTr="00E221CF">
        <w:tc>
          <w:tcPr>
            <w:cnfStyle w:val="001000000000" w:firstRow="0" w:lastRow="0" w:firstColumn="1" w:lastColumn="0" w:oddVBand="0" w:evenVBand="0" w:oddHBand="0" w:evenHBand="0" w:firstRowFirstColumn="0" w:firstRowLastColumn="0" w:lastRowFirstColumn="0" w:lastRowLastColumn="0"/>
            <w:tcW w:w="0" w:type="auto"/>
            <w:vMerge w:val="restart"/>
          </w:tcPr>
          <w:p w14:paraId="3E6E2880" w14:textId="46AA3297" w:rsidR="00F739EE" w:rsidRPr="00146EDC" w:rsidRDefault="00F739EE" w:rsidP="00146EDC">
            <w:pPr>
              <w:pStyle w:val="tblBody"/>
              <w:rPr>
                <w:b w:val="0"/>
              </w:rPr>
            </w:pPr>
            <w:r>
              <w:rPr>
                <w:b w:val="0"/>
              </w:rPr>
              <w:t xml:space="preserve">Maintain </w:t>
            </w:r>
            <w:r w:rsidR="00146EDC">
              <w:rPr>
                <w:b w:val="0"/>
              </w:rPr>
              <w:t xml:space="preserve">aquatic connectivity of the </w:t>
            </w:r>
            <w:r w:rsidR="00146EDC" w:rsidRPr="00146EDC">
              <w:rPr>
                <w:b w:val="0"/>
                <w:i/>
              </w:rPr>
              <w:t>seasonally open</w:t>
            </w:r>
            <w:r w:rsidR="00146EDC">
              <w:rPr>
                <w:b w:val="0"/>
              </w:rPr>
              <w:t xml:space="preserve"> </w:t>
            </w:r>
            <w:r w:rsidR="00146EDC" w:rsidRPr="00146EDC">
              <w:rPr>
                <w:b w:val="0"/>
                <w:i/>
              </w:rPr>
              <w:t>Fictitious River Estuary</w:t>
            </w:r>
            <w:r w:rsidR="00146EDC">
              <w:rPr>
                <w:b w:val="0"/>
              </w:rPr>
              <w:t xml:space="preserve"> via dredging in low flow years </w:t>
            </w:r>
            <w:r w:rsidR="00146EDC" w:rsidRPr="00146EDC">
              <w:rPr>
                <w:b w:val="0"/>
              </w:rPr>
              <w:t>(</w:t>
            </w:r>
            <w:r w:rsidR="00146EDC" w:rsidRPr="00146EDC">
              <w:rPr>
                <w:b w:val="0"/>
                <w:i/>
              </w:rPr>
              <w:t>&lt;x gigalitres/day</w:t>
            </w:r>
            <w:r w:rsidR="00146EDC">
              <w:rPr>
                <w:b w:val="0"/>
              </w:rPr>
              <w:t xml:space="preserve">) to allow for </w:t>
            </w:r>
            <w:r w:rsidR="00146EDC" w:rsidRPr="00146EDC">
              <w:rPr>
                <w:b w:val="0"/>
                <w:i/>
              </w:rPr>
              <w:t>annual</w:t>
            </w:r>
            <w:r w:rsidR="00146EDC">
              <w:rPr>
                <w:b w:val="0"/>
              </w:rPr>
              <w:t xml:space="preserve"> </w:t>
            </w:r>
            <w:r w:rsidR="00146EDC" w:rsidRPr="00146EDC">
              <w:rPr>
                <w:b w:val="0"/>
                <w:i/>
              </w:rPr>
              <w:t>diadromous fish migration.</w:t>
            </w:r>
          </w:p>
        </w:tc>
        <w:tc>
          <w:tcPr>
            <w:tcW w:w="0" w:type="auto"/>
          </w:tcPr>
          <w:p w14:paraId="23147B36" w14:textId="7496F643" w:rsidR="00F739EE" w:rsidRPr="00794222" w:rsidRDefault="00D547B8" w:rsidP="00146EDC">
            <w:pPr>
              <w:pStyle w:val="tblBody"/>
              <w:cnfStyle w:val="000000000000" w:firstRow="0" w:lastRow="0" w:firstColumn="0" w:lastColumn="0" w:oddVBand="0" w:evenVBand="0" w:oddHBand="0" w:evenHBand="0" w:firstRowFirstColumn="0" w:firstRowLastColumn="0" w:lastRowFirstColumn="0" w:lastRowLastColumn="0"/>
            </w:pPr>
            <w:r>
              <w:t>To what extent did</w:t>
            </w:r>
            <w:r w:rsidR="00F739EE" w:rsidRPr="00794222">
              <w:t xml:space="preserve"> </w:t>
            </w:r>
            <w:r w:rsidR="00F739EE">
              <w:t xml:space="preserve">dredging </w:t>
            </w:r>
            <w:r w:rsidR="00146EDC">
              <w:t>operations</w:t>
            </w:r>
            <w:r w:rsidR="00F739EE">
              <w:t xml:space="preserve"> </w:t>
            </w:r>
            <w:r w:rsidR="0073025D">
              <w:t>affect the status of</w:t>
            </w:r>
            <w:r w:rsidR="00F739EE">
              <w:t xml:space="preserve"> diadromous fish migration?</w:t>
            </w:r>
          </w:p>
        </w:tc>
        <w:tc>
          <w:tcPr>
            <w:tcW w:w="0" w:type="auto"/>
          </w:tcPr>
          <w:p w14:paraId="4593DF3D" w14:textId="0658B0E7" w:rsidR="00F739EE" w:rsidRDefault="00F739EE" w:rsidP="00F05E06">
            <w:pPr>
              <w:pStyle w:val="tblBody"/>
              <w:cnfStyle w:val="000000000000" w:firstRow="0" w:lastRow="0" w:firstColumn="0" w:lastColumn="0" w:oddVBand="0" w:evenVBand="0" w:oddHBand="0" w:evenHBand="0" w:firstRowFirstColumn="0" w:firstRowLastColumn="0" w:lastRowFirstColumn="0" w:lastRowLastColumn="0"/>
            </w:pPr>
            <w:r>
              <w:t>Diadromous fish populations are reliant on passage between freshwater and marine environments.</w:t>
            </w:r>
          </w:p>
        </w:tc>
        <w:tc>
          <w:tcPr>
            <w:tcW w:w="0" w:type="auto"/>
          </w:tcPr>
          <w:p w14:paraId="3DD410AE" w14:textId="0DCC80DF" w:rsidR="00F739EE" w:rsidRPr="00794222" w:rsidRDefault="00AB43EA" w:rsidP="00F05E06">
            <w:pPr>
              <w:pStyle w:val="tblBody"/>
              <w:cnfStyle w:val="000000000000" w:firstRow="0" w:lastRow="0" w:firstColumn="0" w:lastColumn="0" w:oddVBand="0" w:evenVBand="0" w:oddHBand="0" w:evenHBand="0" w:firstRowFirstColumn="0" w:firstRowLastColumn="0" w:lastRowFirstColumn="0" w:lastRowLastColumn="0"/>
            </w:pPr>
            <w:r>
              <w:t>Short term</w:t>
            </w:r>
          </w:p>
        </w:tc>
        <w:tc>
          <w:tcPr>
            <w:tcW w:w="0" w:type="auto"/>
          </w:tcPr>
          <w:p w14:paraId="79E27703" w14:textId="5B895FBD" w:rsidR="00F739EE" w:rsidRPr="00794222" w:rsidRDefault="00F739EE" w:rsidP="00F05E06">
            <w:pPr>
              <w:pStyle w:val="tblBody"/>
              <w:cnfStyle w:val="000000000000" w:firstRow="0" w:lastRow="0" w:firstColumn="0" w:lastColumn="0" w:oddVBand="0" w:evenVBand="0" w:oddHBand="0" w:evenHBand="0" w:firstRowFirstColumn="0" w:firstRowLastColumn="0" w:lastRowFirstColumn="0" w:lastRowLastColumn="0"/>
            </w:pPr>
            <w:r>
              <w:t>Estuary opening</w:t>
            </w:r>
          </w:p>
        </w:tc>
      </w:tr>
      <w:tr w:rsidR="00146EDC" w:rsidRPr="00794222" w14:paraId="0D61F8FE" w14:textId="77777777" w:rsidTr="00E2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7F1A6E78" w14:textId="77777777" w:rsidR="00F739EE" w:rsidRDefault="00F739EE" w:rsidP="00F05E06">
            <w:pPr>
              <w:pStyle w:val="tblBody"/>
              <w:rPr>
                <w:b w:val="0"/>
              </w:rPr>
            </w:pPr>
          </w:p>
        </w:tc>
        <w:tc>
          <w:tcPr>
            <w:tcW w:w="0" w:type="auto"/>
            <w:tcBorders>
              <w:top w:val="none" w:sz="0" w:space="0" w:color="auto"/>
              <w:bottom w:val="none" w:sz="0" w:space="0" w:color="auto"/>
            </w:tcBorders>
          </w:tcPr>
          <w:p w14:paraId="340CE1B0" w14:textId="553F04FD" w:rsidR="00F739EE" w:rsidRPr="00794222" w:rsidRDefault="00D547B8" w:rsidP="0073025D">
            <w:pPr>
              <w:pStyle w:val="tblBody"/>
              <w:cnfStyle w:val="000000100000" w:firstRow="0" w:lastRow="0" w:firstColumn="0" w:lastColumn="0" w:oddVBand="0" w:evenVBand="0" w:oddHBand="1" w:evenHBand="0" w:firstRowFirstColumn="0" w:firstRowLastColumn="0" w:lastRowFirstColumn="0" w:lastRowLastColumn="0"/>
            </w:pPr>
            <w:r>
              <w:t>To what extent did</w:t>
            </w:r>
            <w:r w:rsidR="00F739EE">
              <w:t xml:space="preserve"> dredging result in improved </w:t>
            </w:r>
            <w:r w:rsidR="0073025D">
              <w:t xml:space="preserve">status of </w:t>
            </w:r>
            <w:r w:rsidR="00F739EE">
              <w:t>water quality in estuary during periods of low river flow?</w:t>
            </w:r>
          </w:p>
        </w:tc>
        <w:tc>
          <w:tcPr>
            <w:tcW w:w="0" w:type="auto"/>
            <w:tcBorders>
              <w:top w:val="none" w:sz="0" w:space="0" w:color="auto"/>
              <w:bottom w:val="none" w:sz="0" w:space="0" w:color="auto"/>
            </w:tcBorders>
          </w:tcPr>
          <w:p w14:paraId="60FFEB40" w14:textId="61CCBA43" w:rsidR="00F739EE" w:rsidRDefault="00BA456F" w:rsidP="00BA456F">
            <w:pPr>
              <w:pStyle w:val="tblBody"/>
              <w:cnfStyle w:val="000000100000" w:firstRow="0" w:lastRow="0" w:firstColumn="0" w:lastColumn="0" w:oddVBand="0" w:evenVBand="0" w:oddHBand="1" w:evenHBand="0" w:firstRowFirstColumn="0" w:firstRowLastColumn="0" w:lastRowFirstColumn="0" w:lastRowLastColumn="0"/>
            </w:pPr>
            <w:r>
              <w:t xml:space="preserve">Estuarine salinity levels dependent on balance of marine inflows and flushing by freshwater flows. </w:t>
            </w:r>
          </w:p>
        </w:tc>
        <w:tc>
          <w:tcPr>
            <w:tcW w:w="0" w:type="auto"/>
            <w:tcBorders>
              <w:top w:val="none" w:sz="0" w:space="0" w:color="auto"/>
              <w:bottom w:val="none" w:sz="0" w:space="0" w:color="auto"/>
            </w:tcBorders>
          </w:tcPr>
          <w:p w14:paraId="6D3AEC95" w14:textId="2649F6B3" w:rsidR="00F739EE" w:rsidRPr="00794222" w:rsidRDefault="00AB43EA" w:rsidP="00F05E06">
            <w:pPr>
              <w:pStyle w:val="tblBody"/>
              <w:cnfStyle w:val="000000100000" w:firstRow="0" w:lastRow="0" w:firstColumn="0" w:lastColumn="0" w:oddVBand="0" w:evenVBand="0" w:oddHBand="1" w:evenHBand="0" w:firstRowFirstColumn="0" w:firstRowLastColumn="0" w:lastRowFirstColumn="0" w:lastRowLastColumn="0"/>
            </w:pPr>
            <w:r>
              <w:t>Short term</w:t>
            </w:r>
          </w:p>
        </w:tc>
        <w:tc>
          <w:tcPr>
            <w:tcW w:w="0" w:type="auto"/>
            <w:tcBorders>
              <w:top w:val="none" w:sz="0" w:space="0" w:color="auto"/>
              <w:bottom w:val="none" w:sz="0" w:space="0" w:color="auto"/>
              <w:right w:val="none" w:sz="0" w:space="0" w:color="auto"/>
            </w:tcBorders>
          </w:tcPr>
          <w:p w14:paraId="0893138F" w14:textId="48633509" w:rsidR="00F739EE" w:rsidRDefault="00F739EE" w:rsidP="00F05E06">
            <w:pPr>
              <w:pStyle w:val="tblBody"/>
              <w:cnfStyle w:val="000000100000" w:firstRow="0" w:lastRow="0" w:firstColumn="0" w:lastColumn="0" w:oddVBand="0" w:evenVBand="0" w:oddHBand="1" w:evenHBand="0" w:firstRowFirstColumn="0" w:firstRowLastColumn="0" w:lastRowFirstColumn="0" w:lastRowLastColumn="0"/>
            </w:pPr>
            <w:r>
              <w:t>Estuary opening - local</w:t>
            </w:r>
          </w:p>
        </w:tc>
      </w:tr>
      <w:tr w:rsidR="00146EDC" w:rsidRPr="00794222" w14:paraId="04A44B83" w14:textId="77777777" w:rsidTr="00E221CF">
        <w:tc>
          <w:tcPr>
            <w:cnfStyle w:val="001000000000" w:firstRow="0" w:lastRow="0" w:firstColumn="1" w:lastColumn="0" w:oddVBand="0" w:evenVBand="0" w:oddHBand="0" w:evenHBand="0" w:firstRowFirstColumn="0" w:firstRowLastColumn="0" w:lastRowFirstColumn="0" w:lastRowLastColumn="0"/>
            <w:tcW w:w="0" w:type="auto"/>
            <w:vMerge w:val="restart"/>
          </w:tcPr>
          <w:p w14:paraId="647D0754" w14:textId="2B8F088B" w:rsidR="00DF58E3" w:rsidRDefault="00F96DCB" w:rsidP="00F96DCB">
            <w:pPr>
              <w:pStyle w:val="tblBody"/>
              <w:rPr>
                <w:b w:val="0"/>
              </w:rPr>
            </w:pPr>
            <w:r>
              <w:rPr>
                <w:b w:val="0"/>
              </w:rPr>
              <w:t>Increase successful waterbird breeding</w:t>
            </w:r>
            <w:r w:rsidR="00DF58E3">
              <w:rPr>
                <w:b w:val="0"/>
              </w:rPr>
              <w:t xml:space="preserve"> by:</w:t>
            </w:r>
          </w:p>
          <w:p w14:paraId="2EB14DDC" w14:textId="2465AF30" w:rsidR="00F96DCB" w:rsidRDefault="00DF58E3" w:rsidP="00DF58E3">
            <w:pPr>
              <w:pStyle w:val="tblBody"/>
              <w:numPr>
                <w:ilvl w:val="0"/>
                <w:numId w:val="74"/>
              </w:numPr>
              <w:rPr>
                <w:b w:val="0"/>
              </w:rPr>
            </w:pPr>
            <w:r>
              <w:rPr>
                <w:b w:val="0"/>
              </w:rPr>
              <w:t>Improving breeding habitat by reducing invasive weeds in key breeding locations (saltmarsh) by 2020 to 2015 baseline (% cover).</w:t>
            </w:r>
          </w:p>
          <w:p w14:paraId="472EABAE" w14:textId="50413563" w:rsidR="00DF58E3" w:rsidRPr="0090449A" w:rsidRDefault="00DF58E3" w:rsidP="00F96DCB">
            <w:pPr>
              <w:pStyle w:val="tblBody"/>
              <w:numPr>
                <w:ilvl w:val="0"/>
                <w:numId w:val="74"/>
              </w:numPr>
              <w:rPr>
                <w:b w:val="0"/>
              </w:rPr>
            </w:pPr>
            <w:r>
              <w:rPr>
                <w:b w:val="0"/>
              </w:rPr>
              <w:t xml:space="preserve">Reducing predation on beach breeding waterbirds by invasive species to 2015 levels.  </w:t>
            </w:r>
          </w:p>
          <w:p w14:paraId="40A9CF23" w14:textId="3A501E90" w:rsidR="00DF58E3" w:rsidRDefault="00DF58E3" w:rsidP="00F96DCB">
            <w:pPr>
              <w:pStyle w:val="tblBody"/>
              <w:rPr>
                <w:b w:val="0"/>
              </w:rPr>
            </w:pPr>
          </w:p>
        </w:tc>
        <w:tc>
          <w:tcPr>
            <w:tcW w:w="0" w:type="auto"/>
          </w:tcPr>
          <w:p w14:paraId="4D7C3BE5" w14:textId="7681AC57" w:rsidR="00F96DCB" w:rsidRDefault="00F96DCB" w:rsidP="0073025D">
            <w:pPr>
              <w:pStyle w:val="tblBody"/>
              <w:cnfStyle w:val="000000000000" w:firstRow="0" w:lastRow="0" w:firstColumn="0" w:lastColumn="0" w:oddVBand="0" w:evenVBand="0" w:oddHBand="0" w:evenHBand="0" w:firstRowFirstColumn="0" w:firstRowLastColumn="0" w:lastRowFirstColumn="0" w:lastRowLastColumn="0"/>
            </w:pPr>
            <w:r>
              <w:lastRenderedPageBreak/>
              <w:t xml:space="preserve">To what extent did weed control activities lead to improved </w:t>
            </w:r>
            <w:r w:rsidR="0073025D">
              <w:t xml:space="preserve">status of </w:t>
            </w:r>
            <w:r>
              <w:t>waterbird breeding?</w:t>
            </w:r>
          </w:p>
        </w:tc>
        <w:tc>
          <w:tcPr>
            <w:tcW w:w="0" w:type="auto"/>
          </w:tcPr>
          <w:p w14:paraId="3212934A" w14:textId="1B34BBD0" w:rsidR="00F96DCB" w:rsidRDefault="00F96DCB" w:rsidP="00BA456F">
            <w:pPr>
              <w:pStyle w:val="tblBody"/>
              <w:cnfStyle w:val="000000000000" w:firstRow="0" w:lastRow="0" w:firstColumn="0" w:lastColumn="0" w:oddVBand="0" w:evenVBand="0" w:oddHBand="0" w:evenHBand="0" w:firstRowFirstColumn="0" w:firstRowLastColumn="0" w:lastRowFirstColumn="0" w:lastRowLastColumn="0"/>
            </w:pPr>
            <w:r>
              <w:t xml:space="preserve">Reduced weediness could lead to greater availability of preferred nesting sites and nesting material. </w:t>
            </w:r>
          </w:p>
        </w:tc>
        <w:tc>
          <w:tcPr>
            <w:tcW w:w="0" w:type="auto"/>
          </w:tcPr>
          <w:p w14:paraId="0DA94239" w14:textId="3508265B" w:rsidR="00F96DCB" w:rsidRDefault="00F96DCB" w:rsidP="00F05E06">
            <w:pPr>
              <w:pStyle w:val="tblBody"/>
              <w:cnfStyle w:val="000000000000" w:firstRow="0" w:lastRow="0" w:firstColumn="0" w:lastColumn="0" w:oddVBand="0" w:evenVBand="0" w:oddHBand="0" w:evenHBand="0" w:firstRowFirstColumn="0" w:firstRowLastColumn="0" w:lastRowFirstColumn="0" w:lastRowLastColumn="0"/>
            </w:pPr>
            <w:r>
              <w:t>Medium term</w:t>
            </w:r>
          </w:p>
        </w:tc>
        <w:tc>
          <w:tcPr>
            <w:tcW w:w="0" w:type="auto"/>
          </w:tcPr>
          <w:p w14:paraId="315E2AFF" w14:textId="3A6DDD27" w:rsidR="00F96DCB" w:rsidRDefault="00F96DCB" w:rsidP="00F05E06">
            <w:pPr>
              <w:pStyle w:val="tblBody"/>
              <w:cnfStyle w:val="000000000000" w:firstRow="0" w:lastRow="0" w:firstColumn="0" w:lastColumn="0" w:oddVBand="0" w:evenVBand="0" w:oddHBand="0" w:evenHBand="0" w:firstRowFirstColumn="0" w:firstRowLastColumn="0" w:lastRowFirstColumn="0" w:lastRowLastColumn="0"/>
            </w:pPr>
            <w:r>
              <w:t>Assessment unit</w:t>
            </w:r>
          </w:p>
        </w:tc>
      </w:tr>
      <w:tr w:rsidR="00146EDC" w:rsidRPr="00794222" w14:paraId="1D97BB04" w14:textId="77777777" w:rsidTr="00E2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16C3A612" w14:textId="0D3AA1FB" w:rsidR="00F96DCB" w:rsidRDefault="00F96DCB" w:rsidP="00F96DCB">
            <w:pPr>
              <w:pStyle w:val="tblBody"/>
              <w:rPr>
                <w:b w:val="0"/>
              </w:rPr>
            </w:pPr>
          </w:p>
        </w:tc>
        <w:tc>
          <w:tcPr>
            <w:tcW w:w="0" w:type="auto"/>
            <w:tcBorders>
              <w:top w:val="none" w:sz="0" w:space="0" w:color="auto"/>
              <w:bottom w:val="none" w:sz="0" w:space="0" w:color="auto"/>
            </w:tcBorders>
          </w:tcPr>
          <w:p w14:paraId="6AC6CFA9" w14:textId="6C6CEBD3" w:rsidR="00F96DCB" w:rsidRDefault="00F96DCB" w:rsidP="0073025D">
            <w:pPr>
              <w:pStyle w:val="tblBody"/>
              <w:cnfStyle w:val="000000100000" w:firstRow="0" w:lastRow="0" w:firstColumn="0" w:lastColumn="0" w:oddVBand="0" w:evenVBand="0" w:oddHBand="1" w:evenHBand="0" w:firstRowFirstColumn="0" w:firstRowLastColumn="0" w:lastRowFirstColumn="0" w:lastRowLastColumn="0"/>
            </w:pPr>
            <w:r>
              <w:t xml:space="preserve">To what extent did fox and cat control programs lead to improved </w:t>
            </w:r>
            <w:r w:rsidR="0073025D">
              <w:t xml:space="preserve">status of </w:t>
            </w:r>
            <w:r>
              <w:t>waterbird breeding?</w:t>
            </w:r>
          </w:p>
        </w:tc>
        <w:tc>
          <w:tcPr>
            <w:tcW w:w="0" w:type="auto"/>
            <w:tcBorders>
              <w:top w:val="none" w:sz="0" w:space="0" w:color="auto"/>
              <w:bottom w:val="none" w:sz="0" w:space="0" w:color="auto"/>
            </w:tcBorders>
          </w:tcPr>
          <w:p w14:paraId="68197F67" w14:textId="412DC2E2" w:rsidR="00F96DCB" w:rsidRDefault="00B6253D" w:rsidP="00BA456F">
            <w:pPr>
              <w:pStyle w:val="tblBody"/>
              <w:cnfStyle w:val="000000100000" w:firstRow="0" w:lastRow="0" w:firstColumn="0" w:lastColumn="0" w:oddVBand="0" w:evenVBand="0" w:oddHBand="1" w:evenHBand="0" w:firstRowFirstColumn="0" w:firstRowLastColumn="0" w:lastRowFirstColumn="0" w:lastRowLastColumn="0"/>
            </w:pPr>
            <w:r>
              <w:t>Reduced direct predation of nesting birds will lead to increased recruitment/success of waterbird breeding events.</w:t>
            </w:r>
          </w:p>
        </w:tc>
        <w:tc>
          <w:tcPr>
            <w:tcW w:w="0" w:type="auto"/>
            <w:tcBorders>
              <w:top w:val="none" w:sz="0" w:space="0" w:color="auto"/>
              <w:bottom w:val="none" w:sz="0" w:space="0" w:color="auto"/>
            </w:tcBorders>
          </w:tcPr>
          <w:p w14:paraId="353979BF" w14:textId="14B4316D" w:rsidR="00F96DCB" w:rsidRDefault="00F96DCB" w:rsidP="00F05E06">
            <w:pPr>
              <w:pStyle w:val="tblBody"/>
              <w:cnfStyle w:val="000000100000" w:firstRow="0" w:lastRow="0" w:firstColumn="0" w:lastColumn="0" w:oddVBand="0" w:evenVBand="0" w:oddHBand="1" w:evenHBand="0" w:firstRowFirstColumn="0" w:firstRowLastColumn="0" w:lastRowFirstColumn="0" w:lastRowLastColumn="0"/>
            </w:pPr>
            <w:r>
              <w:t>Short term</w:t>
            </w:r>
          </w:p>
        </w:tc>
        <w:tc>
          <w:tcPr>
            <w:tcW w:w="0" w:type="auto"/>
            <w:tcBorders>
              <w:top w:val="none" w:sz="0" w:space="0" w:color="auto"/>
              <w:bottom w:val="none" w:sz="0" w:space="0" w:color="auto"/>
              <w:right w:val="none" w:sz="0" w:space="0" w:color="auto"/>
            </w:tcBorders>
          </w:tcPr>
          <w:p w14:paraId="79005A5E" w14:textId="23C9F504" w:rsidR="00F96DCB" w:rsidRDefault="00F96DCB" w:rsidP="00F05E06">
            <w:pPr>
              <w:pStyle w:val="tblBody"/>
              <w:cnfStyle w:val="000000100000" w:firstRow="0" w:lastRow="0" w:firstColumn="0" w:lastColumn="0" w:oddVBand="0" w:evenVBand="0" w:oddHBand="1" w:evenHBand="0" w:firstRowFirstColumn="0" w:firstRowLastColumn="0" w:lastRowFirstColumn="0" w:lastRowLastColumn="0"/>
            </w:pPr>
            <w:r>
              <w:t>Assessment unit</w:t>
            </w:r>
          </w:p>
        </w:tc>
      </w:tr>
    </w:tbl>
    <w:p w14:paraId="7B71677D" w14:textId="77777777" w:rsidR="00E93C55" w:rsidRPr="00E93C55" w:rsidRDefault="00E93C55" w:rsidP="00E93C55"/>
    <w:p w14:paraId="3D25315C" w14:textId="77777777" w:rsidR="00B51E63" w:rsidRPr="004E7EB5" w:rsidRDefault="00B51E63" w:rsidP="00B51E63">
      <w:pPr>
        <w:rPr>
          <w:b/>
          <w:i/>
          <w:color w:val="8C863E" w:themeColor="background2" w:themeShade="80"/>
          <w:sz w:val="24"/>
          <w:szCs w:val="24"/>
        </w:rPr>
      </w:pPr>
      <w:r w:rsidRPr="004E7EB5">
        <w:rPr>
          <w:b/>
          <w:i/>
          <w:color w:val="8C863E" w:themeColor="background2" w:themeShade="80"/>
          <w:sz w:val="24"/>
          <w:szCs w:val="24"/>
        </w:rPr>
        <w:t>Other resources</w:t>
      </w:r>
    </w:p>
    <w:p w14:paraId="56E359EE" w14:textId="494AE0FD" w:rsidR="00B51E63" w:rsidRDefault="00872A24" w:rsidP="00F4328F">
      <w:pPr>
        <w:pStyle w:val="ListParagraph"/>
        <w:numPr>
          <w:ilvl w:val="0"/>
          <w:numId w:val="27"/>
        </w:numPr>
      </w:pPr>
      <w:r>
        <w:t xml:space="preserve">DELWP (2016). </w:t>
      </w:r>
      <w:r w:rsidR="00CC2C34">
        <w:t>Victorian Wetland Monitoring and Assessment Program (</w:t>
      </w:r>
      <w:r w:rsidR="003C5773">
        <w:t>WetMAP</w:t>
      </w:r>
      <w:r w:rsidR="00CC2C34">
        <w:t>)</w:t>
      </w:r>
      <w:r>
        <w:t>, Department of Environment, Land, Water and Populations.</w:t>
      </w:r>
      <w:r w:rsidR="00CC2C34">
        <w:t xml:space="preserve">  </w:t>
      </w:r>
    </w:p>
    <w:p w14:paraId="770106CB" w14:textId="58A61AE8" w:rsidR="00872A24" w:rsidRDefault="00872A24" w:rsidP="00F4328F">
      <w:pPr>
        <w:pStyle w:val="ListParagraph"/>
        <w:numPr>
          <w:ilvl w:val="0"/>
          <w:numId w:val="27"/>
        </w:numPr>
      </w:pPr>
      <w:r w:rsidRPr="00872A24">
        <w:t>Brooks, S.S. &amp; Reich, P. (2012). The DSE Works Monitoring Method Trial: Review and Recommendations.</w:t>
      </w:r>
      <w:r w:rsidRPr="006F70A1">
        <w:t xml:space="preserve"> </w:t>
      </w:r>
    </w:p>
    <w:p w14:paraId="709EBDD6" w14:textId="77777777" w:rsidR="00872A24" w:rsidRDefault="00872A24" w:rsidP="00F4328F">
      <w:pPr>
        <w:pStyle w:val="ListParagraph"/>
        <w:numPr>
          <w:ilvl w:val="0"/>
          <w:numId w:val="27"/>
        </w:numPr>
      </w:pPr>
      <w:r w:rsidRPr="00872A24">
        <w:t>Brooks, S., Reich, P. and Morris, K. (2013). Conceptual models to support riparian monitoring, evaluation and reporting. Arthur Rylah Institute for Environmental Research. Unpublished Client Report for the Department of Sustainability and Environment, Victoria.</w:t>
      </w:r>
    </w:p>
    <w:p w14:paraId="1631BB2B" w14:textId="14E5BA33" w:rsidR="00872A24" w:rsidRDefault="00872A24" w:rsidP="00F4328F">
      <w:pPr>
        <w:pStyle w:val="ListParagraph"/>
        <w:numPr>
          <w:ilvl w:val="0"/>
          <w:numId w:val="27"/>
        </w:numPr>
      </w:pPr>
      <w:r w:rsidRPr="00872A24">
        <w:t>Morris, K. and Reich, P. (2013). Understanding the relationship between livestock grazing and wetland condition. Arthur Rylah Institute for Environmental Research Technical Report Series No. 252, Department of Environment and Primary Industries, Heidelberg, Victoria.</w:t>
      </w:r>
    </w:p>
    <w:p w14:paraId="77869EFF" w14:textId="24AF5A2A" w:rsidR="00872A24" w:rsidRPr="004E7EB5" w:rsidRDefault="00872A24" w:rsidP="00F4328F">
      <w:pPr>
        <w:pStyle w:val="ListParagraph"/>
        <w:numPr>
          <w:ilvl w:val="0"/>
          <w:numId w:val="27"/>
        </w:numPr>
      </w:pPr>
      <w:r w:rsidRPr="00872A24">
        <w:t>Morris, K., Brooks, S., Reich, P. and Hale, R. (2015). Riparian Intervention Monitoring program – version 1. Arthur Rylah Institute for Environmental Research. Unpublished Client Report for the Water and Catchments Group, Department of Environment, Land, Water and Planning, Heidelberg, Victoria.</w:t>
      </w:r>
    </w:p>
    <w:p w14:paraId="62B0408E" w14:textId="77777777" w:rsidR="00B350BC" w:rsidRPr="002B2422" w:rsidRDefault="00B350BC" w:rsidP="002B2422">
      <w:pPr>
        <w:rPr>
          <w:b/>
          <w:i/>
          <w:color w:val="8C863E" w:themeColor="background2" w:themeShade="80"/>
          <w:sz w:val="24"/>
          <w:szCs w:val="24"/>
        </w:rPr>
      </w:pPr>
      <w:r w:rsidRPr="002B2422">
        <w:rPr>
          <w:b/>
          <w:i/>
          <w:color w:val="8C863E" w:themeColor="background2" w:themeShade="80"/>
          <w:sz w:val="24"/>
          <w:szCs w:val="24"/>
        </w:rPr>
        <w:t>Assumptions and Knowledge gaps</w:t>
      </w:r>
    </w:p>
    <w:p w14:paraId="49524863" w14:textId="7B557D37" w:rsidR="00CC2C34" w:rsidRDefault="00CC2C34" w:rsidP="00CC2C34">
      <w:r>
        <w:t>Clearly articulate and document any assumptions made in relation to developing the KEQ and updating of conceptual models. Also document any knowledge gaps associated with this step in the workflow.</w:t>
      </w:r>
    </w:p>
    <w:p w14:paraId="2B4EE510" w14:textId="77777777" w:rsidR="00B51E63" w:rsidRPr="004E7EB5" w:rsidRDefault="00B51E63" w:rsidP="00B51E63">
      <w:pPr>
        <w:rPr>
          <w:b/>
          <w:i/>
          <w:color w:val="8C863E" w:themeColor="background2" w:themeShade="80"/>
          <w:sz w:val="24"/>
          <w:szCs w:val="24"/>
        </w:rPr>
      </w:pPr>
      <w:r w:rsidRPr="004E7EB5">
        <w:rPr>
          <w:b/>
          <w:i/>
          <w:color w:val="8C863E" w:themeColor="background2" w:themeShade="80"/>
          <w:sz w:val="24"/>
          <w:szCs w:val="24"/>
        </w:rPr>
        <w:t>Outputs</w:t>
      </w:r>
    </w:p>
    <w:p w14:paraId="185D0B38" w14:textId="0AC95700" w:rsidR="00E97A91" w:rsidRDefault="00E97A91" w:rsidP="00E97A91">
      <w:pPr>
        <w:shd w:val="clear" w:color="auto" w:fill="C3D8D7" w:themeFill="accent2" w:themeFillTint="99"/>
      </w:pPr>
      <w:r>
        <w:t xml:space="preserve">The </w:t>
      </w:r>
      <w:r w:rsidR="00E557B7">
        <w:t>required</w:t>
      </w:r>
      <w:r>
        <w:t xml:space="preserve"> outputs of Step 3 are:</w:t>
      </w:r>
    </w:p>
    <w:p w14:paraId="448428CD" w14:textId="14A0CCD4" w:rsidR="00E97A91" w:rsidRDefault="009A5841" w:rsidP="00F4328F">
      <w:pPr>
        <w:pStyle w:val="ListParagraph"/>
        <w:numPr>
          <w:ilvl w:val="0"/>
          <w:numId w:val="4"/>
        </w:numPr>
        <w:shd w:val="clear" w:color="auto" w:fill="C3D8D7" w:themeFill="accent2" w:themeFillTint="99"/>
        <w:spacing w:after="120" w:line="288" w:lineRule="auto"/>
        <w:jc w:val="left"/>
      </w:pPr>
      <w:r>
        <w:t>Re-s</w:t>
      </w:r>
      <w:r w:rsidR="00E97A91">
        <w:t>tate</w:t>
      </w:r>
      <w:r w:rsidR="000A1A1C">
        <w:t>ment of</w:t>
      </w:r>
      <w:r>
        <w:t xml:space="preserve"> the management objectives</w:t>
      </w:r>
      <w:r w:rsidR="00BA58A7">
        <w:t>;</w:t>
      </w:r>
      <w:r w:rsidR="00E97A91">
        <w:t xml:space="preserve"> </w:t>
      </w:r>
    </w:p>
    <w:p w14:paraId="1D1E28ED" w14:textId="13E012B2" w:rsidR="00E97A91" w:rsidRDefault="009A5841" w:rsidP="00F4328F">
      <w:pPr>
        <w:pStyle w:val="ListParagraph"/>
        <w:numPr>
          <w:ilvl w:val="0"/>
          <w:numId w:val="4"/>
        </w:numPr>
        <w:shd w:val="clear" w:color="auto" w:fill="C3D8D7" w:themeFill="accent2" w:themeFillTint="99"/>
        <w:spacing w:after="120" w:line="288" w:lineRule="auto"/>
        <w:jc w:val="left"/>
      </w:pPr>
      <w:r>
        <w:t>Update conceptual models to include modifiers and temporal and spatial scale of outcomes</w:t>
      </w:r>
      <w:r w:rsidR="00BA58A7">
        <w:t>;</w:t>
      </w:r>
      <w:r w:rsidR="00BA09E3">
        <w:t xml:space="preserve"> and</w:t>
      </w:r>
    </w:p>
    <w:p w14:paraId="2E0A7627" w14:textId="62638178" w:rsidR="009A5841" w:rsidRDefault="009A5841" w:rsidP="00F4328F">
      <w:pPr>
        <w:pStyle w:val="ListParagraph"/>
        <w:numPr>
          <w:ilvl w:val="0"/>
          <w:numId w:val="4"/>
        </w:numPr>
        <w:shd w:val="clear" w:color="auto" w:fill="C3D8D7" w:themeFill="accent2" w:themeFillTint="99"/>
        <w:spacing w:after="120" w:line="288" w:lineRule="auto"/>
        <w:jc w:val="left"/>
      </w:pPr>
      <w:r>
        <w:t xml:space="preserve">List KEQ in relation to management objectives. </w:t>
      </w:r>
    </w:p>
    <w:p w14:paraId="2914C784" w14:textId="77777777" w:rsidR="00E97A91" w:rsidRPr="004E7EB5" w:rsidRDefault="00E97A91" w:rsidP="00E97A91"/>
    <w:p w14:paraId="1AA12D59" w14:textId="77777777" w:rsidR="000604B7" w:rsidRDefault="000604B7" w:rsidP="00B51E63"/>
    <w:p w14:paraId="582AD1E4" w14:textId="77777777" w:rsidR="000604B7" w:rsidRPr="004E7EB5" w:rsidRDefault="000604B7" w:rsidP="00B51E63">
      <w:pPr>
        <w:sectPr w:rsidR="000604B7" w:rsidRPr="004E7EB5" w:rsidSect="00CA2773">
          <w:headerReference w:type="even" r:id="rId58"/>
          <w:headerReference w:type="default" r:id="rId59"/>
          <w:headerReference w:type="first" r:id="rId60"/>
          <w:pgSz w:w="11906" w:h="16838"/>
          <w:pgMar w:top="1440" w:right="1440" w:bottom="1440" w:left="1440" w:header="708" w:footer="708" w:gutter="0"/>
          <w:cols w:space="708"/>
          <w:docGrid w:linePitch="360"/>
        </w:sectPr>
      </w:pPr>
    </w:p>
    <w:p w14:paraId="5FA794AD" w14:textId="3A548106" w:rsidR="00B27B0F" w:rsidRPr="004E7EB5" w:rsidRDefault="00B51E63" w:rsidP="006E6D41">
      <w:pPr>
        <w:pStyle w:val="Heading2"/>
      </w:pPr>
      <w:bookmarkStart w:id="73" w:name="_Toc493774221"/>
      <w:r w:rsidRPr="004E7EB5">
        <w:lastRenderedPageBreak/>
        <w:t xml:space="preserve">Step 4: </w:t>
      </w:r>
      <w:r w:rsidR="00B27B0F" w:rsidRPr="004E7EB5">
        <w:t>Identify and prioritise indicators</w:t>
      </w:r>
      <w:bookmarkEnd w:id="73"/>
    </w:p>
    <w:p w14:paraId="1307A011" w14:textId="2F17EB9B" w:rsidR="009A3155" w:rsidRDefault="00023DF5" w:rsidP="00023DF5">
      <w:r>
        <w:t>This step will guide the selection of i</w:t>
      </w:r>
      <w:r w:rsidR="002853B4">
        <w:t xml:space="preserve">ndicators </w:t>
      </w:r>
      <w:r>
        <w:t xml:space="preserve">(with associated targets/reference points) </w:t>
      </w:r>
      <w:r w:rsidR="002853B4">
        <w:t>for</w:t>
      </w:r>
      <w:r>
        <w:t xml:space="preserve"> assessing the condition of</w:t>
      </w:r>
      <w:r w:rsidR="002853B4">
        <w:t xml:space="preserve"> high priority values and </w:t>
      </w:r>
      <w:r>
        <w:t xml:space="preserve">magnitude of </w:t>
      </w:r>
      <w:r w:rsidR="002853B4">
        <w:t>threats (pressure</w:t>
      </w:r>
      <w:r w:rsidR="00CF5F58">
        <w:t xml:space="preserve">, </w:t>
      </w:r>
      <w:r w:rsidR="002853B4">
        <w:t>stressor</w:t>
      </w:r>
      <w:r w:rsidR="00CF5F58">
        <w:t>, response</w:t>
      </w:r>
      <w:r w:rsidR="001900AF">
        <w:t>)</w:t>
      </w:r>
      <w:r>
        <w:t>. Indictors are used</w:t>
      </w:r>
      <w:r w:rsidR="002853B4" w:rsidRPr="00C03857">
        <w:t xml:space="preserve"> to enable an assessment against management objectives</w:t>
      </w:r>
      <w:r>
        <w:t xml:space="preserve"> (track progress relating to objectives and communicate trends)</w:t>
      </w:r>
      <w:r w:rsidR="002322CC">
        <w:t>, KEQs</w:t>
      </w:r>
      <w:r>
        <w:t>,</w:t>
      </w:r>
      <w:r w:rsidR="001900AF">
        <w:t xml:space="preserve"> and</w:t>
      </w:r>
      <w:r w:rsidR="002853B4">
        <w:t xml:space="preserve"> the magnitude of pressures and stressors acting on the assessment unit</w:t>
      </w:r>
      <w:r w:rsidR="00C8647E">
        <w:t xml:space="preserve"> and priority values</w:t>
      </w:r>
      <w:r w:rsidR="002853B4">
        <w:t>.</w:t>
      </w:r>
      <w:r w:rsidR="009A3155">
        <w:t xml:space="preserve"> </w:t>
      </w:r>
      <w:r w:rsidR="00CF5F58">
        <w:t>Four</w:t>
      </w:r>
      <w:r w:rsidR="009A3155">
        <w:t xml:space="preserve"> types of indicators have been defined for the IECA </w:t>
      </w:r>
      <w:r w:rsidR="003A47AE">
        <w:t>F</w:t>
      </w:r>
      <w:r w:rsidR="009A3155">
        <w:t>ramework:</w:t>
      </w:r>
    </w:p>
    <w:p w14:paraId="269478FB" w14:textId="1889E19A" w:rsidR="009A3155" w:rsidRPr="00C03857" w:rsidRDefault="009A3155" w:rsidP="00F4328F">
      <w:pPr>
        <w:pStyle w:val="ListParagraph"/>
        <w:numPr>
          <w:ilvl w:val="0"/>
          <w:numId w:val="19"/>
        </w:numPr>
        <w:spacing w:after="120" w:line="288" w:lineRule="auto"/>
        <w:jc w:val="left"/>
      </w:pPr>
      <w:r w:rsidRPr="00C03857">
        <w:rPr>
          <w:i/>
        </w:rPr>
        <w:t>Condition indicators</w:t>
      </w:r>
      <w:r>
        <w:t xml:space="preserve">, which </w:t>
      </w:r>
      <w:r w:rsidRPr="00C03857">
        <w:t>seek to enable an assessment of system condition against management objectives</w:t>
      </w:r>
      <w:r w:rsidR="00D148A7">
        <w:t xml:space="preserve"> (equates to State Change indicators in the DPSIR framework)</w:t>
      </w:r>
      <w:r w:rsidR="00CF5F58">
        <w:t xml:space="preserve">; </w:t>
      </w:r>
    </w:p>
    <w:p w14:paraId="28F1EFA1" w14:textId="261624FB" w:rsidR="009A3155" w:rsidRDefault="00CF5F58" w:rsidP="00F4328F">
      <w:pPr>
        <w:pStyle w:val="ListParagraph"/>
        <w:numPr>
          <w:ilvl w:val="0"/>
          <w:numId w:val="19"/>
        </w:numPr>
        <w:spacing w:after="120" w:line="288" w:lineRule="auto"/>
        <w:jc w:val="left"/>
      </w:pPr>
      <w:r>
        <w:rPr>
          <w:i/>
        </w:rPr>
        <w:t>Pressure</w:t>
      </w:r>
      <w:r w:rsidR="009A3155">
        <w:rPr>
          <w:i/>
        </w:rPr>
        <w:t xml:space="preserve"> indicators, </w:t>
      </w:r>
      <w:r w:rsidR="009A3155">
        <w:t>which assess the magnitude of pressures within and acting on the assessment unit and priority values</w:t>
      </w:r>
      <w:r>
        <w:t>;</w:t>
      </w:r>
    </w:p>
    <w:p w14:paraId="60CEAD5F" w14:textId="3377621D" w:rsidR="00CF5F58" w:rsidRDefault="009A3155" w:rsidP="00F4328F">
      <w:pPr>
        <w:pStyle w:val="ListParagraph"/>
        <w:numPr>
          <w:ilvl w:val="0"/>
          <w:numId w:val="19"/>
        </w:numPr>
        <w:spacing w:after="120" w:line="288" w:lineRule="auto"/>
        <w:jc w:val="left"/>
      </w:pPr>
      <w:r w:rsidRPr="0073742B">
        <w:rPr>
          <w:i/>
        </w:rPr>
        <w:t>Stressor indicators</w:t>
      </w:r>
      <w:r>
        <w:t xml:space="preserve">, which assess the </w:t>
      </w:r>
      <w:r w:rsidR="00CF5F58">
        <w:t xml:space="preserve">magnitude of </w:t>
      </w:r>
      <w:r>
        <w:t>stressors</w:t>
      </w:r>
      <w:r w:rsidR="00CF5F58">
        <w:t xml:space="preserve"> and acting on the assessment unit and priority values; and</w:t>
      </w:r>
    </w:p>
    <w:p w14:paraId="6482C10A" w14:textId="3FD2D4AB" w:rsidR="009A3155" w:rsidRPr="00C03857" w:rsidRDefault="00CF5F58" w:rsidP="00F4328F">
      <w:pPr>
        <w:pStyle w:val="ListParagraph"/>
        <w:numPr>
          <w:ilvl w:val="0"/>
          <w:numId w:val="19"/>
        </w:numPr>
        <w:spacing w:after="120" w:line="288" w:lineRule="auto"/>
        <w:jc w:val="left"/>
      </w:pPr>
      <w:r>
        <w:rPr>
          <w:i/>
        </w:rPr>
        <w:t>Response indicators,</w:t>
      </w:r>
      <w:r>
        <w:t xml:space="preserve"> </w:t>
      </w:r>
      <w:r w:rsidR="00DB395E">
        <w:t>which assess either the impact of pressures and stressors or the effect of management modifiers on the assessment unit and priority values</w:t>
      </w:r>
      <w:r w:rsidR="009A3155">
        <w:t>.</w:t>
      </w:r>
    </w:p>
    <w:p w14:paraId="684A2D90" w14:textId="77777777" w:rsidR="001E76C4" w:rsidRPr="004E7EB5" w:rsidRDefault="001E76C4" w:rsidP="001E76C4">
      <w:pPr>
        <w:rPr>
          <w:b/>
          <w:i/>
          <w:sz w:val="24"/>
          <w:szCs w:val="24"/>
        </w:rPr>
      </w:pPr>
      <w:r w:rsidRPr="004E7EB5">
        <w:rPr>
          <w:b/>
          <w:i/>
          <w:color w:val="8C863E" w:themeColor="background2" w:themeShade="80"/>
          <w:sz w:val="24"/>
          <w:szCs w:val="24"/>
        </w:rPr>
        <w:t>Aim</w:t>
      </w:r>
    </w:p>
    <w:p w14:paraId="7483A2C3" w14:textId="487C259F" w:rsidR="001E76C4" w:rsidRPr="004E7EB5" w:rsidRDefault="003A187F" w:rsidP="001E76C4">
      <w:r>
        <w:t>To identify priority indicators to assess condition</w:t>
      </w:r>
      <w:r w:rsidR="00234EA0">
        <w:t xml:space="preserve"> (status and trend)</w:t>
      </w:r>
      <w:r>
        <w:t xml:space="preserve"> of</w:t>
      </w:r>
      <w:r w:rsidR="00234EA0">
        <w:t>, and threats to,</w:t>
      </w:r>
      <w:r>
        <w:t xml:space="preserve"> the ecological </w:t>
      </w:r>
      <w:r w:rsidRPr="00D208C9">
        <w:t xml:space="preserve">values and effectiveness of management </w:t>
      </w:r>
      <w:r>
        <w:t>interventions</w:t>
      </w:r>
      <w:r w:rsidRPr="00D208C9">
        <w:t xml:space="preserve">. </w:t>
      </w:r>
    </w:p>
    <w:p w14:paraId="790800E8" w14:textId="77777777" w:rsidR="001E76C4" w:rsidRDefault="001E76C4" w:rsidP="001E76C4">
      <w:pPr>
        <w:rPr>
          <w:b/>
          <w:i/>
          <w:color w:val="8C863E" w:themeColor="background2" w:themeShade="80"/>
          <w:sz w:val="24"/>
          <w:szCs w:val="24"/>
        </w:rPr>
      </w:pPr>
      <w:r w:rsidRPr="004E7EB5">
        <w:rPr>
          <w:b/>
          <w:i/>
          <w:color w:val="8C863E" w:themeColor="background2" w:themeShade="80"/>
          <w:sz w:val="24"/>
          <w:szCs w:val="24"/>
        </w:rPr>
        <w:t>Inputs</w:t>
      </w:r>
    </w:p>
    <w:p w14:paraId="1854CC8B" w14:textId="485F2729" w:rsidR="00545524" w:rsidRDefault="00545524" w:rsidP="00F4328F">
      <w:pPr>
        <w:pStyle w:val="ListParagraph"/>
        <w:numPr>
          <w:ilvl w:val="0"/>
          <w:numId w:val="26"/>
        </w:numPr>
      </w:pPr>
      <w:r>
        <w:t>KEQs and conceptual models developed in previous steps</w:t>
      </w:r>
      <w:r w:rsidR="00BA09E3">
        <w:t>;</w:t>
      </w:r>
    </w:p>
    <w:p w14:paraId="5F3D1AEA" w14:textId="327152C5" w:rsidR="00545524" w:rsidRDefault="00545524" w:rsidP="00F4328F">
      <w:pPr>
        <w:pStyle w:val="ListParagraph"/>
        <w:numPr>
          <w:ilvl w:val="0"/>
          <w:numId w:val="26"/>
        </w:numPr>
      </w:pPr>
      <w:r>
        <w:t xml:space="preserve">Lists of potential indicators </w:t>
      </w:r>
      <w:r w:rsidR="00BA58A7">
        <w:t>(</w:t>
      </w:r>
      <w:r>
        <w:t xml:space="preserve">see Appendix </w:t>
      </w:r>
      <w:r w:rsidR="00E221CF">
        <w:t>F</w:t>
      </w:r>
      <w:r w:rsidR="00BA58A7">
        <w:t>)</w:t>
      </w:r>
      <w:r w:rsidR="00BA09E3">
        <w:t>; and</w:t>
      </w:r>
    </w:p>
    <w:p w14:paraId="0DD03D89" w14:textId="07EDD052" w:rsidR="00545524" w:rsidRDefault="00545524" w:rsidP="00F4328F">
      <w:pPr>
        <w:pStyle w:val="ListParagraph"/>
        <w:numPr>
          <w:ilvl w:val="0"/>
          <w:numId w:val="26"/>
        </w:numPr>
      </w:pPr>
      <w:r>
        <w:t>Examples of prior data collected (identified in Part A)</w:t>
      </w:r>
      <w:r w:rsidR="00BA58A7">
        <w:t>.</w:t>
      </w:r>
    </w:p>
    <w:p w14:paraId="6B001541" w14:textId="43CF2603" w:rsidR="007168D1" w:rsidRPr="004E7EB5" w:rsidRDefault="007168D1" w:rsidP="007168D1">
      <w:pPr>
        <w:rPr>
          <w:b/>
          <w:i/>
          <w:color w:val="8C863E" w:themeColor="background2" w:themeShade="80"/>
          <w:sz w:val="24"/>
          <w:szCs w:val="24"/>
        </w:rPr>
      </w:pPr>
      <w:r w:rsidRPr="004E7EB5">
        <w:rPr>
          <w:b/>
          <w:i/>
          <w:color w:val="8C863E" w:themeColor="background2" w:themeShade="80"/>
          <w:sz w:val="24"/>
          <w:szCs w:val="24"/>
        </w:rPr>
        <w:t>Task</w:t>
      </w:r>
      <w:r w:rsidR="00736D3B">
        <w:rPr>
          <w:b/>
          <w:i/>
          <w:color w:val="8C863E" w:themeColor="background2" w:themeShade="80"/>
          <w:sz w:val="24"/>
          <w:szCs w:val="24"/>
        </w:rPr>
        <w:t>s</w:t>
      </w:r>
    </w:p>
    <w:p w14:paraId="3E327910" w14:textId="70EEBC1B" w:rsidR="007741C8" w:rsidRPr="00B17EC9" w:rsidRDefault="007741C8" w:rsidP="00F4328F">
      <w:pPr>
        <w:pStyle w:val="ListParagraph"/>
        <w:numPr>
          <w:ilvl w:val="0"/>
          <w:numId w:val="34"/>
        </w:numPr>
        <w:rPr>
          <w:b/>
          <w:i/>
        </w:rPr>
      </w:pPr>
      <w:r>
        <w:rPr>
          <w:b/>
          <w:i/>
        </w:rPr>
        <w:t>Identify potential indicators</w:t>
      </w:r>
    </w:p>
    <w:p w14:paraId="1B3A065F" w14:textId="55585316" w:rsidR="007741C8" w:rsidRPr="00C03857" w:rsidRDefault="007741C8" w:rsidP="007741C8">
      <w:r>
        <w:t>Using the conceptual models and the KEQs developed in the previous steps identify potential indicators for assessing condition of values and threats and stressors</w:t>
      </w:r>
      <w:r w:rsidR="00AC0597">
        <w:t xml:space="preserve"> (</w:t>
      </w:r>
      <w:r w:rsidR="00BA58A7">
        <w:t xml:space="preserve">see </w:t>
      </w:r>
      <w:r w:rsidR="006A5ECF">
        <w:t xml:space="preserve">hypothetical </w:t>
      </w:r>
      <w:r w:rsidR="00BA58A7">
        <w:t xml:space="preserve">estuary example in </w:t>
      </w:r>
      <w:r w:rsidR="00AC0597">
        <w:fldChar w:fldCharType="begin"/>
      </w:r>
      <w:r w:rsidR="00AC0597">
        <w:instrText xml:space="preserve"> REF _Ref479160617 \h </w:instrText>
      </w:r>
      <w:r w:rsidR="00AC0597">
        <w:fldChar w:fldCharType="separate"/>
      </w:r>
      <w:r w:rsidR="005F359C">
        <w:t xml:space="preserve">Figure </w:t>
      </w:r>
      <w:r w:rsidR="005F359C">
        <w:rPr>
          <w:noProof/>
        </w:rPr>
        <w:t>8</w:t>
      </w:r>
      <w:r w:rsidR="00AC0597">
        <w:fldChar w:fldCharType="end"/>
      </w:r>
      <w:r w:rsidR="00AC0597">
        <w:t>)</w:t>
      </w:r>
      <w:r>
        <w:t xml:space="preserve">. </w:t>
      </w:r>
      <w:r w:rsidR="003A187F">
        <w:t xml:space="preserve">The selection of indicators is ultimately </w:t>
      </w:r>
      <w:r w:rsidR="00607691">
        <w:t>dictated</w:t>
      </w:r>
      <w:r w:rsidR="003A187F">
        <w:t xml:space="preserve"> by the management objectives and the objective of the assessment using the IECA Framework. </w:t>
      </w:r>
      <w:r w:rsidRPr="00C03857">
        <w:t>Indicators should have</w:t>
      </w:r>
      <w:r w:rsidR="002322CC">
        <w:t xml:space="preserve"> at least several of</w:t>
      </w:r>
      <w:r w:rsidRPr="00C03857">
        <w:t xml:space="preserve"> the following basic characteristics</w:t>
      </w:r>
      <w:r>
        <w:t xml:space="preserve"> </w:t>
      </w:r>
      <w:r w:rsidR="004A60EA">
        <w:fldChar w:fldCharType="begin"/>
      </w:r>
      <w:r w:rsidR="004A60EA">
        <w:instrText xml:space="preserve"> ADDIN ZOTERO_ITEM CSL_CITATION {"citationID":"14legvjmdj","properties":{"formattedCitation":"(Dale and Beyeler 2001)","plainCitation":"(Dale and Beyeler 2001)"},"citationItems":[{"id":1364,"uris":["http://zotero.org/users/3119797/items/USJQGSGH"],"uri":["http://zotero.org/users/3119797/items/USJQGSGH"],"itemData":{"id":1364,"type":"article-journal","title":"Challenges in the development and use of ecological indicators","container-title":"Ecological Indicators","page":"3-10","volume":"1","issue":"1","source":"CrossRef","DOI":"10.1016/S1470-160X(01)00003-6","ISSN":"1470160X","language":"en","author":[{"family":"Dale","given":"Virginia H."},{"family":"Beyeler","given":"Suzanne C."}],"issued":{"date-parts":[["2001",8]]}}}],"schema":"https://github.com/citation-style-language/schema/raw/master/csl-citation.json"} </w:instrText>
      </w:r>
      <w:r w:rsidR="004A60EA">
        <w:fldChar w:fldCharType="separate"/>
      </w:r>
      <w:r w:rsidR="004A60EA" w:rsidRPr="004A60EA">
        <w:rPr>
          <w:rFonts w:cs="Calibri"/>
        </w:rPr>
        <w:t>(Dale and Beyeler 2001)</w:t>
      </w:r>
      <w:r w:rsidR="004A60EA">
        <w:fldChar w:fldCharType="end"/>
      </w:r>
      <w:r w:rsidRPr="00C03857">
        <w:t>:</w:t>
      </w:r>
    </w:p>
    <w:p w14:paraId="1C1318AC" w14:textId="38353F88" w:rsidR="007741C8" w:rsidRPr="00C03857" w:rsidRDefault="00BA58A7" w:rsidP="00F4328F">
      <w:pPr>
        <w:numPr>
          <w:ilvl w:val="0"/>
          <w:numId w:val="17"/>
        </w:numPr>
        <w:spacing w:after="120" w:line="288" w:lineRule="auto"/>
        <w:jc w:val="left"/>
      </w:pPr>
      <w:r>
        <w:t>A</w:t>
      </w:r>
      <w:r w:rsidR="007741C8" w:rsidRPr="00C03857">
        <w:t>re easily measured: easy to understand, simple to apply, and provide information to managers and policymakers that is relevant, scientifically sound, easily documented, and cost-effective</w:t>
      </w:r>
      <w:r w:rsidR="007741C8">
        <w:t>;</w:t>
      </w:r>
    </w:p>
    <w:p w14:paraId="23A62DC4" w14:textId="58A37864" w:rsidR="007741C8" w:rsidRPr="00C03857" w:rsidRDefault="00BA58A7" w:rsidP="00F4328F">
      <w:pPr>
        <w:numPr>
          <w:ilvl w:val="0"/>
          <w:numId w:val="17"/>
        </w:numPr>
        <w:spacing w:after="120" w:line="288" w:lineRule="auto"/>
        <w:jc w:val="left"/>
      </w:pPr>
      <w:r>
        <w:t>A</w:t>
      </w:r>
      <w:r w:rsidR="007741C8" w:rsidRPr="00C03857">
        <w:t>re sensitive to stresses on the system of concern, whilst ideally having little natural variation</w:t>
      </w:r>
      <w:r w:rsidR="007741C8">
        <w:t>;</w:t>
      </w:r>
    </w:p>
    <w:p w14:paraId="39368348" w14:textId="6921140B" w:rsidR="007741C8" w:rsidRPr="00C03857" w:rsidRDefault="00BA58A7" w:rsidP="00F4328F">
      <w:pPr>
        <w:numPr>
          <w:ilvl w:val="0"/>
          <w:numId w:val="17"/>
        </w:numPr>
        <w:spacing w:after="120" w:line="288" w:lineRule="auto"/>
        <w:jc w:val="left"/>
      </w:pPr>
      <w:r>
        <w:t>R</w:t>
      </w:r>
      <w:r w:rsidR="007741C8" w:rsidRPr="00C03857">
        <w:t>espond to stress in a predictable manner and be unambiguous</w:t>
      </w:r>
      <w:r w:rsidR="007741C8">
        <w:t>;</w:t>
      </w:r>
    </w:p>
    <w:p w14:paraId="7B573B24" w14:textId="7F1234D5" w:rsidR="007741C8" w:rsidRPr="00C03857" w:rsidRDefault="00BA58A7" w:rsidP="00F4328F">
      <w:pPr>
        <w:numPr>
          <w:ilvl w:val="0"/>
          <w:numId w:val="17"/>
        </w:numPr>
        <w:spacing w:after="120" w:line="288" w:lineRule="auto"/>
        <w:jc w:val="left"/>
      </w:pPr>
      <w:r>
        <w:t>A</w:t>
      </w:r>
      <w:r w:rsidR="007741C8" w:rsidRPr="00C03857">
        <w:t>re anticipatory: signify an impending change in the ecological system</w:t>
      </w:r>
      <w:r w:rsidR="007741C8">
        <w:t>;</w:t>
      </w:r>
    </w:p>
    <w:p w14:paraId="5C84DA0C" w14:textId="66CA4F8C" w:rsidR="007741C8" w:rsidRPr="00C03857" w:rsidRDefault="00BA58A7" w:rsidP="00F4328F">
      <w:pPr>
        <w:numPr>
          <w:ilvl w:val="0"/>
          <w:numId w:val="17"/>
        </w:numPr>
        <w:spacing w:after="120" w:line="288" w:lineRule="auto"/>
        <w:jc w:val="left"/>
      </w:pPr>
      <w:r>
        <w:t>A</w:t>
      </w:r>
      <w:r w:rsidR="007741C8" w:rsidRPr="00C03857">
        <w:t>re integrative: the full suite of indicators provides a measure of coverage of the key gradients across</w:t>
      </w:r>
      <w:r w:rsidR="007741C8">
        <w:t xml:space="preserve"> </w:t>
      </w:r>
      <w:r w:rsidR="007741C8" w:rsidRPr="00C03857">
        <w:t>the ecological systems (e.g. soils, vegetation types, temperature, etc.)</w:t>
      </w:r>
      <w:r w:rsidR="007741C8">
        <w:t>; and</w:t>
      </w:r>
    </w:p>
    <w:p w14:paraId="6FADF5DE" w14:textId="001FD82B" w:rsidR="007741C8" w:rsidRDefault="00BA58A7" w:rsidP="00F4328F">
      <w:pPr>
        <w:numPr>
          <w:ilvl w:val="0"/>
          <w:numId w:val="17"/>
        </w:numPr>
        <w:spacing w:after="120" w:line="288" w:lineRule="auto"/>
        <w:jc w:val="left"/>
      </w:pPr>
      <w:r>
        <w:lastRenderedPageBreak/>
        <w:t>H</w:t>
      </w:r>
      <w:r w:rsidR="007741C8" w:rsidRPr="00C03857">
        <w:t>ave a known response to natural disturbances, anthropogenic stresses, and changes over time, and</w:t>
      </w:r>
      <w:r w:rsidR="007741C8">
        <w:t xml:space="preserve"> </w:t>
      </w:r>
      <w:r w:rsidR="007741C8" w:rsidRPr="00C03857">
        <w:t>have low variability in response</w:t>
      </w:r>
      <w:r w:rsidR="007741C8">
        <w:t>.</w:t>
      </w:r>
    </w:p>
    <w:p w14:paraId="2EEAD84B" w14:textId="083EB871" w:rsidR="00B56D6A" w:rsidRDefault="00C8647E" w:rsidP="00B37C48">
      <w:r w:rsidRPr="009032A6">
        <w:t xml:space="preserve">Not all indicators will have all these characteristics, but it is a good checklist to use when </w:t>
      </w:r>
      <w:r w:rsidRPr="000517E6">
        <w:t xml:space="preserve">creating the first list of </w:t>
      </w:r>
      <w:r>
        <w:t xml:space="preserve">potential </w:t>
      </w:r>
      <w:r w:rsidRPr="000517E6">
        <w:t xml:space="preserve">indicators. </w:t>
      </w:r>
      <w:r w:rsidR="00B56D6A">
        <w:t>A critical consideration in the selecti</w:t>
      </w:r>
      <w:r w:rsidR="00B37C48">
        <w:t>o</w:t>
      </w:r>
      <w:r w:rsidR="00B56D6A">
        <w:t xml:space="preserve">n of indicators is making sure the scale of </w:t>
      </w:r>
      <w:r w:rsidR="00B37C48">
        <w:t>response</w:t>
      </w:r>
      <w:r w:rsidR="00B56D6A">
        <w:t xml:space="preserve"> is related to the scale of the assessment. </w:t>
      </w:r>
      <w:r w:rsidR="00B37C48">
        <w:t xml:space="preserve">No single indicator is applicable across all spatial scales of concern </w:t>
      </w:r>
      <w:r w:rsidR="00B37C48">
        <w:fldChar w:fldCharType="begin"/>
      </w:r>
      <w:r w:rsidR="00B37C48">
        <w:instrText xml:space="preserve"> ADDIN ZOTERO_ITEM CSL_CITATION {"citationID":"24e71qg66j","properties":{"formattedCitation":"(Dale and Beyeler 2001)","plainCitation":"(Dale and Beyeler 2001)"},"citationItems":[{"id":1364,"uris":["http://zotero.org/users/3119797/items/USJQGSGH"],"uri":["http://zotero.org/users/3119797/items/USJQGSGH"],"itemData":{"id":1364,"type":"article-journal","title":"Challenges in the development and use of ecological indicators","container-title":"Ecological Indicators","page":"3-10","volume":"1","issue":"1","source":"CrossRef","DOI":"10.1016/S1470-160X(01)00003-6","ISSN":"1470160X","language":"en","author":[{"family":"Dale","given":"Virginia H."},{"family":"Beyeler","given":"Suzanne C."}],"issued":{"date-parts":[["2001",8]]}}}],"schema":"https://github.com/citation-style-language/schema/raw/master/csl-citation.json"} </w:instrText>
      </w:r>
      <w:r w:rsidR="00B37C48">
        <w:fldChar w:fldCharType="separate"/>
      </w:r>
      <w:r w:rsidR="00B37C48" w:rsidRPr="00B37C48">
        <w:rPr>
          <w:rFonts w:cs="Calibri"/>
        </w:rPr>
        <w:t>(Dale and Beyeler 2001)</w:t>
      </w:r>
      <w:r w:rsidR="00B37C48">
        <w:fldChar w:fldCharType="end"/>
      </w:r>
      <w:r w:rsidR="00B37C48">
        <w:t>.</w:t>
      </w:r>
    </w:p>
    <w:p w14:paraId="477DCA2E" w14:textId="6570941C" w:rsidR="00C8647E" w:rsidRDefault="00C8647E" w:rsidP="00E8154A">
      <w:r w:rsidRPr="000517E6">
        <w:t xml:space="preserve">Appendix </w:t>
      </w:r>
      <w:r w:rsidR="00D73722">
        <w:t>F</w:t>
      </w:r>
      <w:r w:rsidRPr="000517E6">
        <w:t xml:space="preserve"> has</w:t>
      </w:r>
      <w:r>
        <w:t xml:space="preserve"> lists of potential indicators for the themes, services and stressors. </w:t>
      </w:r>
      <w:r w:rsidR="00BA58A7">
        <w:t>Additional links to information on indicators for assess</w:t>
      </w:r>
      <w:r w:rsidR="008032C5">
        <w:t>ing</w:t>
      </w:r>
      <w:r w:rsidR="00BA58A7">
        <w:t xml:space="preserve"> condition of aquatic</w:t>
      </w:r>
      <w:r w:rsidR="000F00E3">
        <w:t xml:space="preserve"> ecosystems are provided under ‘</w:t>
      </w:r>
      <w:r>
        <w:t>Other resources</w:t>
      </w:r>
      <w:r w:rsidR="000F00E3">
        <w:t>’</w:t>
      </w:r>
      <w:r w:rsidR="00BA58A7">
        <w:t xml:space="preserve">, </w:t>
      </w:r>
      <w:r>
        <w:t>below.</w:t>
      </w:r>
    </w:p>
    <w:p w14:paraId="166A57C3" w14:textId="2A90A455" w:rsidR="00811D06" w:rsidRDefault="006A5ECF" w:rsidP="00811D06">
      <w:pPr>
        <w:spacing w:after="120" w:line="288" w:lineRule="auto"/>
        <w:jc w:val="left"/>
      </w:pPr>
      <w:r>
        <w:rPr>
          <w:noProof/>
          <w:lang w:eastAsia="en-AU"/>
        </w:rPr>
        <w:drawing>
          <wp:inline distT="0" distB="0" distL="0" distR="0" wp14:anchorId="09FD2C98" wp14:editId="799AA643">
            <wp:extent cx="5731510" cy="3171825"/>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4 model with indicators v2.png"/>
                    <pic:cNvPicPr/>
                  </pic:nvPicPr>
                  <pic:blipFill>
                    <a:blip r:embed="rId61">
                      <a:extLst>
                        <a:ext uri="{28A0092B-C50C-407E-A947-70E740481C1C}">
                          <a14:useLocalDpi xmlns:a14="http://schemas.microsoft.com/office/drawing/2010/main" val="0"/>
                        </a:ext>
                      </a:extLst>
                    </a:blip>
                    <a:stretch>
                      <a:fillRect/>
                    </a:stretch>
                  </pic:blipFill>
                  <pic:spPr>
                    <a:xfrm>
                      <a:off x="0" y="0"/>
                      <a:ext cx="5731510" cy="3171825"/>
                    </a:xfrm>
                    <a:prstGeom prst="rect">
                      <a:avLst/>
                    </a:prstGeom>
                  </pic:spPr>
                </pic:pic>
              </a:graphicData>
            </a:graphic>
          </wp:inline>
        </w:drawing>
      </w:r>
    </w:p>
    <w:p w14:paraId="230F452A" w14:textId="746B5993" w:rsidR="00811D06" w:rsidRDefault="00811D06" w:rsidP="00811D06">
      <w:pPr>
        <w:pStyle w:val="Caption"/>
      </w:pPr>
      <w:bookmarkStart w:id="74" w:name="_Ref479160617"/>
      <w:r>
        <w:t xml:space="preserve">Figure </w:t>
      </w:r>
      <w:fldSimple w:instr=" SEQ Figure \* ARABIC ">
        <w:r w:rsidR="005F359C">
          <w:rPr>
            <w:noProof/>
          </w:rPr>
          <w:t>8</w:t>
        </w:r>
      </w:fldSimple>
      <w:bookmarkEnd w:id="74"/>
      <w:r w:rsidR="006A5ECF">
        <w:rPr>
          <w:noProof/>
        </w:rPr>
        <w:t>:</w:t>
      </w:r>
      <w:r>
        <w:t xml:space="preserve"> </w:t>
      </w:r>
      <w:r w:rsidR="00AC0597">
        <w:t>Updated conceptual model showing indicat</w:t>
      </w:r>
      <w:r w:rsidR="00AB43EA">
        <w:t>or</w:t>
      </w:r>
      <w:r w:rsidR="00AC0597">
        <w:t xml:space="preserve">s </w:t>
      </w:r>
      <w:r w:rsidR="006A5ECF">
        <w:t xml:space="preserve">relating to climate change, </w:t>
      </w:r>
      <w:r w:rsidR="00AC0597">
        <w:t xml:space="preserve">for the </w:t>
      </w:r>
      <w:r w:rsidR="006A5ECF">
        <w:t xml:space="preserve">hypothetical </w:t>
      </w:r>
      <w:r w:rsidR="00AC0597">
        <w:t xml:space="preserve">estuary example from step 2.  </w:t>
      </w:r>
    </w:p>
    <w:p w14:paraId="5CC96931" w14:textId="77777777" w:rsidR="00C8647E" w:rsidRPr="00C8647E" w:rsidRDefault="00C8647E" w:rsidP="00C8647E"/>
    <w:p w14:paraId="608F4D49" w14:textId="149853F7" w:rsidR="003A187F" w:rsidRPr="00B17EC9" w:rsidRDefault="003A187F" w:rsidP="00F4328F">
      <w:pPr>
        <w:pStyle w:val="ListParagraph"/>
        <w:numPr>
          <w:ilvl w:val="0"/>
          <w:numId w:val="34"/>
        </w:numPr>
        <w:rPr>
          <w:b/>
          <w:i/>
        </w:rPr>
      </w:pPr>
      <w:r>
        <w:rPr>
          <w:b/>
          <w:i/>
        </w:rPr>
        <w:t>Prioritise indicators</w:t>
      </w:r>
    </w:p>
    <w:p w14:paraId="6C0C55C1" w14:textId="77777777" w:rsidR="00BA58A7" w:rsidRDefault="00BA58A7" w:rsidP="003A187F">
      <w:r>
        <w:t>It is likely that the previous task will identify more indicators than is feasible to include in the assessment (e.g. due to budget or resource constraints). In such circumstances, the list of potential indicators has to be reduced to those which will provide the best outcome in terms of addressing the objectives and addressing the KEQs.</w:t>
      </w:r>
    </w:p>
    <w:p w14:paraId="09598F5A" w14:textId="3A5C3207" w:rsidR="003A187F" w:rsidRDefault="00BA58A7" w:rsidP="003A187F">
      <w:r>
        <w:t xml:space="preserve">One way to achieve this is to adopt a </w:t>
      </w:r>
      <w:r w:rsidR="003A187F">
        <w:t xml:space="preserve">prioritisation process similar </w:t>
      </w:r>
      <w:r w:rsidR="001456FA">
        <w:t xml:space="preserve">to </w:t>
      </w:r>
      <w:r w:rsidR="003A187F">
        <w:t xml:space="preserve">that described for </w:t>
      </w:r>
      <w:r w:rsidR="001456FA">
        <w:t xml:space="preserve">prioritising </w:t>
      </w:r>
      <w:r w:rsidR="003A187F">
        <w:t xml:space="preserve">values in </w:t>
      </w:r>
      <w:r w:rsidR="00257AA4">
        <w:t>S</w:t>
      </w:r>
      <w:r w:rsidR="003A187F">
        <w:t xml:space="preserve">tep 1, with a suite of criteria being </w:t>
      </w:r>
      <w:r w:rsidR="00257AA4">
        <w:t xml:space="preserve">used </w:t>
      </w:r>
      <w:r w:rsidR="003A187F">
        <w:t xml:space="preserve">to evaluate each indicator. There are a large number of criteria that can be used </w:t>
      </w:r>
      <w:r w:rsidR="004A60EA">
        <w:fldChar w:fldCharType="begin"/>
      </w:r>
      <w:r w:rsidR="004A60EA">
        <w:instrText xml:space="preserve"> ADDIN ZOTERO_ITEM CSL_CITATION {"citationID":"29udj92398","properties":{"formattedCitation":"(Niemeijer and de Groot 2008)","plainCitation":"(Niemeijer and de Groot 2008)"},"citationItems":[{"id":737,"uris":["http://zotero.org/users/3119797/items/BC35DM2B"],"uri":["http://zotero.org/users/3119797/items/BC35DM2B"],"itemData":{"id":737,"type":"article-journal","title":"A conceptual framework for selecting environmental indicator sets","container-title":"Ecological Indicators","page":"14-25","volume":"8","issue":"1","source":"CrossRef","DOI":"10.1016/j.ecolind.2006.11.012","ISSN":"1470160X","language":"en","author":[{"family":"Niemeijer","given":"David"},{"family":"Groot","given":"Rudolf S.","non-dropping-particle":"de"}],"issued":{"date-parts":[["2008",1]]}}}],"schema":"https://github.com/citation-style-language/schema/raw/master/csl-citation.json"} </w:instrText>
      </w:r>
      <w:r w:rsidR="004A60EA">
        <w:fldChar w:fldCharType="separate"/>
      </w:r>
      <w:r w:rsidR="004A60EA" w:rsidRPr="004A60EA">
        <w:rPr>
          <w:rFonts w:cs="Calibri"/>
        </w:rPr>
        <w:t>(Niemeijer and de Groot 2008)</w:t>
      </w:r>
      <w:r w:rsidR="004A60EA">
        <w:fldChar w:fldCharType="end"/>
      </w:r>
      <w:r w:rsidR="003A187F">
        <w:t xml:space="preserve">, and </w:t>
      </w:r>
      <w:r w:rsidR="001456FA">
        <w:t xml:space="preserve">an </w:t>
      </w:r>
      <w:r w:rsidR="003A187F">
        <w:t>indicative set of criteria may include:</w:t>
      </w:r>
    </w:p>
    <w:p w14:paraId="4BDD24D2" w14:textId="33A94F63" w:rsidR="003A187F" w:rsidRDefault="003A187F" w:rsidP="00F4328F">
      <w:pPr>
        <w:pStyle w:val="ListParagraph"/>
        <w:numPr>
          <w:ilvl w:val="0"/>
          <w:numId w:val="36"/>
        </w:numPr>
      </w:pPr>
      <w:r w:rsidRPr="00257AA4">
        <w:rPr>
          <w:b/>
        </w:rPr>
        <w:t xml:space="preserve">Relation to </w:t>
      </w:r>
      <w:r w:rsidR="00D73722">
        <w:rPr>
          <w:b/>
        </w:rPr>
        <w:t xml:space="preserve">high priority </w:t>
      </w:r>
      <w:r w:rsidRPr="00257AA4">
        <w:rPr>
          <w:b/>
        </w:rPr>
        <w:t>value</w:t>
      </w:r>
      <w:r>
        <w:t xml:space="preserve">. This criterion scores the degree to which the indicator </w:t>
      </w:r>
      <w:r w:rsidR="00F311AA">
        <w:t>provides a direct measurement of the condition of the value</w:t>
      </w:r>
      <w:r w:rsidR="007249B4">
        <w:t>.</w:t>
      </w:r>
    </w:p>
    <w:p w14:paraId="365A1B9C" w14:textId="1D2B9B50" w:rsidR="003A187F" w:rsidRDefault="00607691" w:rsidP="00F4328F">
      <w:pPr>
        <w:pStyle w:val="ListParagraph"/>
        <w:numPr>
          <w:ilvl w:val="0"/>
          <w:numId w:val="36"/>
        </w:numPr>
      </w:pPr>
      <w:r>
        <w:rPr>
          <w:b/>
        </w:rPr>
        <w:t>Integrative</w:t>
      </w:r>
      <w:r w:rsidR="003A187F">
        <w:t xml:space="preserve">. The extent to which an indicator is correlated with other </w:t>
      </w:r>
      <w:r>
        <w:t>indicators</w:t>
      </w:r>
      <w:r w:rsidR="00F311AA">
        <w:t>, or contributes to an integrated assessment of condition and threats</w:t>
      </w:r>
      <w:r w:rsidR="003A187F">
        <w:t xml:space="preserve">. </w:t>
      </w:r>
    </w:p>
    <w:p w14:paraId="39E1FE92" w14:textId="386E2DAE" w:rsidR="003A187F" w:rsidRDefault="003A187F" w:rsidP="00F4328F">
      <w:pPr>
        <w:pStyle w:val="ListParagraph"/>
        <w:numPr>
          <w:ilvl w:val="0"/>
          <w:numId w:val="36"/>
        </w:numPr>
      </w:pPr>
      <w:r w:rsidRPr="00257AA4">
        <w:rPr>
          <w:b/>
        </w:rPr>
        <w:lastRenderedPageBreak/>
        <w:t>Scale alignment</w:t>
      </w:r>
      <w:r>
        <w:t>. The alignment between the scale of indicator response and the assessment. This requires consideration of the area over which the indicator provides useful information and also the time frame over which the indicator would respond.</w:t>
      </w:r>
    </w:p>
    <w:p w14:paraId="2DF00B25" w14:textId="048F9605" w:rsidR="003A187F" w:rsidRDefault="003A187F" w:rsidP="00F4328F">
      <w:pPr>
        <w:pStyle w:val="ListParagraph"/>
        <w:numPr>
          <w:ilvl w:val="0"/>
          <w:numId w:val="36"/>
        </w:numPr>
      </w:pPr>
      <w:r w:rsidRPr="00257AA4">
        <w:rPr>
          <w:b/>
        </w:rPr>
        <w:t>Management utility</w:t>
      </w:r>
      <w:r>
        <w:t>. A rating of an indicator’s suitability for informing management intervention decisions. This would include its capacity to provide information on both condition and the effects of stressors</w:t>
      </w:r>
      <w:r w:rsidR="00145E76" w:rsidRPr="00145E76">
        <w:t xml:space="preserve"> </w:t>
      </w:r>
      <w:r w:rsidR="00145E76">
        <w:t xml:space="preserve">and could incorporate the </w:t>
      </w:r>
      <w:r w:rsidR="00145E76" w:rsidRPr="00145E76">
        <w:t>level of certainty required by managers</w:t>
      </w:r>
      <w:r>
        <w:t>.</w:t>
      </w:r>
    </w:p>
    <w:p w14:paraId="2879058E" w14:textId="1FD85923" w:rsidR="003A187F" w:rsidRDefault="003A187F" w:rsidP="00F4328F">
      <w:pPr>
        <w:pStyle w:val="ListParagraph"/>
        <w:numPr>
          <w:ilvl w:val="0"/>
          <w:numId w:val="36"/>
        </w:numPr>
      </w:pPr>
      <w:r w:rsidRPr="00257AA4">
        <w:rPr>
          <w:b/>
        </w:rPr>
        <w:t>Feasibility</w:t>
      </w:r>
      <w:r>
        <w:t>. A rating of the feasibility of measuring an indicator.</w:t>
      </w:r>
    </w:p>
    <w:p w14:paraId="45D6F3C6" w14:textId="7FF18368" w:rsidR="003A187F" w:rsidRDefault="003A187F" w:rsidP="00F4328F">
      <w:pPr>
        <w:pStyle w:val="ListParagraph"/>
        <w:numPr>
          <w:ilvl w:val="0"/>
          <w:numId w:val="36"/>
        </w:numPr>
      </w:pPr>
      <w:r w:rsidRPr="00257AA4">
        <w:rPr>
          <w:b/>
        </w:rPr>
        <w:t>Cost</w:t>
      </w:r>
      <w:r>
        <w:t>. An estimate of the relative cost of measuring an indicator</w:t>
      </w:r>
    </w:p>
    <w:p w14:paraId="7D53F500" w14:textId="18EAFCA2" w:rsidR="001456FA" w:rsidRDefault="003A187F" w:rsidP="003A187F">
      <w:r>
        <w:t xml:space="preserve">The process of developing descriptors for “high” “medium” and “low” categories for each criterion and developing a scoring and weighting systems is the same as that used for the prioritisation of values (see Step 1). </w:t>
      </w:r>
    </w:p>
    <w:p w14:paraId="2BF7FF2B" w14:textId="77777777" w:rsidR="0035357B" w:rsidRPr="000627ED" w:rsidRDefault="0035357B" w:rsidP="00F4328F">
      <w:pPr>
        <w:pStyle w:val="ListParagraph"/>
        <w:numPr>
          <w:ilvl w:val="0"/>
          <w:numId w:val="34"/>
        </w:numPr>
        <w:rPr>
          <w:b/>
          <w:i/>
        </w:rPr>
      </w:pPr>
      <w:r w:rsidRPr="000627ED">
        <w:rPr>
          <w:b/>
          <w:i/>
        </w:rPr>
        <w:t>Data considerations for indicators</w:t>
      </w:r>
    </w:p>
    <w:p w14:paraId="38D47B2B" w14:textId="47D1FB83" w:rsidR="0035357B" w:rsidRPr="000627ED" w:rsidRDefault="0035357B" w:rsidP="00E8154A">
      <w:r w:rsidRPr="000627ED">
        <w:t xml:space="preserve">Data requirements for each indicator cannot be prescribed, but should be considered as part of the SMART objective setting process. </w:t>
      </w:r>
      <w:r w:rsidR="001456FA">
        <w:t xml:space="preserve">Two important considerations </w:t>
      </w:r>
      <w:r w:rsidRPr="000627ED">
        <w:t>are:</w:t>
      </w:r>
    </w:p>
    <w:p w14:paraId="6468F040" w14:textId="6542A479" w:rsidR="0035357B" w:rsidRPr="000627ED" w:rsidRDefault="001456FA" w:rsidP="00F4328F">
      <w:pPr>
        <w:pStyle w:val="ListParagraph"/>
        <w:numPr>
          <w:ilvl w:val="0"/>
          <w:numId w:val="37"/>
        </w:numPr>
        <w:ind w:left="720"/>
      </w:pPr>
      <w:r>
        <w:t>T</w:t>
      </w:r>
      <w:r w:rsidR="0035357B" w:rsidRPr="000627ED">
        <w:t xml:space="preserve">he setting of a target or </w:t>
      </w:r>
      <w:r w:rsidR="004875C1">
        <w:t>baseline condition</w:t>
      </w:r>
      <w:r>
        <w:t>, which</w:t>
      </w:r>
      <w:r w:rsidR="0035357B" w:rsidRPr="000627ED">
        <w:t xml:space="preserve"> is essential to convert raw data into a condition assessment</w:t>
      </w:r>
      <w:r>
        <w:t xml:space="preserve"> (i.e. provide a basis for comparison and assessment)</w:t>
      </w:r>
      <w:r w:rsidR="007249B4">
        <w:t>;</w:t>
      </w:r>
      <w:r w:rsidR="0035357B" w:rsidRPr="000627ED">
        <w:t xml:space="preserve"> and </w:t>
      </w:r>
    </w:p>
    <w:p w14:paraId="4A6B09B6" w14:textId="6092DAAE" w:rsidR="0035357B" w:rsidRPr="000627ED" w:rsidRDefault="001456FA" w:rsidP="00F4328F">
      <w:pPr>
        <w:pStyle w:val="ListParagraph"/>
        <w:numPr>
          <w:ilvl w:val="0"/>
          <w:numId w:val="37"/>
        </w:numPr>
        <w:ind w:left="720"/>
      </w:pPr>
      <w:r>
        <w:t>W</w:t>
      </w:r>
      <w:r w:rsidR="0035357B" w:rsidRPr="000627ED">
        <w:t xml:space="preserve">hen the assessment unit is large, there will be numerous data issues that arise, including how to score an assessment unit that has, for example </w:t>
      </w:r>
      <w:r>
        <w:t>a large number of</w:t>
      </w:r>
      <w:r w:rsidR="0035357B" w:rsidRPr="000627ED">
        <w:t xml:space="preserve"> different channels and gauging stations and thus </w:t>
      </w:r>
      <w:r>
        <w:t xml:space="preserve">large numbers of </w:t>
      </w:r>
      <w:r w:rsidR="0035357B" w:rsidRPr="000627ED">
        <w:t xml:space="preserve">different flow curves, and potential values for seasonality. </w:t>
      </w:r>
    </w:p>
    <w:p w14:paraId="280FA6A6" w14:textId="0BB27069" w:rsidR="0035357B" w:rsidRDefault="0035357B" w:rsidP="0035357B">
      <w:r w:rsidRPr="000627ED">
        <w:t xml:space="preserve">Point 1 is part of the indicator selection process for each individual IECA program. Point 2 </w:t>
      </w:r>
      <w:r w:rsidR="000627ED">
        <w:t xml:space="preserve">relates to </w:t>
      </w:r>
      <w:r w:rsidRPr="000627ED">
        <w:t>data aggregation</w:t>
      </w:r>
      <w:r w:rsidR="00C8647E">
        <w:t xml:space="preserve"> and is</w:t>
      </w:r>
      <w:r w:rsidRPr="000627ED">
        <w:t xml:space="preserve"> covered in more detail in Step 6.</w:t>
      </w:r>
    </w:p>
    <w:p w14:paraId="09D892DF" w14:textId="0BEC88D9" w:rsidR="00A1432B" w:rsidRPr="000627ED" w:rsidRDefault="00A1432B" w:rsidP="00F4328F">
      <w:pPr>
        <w:pStyle w:val="ListParagraph"/>
        <w:numPr>
          <w:ilvl w:val="0"/>
          <w:numId w:val="34"/>
        </w:numPr>
        <w:rPr>
          <w:b/>
          <w:i/>
        </w:rPr>
      </w:pPr>
      <w:r>
        <w:rPr>
          <w:b/>
          <w:i/>
        </w:rPr>
        <w:t>I</w:t>
      </w:r>
      <w:r w:rsidRPr="000627ED">
        <w:rPr>
          <w:b/>
          <w:i/>
        </w:rPr>
        <w:t>ndicator</w:t>
      </w:r>
      <w:r>
        <w:rPr>
          <w:b/>
          <w:i/>
        </w:rPr>
        <w:t xml:space="preserve"> sensitivity analysi</w:t>
      </w:r>
      <w:r w:rsidRPr="000627ED">
        <w:rPr>
          <w:b/>
          <w:i/>
        </w:rPr>
        <w:t>s</w:t>
      </w:r>
    </w:p>
    <w:p w14:paraId="1AC2C36A" w14:textId="5590E4EE" w:rsidR="00D013EF" w:rsidRDefault="00A1432B" w:rsidP="0035357B">
      <w:r w:rsidRPr="00A1432B">
        <w:t xml:space="preserve">Before </w:t>
      </w:r>
      <w:r>
        <w:t>finally settling on an</w:t>
      </w:r>
      <w:r w:rsidRPr="00A1432B">
        <w:t xml:space="preserve"> indicator it should be assessed for its utility in the role proposed. </w:t>
      </w:r>
      <w:r>
        <w:t>Sensitivity analysis is a combination of assessing the sensitivity of the indicator to change in condition</w:t>
      </w:r>
      <w:r w:rsidR="001456FA">
        <w:t>s</w:t>
      </w:r>
      <w:r>
        <w:t xml:space="preserve"> as well as the ability of using the indicator to assess change. That is, sensitivity analysis incorporates the response of the indicator to the stressor with the variability of the indicator and its ability to detect significant differences in condition, between assessment units or through time. Variability may </w:t>
      </w:r>
      <w:r w:rsidR="00D73722">
        <w:t>occur</w:t>
      </w:r>
      <w:r>
        <w:t xml:space="preserve"> in the response of the indicator (inherently, through space or time), or in the measurement of the indicator. Sensitivity analysis is essential when evaluating indicators before implementation and reporting (i.e. before Steps 5 and 6 in the IECA workflow).</w:t>
      </w:r>
      <w:r w:rsidR="00D013EF" w:rsidRPr="00D013EF">
        <w:t xml:space="preserve"> </w:t>
      </w:r>
    </w:p>
    <w:p w14:paraId="7DDD8529" w14:textId="3FF7F581" w:rsidR="00A1432B" w:rsidRDefault="006C66F3" w:rsidP="0035357B">
      <w:r>
        <w:t xml:space="preserve">Sensitivity </w:t>
      </w:r>
      <w:r w:rsidR="001456FA">
        <w:t xml:space="preserve">analysis can be </w:t>
      </w:r>
      <w:r w:rsidRPr="00A1432B">
        <w:t>applie</w:t>
      </w:r>
      <w:r w:rsidR="001456FA">
        <w:t>d</w:t>
      </w:r>
      <w:r w:rsidRPr="00A1432B">
        <w:t xml:space="preserve"> to individual indicators, but also to integrated </w:t>
      </w:r>
      <w:r>
        <w:t>condition</w:t>
      </w:r>
      <w:r w:rsidRPr="00A1432B">
        <w:t xml:space="preserve"> score</w:t>
      </w:r>
      <w:r w:rsidR="001456FA">
        <w:t>s</w:t>
      </w:r>
      <w:r>
        <w:t xml:space="preserve"> (based on composite indicators – i.e. multiple sub-indicators in one </w:t>
      </w:r>
      <w:r w:rsidR="00383F41">
        <w:t>indicator group</w:t>
      </w:r>
      <w:r>
        <w:t>)</w:t>
      </w:r>
      <w:r w:rsidRPr="00A1432B">
        <w:t xml:space="preserve"> as well. </w:t>
      </w:r>
      <w:r>
        <w:t>The process detailed above to select indicators involves the use of judgement in regards to the selection of sub-indicators (within a theme), the need for weighting, and the treatment of missing data (</w:t>
      </w:r>
      <w:r w:rsidRPr="00F2409D">
        <w:t xml:space="preserve">see Step </w:t>
      </w:r>
      <w:r w:rsidR="0017074A">
        <w:t>6 and 7</w:t>
      </w:r>
      <w:r w:rsidRPr="00F2409D">
        <w:t>).</w:t>
      </w:r>
      <w:r>
        <w:t xml:space="preserve"> This process needs to be transparent and based on sound statistical principles</w:t>
      </w:r>
      <w:r w:rsidR="0035013E">
        <w:t xml:space="preserve"> – it may be advisable to engage a statistician</w:t>
      </w:r>
      <w:r>
        <w:t xml:space="preserve">. </w:t>
      </w:r>
      <w:r w:rsidR="00D013EF" w:rsidRPr="00A1432B">
        <w:t>The sensitivity of existing individual indicators from current programs should already be known</w:t>
      </w:r>
      <w:r w:rsidR="001456FA">
        <w:t>. Th</w:t>
      </w:r>
      <w:r w:rsidR="00D013EF" w:rsidRPr="00A1432B">
        <w:t xml:space="preserve">e sensitivity of new indicators and of integrated condition scores will need to be </w:t>
      </w:r>
      <w:r w:rsidR="001456FA">
        <w:t>considered</w:t>
      </w:r>
      <w:r w:rsidR="00D013EF" w:rsidRPr="00A1432B">
        <w:t xml:space="preserve"> </w:t>
      </w:r>
      <w:r w:rsidR="00D013EF">
        <w:t>here and in Steps</w:t>
      </w:r>
      <w:r w:rsidR="00D013EF" w:rsidRPr="00A1432B">
        <w:t xml:space="preserve"> 5, 6, and 7 of the IECA workflow</w:t>
      </w:r>
      <w:r w:rsidR="00D73722">
        <w:t>.</w:t>
      </w:r>
    </w:p>
    <w:p w14:paraId="444A1CD4" w14:textId="7BE5F65B" w:rsidR="00A94E33" w:rsidRPr="00A94E33" w:rsidRDefault="00A94E33" w:rsidP="00A94E33">
      <w:pPr>
        <w:shd w:val="clear" w:color="auto" w:fill="F6F4E1" w:themeFill="accent3" w:themeFillTint="33"/>
        <w:rPr>
          <w:b/>
          <w:i/>
          <w:color w:val="679B9A" w:themeColor="accent2" w:themeShade="BF"/>
        </w:rPr>
      </w:pPr>
      <w:r w:rsidRPr="00A94E33">
        <w:rPr>
          <w:b/>
          <w:i/>
          <w:color w:val="679B9A" w:themeColor="accent2" w:themeShade="BF"/>
        </w:rPr>
        <w:t>Tip: Basically a sensitivity analysis is about ‘will the indicator answer my question</w:t>
      </w:r>
      <w:r w:rsidR="0035013E">
        <w:rPr>
          <w:b/>
          <w:i/>
          <w:color w:val="679B9A" w:themeColor="accent2" w:themeShade="BF"/>
        </w:rPr>
        <w:t>?</w:t>
      </w:r>
      <w:r w:rsidRPr="00A94E33">
        <w:rPr>
          <w:b/>
          <w:i/>
          <w:color w:val="679B9A" w:themeColor="accent2" w:themeShade="BF"/>
        </w:rPr>
        <w:t>’, ‘have I chosen the right indicator</w:t>
      </w:r>
      <w:r w:rsidR="0035013E">
        <w:rPr>
          <w:b/>
          <w:i/>
          <w:color w:val="679B9A" w:themeColor="accent2" w:themeShade="BF"/>
        </w:rPr>
        <w:t>?</w:t>
      </w:r>
      <w:r w:rsidRPr="00A94E33">
        <w:rPr>
          <w:b/>
          <w:i/>
          <w:color w:val="679B9A" w:themeColor="accent2" w:themeShade="BF"/>
        </w:rPr>
        <w:t xml:space="preserve">’ – these are the basic questions that need to </w:t>
      </w:r>
      <w:r w:rsidR="0035013E">
        <w:rPr>
          <w:b/>
          <w:i/>
          <w:color w:val="679B9A" w:themeColor="accent2" w:themeShade="BF"/>
        </w:rPr>
        <w:t xml:space="preserve">be </w:t>
      </w:r>
      <w:r w:rsidRPr="00A94E33">
        <w:rPr>
          <w:b/>
          <w:i/>
          <w:color w:val="679B9A" w:themeColor="accent2" w:themeShade="BF"/>
        </w:rPr>
        <w:t xml:space="preserve">answered to have some confidence in the final set of indicators </w:t>
      </w:r>
      <w:r w:rsidR="0035013E">
        <w:rPr>
          <w:b/>
          <w:i/>
          <w:color w:val="679B9A" w:themeColor="accent2" w:themeShade="BF"/>
        </w:rPr>
        <w:t xml:space="preserve">selected </w:t>
      </w:r>
      <w:r w:rsidRPr="00A94E33">
        <w:rPr>
          <w:b/>
          <w:i/>
          <w:color w:val="679B9A" w:themeColor="accent2" w:themeShade="BF"/>
        </w:rPr>
        <w:t xml:space="preserve">for use in the IECA. </w:t>
      </w:r>
    </w:p>
    <w:p w14:paraId="00E265EB" w14:textId="77777777" w:rsidR="001E76C4" w:rsidRDefault="001E76C4" w:rsidP="001E76C4">
      <w:pPr>
        <w:rPr>
          <w:b/>
          <w:i/>
          <w:color w:val="8C863E" w:themeColor="background2" w:themeShade="80"/>
          <w:sz w:val="24"/>
          <w:szCs w:val="24"/>
        </w:rPr>
      </w:pPr>
      <w:r w:rsidRPr="004E7EB5">
        <w:rPr>
          <w:b/>
          <w:i/>
          <w:color w:val="8C863E" w:themeColor="background2" w:themeShade="80"/>
          <w:sz w:val="24"/>
          <w:szCs w:val="24"/>
        </w:rPr>
        <w:t>Other resources</w:t>
      </w:r>
    </w:p>
    <w:p w14:paraId="74C670DD" w14:textId="0E415962" w:rsidR="00C8647E" w:rsidRDefault="0066787C" w:rsidP="00F4328F">
      <w:pPr>
        <w:pStyle w:val="ListParagraph"/>
        <w:numPr>
          <w:ilvl w:val="0"/>
          <w:numId w:val="35"/>
        </w:numPr>
        <w:jc w:val="left"/>
      </w:pPr>
      <w:r>
        <w:lastRenderedPageBreak/>
        <w:t>A</w:t>
      </w:r>
      <w:r w:rsidR="00C8647E">
        <w:t xml:space="preserve"> list of advantages and disadvantages relating to </w:t>
      </w:r>
      <w:r>
        <w:t xml:space="preserve">different taxa as </w:t>
      </w:r>
      <w:r w:rsidR="00C8647E">
        <w:t>indicator</w:t>
      </w:r>
      <w:r>
        <w:t>s of condition is provided in Appendix G</w:t>
      </w:r>
      <w:r w:rsidR="00C8647E">
        <w:t>.</w:t>
      </w:r>
    </w:p>
    <w:p w14:paraId="7BE4B888" w14:textId="77777777" w:rsidR="00C8647E" w:rsidRPr="005A41C5" w:rsidRDefault="00C8647E" w:rsidP="00F4328F">
      <w:pPr>
        <w:pStyle w:val="ListParagraph"/>
        <w:numPr>
          <w:ilvl w:val="0"/>
          <w:numId w:val="35"/>
        </w:numPr>
        <w:jc w:val="left"/>
        <w:rPr>
          <w:i/>
        </w:rPr>
      </w:pPr>
      <w:r>
        <w:t>Oz Coasts website has information on the identification of indicators for estuarine and coastal systems (</w:t>
      </w:r>
      <w:hyperlink r:id="rId62" w:history="1">
        <w:r w:rsidRPr="000840F0">
          <w:rPr>
            <w:rStyle w:val="Hyperlink"/>
          </w:rPr>
          <w:t>http://www.ozcoasts.gov.au/indicators/index.jsp</w:t>
        </w:r>
      </w:hyperlink>
      <w:r>
        <w:t>) which may help in identifying potential indicators.</w:t>
      </w:r>
    </w:p>
    <w:p w14:paraId="108828FA" w14:textId="77777777" w:rsidR="00C8647E" w:rsidRDefault="00C8647E" w:rsidP="00F4328F">
      <w:pPr>
        <w:pStyle w:val="ListParagraph"/>
        <w:numPr>
          <w:ilvl w:val="0"/>
          <w:numId w:val="35"/>
        </w:numPr>
        <w:jc w:val="left"/>
      </w:pPr>
      <w:r>
        <w:t xml:space="preserve">QLD DEHP web page on Ecosystem Health Indicators,  </w:t>
      </w:r>
      <w:hyperlink r:id="rId63" w:anchor="biological_indicators" w:history="1">
        <w:r w:rsidRPr="00976951">
          <w:rPr>
            <w:rStyle w:val="Hyperlink"/>
          </w:rPr>
          <w:t>https://www.ehp.qld.gov.au/water/monitoring/assessment/water_quality_indicators.html#biological_indicators</w:t>
        </w:r>
      </w:hyperlink>
      <w:r>
        <w:t xml:space="preserve"> </w:t>
      </w:r>
    </w:p>
    <w:p w14:paraId="5298C421" w14:textId="5B9FE6BB" w:rsidR="00C8647E" w:rsidRDefault="00C8647E" w:rsidP="00F4328F">
      <w:pPr>
        <w:pStyle w:val="ListParagraph"/>
        <w:numPr>
          <w:ilvl w:val="0"/>
          <w:numId w:val="35"/>
        </w:numPr>
        <w:jc w:val="left"/>
      </w:pPr>
      <w:r w:rsidRPr="005A41C5">
        <w:rPr>
          <w:i/>
        </w:rPr>
        <w:t>WetlandInfo</w:t>
      </w:r>
      <w:r>
        <w:rPr>
          <w:i/>
        </w:rPr>
        <w:t xml:space="preserve"> – </w:t>
      </w:r>
      <w:hyperlink r:id="rId64" w:history="1">
        <w:r w:rsidRPr="00C8647E">
          <w:rPr>
            <w:rStyle w:val="Hyperlink"/>
          </w:rPr>
          <w:t>https://wetlandinfo.ehp.qld.gov.au/wetlands/</w:t>
        </w:r>
      </w:hyperlink>
      <w:r w:rsidRPr="00C8647E">
        <w:t xml:space="preserve"> </w:t>
      </w:r>
    </w:p>
    <w:p w14:paraId="4CDC6A1C" w14:textId="27DDBA76" w:rsidR="006C66F3" w:rsidRDefault="006C66F3" w:rsidP="00F4328F">
      <w:pPr>
        <w:pStyle w:val="ListParagraph"/>
        <w:numPr>
          <w:ilvl w:val="0"/>
          <w:numId w:val="35"/>
        </w:numPr>
        <w:jc w:val="left"/>
      </w:pPr>
      <w:r>
        <w:t>Jackson, L.E., Kurtz, J.C., and Fisher, W.S., eds. (2000). Evaluation Guidelines for Ecological Indicators. EPA/620/R-99/005. U.S. Environmental Protection Agency, Office of Research and Development, Research Triangle Park, NC. 107 p.</w:t>
      </w:r>
    </w:p>
    <w:p w14:paraId="175E0BB5" w14:textId="77777777" w:rsidR="00B350BC" w:rsidRPr="004E7EB5" w:rsidRDefault="00B350BC" w:rsidP="00B350BC">
      <w:pPr>
        <w:rPr>
          <w:b/>
          <w:i/>
          <w:color w:val="8C863E" w:themeColor="background2" w:themeShade="80"/>
          <w:sz w:val="24"/>
          <w:szCs w:val="24"/>
        </w:rPr>
      </w:pPr>
      <w:r w:rsidRPr="004E7EB5">
        <w:rPr>
          <w:b/>
          <w:i/>
          <w:color w:val="8C863E" w:themeColor="background2" w:themeShade="80"/>
          <w:sz w:val="24"/>
          <w:szCs w:val="24"/>
        </w:rPr>
        <w:t>Assumptions and Knowledge gaps</w:t>
      </w:r>
    </w:p>
    <w:p w14:paraId="086CAB83" w14:textId="06892ED2" w:rsidR="001E76C4" w:rsidRDefault="002719A2" w:rsidP="001E76C4">
      <w:r w:rsidRPr="002719A2">
        <w:t xml:space="preserve">Identification of potential indicators is often completed using information and knowledge gained from other systems and in the published literature. As such, this step is less constrained by knowledge of the aquatic ecosystems within the assessment unit than </w:t>
      </w:r>
      <w:r>
        <w:t>S</w:t>
      </w:r>
      <w:r w:rsidRPr="002719A2">
        <w:t xml:space="preserve">teps 1 and 2. However, the suitability of some indicators, in terms of their ability to detect responses to changed conditions at the assessment unit in question may be uncertain. In addition, it may be difficult to identify suitable indicators for some values or threats. In these situations, </w:t>
      </w:r>
      <w:r>
        <w:t xml:space="preserve">clearly document </w:t>
      </w:r>
      <w:r w:rsidRPr="002719A2">
        <w:t>the knowledge gaps and any decisions or assumptions made.</w:t>
      </w:r>
      <w:r w:rsidR="00217B0F">
        <w:t xml:space="preserve"> </w:t>
      </w:r>
    </w:p>
    <w:p w14:paraId="1FA1355F" w14:textId="54B4E690" w:rsidR="00217B0F" w:rsidRPr="004E7EB5" w:rsidRDefault="00217B0F" w:rsidP="001E76C4">
      <w:r>
        <w:t>Cost benefit considerations can also play a role in choosing indicators, including the need to engage specialist expertise or undertake specific types of data collection/analysis. These considerations should be noted if they are not overtly covered in the criteria used to select indicators.</w:t>
      </w:r>
    </w:p>
    <w:p w14:paraId="2D8D9DE7" w14:textId="77777777" w:rsidR="001E76C4" w:rsidRPr="004E7EB5" w:rsidRDefault="001E76C4" w:rsidP="001E76C4">
      <w:pPr>
        <w:rPr>
          <w:b/>
          <w:i/>
          <w:color w:val="8C863E" w:themeColor="background2" w:themeShade="80"/>
          <w:sz w:val="24"/>
          <w:szCs w:val="24"/>
        </w:rPr>
      </w:pPr>
      <w:r w:rsidRPr="004E7EB5">
        <w:rPr>
          <w:b/>
          <w:i/>
          <w:color w:val="8C863E" w:themeColor="background2" w:themeShade="80"/>
          <w:sz w:val="24"/>
          <w:szCs w:val="24"/>
        </w:rPr>
        <w:t>Outputs</w:t>
      </w:r>
    </w:p>
    <w:p w14:paraId="010206F8" w14:textId="70ABAEBF" w:rsidR="00E97A91" w:rsidRDefault="00E97A91" w:rsidP="00E97A91">
      <w:pPr>
        <w:shd w:val="clear" w:color="auto" w:fill="C3D8D7" w:themeFill="accent2" w:themeFillTint="99"/>
      </w:pPr>
      <w:r>
        <w:t xml:space="preserve">The </w:t>
      </w:r>
      <w:r w:rsidR="00E557B7">
        <w:t>required</w:t>
      </w:r>
      <w:r>
        <w:t xml:space="preserve"> outputs of Step 4 are:</w:t>
      </w:r>
    </w:p>
    <w:p w14:paraId="45D207D3" w14:textId="1FFE2C4F" w:rsidR="00E97A91" w:rsidRDefault="00C8647E" w:rsidP="00F4328F">
      <w:pPr>
        <w:pStyle w:val="ListParagraph"/>
        <w:numPr>
          <w:ilvl w:val="0"/>
          <w:numId w:val="4"/>
        </w:numPr>
        <w:shd w:val="clear" w:color="auto" w:fill="C3D8D7" w:themeFill="accent2" w:themeFillTint="99"/>
        <w:spacing w:after="120" w:line="288" w:lineRule="auto"/>
        <w:jc w:val="left"/>
      </w:pPr>
      <w:r>
        <w:t>List of indicators for use in the assessment</w:t>
      </w:r>
      <w:r w:rsidR="007249B4">
        <w:t>; and</w:t>
      </w:r>
      <w:r w:rsidR="00E97A91">
        <w:t xml:space="preserve"> </w:t>
      </w:r>
    </w:p>
    <w:p w14:paraId="2582F82E" w14:textId="46EED715" w:rsidR="00E97A91" w:rsidRDefault="00C8647E" w:rsidP="00F4328F">
      <w:pPr>
        <w:pStyle w:val="ListParagraph"/>
        <w:numPr>
          <w:ilvl w:val="0"/>
          <w:numId w:val="4"/>
        </w:numPr>
        <w:shd w:val="clear" w:color="auto" w:fill="C3D8D7" w:themeFill="accent2" w:themeFillTint="99"/>
        <w:spacing w:after="120" w:line="288" w:lineRule="auto"/>
        <w:jc w:val="left"/>
      </w:pPr>
      <w:r>
        <w:t xml:space="preserve">Updated conceptual models showing linkages between values, threats and indicators. </w:t>
      </w:r>
    </w:p>
    <w:p w14:paraId="7FBB8469" w14:textId="77777777" w:rsidR="001E76C4" w:rsidRPr="004E7EB5" w:rsidRDefault="001E76C4" w:rsidP="001E76C4"/>
    <w:p w14:paraId="7F472B04" w14:textId="79530173" w:rsidR="001E76C4" w:rsidRPr="00B350BC" w:rsidRDefault="001E76C4" w:rsidP="00B27B0F">
      <w:pPr>
        <w:rPr>
          <w:b/>
          <w:i/>
          <w:color w:val="8C863E" w:themeColor="background2" w:themeShade="80"/>
          <w:sz w:val="24"/>
          <w:szCs w:val="24"/>
        </w:rPr>
        <w:sectPr w:rsidR="001E76C4" w:rsidRPr="00B350BC" w:rsidSect="00CA2773">
          <w:headerReference w:type="even" r:id="rId65"/>
          <w:headerReference w:type="default" r:id="rId66"/>
          <w:headerReference w:type="first" r:id="rId67"/>
          <w:pgSz w:w="11906" w:h="16838"/>
          <w:pgMar w:top="1440" w:right="1440" w:bottom="1440" w:left="1440" w:header="708" w:footer="708" w:gutter="0"/>
          <w:cols w:space="708"/>
          <w:docGrid w:linePitch="360"/>
        </w:sectPr>
      </w:pPr>
    </w:p>
    <w:p w14:paraId="3EB68287" w14:textId="173645DD" w:rsidR="00B27B0F" w:rsidRPr="004E7EB5" w:rsidRDefault="00B27B0F" w:rsidP="006E6D41">
      <w:pPr>
        <w:pStyle w:val="Heading2"/>
      </w:pPr>
      <w:bookmarkStart w:id="75" w:name="_Toc493774222"/>
      <w:r w:rsidRPr="004E7EB5">
        <w:lastRenderedPageBreak/>
        <w:t xml:space="preserve">Step </w:t>
      </w:r>
      <w:r w:rsidR="00B51E63" w:rsidRPr="004E7EB5">
        <w:t>5</w:t>
      </w:r>
      <w:r w:rsidRPr="004E7EB5">
        <w:t xml:space="preserve">: </w:t>
      </w:r>
      <w:r w:rsidR="005F0515">
        <w:t>Design assessment</w:t>
      </w:r>
      <w:r w:rsidR="001F0F1D" w:rsidRPr="004E7EB5">
        <w:t xml:space="preserve"> and implementation</w:t>
      </w:r>
      <w:bookmarkEnd w:id="75"/>
    </w:p>
    <w:p w14:paraId="4A4094EA" w14:textId="12755382" w:rsidR="008E63EE" w:rsidRPr="00BD4486" w:rsidRDefault="0076596C" w:rsidP="00BD4486">
      <w:r>
        <w:t>In some cases data may be lacking for high priority values and threats at the assessment unit, and additional data collection will be required. This step documents the process for identifying the need for additional data and how to design and implement an assessment program.</w:t>
      </w:r>
      <w:r w:rsidRPr="002B595E">
        <w:t xml:space="preserve"> </w:t>
      </w:r>
      <w:r w:rsidR="00BD4486" w:rsidRPr="00BD4486">
        <w:t>Expert advice will o</w:t>
      </w:r>
      <w:r w:rsidR="00BD4486">
        <w:t xml:space="preserve">ften be required at this point and </w:t>
      </w:r>
      <w:r w:rsidR="00A30F4E">
        <w:t>e</w:t>
      </w:r>
      <w:r w:rsidR="00BD4486" w:rsidRPr="00BD4486">
        <w:t xml:space="preserve">ngaging </w:t>
      </w:r>
      <w:r w:rsidR="00BD4486">
        <w:t xml:space="preserve">with the TAG and or statisticians is highly recommended for this step. </w:t>
      </w:r>
      <w:r w:rsidR="00F25F4B">
        <w:t xml:space="preserve">Note the purpose of the IECA (i.e. surveillance monitoring, condition assessment or intervention monitoring) will influence the design considerations as different elements and levels of detail are required.  </w:t>
      </w:r>
    </w:p>
    <w:p w14:paraId="168E1E92" w14:textId="77777777" w:rsidR="001E76C4" w:rsidRPr="004E7EB5" w:rsidRDefault="001E76C4" w:rsidP="001E76C4">
      <w:pPr>
        <w:rPr>
          <w:b/>
          <w:i/>
          <w:sz w:val="24"/>
          <w:szCs w:val="24"/>
        </w:rPr>
      </w:pPr>
      <w:r w:rsidRPr="004E7EB5">
        <w:rPr>
          <w:b/>
          <w:i/>
          <w:color w:val="8C863E" w:themeColor="background2" w:themeShade="80"/>
          <w:sz w:val="24"/>
          <w:szCs w:val="24"/>
        </w:rPr>
        <w:t>Aim</w:t>
      </w:r>
    </w:p>
    <w:p w14:paraId="3C7634B5" w14:textId="16196B43" w:rsidR="0076596C" w:rsidRDefault="00D246DA" w:rsidP="00D246DA">
      <w:r>
        <w:t>To design a condition assessment program to collect additional data</w:t>
      </w:r>
      <w:r w:rsidR="009F2C3C">
        <w:t xml:space="preserve"> </w:t>
      </w:r>
      <w:r>
        <w:t xml:space="preserve">in order to undertake a complete IECA that address the objectives and KEQ for the assessment unit. </w:t>
      </w:r>
    </w:p>
    <w:p w14:paraId="3F3F520C" w14:textId="23101A7C" w:rsidR="00D246DA" w:rsidRPr="004E7EB5" w:rsidRDefault="0076596C" w:rsidP="00D246DA">
      <w:r>
        <w:t xml:space="preserve">It is </w:t>
      </w:r>
      <w:r w:rsidR="00C824A5">
        <w:t>vital</w:t>
      </w:r>
      <w:r>
        <w:t xml:space="preserve"> to know how analyses will be undertaken before data collection begins</w:t>
      </w:r>
      <w:r w:rsidR="001B70AE">
        <w:t>. T</w:t>
      </w:r>
      <w:r>
        <w:t>he design phase often requires several iterations, as a design is refined to ensure it is effective and efficient. If data has been collected prior to considering its analysis/reporting it may only be possible to undertake limited analyses. This will, therefore, compromise the ability to detect trends and draw conclusions.</w:t>
      </w:r>
    </w:p>
    <w:p w14:paraId="724F503B" w14:textId="77777777" w:rsidR="007168D1" w:rsidRDefault="007168D1" w:rsidP="007168D1">
      <w:pPr>
        <w:rPr>
          <w:b/>
          <w:i/>
          <w:color w:val="8C863E" w:themeColor="background2" w:themeShade="80"/>
          <w:sz w:val="24"/>
          <w:szCs w:val="24"/>
        </w:rPr>
      </w:pPr>
      <w:r w:rsidRPr="004E7EB5">
        <w:rPr>
          <w:b/>
          <w:i/>
          <w:color w:val="8C863E" w:themeColor="background2" w:themeShade="80"/>
          <w:sz w:val="24"/>
          <w:szCs w:val="24"/>
        </w:rPr>
        <w:t>Inputs</w:t>
      </w:r>
    </w:p>
    <w:p w14:paraId="68ECCAD7" w14:textId="2E4473D4" w:rsidR="0076596C" w:rsidRDefault="0076596C" w:rsidP="00F4328F">
      <w:pPr>
        <w:pStyle w:val="ListParagraph"/>
        <w:numPr>
          <w:ilvl w:val="0"/>
          <w:numId w:val="26"/>
        </w:numPr>
      </w:pPr>
      <w:r>
        <w:t>Lists of KEQs and identification of data required to answer KEQs</w:t>
      </w:r>
      <w:r w:rsidR="001B70AE">
        <w:t>;</w:t>
      </w:r>
    </w:p>
    <w:p w14:paraId="15F07010" w14:textId="7A6929B1" w:rsidR="001B70AE" w:rsidRDefault="0076596C" w:rsidP="00F4328F">
      <w:pPr>
        <w:pStyle w:val="ListParagraph"/>
        <w:numPr>
          <w:ilvl w:val="0"/>
          <w:numId w:val="26"/>
        </w:numPr>
      </w:pPr>
      <w:r>
        <w:t xml:space="preserve">Lists of </w:t>
      </w:r>
      <w:r w:rsidR="009F2C3C">
        <w:t>existing</w:t>
      </w:r>
      <w:r>
        <w:t xml:space="preserve"> data collected (identified in Part A) including meta-data</w:t>
      </w:r>
      <w:r w:rsidR="001B70AE">
        <w:t>;</w:t>
      </w:r>
    </w:p>
    <w:p w14:paraId="18D46688" w14:textId="74F69130" w:rsidR="0076596C" w:rsidRDefault="0076596C" w:rsidP="00F4328F">
      <w:pPr>
        <w:pStyle w:val="ListParagraph"/>
        <w:numPr>
          <w:ilvl w:val="0"/>
          <w:numId w:val="26"/>
        </w:numPr>
      </w:pPr>
      <w:r>
        <w:t>Assessment of adequacy of existing data for use in IECA</w:t>
      </w:r>
      <w:r w:rsidR="00FB1F37">
        <w:t xml:space="preserve"> (see Appendix A)</w:t>
      </w:r>
      <w:r w:rsidR="001B70AE">
        <w:t>;</w:t>
      </w:r>
      <w:r w:rsidR="007249B4">
        <w:t xml:space="preserve"> and</w:t>
      </w:r>
    </w:p>
    <w:p w14:paraId="276E262E" w14:textId="6F5CC9CB" w:rsidR="0076596C" w:rsidRDefault="00FB1F37" w:rsidP="00F4328F">
      <w:pPr>
        <w:pStyle w:val="ListParagraph"/>
        <w:numPr>
          <w:ilvl w:val="0"/>
          <w:numId w:val="26"/>
        </w:numPr>
      </w:pPr>
      <w:r>
        <w:t xml:space="preserve">Scale of assessment </w:t>
      </w:r>
      <w:r w:rsidR="009F2C3C">
        <w:t xml:space="preserve">and </w:t>
      </w:r>
      <w:r>
        <w:t>reporting</w:t>
      </w:r>
      <w:r w:rsidR="009F2C3C">
        <w:t>.</w:t>
      </w:r>
    </w:p>
    <w:p w14:paraId="1D0AA420" w14:textId="47BB8415" w:rsidR="001E76C4" w:rsidRPr="004E7EB5" w:rsidRDefault="001E76C4" w:rsidP="001E76C4">
      <w:pPr>
        <w:rPr>
          <w:b/>
          <w:i/>
          <w:color w:val="8C863E" w:themeColor="background2" w:themeShade="80"/>
          <w:sz w:val="24"/>
          <w:szCs w:val="24"/>
        </w:rPr>
      </w:pPr>
      <w:r w:rsidRPr="004E7EB5">
        <w:rPr>
          <w:b/>
          <w:i/>
          <w:color w:val="8C863E" w:themeColor="background2" w:themeShade="80"/>
          <w:sz w:val="24"/>
          <w:szCs w:val="24"/>
        </w:rPr>
        <w:t>Task</w:t>
      </w:r>
      <w:r w:rsidR="0076596C">
        <w:rPr>
          <w:b/>
          <w:i/>
          <w:color w:val="8C863E" w:themeColor="background2" w:themeShade="80"/>
          <w:sz w:val="24"/>
          <w:szCs w:val="24"/>
        </w:rPr>
        <w:t>s</w:t>
      </w:r>
    </w:p>
    <w:p w14:paraId="61BCA99D" w14:textId="49D7C066" w:rsidR="0034143D" w:rsidRDefault="00FB1F37" w:rsidP="00F4328F">
      <w:pPr>
        <w:pStyle w:val="ListParagraph"/>
        <w:numPr>
          <w:ilvl w:val="0"/>
          <w:numId w:val="20"/>
        </w:numPr>
        <w:rPr>
          <w:b/>
          <w:i/>
        </w:rPr>
      </w:pPr>
      <w:r>
        <w:rPr>
          <w:b/>
          <w:i/>
        </w:rPr>
        <w:t xml:space="preserve">Review </w:t>
      </w:r>
      <w:r w:rsidR="0034143D" w:rsidRPr="0034143D">
        <w:rPr>
          <w:b/>
          <w:i/>
        </w:rPr>
        <w:t>existing programs and information with respect to indicators and KEQs and undertake a fit for purpose assessment and identify gaps</w:t>
      </w:r>
      <w:r w:rsidR="0034143D">
        <w:rPr>
          <w:b/>
          <w:i/>
        </w:rPr>
        <w:t>.</w:t>
      </w:r>
    </w:p>
    <w:p w14:paraId="62DBC99E" w14:textId="48650550" w:rsidR="008B2B83" w:rsidRDefault="008B2B83" w:rsidP="008B2B83">
      <w:pPr>
        <w:pStyle w:val="TblBllt"/>
        <w:numPr>
          <w:ilvl w:val="0"/>
          <w:numId w:val="0"/>
        </w:numPr>
      </w:pPr>
      <w:r>
        <w:t>Most of the existing program</w:t>
      </w:r>
      <w:r w:rsidR="001B70AE">
        <w:t>s</w:t>
      </w:r>
      <w:r>
        <w:t xml:space="preserve"> will have been reviewed as Part A of the IECA; however</w:t>
      </w:r>
      <w:r w:rsidR="001B70AE">
        <w:t>,</w:t>
      </w:r>
      <w:r>
        <w:t xml:space="preserve"> it may become evident after indicator selecti</w:t>
      </w:r>
      <w:r w:rsidR="00F22565">
        <w:t>o</w:t>
      </w:r>
      <w:r>
        <w:t xml:space="preserve">n that additional data is required. First double check that this is the case by checking the following: </w:t>
      </w:r>
    </w:p>
    <w:p w14:paraId="773EB68E" w14:textId="098BD2E8" w:rsidR="0076596C" w:rsidRDefault="0076596C" w:rsidP="008B2B83">
      <w:pPr>
        <w:pStyle w:val="TblBllt"/>
        <w:numPr>
          <w:ilvl w:val="0"/>
          <w:numId w:val="0"/>
        </w:numPr>
      </w:pPr>
      <w:r w:rsidRPr="008B2B83">
        <w:rPr>
          <w:i/>
          <w:u w:val="single"/>
        </w:rPr>
        <w:t xml:space="preserve">Does the </w:t>
      </w:r>
      <w:r w:rsidR="006C66F3">
        <w:rPr>
          <w:i/>
          <w:u w:val="single"/>
        </w:rPr>
        <w:t xml:space="preserve">existing </w:t>
      </w:r>
      <w:r w:rsidRPr="008B2B83">
        <w:rPr>
          <w:i/>
          <w:u w:val="single"/>
        </w:rPr>
        <w:t>data include meta-data?</w:t>
      </w:r>
      <w:r w:rsidRPr="008B2B83">
        <w:rPr>
          <w:b/>
          <w:i/>
        </w:rPr>
        <w:t xml:space="preserve"> </w:t>
      </w:r>
      <w:r w:rsidR="008B2B83">
        <w:t>Check if there is information regarding</w:t>
      </w:r>
      <w:r>
        <w:t xml:space="preserve"> when and where samples were taken and how sampling sites were selected</w:t>
      </w:r>
      <w:r w:rsidR="008B2B83">
        <w:t xml:space="preserve">. This is essential information that must be documented, </w:t>
      </w:r>
      <w:r w:rsidR="006C66F3">
        <w:t>to illustrate how the data are representative of the assessment unit and the objectives</w:t>
      </w:r>
      <w:r w:rsidR="008B2B83">
        <w:t>.</w:t>
      </w:r>
    </w:p>
    <w:p w14:paraId="7FA74070" w14:textId="418F92B9" w:rsidR="0076596C" w:rsidRDefault="001B70AE" w:rsidP="008B2B83">
      <w:pPr>
        <w:pStyle w:val="TblBllt"/>
        <w:numPr>
          <w:ilvl w:val="0"/>
          <w:numId w:val="0"/>
        </w:numPr>
      </w:pPr>
      <w:r>
        <w:rPr>
          <w:i/>
          <w:u w:val="single"/>
        </w:rPr>
        <w:t xml:space="preserve">Can </w:t>
      </w:r>
      <w:r w:rsidR="0076596C" w:rsidRPr="008B2B83">
        <w:rPr>
          <w:i/>
          <w:u w:val="single"/>
        </w:rPr>
        <w:t xml:space="preserve">the data be reported at the scale of the </w:t>
      </w:r>
      <w:r w:rsidR="008B2B83" w:rsidRPr="008B2B83">
        <w:rPr>
          <w:i/>
          <w:u w:val="single"/>
        </w:rPr>
        <w:t>assessment</w:t>
      </w:r>
      <w:r w:rsidR="0076596C" w:rsidRPr="008B2B83">
        <w:rPr>
          <w:i/>
          <w:u w:val="single"/>
        </w:rPr>
        <w:t xml:space="preserve"> being assessed by IECA?</w:t>
      </w:r>
      <w:r w:rsidR="008B2B83">
        <w:t xml:space="preserve"> </w:t>
      </w:r>
      <w:r w:rsidR="0076596C">
        <w:t xml:space="preserve">If the data are not selected using a probabilistic sampling design, then </w:t>
      </w:r>
      <w:r w:rsidR="008B2B83">
        <w:t xml:space="preserve">you will need to determine if </w:t>
      </w:r>
      <w:r w:rsidR="0076596C">
        <w:t xml:space="preserve">bias </w:t>
      </w:r>
      <w:r w:rsidR="006C66F3">
        <w:t xml:space="preserve">can </w:t>
      </w:r>
      <w:r w:rsidR="0076596C">
        <w:t>be accounted for</w:t>
      </w:r>
      <w:r w:rsidR="008B2B83">
        <w:t>. For example</w:t>
      </w:r>
      <w:r>
        <w:t>,</w:t>
      </w:r>
      <w:r w:rsidR="008B2B83">
        <w:t xml:space="preserve"> i</w:t>
      </w:r>
      <w:r w:rsidR="0076596C">
        <w:t xml:space="preserve">f the coverage of the data is less than the full </w:t>
      </w:r>
      <w:r>
        <w:t xml:space="preserve">assessment </w:t>
      </w:r>
      <w:r w:rsidR="004A60EA">
        <w:t>unit</w:t>
      </w:r>
      <w:r w:rsidR="0076596C">
        <w:t xml:space="preserve"> is there complementary data to fill the gaps or,</w:t>
      </w:r>
      <w:r w:rsidR="008B2B83">
        <w:t xml:space="preserve"> </w:t>
      </w:r>
      <w:r w:rsidR="0076596C">
        <w:t xml:space="preserve">can the IECA be made at a smaller </w:t>
      </w:r>
      <w:r>
        <w:t xml:space="preserve">scale </w:t>
      </w:r>
      <w:r w:rsidR="0076596C">
        <w:t xml:space="preserve">than </w:t>
      </w:r>
      <w:r w:rsidR="006C66F3">
        <w:t>desir</w:t>
      </w:r>
      <w:r w:rsidR="0076596C">
        <w:t>ed scale?</w:t>
      </w:r>
    </w:p>
    <w:p w14:paraId="5D3E50F3" w14:textId="7808FE90" w:rsidR="008D1E3C" w:rsidRDefault="001B70AE" w:rsidP="00C24DAD">
      <w:r>
        <w:rPr>
          <w:i/>
          <w:u w:val="single"/>
        </w:rPr>
        <w:t>Can</w:t>
      </w:r>
      <w:r w:rsidR="00C24DAD" w:rsidRPr="00C24DAD">
        <w:rPr>
          <w:i/>
          <w:u w:val="single"/>
        </w:rPr>
        <w:t xml:space="preserve"> data be combined from different programs?</w:t>
      </w:r>
      <w:r w:rsidR="00C24DAD">
        <w:rPr>
          <w:i/>
          <w:u w:val="single"/>
        </w:rPr>
        <w:t xml:space="preserve"> </w:t>
      </w:r>
      <w:r w:rsidR="00C24DAD">
        <w:t xml:space="preserve"> When combining data from different programs it is important to adapt the data to the same management scale.  When there is incomplete coverage within the assessment unit between the programs some complications will arise.  The principles that should be used are the same as for any stratified sampling program, however calculations can get very complex depending on how many programs are involved</w:t>
      </w:r>
      <w:r>
        <w:t xml:space="preserve">, </w:t>
      </w:r>
      <w:r w:rsidR="00C24DAD">
        <w:t xml:space="preserve">how well they cover the area </w:t>
      </w:r>
      <w:r w:rsidR="00915885">
        <w:t>and</w:t>
      </w:r>
      <w:r w:rsidR="00C24DAD">
        <w:t xml:space="preserve"> if there is any overlap in coverage. </w:t>
      </w:r>
      <w:r w:rsidR="008D1E3C" w:rsidRPr="008D1E3C">
        <w:t xml:space="preserve">A very simple example is presented </w:t>
      </w:r>
      <w:r w:rsidR="008D1E3C">
        <w:t xml:space="preserve">in </w:t>
      </w:r>
      <w:r w:rsidR="008D1E3C" w:rsidRPr="001B70AE">
        <w:fldChar w:fldCharType="begin"/>
      </w:r>
      <w:r w:rsidR="008D1E3C" w:rsidRPr="001B70AE">
        <w:instrText xml:space="preserve"> REF _Ref479520094 \h </w:instrText>
      </w:r>
      <w:r w:rsidR="008D1E3C" w:rsidRPr="001B70AE">
        <w:fldChar w:fldCharType="separate"/>
      </w:r>
      <w:r w:rsidR="005F359C" w:rsidRPr="008D1E3C">
        <w:rPr>
          <w:color w:val="797325" w:themeColor="accent3" w:themeShade="80"/>
        </w:rPr>
        <w:t xml:space="preserve">Text Box </w:t>
      </w:r>
      <w:r w:rsidR="005F359C">
        <w:rPr>
          <w:noProof/>
          <w:color w:val="797325" w:themeColor="accent3" w:themeShade="80"/>
        </w:rPr>
        <w:t>4</w:t>
      </w:r>
      <w:r w:rsidR="008D1E3C" w:rsidRPr="001B70AE">
        <w:fldChar w:fldCharType="end"/>
      </w:r>
      <w:r w:rsidR="00E51C2E">
        <w:t xml:space="preserve"> (see also Step 7</w:t>
      </w:r>
      <w:r>
        <w:t>,</w:t>
      </w:r>
      <w:r w:rsidR="00E51C2E">
        <w:t xml:space="preserve"> Task 1).</w:t>
      </w:r>
      <w:r w:rsidR="008D1E3C" w:rsidRPr="00E51C2E">
        <w:t xml:space="preserve"> </w:t>
      </w:r>
    </w:p>
    <w:p w14:paraId="324E1D1B" w14:textId="4351D565" w:rsidR="008D1E3C" w:rsidRDefault="008D1E3C" w:rsidP="00C24DAD"/>
    <w:p w14:paraId="18E7BCA3" w14:textId="6864B173" w:rsidR="008D1E3C" w:rsidRPr="008D1E3C" w:rsidRDefault="008D1E3C" w:rsidP="008D1E3C">
      <w:pPr>
        <w:pStyle w:val="Caption"/>
        <w:shd w:val="clear" w:color="auto" w:fill="F6F4E1" w:themeFill="accent3" w:themeFillTint="33"/>
        <w:rPr>
          <w:color w:val="797325" w:themeColor="accent3" w:themeShade="80"/>
        </w:rPr>
      </w:pPr>
      <w:bookmarkStart w:id="76" w:name="_Ref479520094"/>
      <w:r w:rsidRPr="008D1E3C">
        <w:rPr>
          <w:color w:val="797325" w:themeColor="accent3" w:themeShade="80"/>
        </w:rPr>
        <w:t xml:space="preserve">Text Box </w:t>
      </w:r>
      <w:r w:rsidRPr="008D1E3C">
        <w:rPr>
          <w:color w:val="797325" w:themeColor="accent3" w:themeShade="80"/>
        </w:rPr>
        <w:fldChar w:fldCharType="begin"/>
      </w:r>
      <w:r w:rsidRPr="008D1E3C">
        <w:rPr>
          <w:color w:val="797325" w:themeColor="accent3" w:themeShade="80"/>
        </w:rPr>
        <w:instrText xml:space="preserve"> SEQ Text_Box \* ARABIC </w:instrText>
      </w:r>
      <w:r w:rsidRPr="008D1E3C">
        <w:rPr>
          <w:color w:val="797325" w:themeColor="accent3" w:themeShade="80"/>
        </w:rPr>
        <w:fldChar w:fldCharType="separate"/>
      </w:r>
      <w:r w:rsidR="005F359C">
        <w:rPr>
          <w:noProof/>
          <w:color w:val="797325" w:themeColor="accent3" w:themeShade="80"/>
        </w:rPr>
        <w:t>4</w:t>
      </w:r>
      <w:r w:rsidRPr="008D1E3C">
        <w:rPr>
          <w:color w:val="797325" w:themeColor="accent3" w:themeShade="80"/>
        </w:rPr>
        <w:fldChar w:fldCharType="end"/>
      </w:r>
      <w:bookmarkEnd w:id="76"/>
      <w:r w:rsidRPr="008D1E3C">
        <w:rPr>
          <w:color w:val="797325" w:themeColor="accent3" w:themeShade="80"/>
        </w:rPr>
        <w:t>. Combining data from different programs</w:t>
      </w:r>
    </w:p>
    <w:p w14:paraId="0FDFCD6F" w14:textId="6DC7778A" w:rsidR="00C24DAD" w:rsidRPr="008D1E3C" w:rsidRDefault="00C24DAD" w:rsidP="008D1E3C">
      <w:pPr>
        <w:shd w:val="clear" w:color="auto" w:fill="F6F4E1" w:themeFill="accent3" w:themeFillTint="33"/>
        <w:rPr>
          <w:color w:val="797325" w:themeColor="accent3" w:themeShade="80"/>
        </w:rPr>
      </w:pPr>
      <w:r w:rsidRPr="008D1E3C">
        <w:rPr>
          <w:color w:val="797325" w:themeColor="accent3" w:themeShade="80"/>
        </w:rPr>
        <w:t>In this scenario</w:t>
      </w:r>
      <w:r w:rsidR="00F7203A">
        <w:rPr>
          <w:color w:val="797325" w:themeColor="accent3" w:themeShade="80"/>
        </w:rPr>
        <w:t>,</w:t>
      </w:r>
      <w:r w:rsidRPr="008D1E3C">
        <w:rPr>
          <w:color w:val="797325" w:themeColor="accent3" w:themeShade="80"/>
        </w:rPr>
        <w:t xml:space="preserve"> </w:t>
      </w:r>
      <w:r w:rsidR="00915885" w:rsidRPr="008D1E3C">
        <w:rPr>
          <w:color w:val="797325" w:themeColor="accent3" w:themeShade="80"/>
        </w:rPr>
        <w:t xml:space="preserve">data are available from two programs, </w:t>
      </w:r>
      <w:r w:rsidR="001B70AE">
        <w:rPr>
          <w:color w:val="797325" w:themeColor="accent3" w:themeShade="80"/>
        </w:rPr>
        <w:t>with</w:t>
      </w:r>
      <w:r w:rsidR="00915885" w:rsidRPr="008D1E3C">
        <w:rPr>
          <w:color w:val="797325" w:themeColor="accent3" w:themeShade="80"/>
        </w:rPr>
        <w:t xml:space="preserve"> different spatial covera</w:t>
      </w:r>
      <w:r w:rsidR="001B70AE">
        <w:rPr>
          <w:color w:val="797325" w:themeColor="accent3" w:themeShade="80"/>
        </w:rPr>
        <w:t>ge</w:t>
      </w:r>
      <w:r w:rsidR="00915885" w:rsidRPr="008D1E3C">
        <w:rPr>
          <w:color w:val="797325" w:themeColor="accent3" w:themeShade="80"/>
        </w:rPr>
        <w:t xml:space="preserve"> of the assessment unit. There are 12 sites in Program A and they cover 66% of the area of the assessment unit. There are two sites in Program B and they cover 34% of the unit. Thus, when calculating the overall assessment unit score simply averaging of all of the sites</w:t>
      </w:r>
      <w:r w:rsidR="008D1E3C" w:rsidRPr="008D1E3C">
        <w:rPr>
          <w:color w:val="797325" w:themeColor="accent3" w:themeShade="80"/>
        </w:rPr>
        <w:t xml:space="preserve"> is not acceptable</w:t>
      </w:r>
      <w:r w:rsidR="00915885" w:rsidRPr="008D1E3C">
        <w:rPr>
          <w:color w:val="797325" w:themeColor="accent3" w:themeShade="80"/>
        </w:rPr>
        <w:t xml:space="preserve">, as the </w:t>
      </w:r>
      <w:r w:rsidR="008D1E3C" w:rsidRPr="008D1E3C">
        <w:rPr>
          <w:color w:val="797325" w:themeColor="accent3" w:themeShade="80"/>
        </w:rPr>
        <w:t>P</w:t>
      </w:r>
      <w:r w:rsidR="00915885" w:rsidRPr="008D1E3C">
        <w:rPr>
          <w:color w:val="797325" w:themeColor="accent3" w:themeShade="80"/>
        </w:rPr>
        <w:t xml:space="preserve">rogram </w:t>
      </w:r>
      <w:r w:rsidR="008D1E3C" w:rsidRPr="008D1E3C">
        <w:rPr>
          <w:color w:val="797325" w:themeColor="accent3" w:themeShade="80"/>
        </w:rPr>
        <w:t>B</w:t>
      </w:r>
      <w:r w:rsidR="00915885" w:rsidRPr="008D1E3C">
        <w:rPr>
          <w:color w:val="797325" w:themeColor="accent3" w:themeShade="80"/>
        </w:rPr>
        <w:t xml:space="preserve"> sites obviously need to carry more weight than the </w:t>
      </w:r>
      <w:r w:rsidR="008D1E3C" w:rsidRPr="008D1E3C">
        <w:rPr>
          <w:color w:val="797325" w:themeColor="accent3" w:themeShade="80"/>
        </w:rPr>
        <w:t>P</w:t>
      </w:r>
      <w:r w:rsidR="00915885" w:rsidRPr="008D1E3C">
        <w:rPr>
          <w:color w:val="797325" w:themeColor="accent3" w:themeShade="80"/>
        </w:rPr>
        <w:t xml:space="preserve">rogram </w:t>
      </w:r>
      <w:r w:rsidR="008D1E3C" w:rsidRPr="008D1E3C">
        <w:rPr>
          <w:color w:val="797325" w:themeColor="accent3" w:themeShade="80"/>
        </w:rPr>
        <w:t>A</w:t>
      </w:r>
      <w:r w:rsidR="00915885" w:rsidRPr="008D1E3C">
        <w:rPr>
          <w:color w:val="797325" w:themeColor="accent3" w:themeShade="80"/>
        </w:rPr>
        <w:t xml:space="preserve"> sites.  For a simple measure such as an average, it would be simplest to calculate the average in </w:t>
      </w:r>
      <w:r w:rsidR="008D1E3C" w:rsidRPr="008D1E3C">
        <w:rPr>
          <w:color w:val="797325" w:themeColor="accent3" w:themeShade="80"/>
        </w:rPr>
        <w:t>B</w:t>
      </w:r>
      <w:r w:rsidR="00915885" w:rsidRPr="008D1E3C">
        <w:rPr>
          <w:color w:val="797325" w:themeColor="accent3" w:themeShade="80"/>
        </w:rPr>
        <w:t xml:space="preserve">×0.34 + the average in </w:t>
      </w:r>
      <w:r w:rsidR="008D1E3C" w:rsidRPr="008D1E3C">
        <w:rPr>
          <w:color w:val="797325" w:themeColor="accent3" w:themeShade="80"/>
        </w:rPr>
        <w:t>A</w:t>
      </w:r>
      <w:r w:rsidR="00F7203A">
        <w:rPr>
          <w:color w:val="797325" w:themeColor="accent3" w:themeShade="80"/>
        </w:rPr>
        <w:t xml:space="preserve"> </w:t>
      </w:r>
      <w:r w:rsidR="00915885" w:rsidRPr="008D1E3C">
        <w:rPr>
          <w:color w:val="797325" w:themeColor="accent3" w:themeShade="80"/>
        </w:rPr>
        <w:t>×</w:t>
      </w:r>
      <w:r w:rsidR="00F7203A">
        <w:rPr>
          <w:color w:val="797325" w:themeColor="accent3" w:themeShade="80"/>
        </w:rPr>
        <w:t xml:space="preserve"> </w:t>
      </w:r>
      <w:r w:rsidR="00915885" w:rsidRPr="008D1E3C">
        <w:rPr>
          <w:color w:val="797325" w:themeColor="accent3" w:themeShade="80"/>
        </w:rPr>
        <w:t>0.66 as the overall average</w:t>
      </w:r>
      <w:r w:rsidR="00F7203A">
        <w:rPr>
          <w:color w:val="797325" w:themeColor="accent3" w:themeShade="80"/>
        </w:rPr>
        <w:t>, provided the site locations are deemed adequately spatially representative</w:t>
      </w:r>
      <w:r w:rsidR="00F7203A" w:rsidRPr="008D1E3C">
        <w:rPr>
          <w:color w:val="797325" w:themeColor="accent3" w:themeShade="80"/>
        </w:rPr>
        <w:t>.</w:t>
      </w:r>
    </w:p>
    <w:p w14:paraId="17D8D3C0" w14:textId="7122F8C2" w:rsidR="00C24DAD" w:rsidRPr="008D1E3C" w:rsidRDefault="00915885" w:rsidP="008D1E3C">
      <w:pPr>
        <w:shd w:val="clear" w:color="auto" w:fill="F6F4E1" w:themeFill="accent3" w:themeFillTint="33"/>
        <w:rPr>
          <w:color w:val="797325" w:themeColor="accent3" w:themeShade="80"/>
        </w:rPr>
      </w:pPr>
      <w:r w:rsidRPr="008D1E3C">
        <w:rPr>
          <w:noProof/>
          <w:color w:val="797325" w:themeColor="accent3" w:themeShade="80"/>
          <w:lang w:eastAsia="en-AU"/>
        </w:rPr>
        <w:drawing>
          <wp:inline distT="0" distB="0" distL="0" distR="0" wp14:anchorId="65AE1F5D" wp14:editId="7EC5272A">
            <wp:extent cx="2593707"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ing data.png"/>
                    <pic:cNvPicPr/>
                  </pic:nvPicPr>
                  <pic:blipFill>
                    <a:blip r:embed="rId68">
                      <a:extLst>
                        <a:ext uri="{28A0092B-C50C-407E-A947-70E740481C1C}">
                          <a14:useLocalDpi xmlns:a14="http://schemas.microsoft.com/office/drawing/2010/main" val="0"/>
                        </a:ext>
                      </a:extLst>
                    </a:blip>
                    <a:stretch>
                      <a:fillRect/>
                    </a:stretch>
                  </pic:blipFill>
                  <pic:spPr>
                    <a:xfrm>
                      <a:off x="0" y="0"/>
                      <a:ext cx="2596867" cy="1735662"/>
                    </a:xfrm>
                    <a:prstGeom prst="rect">
                      <a:avLst/>
                    </a:prstGeom>
                  </pic:spPr>
                </pic:pic>
              </a:graphicData>
            </a:graphic>
          </wp:inline>
        </w:drawing>
      </w:r>
    </w:p>
    <w:p w14:paraId="7440231C" w14:textId="67284028" w:rsidR="00C24DAD" w:rsidRPr="008D1E3C" w:rsidRDefault="00915885" w:rsidP="008D1E3C">
      <w:pPr>
        <w:pStyle w:val="Caption"/>
        <w:shd w:val="clear" w:color="auto" w:fill="F6F4E1" w:themeFill="accent3" w:themeFillTint="33"/>
        <w:rPr>
          <w:color w:val="797325" w:themeColor="accent3" w:themeShade="80"/>
        </w:rPr>
      </w:pPr>
      <w:bookmarkStart w:id="77" w:name="_Ref479519560"/>
      <w:r w:rsidRPr="008D1E3C">
        <w:rPr>
          <w:color w:val="797325" w:themeColor="accent3" w:themeShade="80"/>
        </w:rPr>
        <w:t xml:space="preserve">Figure </w:t>
      </w:r>
      <w:r w:rsidRPr="008D1E3C">
        <w:rPr>
          <w:color w:val="797325" w:themeColor="accent3" w:themeShade="80"/>
        </w:rPr>
        <w:fldChar w:fldCharType="begin"/>
      </w:r>
      <w:r w:rsidRPr="008D1E3C">
        <w:rPr>
          <w:color w:val="797325" w:themeColor="accent3" w:themeShade="80"/>
        </w:rPr>
        <w:instrText xml:space="preserve"> SEQ Figure \* ARABIC </w:instrText>
      </w:r>
      <w:r w:rsidRPr="008D1E3C">
        <w:rPr>
          <w:color w:val="797325" w:themeColor="accent3" w:themeShade="80"/>
        </w:rPr>
        <w:fldChar w:fldCharType="separate"/>
      </w:r>
      <w:r w:rsidR="005F359C">
        <w:rPr>
          <w:noProof/>
          <w:color w:val="797325" w:themeColor="accent3" w:themeShade="80"/>
        </w:rPr>
        <w:t>9</w:t>
      </w:r>
      <w:r w:rsidRPr="008D1E3C">
        <w:rPr>
          <w:color w:val="797325" w:themeColor="accent3" w:themeShade="80"/>
        </w:rPr>
        <w:fldChar w:fldCharType="end"/>
      </w:r>
      <w:bookmarkEnd w:id="77"/>
      <w:r w:rsidR="00FD50A9">
        <w:rPr>
          <w:color w:val="797325" w:themeColor="accent3" w:themeShade="80"/>
        </w:rPr>
        <w:t>:</w:t>
      </w:r>
      <w:r w:rsidRPr="008D1E3C">
        <w:rPr>
          <w:color w:val="797325" w:themeColor="accent3" w:themeShade="80"/>
        </w:rPr>
        <w:t xml:space="preserve"> Illustration of combining data from two programs. </w:t>
      </w:r>
    </w:p>
    <w:p w14:paraId="1F107B58" w14:textId="77777777" w:rsidR="0076596C" w:rsidRDefault="0076596C" w:rsidP="00F4328F">
      <w:pPr>
        <w:pStyle w:val="ListParagraph"/>
        <w:numPr>
          <w:ilvl w:val="0"/>
          <w:numId w:val="20"/>
        </w:numPr>
        <w:rPr>
          <w:b/>
          <w:i/>
        </w:rPr>
      </w:pPr>
      <w:r>
        <w:rPr>
          <w:b/>
          <w:i/>
        </w:rPr>
        <w:t>Identify data deficiencies and priorities</w:t>
      </w:r>
    </w:p>
    <w:p w14:paraId="22FC02CA" w14:textId="1EECB3B5" w:rsidR="0076596C" w:rsidRDefault="00F22565" w:rsidP="00F22565">
      <w:r>
        <w:t xml:space="preserve">Once </w:t>
      </w:r>
      <w:r w:rsidR="006C66F3">
        <w:t>the review</w:t>
      </w:r>
      <w:r w:rsidR="001B70AE">
        <w:t xml:space="preserve"> of data from existing programs </w:t>
      </w:r>
      <w:r w:rsidR="006C66F3">
        <w:t>is</w:t>
      </w:r>
      <w:r>
        <w:t xml:space="preserve"> done</w:t>
      </w:r>
      <w:r w:rsidR="006C66F3">
        <w:t>,</w:t>
      </w:r>
      <w:r>
        <w:t xml:space="preserve"> e</w:t>
      </w:r>
      <w:r w:rsidR="0076596C" w:rsidRPr="002B595E">
        <w:t>liminate existing data sets that cannot report at the correct scale</w:t>
      </w:r>
      <w:r>
        <w:t xml:space="preserve"> (i.e. scale of assessment)</w:t>
      </w:r>
      <w:r w:rsidR="001B70AE">
        <w:t>. These may include data that</w:t>
      </w:r>
      <w:r w:rsidR="0076596C" w:rsidRPr="002B595E">
        <w:t xml:space="preserve"> </w:t>
      </w:r>
      <w:r w:rsidR="0076596C">
        <w:t xml:space="preserve">are not representative, </w:t>
      </w:r>
      <w:r w:rsidR="0076596C" w:rsidRPr="002B595E">
        <w:t xml:space="preserve">do not address a KEQ, or </w:t>
      </w:r>
      <w:r w:rsidR="0076596C">
        <w:t>do not have site selection information.</w:t>
      </w:r>
      <w:r>
        <w:t xml:space="preserve"> </w:t>
      </w:r>
      <w:r w:rsidR="00F7203A">
        <w:t>L</w:t>
      </w:r>
      <w:r w:rsidR="001B70AE">
        <w:t xml:space="preserve">ist </w:t>
      </w:r>
      <w:r w:rsidR="00F7203A">
        <w:t xml:space="preserve">what </w:t>
      </w:r>
      <w:r w:rsidR="00AB43EA">
        <w:t>additional</w:t>
      </w:r>
      <w:r w:rsidR="0076596C">
        <w:t xml:space="preserve"> data required that are essential to address the KEQs</w:t>
      </w:r>
      <w:r>
        <w:t xml:space="preserve">. </w:t>
      </w:r>
    </w:p>
    <w:p w14:paraId="7F3C7DFC" w14:textId="475226CE" w:rsidR="0034143D" w:rsidRPr="0034143D" w:rsidRDefault="0034143D" w:rsidP="00F4328F">
      <w:pPr>
        <w:pStyle w:val="ListParagraph"/>
        <w:numPr>
          <w:ilvl w:val="0"/>
          <w:numId w:val="20"/>
        </w:numPr>
        <w:rPr>
          <w:b/>
          <w:i/>
        </w:rPr>
      </w:pPr>
      <w:r w:rsidRPr="0034143D">
        <w:rPr>
          <w:b/>
          <w:i/>
        </w:rPr>
        <w:t xml:space="preserve">Design </w:t>
      </w:r>
      <w:r w:rsidR="001B70AE">
        <w:rPr>
          <w:b/>
          <w:i/>
        </w:rPr>
        <w:t xml:space="preserve">an </w:t>
      </w:r>
      <w:r w:rsidRPr="0034143D">
        <w:rPr>
          <w:b/>
          <w:i/>
        </w:rPr>
        <w:t>assessment program to address KEQs (this includes identifying frequency and locations for each indicator, sampling protocols)</w:t>
      </w:r>
    </w:p>
    <w:p w14:paraId="60FF506A" w14:textId="067C5CEB" w:rsidR="0076596C" w:rsidRDefault="0076596C" w:rsidP="0076596C">
      <w:r>
        <w:t xml:space="preserve">Use the described </w:t>
      </w:r>
      <w:r w:rsidR="00F22565">
        <w:t xml:space="preserve">scale of </w:t>
      </w:r>
      <w:r w:rsidR="001B70AE">
        <w:t xml:space="preserve">the </w:t>
      </w:r>
      <w:r w:rsidR="00F22565">
        <w:t>assessment</w:t>
      </w:r>
      <w:r>
        <w:t xml:space="preserve"> to guide a sampling design that allows reporting at the </w:t>
      </w:r>
      <w:r w:rsidR="00F22565">
        <w:t>appropriate</w:t>
      </w:r>
      <w:r>
        <w:t xml:space="preserve"> scale for each and every theme as required.</w:t>
      </w:r>
      <w:r w:rsidR="00F22565">
        <w:t xml:space="preserve"> There are a number of excellent reference books on designing assessment and monitoring programs for aquatic ecosystems and these should be referred to (see </w:t>
      </w:r>
      <w:r w:rsidR="004A60EA">
        <w:t>‘</w:t>
      </w:r>
      <w:r w:rsidR="001B70AE">
        <w:t>O</w:t>
      </w:r>
      <w:r w:rsidR="00F22565">
        <w:t xml:space="preserve">ther </w:t>
      </w:r>
      <w:r w:rsidR="001B70AE">
        <w:t>r</w:t>
      </w:r>
      <w:r w:rsidR="00F22565">
        <w:t>esources</w:t>
      </w:r>
      <w:r w:rsidR="004A60EA">
        <w:t>’</w:t>
      </w:r>
      <w:r w:rsidR="001B70AE">
        <w:t xml:space="preserve"> </w:t>
      </w:r>
      <w:r w:rsidR="008032C5">
        <w:t>later in this section</w:t>
      </w:r>
      <w:r w:rsidR="00F22565">
        <w:t xml:space="preserve">). Where possible it is </w:t>
      </w:r>
      <w:r w:rsidR="00C824A5">
        <w:t>recommended</w:t>
      </w:r>
      <w:r w:rsidR="00F22565">
        <w:t xml:space="preserve"> to get a statistician to advise and</w:t>
      </w:r>
      <w:r w:rsidR="001B70AE">
        <w:t>/</w:t>
      </w:r>
      <w:r w:rsidR="00F22565">
        <w:t xml:space="preserve">or review </w:t>
      </w:r>
      <w:r w:rsidR="00C824A5">
        <w:t>the proposed approach for collection and analysis of</w:t>
      </w:r>
      <w:r w:rsidR="00417EB0">
        <w:t xml:space="preserve"> </w:t>
      </w:r>
      <w:r w:rsidR="00C824A5">
        <w:t xml:space="preserve">additional </w:t>
      </w:r>
      <w:r w:rsidR="001B70AE">
        <w:t>data</w:t>
      </w:r>
      <w:r w:rsidR="00417EB0">
        <w:t>.</w:t>
      </w:r>
      <w:r w:rsidR="00C05BC7">
        <w:t xml:space="preserve"> Sampling design considerations will vary according to the objectives and purpose of the IECA. For example surveillance monitoring may require a </w:t>
      </w:r>
      <w:r w:rsidR="00C05BC7" w:rsidRPr="00C05BC7">
        <w:t>probabilistic design</w:t>
      </w:r>
      <w:r w:rsidR="00C05BC7">
        <w:t xml:space="preserve"> or </w:t>
      </w:r>
      <w:r w:rsidR="00C05BC7" w:rsidRPr="00C05BC7">
        <w:t>stratified random design</w:t>
      </w:r>
      <w:r w:rsidR="00C05BC7">
        <w:t>, whereas KEQ intervention analysis may require biased or spatially selective sampling to assess intervention effects on specific components and location, depending on the priority values.</w:t>
      </w:r>
    </w:p>
    <w:p w14:paraId="61F4F6EB" w14:textId="7CA92C7D" w:rsidR="006C66F3" w:rsidRDefault="006C66F3" w:rsidP="0076596C">
      <w:r>
        <w:t xml:space="preserve">When the design requires additional data from several themes or </w:t>
      </w:r>
      <w:r w:rsidR="0098070E">
        <w:t xml:space="preserve">indicator </w:t>
      </w:r>
      <w:r>
        <w:t>groups</w:t>
      </w:r>
      <w:r w:rsidR="001B70AE">
        <w:t>,</w:t>
      </w:r>
      <w:r>
        <w:t xml:space="preserve"> then it may be possible to look at sampling logistical efficiencies before starting data collection</w:t>
      </w:r>
      <w:r w:rsidR="00426E46">
        <w:t>.</w:t>
      </w:r>
      <w:r>
        <w:t xml:space="preserve"> However, it is important to start by looking at the requirements for each theme independently and determine the statistical </w:t>
      </w:r>
      <w:r w:rsidR="001B70AE">
        <w:t>requirement</w:t>
      </w:r>
      <w:r>
        <w:t>s associated with a complementary sampling design (see response analysis section in Step</w:t>
      </w:r>
      <w:r w:rsidR="00D91972">
        <w:t xml:space="preserve"> </w:t>
      </w:r>
      <w:r>
        <w:t>7).</w:t>
      </w:r>
      <w:r w:rsidR="0098070E">
        <w:t xml:space="preserve"> Considerations relating to cost, expertise and methods employed will also influence the selection of indicators. </w:t>
      </w:r>
    </w:p>
    <w:p w14:paraId="69B9BD1A" w14:textId="290D69DC" w:rsidR="00BD4486" w:rsidRDefault="00BD4486" w:rsidP="0076596C">
      <w:r>
        <w:lastRenderedPageBreak/>
        <w:t xml:space="preserve">In some cases it may be desirable to </w:t>
      </w:r>
      <w:r w:rsidRPr="00BD4486">
        <w:t>undertak</w:t>
      </w:r>
      <w:r>
        <w:t>e</w:t>
      </w:r>
      <w:r w:rsidRPr="00BD4486">
        <w:t xml:space="preserve"> a pilot study to confirm the usefulness of the selected indicators. Other approaches</w:t>
      </w:r>
      <w:r>
        <w:t xml:space="preserve"> which may help in selecting indicators for new data collection include </w:t>
      </w:r>
      <w:r w:rsidRPr="00BD4486">
        <w:t>M</w:t>
      </w:r>
      <w:r>
        <w:t>ultiple Lines and Levels of Evidence (MLLE)</w:t>
      </w:r>
      <w:r w:rsidRPr="00BD4486">
        <w:t xml:space="preserve"> may also be </w:t>
      </w:r>
      <w:r>
        <w:t xml:space="preserve">of use in designing the assessment program. </w:t>
      </w:r>
    </w:p>
    <w:p w14:paraId="4EBA300C" w14:textId="581B3546" w:rsidR="0034143D" w:rsidRPr="0034143D" w:rsidRDefault="0034143D" w:rsidP="00F4328F">
      <w:pPr>
        <w:pStyle w:val="ListParagraph"/>
        <w:numPr>
          <w:ilvl w:val="0"/>
          <w:numId w:val="20"/>
        </w:numPr>
        <w:rPr>
          <w:b/>
          <w:i/>
        </w:rPr>
      </w:pPr>
      <w:r w:rsidRPr="0034143D">
        <w:rPr>
          <w:b/>
          <w:i/>
        </w:rPr>
        <w:t xml:space="preserve">Develop triggers, targets and thresholds </w:t>
      </w:r>
    </w:p>
    <w:p w14:paraId="6E371C19" w14:textId="727BDD14" w:rsidR="00CE744D" w:rsidRPr="00F7203A" w:rsidRDefault="00417EB0" w:rsidP="00CE744D">
      <w:r>
        <w:t xml:space="preserve">For </w:t>
      </w:r>
      <w:r w:rsidR="00C824A5">
        <w:t>additional</w:t>
      </w:r>
      <w:r>
        <w:t xml:space="preserve"> data</w:t>
      </w:r>
      <w:r w:rsidR="00CE744D">
        <w:t xml:space="preserve"> collected specifically for the assessment</w:t>
      </w:r>
      <w:r w:rsidR="0052354E">
        <w:t>,</w:t>
      </w:r>
      <w:r>
        <w:t xml:space="preserve"> it may be necessary to establish </w:t>
      </w:r>
      <w:r w:rsidR="004875C1">
        <w:t>baseline condition (</w:t>
      </w:r>
      <w:r>
        <w:t>reference points</w:t>
      </w:r>
      <w:r w:rsidR="004875C1">
        <w:t>)</w:t>
      </w:r>
      <w:r>
        <w:t xml:space="preserve"> against which to assess change in condition</w:t>
      </w:r>
      <w:r w:rsidR="00920795">
        <w:t>, and</w:t>
      </w:r>
      <w:r w:rsidR="0052354E">
        <w:t>/</w:t>
      </w:r>
      <w:r w:rsidR="00920795">
        <w:t xml:space="preserve">or </w:t>
      </w:r>
      <w:r>
        <w:t>targets or thresholds of potential concern</w:t>
      </w:r>
      <w:r w:rsidR="00C05BC7">
        <w:t xml:space="preserve"> (e.g.</w:t>
      </w:r>
      <w:r w:rsidR="00C149FE">
        <w:t xml:space="preserve"> see</w:t>
      </w:r>
      <w:r w:rsidR="00C05BC7">
        <w:t xml:space="preserve"> </w:t>
      </w:r>
      <w:r w:rsidR="00C05BC7">
        <w:fldChar w:fldCharType="begin"/>
      </w:r>
      <w:r w:rsidR="00C05BC7">
        <w:instrText xml:space="preserve"> ADDIN ZOTERO_ITEM CSL_CITATION {"citationID":"1313vuchf9","properties":{"formattedCitation":"(Cook et al. 2016)","plainCitation":"(Cook et al. 2016)"},"citationItems":[{"id":3549,"uris":["http://zotero.org/users/3119797/items/P2IERM65"],"uri":["http://zotero.org/users/3119797/items/P2IERM65"],"itemData":{"id":3549,"type":"article-journal","title":"Decision triggers are a critical part of evidence-based conservation","container-title":"Biological Conservation","page":"46-51","volume":"195","source":"CrossRef","DOI":"10.1016/j.biocon.2015.12.024","ISSN":"00063207","language":"en","author":[{"family":"Cook","given":"Carly N."},{"family":"Bie","given":"Kelly","non-dropping-particle":"de"},{"family":"Keith","given":"David A."},{"family":"Addison","given":"Prue F.E."}],"issued":{"date-parts":[["2016",3]]}}}],"schema":"https://github.com/citation-style-language/schema/raw/master/csl-citation.json"} </w:instrText>
      </w:r>
      <w:r w:rsidR="00C05BC7">
        <w:fldChar w:fldCharType="separate"/>
      </w:r>
      <w:r w:rsidR="00C05BC7" w:rsidRPr="00C05BC7">
        <w:rPr>
          <w:rFonts w:cs="Calibri"/>
        </w:rPr>
        <w:t>Cook et al. 2016</w:t>
      </w:r>
      <w:r w:rsidR="00C05BC7">
        <w:fldChar w:fldCharType="end"/>
      </w:r>
      <w:r w:rsidR="00C149FE">
        <w:t xml:space="preserve">, </w:t>
      </w:r>
      <w:r w:rsidR="00C149FE">
        <w:fldChar w:fldCharType="begin"/>
      </w:r>
      <w:r w:rsidR="00C149FE">
        <w:instrText xml:space="preserve"> ADDIN ZOTERO_ITEM CSL_CITATION {"citationID":"26fu1bpens","properties":{"formattedCitation":"(Arciszewski et al. 2017)","plainCitation":"(Arciszewski et al. 2017)"},"citationItems":[{"id":3550,"uris":["http://zotero.org/users/3119797/items/S26MGTWC"],"uri":["http://zotero.org/users/3119797/items/S26MGTWC"],"itemData":{"id":3550,"type":"article-journal","title":"Using adaptive processes and adverse outcome pathways to develop meaningful, robust, and actionable environmental monitoring programs: Strengthening Environmental Monitoring","container-title":"Integrated Environmental Assessment and Management","source":"CrossRef","URL":"http://doi.wiley.com/10.1002/ieam.1938","DOI":"10.1002/ieam.1938","ISSN":"15513777","shortTitle":"Using adaptive processes and adverse outcome pathways to develop meaningful, robust, and actionable environmental monitoring programs","language":"en","author":[{"family":"Arciszewski","given":"Tim J"},{"family":"Munkittrick","given":"Kelly R"},{"family":"Scrimgeour","given":"Garry J"},{"family":"Dubé","given":"Monique G"},{"family":"Wrona","given":"Fred J"},{"family":"Hazewinkel","given":"Rod R"}],"issued":{"date-parts":[["2017",5,18]]},"accessed":{"date-parts":[["2017",6,6]]}}}],"schema":"https://github.com/citation-style-language/schema/raw/master/csl-citation.json"} </w:instrText>
      </w:r>
      <w:r w:rsidR="00C149FE">
        <w:fldChar w:fldCharType="separate"/>
      </w:r>
      <w:r w:rsidR="00C149FE" w:rsidRPr="00C149FE">
        <w:rPr>
          <w:rFonts w:cs="Calibri"/>
        </w:rPr>
        <w:t>Arciszewski et al. 2017)</w:t>
      </w:r>
      <w:r w:rsidR="00C149FE">
        <w:fldChar w:fldCharType="end"/>
      </w:r>
      <w:r w:rsidR="00C149FE">
        <w:t>.</w:t>
      </w:r>
      <w:r>
        <w:t xml:space="preserve"> These </w:t>
      </w:r>
      <w:r w:rsidR="0052354E">
        <w:t>should</w:t>
      </w:r>
      <w:r>
        <w:t xml:space="preserve"> be correlated or linked to the management objectives for the assessment unit. </w:t>
      </w:r>
      <w:r w:rsidR="00226F1F">
        <w:t xml:space="preserve">It doesn’t matter how well indicators are selected if they are not related to targets, or </w:t>
      </w:r>
      <w:r w:rsidR="004875C1">
        <w:t>baseline condition</w:t>
      </w:r>
      <w:r w:rsidR="00F7203A">
        <w:t>s</w:t>
      </w:r>
      <w:r w:rsidR="00226F1F">
        <w:t xml:space="preserve">, that </w:t>
      </w:r>
      <w:r w:rsidR="00F7203A">
        <w:t>relate</w:t>
      </w:r>
      <w:r w:rsidR="00226F1F">
        <w:t xml:space="preserve"> to the successful achievement of management objectives </w:t>
      </w:r>
      <w:r w:rsidR="00226F1F">
        <w:fldChar w:fldCharType="begin"/>
      </w:r>
      <w:r w:rsidR="00226F1F">
        <w:instrText xml:space="preserve"> ADDIN ZOTERO_ITEM CSL_CITATION {"citationID":"1mtd3imoaf","properties":{"formattedCitation":"(Samhouri et al. 2014)","plainCitation":"(Samhouri et al. 2014)"},"citationItems":[{"id":3234,"uris":["http://zotero.org/users/3119797/items/M3ZS7Z9R"],"uri":["http://zotero.org/users/3119797/items/M3ZS7Z9R"],"itemData":{"id":3234,"type":"article-journal","title":"Lessons learned from developing integrated ecosystem assessments to inform marine ecosystem-based management in the USA","container-title":"ICES Journal of Marine Science","page":"1205-1215","volume":"71","issue":"5","source":"CrossRef","DOI":"10.1093/icesjms/fst141","ISSN":"1054-3139, 1095-9289","language":"en","author":[{"family":"Samhouri","given":"J. F."},{"family":"Haupt","given":"A. J."},{"family":"Levin","given":"P. S."},{"family":"Link","given":"J. S."},{"family":"Shuford","given":"R."}],"issued":{"date-parts":[["2014",8,1]]}}}],"schema":"https://github.com/citation-style-language/schema/raw/master/csl-citation.json"} </w:instrText>
      </w:r>
      <w:r w:rsidR="00226F1F">
        <w:fldChar w:fldCharType="separate"/>
      </w:r>
      <w:r w:rsidR="00226F1F" w:rsidRPr="00226F1F">
        <w:rPr>
          <w:rFonts w:cs="Calibri"/>
        </w:rPr>
        <w:t>(Samhouri et al. 2014)</w:t>
      </w:r>
      <w:r w:rsidR="00226F1F">
        <w:fldChar w:fldCharType="end"/>
      </w:r>
      <w:r w:rsidR="00226F1F">
        <w:t xml:space="preserve">. </w:t>
      </w:r>
      <w:r w:rsidR="00226F1F" w:rsidRPr="00CE744D">
        <w:t>Assessment of indicators in relation to targets can be used to instigate, cease, or adapt management intervention</w:t>
      </w:r>
      <w:r w:rsidR="00426E46" w:rsidRPr="00CE744D">
        <w:t xml:space="preserve"> </w:t>
      </w:r>
      <w:r w:rsidR="00226F1F" w:rsidRPr="00CE744D">
        <w:fldChar w:fldCharType="begin"/>
      </w:r>
      <w:r w:rsidR="00C54BB5" w:rsidRPr="00CE744D">
        <w:instrText xml:space="preserve"> ADDIN ZOTERO_ITEM CSL_CITATION {"citationID":"MJKITSDc","properties":{"formattedCitation":"(Samhouri et al. 2014)","plainCitation":"(Samhouri et al. 2014)"},"citationItems":[{"id":3234,"uris":["http://zotero.org/users/3119797/items/M3ZS7Z9R"],"uri":["http://zotero.org/users/3119797/items/M3ZS7Z9R"],"itemData":{"id":3234,"type":"article-journal","title":"Lessons learned from developing integrated ecosystem assessments to inform marine ecosystem-based management in the USA","container-title":"ICES Journal of Marine Science","page":"1205-1215","volume":"71","issue":"5","source":"CrossRef","DOI":"10.1093/icesjms/fst141","ISSN":"1054-3139, 1095-9289","language":"en","author":[{"family":"Samhouri","given":"J. F."},{"family":"Haupt","given":"A. J."},{"family":"Levin","given":"P. S."},{"family":"Link","given":"J. S."},{"family":"Shuford","given":"R."}],"issued":{"date-parts":[["2014",8,1]]}}}],"schema":"https://github.com/citation-style-language/schema/raw/master/csl-citation.json"} </w:instrText>
      </w:r>
      <w:r w:rsidR="00226F1F" w:rsidRPr="00CE744D">
        <w:fldChar w:fldCharType="separate"/>
      </w:r>
      <w:r w:rsidR="00226F1F" w:rsidRPr="00CE744D">
        <w:rPr>
          <w:rFonts w:cs="Calibri"/>
        </w:rPr>
        <w:t>(Samhouri et al. 2014)</w:t>
      </w:r>
      <w:r w:rsidR="00226F1F" w:rsidRPr="00CE744D">
        <w:fldChar w:fldCharType="end"/>
      </w:r>
      <w:r w:rsidR="00CE744D" w:rsidRPr="00CE744D">
        <w:t xml:space="preserve">, and to be effective they need to SMART </w:t>
      </w:r>
      <w:r w:rsidR="00CE744D" w:rsidRPr="00965DB6">
        <w:t>(see Section 2.1</w:t>
      </w:r>
      <w:r w:rsidR="00965DB6">
        <w:t>.1</w:t>
      </w:r>
      <w:r w:rsidR="00965DB6" w:rsidRPr="00965DB6">
        <w:t>)</w:t>
      </w:r>
      <w:r w:rsidR="00965DB6">
        <w:t>.</w:t>
      </w:r>
    </w:p>
    <w:p w14:paraId="056E6257" w14:textId="21FE1350" w:rsidR="00920795" w:rsidRPr="00491582" w:rsidRDefault="00920795" w:rsidP="00491582">
      <w:pPr>
        <w:pStyle w:val="tblBody"/>
      </w:pPr>
    </w:p>
    <w:p w14:paraId="752F7B27" w14:textId="102041CA" w:rsidR="00226F1F" w:rsidRDefault="00C24DAD" w:rsidP="00226F1F">
      <w:r>
        <w:t xml:space="preserve">For existing programs and data the triggers, targets and thresholds are usually already set. In some cases they may require </w:t>
      </w:r>
      <w:r w:rsidR="0052354E">
        <w:t>refinement</w:t>
      </w:r>
      <w:r>
        <w:t xml:space="preserve"> to be explicit within the context of the IECA. This may have been done in Part A</w:t>
      </w:r>
      <w:r w:rsidR="0052354E">
        <w:t xml:space="preserve"> (e.g. see Section 2.1</w:t>
      </w:r>
      <w:r w:rsidR="00965DB6">
        <w:t>.2)</w:t>
      </w:r>
      <w:r>
        <w:t>.</w:t>
      </w:r>
      <w:r w:rsidR="00226F1F">
        <w:t xml:space="preserve"> </w:t>
      </w:r>
    </w:p>
    <w:p w14:paraId="57D20DCE" w14:textId="19B3EA8C" w:rsidR="0034143D" w:rsidRPr="0034143D" w:rsidRDefault="00BD4486" w:rsidP="00F4328F">
      <w:pPr>
        <w:pStyle w:val="ListParagraph"/>
        <w:numPr>
          <w:ilvl w:val="0"/>
          <w:numId w:val="20"/>
        </w:numPr>
        <w:rPr>
          <w:b/>
          <w:i/>
        </w:rPr>
      </w:pPr>
      <w:r>
        <w:rPr>
          <w:b/>
          <w:i/>
        </w:rPr>
        <w:t>D</w:t>
      </w:r>
      <w:r w:rsidR="00B56D6A">
        <w:rPr>
          <w:b/>
          <w:i/>
        </w:rPr>
        <w:t>evelop an</w:t>
      </w:r>
      <w:r>
        <w:rPr>
          <w:b/>
          <w:i/>
        </w:rPr>
        <w:t xml:space="preserve"> evaluation and reporting </w:t>
      </w:r>
      <w:r w:rsidR="00B56D6A">
        <w:rPr>
          <w:b/>
          <w:i/>
        </w:rPr>
        <w:t>plan</w:t>
      </w:r>
    </w:p>
    <w:p w14:paraId="634D31A0" w14:textId="4CC9730F" w:rsidR="00D60B3B" w:rsidRDefault="00D60B3B" w:rsidP="00D60B3B">
      <w:r>
        <w:t xml:space="preserve">Develop a clear </w:t>
      </w:r>
      <w:r w:rsidR="00BD4486">
        <w:t xml:space="preserve">evaluation </w:t>
      </w:r>
      <w:r w:rsidR="00B56D6A">
        <w:t>and reporting plan</w:t>
      </w:r>
      <w:r w:rsidR="0052354E">
        <w:t xml:space="preserve">, </w:t>
      </w:r>
      <w:r>
        <w:t>the purpose of which is to</w:t>
      </w:r>
      <w:r w:rsidR="00B56D6A">
        <w:t xml:space="preserve"> (modified from </w:t>
      </w:r>
      <w:r w:rsidR="00B56D6A">
        <w:fldChar w:fldCharType="begin"/>
      </w:r>
      <w:r w:rsidR="00B56D6A">
        <w:instrText xml:space="preserve"> ADDIN ZOTERO_ITEM CSL_CITATION {"citationID":"605t746nv","properties":{"formattedCitation":"(CEWO 2013)","plainCitation":"(CEWO 2013)"},"citationItems":[{"id":1380,"uris":["http://zotero.org/users/3119797/items/PX7INJFQ"],"uri":["http://zotero.org/users/3119797/items/PX7INJFQ"],"itemData":{"id":1380,"type":"article","title":"Commonwealth Environmental Water - Monitoring, Evaluation, Reporting and Improvement Framework, Commonwealth Environmental Water, June 2013 V2.0","author":[{"family":"CEWO","given":""}],"issued":{"date-parts":[["2013"]]}}}],"schema":"https://github.com/citation-style-language/schema/raw/master/csl-citation.json"} </w:instrText>
      </w:r>
      <w:r w:rsidR="00B56D6A">
        <w:fldChar w:fldCharType="separate"/>
      </w:r>
      <w:r w:rsidR="00B56D6A" w:rsidRPr="00B56D6A">
        <w:rPr>
          <w:rFonts w:cs="Calibri"/>
        </w:rPr>
        <w:t>CEWO 2013)</w:t>
      </w:r>
      <w:r w:rsidR="00B56D6A">
        <w:fldChar w:fldCharType="end"/>
      </w:r>
      <w:r>
        <w:t>:</w:t>
      </w:r>
    </w:p>
    <w:p w14:paraId="18920DFC" w14:textId="5D1E392A" w:rsidR="00D60B3B" w:rsidRDefault="00D60B3B" w:rsidP="00F4328F">
      <w:pPr>
        <w:pStyle w:val="ListParagraph"/>
        <w:numPr>
          <w:ilvl w:val="0"/>
          <w:numId w:val="53"/>
        </w:numPr>
      </w:pPr>
      <w:r>
        <w:t>Illustrate the relationship between the scale of assessment, design, analysis and reporting outcomes</w:t>
      </w:r>
      <w:r w:rsidR="0052354E">
        <w:t>;</w:t>
      </w:r>
      <w:r>
        <w:t xml:space="preserve"> </w:t>
      </w:r>
    </w:p>
    <w:p w14:paraId="2375A802" w14:textId="4FBFBBAC" w:rsidR="00D60B3B" w:rsidRDefault="00D60B3B" w:rsidP="00F4328F">
      <w:pPr>
        <w:pStyle w:val="ListParagraph"/>
        <w:numPr>
          <w:ilvl w:val="0"/>
          <w:numId w:val="53"/>
        </w:numPr>
      </w:pPr>
      <w:r>
        <w:t xml:space="preserve">Provide transparency in the implementation of the IECA in relation to management objectives for the assessment unit; </w:t>
      </w:r>
      <w:r w:rsidR="009F2C3C">
        <w:t xml:space="preserve"> </w:t>
      </w:r>
    </w:p>
    <w:p w14:paraId="73BB293E" w14:textId="0C95FC07" w:rsidR="00D60B3B" w:rsidRDefault="00D60B3B" w:rsidP="00F4328F">
      <w:pPr>
        <w:pStyle w:val="ListParagraph"/>
        <w:numPr>
          <w:ilvl w:val="0"/>
          <w:numId w:val="53"/>
        </w:numPr>
      </w:pPr>
      <w:r>
        <w:t>Aid in determining whether the desired outcomes for I</w:t>
      </w:r>
      <w:r w:rsidR="00F7203A">
        <w:t>EC</w:t>
      </w:r>
      <w:r>
        <w:t>A and mana</w:t>
      </w:r>
      <w:r w:rsidR="00F7203A">
        <w:t>gement objectives</w:t>
      </w:r>
      <w:r>
        <w:t xml:space="preserve"> at the assessment unit are being achieved</w:t>
      </w:r>
      <w:r w:rsidR="00B56D6A">
        <w:t>;</w:t>
      </w:r>
    </w:p>
    <w:p w14:paraId="70F24606" w14:textId="2DF1191F" w:rsidR="00B56D6A" w:rsidRDefault="00B56D6A" w:rsidP="00F4328F">
      <w:pPr>
        <w:pStyle w:val="ListParagraph"/>
        <w:numPr>
          <w:ilvl w:val="0"/>
          <w:numId w:val="53"/>
        </w:numPr>
      </w:pPr>
      <w:r>
        <w:t xml:space="preserve">The relationship to, and use of, existing information; </w:t>
      </w:r>
    </w:p>
    <w:p w14:paraId="018EA7D1" w14:textId="61D78515" w:rsidR="00BD4486" w:rsidRDefault="00BD4486" w:rsidP="00BD4486">
      <w:pPr>
        <w:pStyle w:val="ListParagraph"/>
        <w:numPr>
          <w:ilvl w:val="0"/>
          <w:numId w:val="53"/>
        </w:numPr>
      </w:pPr>
      <w:r>
        <w:t xml:space="preserve">Impact appropriateness, effectiveness, efficiency and legacy assessed at different stages of the </w:t>
      </w:r>
      <w:r w:rsidR="00B56D6A">
        <w:t>assessment</w:t>
      </w:r>
      <w:r>
        <w:t xml:space="preserve"> to determine immediate, intermediate and longer-term outcomes</w:t>
      </w:r>
      <w:r w:rsidR="00B56D6A">
        <w:t>;</w:t>
      </w:r>
    </w:p>
    <w:p w14:paraId="58C89FC4" w14:textId="674FD5F2" w:rsidR="00BD4486" w:rsidRDefault="00B56D6A" w:rsidP="00BD4486">
      <w:pPr>
        <w:pStyle w:val="ListParagraph"/>
        <w:numPr>
          <w:ilvl w:val="0"/>
          <w:numId w:val="53"/>
        </w:numPr>
      </w:pPr>
      <w:r>
        <w:t>Detail requirements (timing, frequency etc.) for o</w:t>
      </w:r>
      <w:r w:rsidR="00BD4486">
        <w:t xml:space="preserve">utput </w:t>
      </w:r>
      <w:r>
        <w:t xml:space="preserve">and outcome </w:t>
      </w:r>
      <w:r w:rsidR="00BD4486">
        <w:t>reports</w:t>
      </w:r>
      <w:r>
        <w:t>; and</w:t>
      </w:r>
    </w:p>
    <w:p w14:paraId="7D169300" w14:textId="7CCF9A66" w:rsidR="00BD4486" w:rsidRDefault="00BD4486" w:rsidP="00BD4486">
      <w:pPr>
        <w:pStyle w:val="ListParagraph"/>
        <w:numPr>
          <w:ilvl w:val="0"/>
          <w:numId w:val="53"/>
        </w:numPr>
      </w:pPr>
      <w:r>
        <w:t>Communications and reports on evaluation results as required to internal stakeholders and key external stakeholders</w:t>
      </w:r>
      <w:r w:rsidR="00B56D6A">
        <w:t>.</w:t>
      </w:r>
    </w:p>
    <w:p w14:paraId="6E2A2B87" w14:textId="2688414B" w:rsidR="00D60B3B" w:rsidRDefault="00B56D6A" w:rsidP="00D60B3B">
      <w:r>
        <w:t>R</w:t>
      </w:r>
      <w:r w:rsidR="00BD4486">
        <w:t xml:space="preserve">eporting </w:t>
      </w:r>
      <w:r w:rsidR="00D60B3B">
        <w:t>should illustrate the hierarchical nature and integration of information being collected in the IECA</w:t>
      </w:r>
      <w:r w:rsidR="0052354E">
        <w:t xml:space="preserve">, including </w:t>
      </w:r>
      <w:r w:rsidR="00D60B3B">
        <w:t xml:space="preserve">the combination, interrelatedness and dependencies between the factors that affect the priority values of the assessment unit over time. The reporting framework should be concise, </w:t>
      </w:r>
      <w:r w:rsidR="0052354E">
        <w:t xml:space="preserve">capable of being </w:t>
      </w:r>
      <w:r w:rsidR="00D60B3B">
        <w:t>consistently applied over time</w:t>
      </w:r>
      <w:r w:rsidR="0052354E">
        <w:t>,</w:t>
      </w:r>
      <w:r w:rsidR="00D60B3B">
        <w:t xml:space="preserve"> and allow comparison</w:t>
      </w:r>
      <w:r w:rsidR="0052354E">
        <w:t xml:space="preserve"> with </w:t>
      </w:r>
      <w:r w:rsidR="00D60B3B">
        <w:t xml:space="preserve">other assessments. </w:t>
      </w:r>
      <w:r w:rsidR="00965DB6">
        <w:t xml:space="preserve">The reporting framework will also link to Step 8 and the considerations of developing a report card which summarises the results of an assessment. </w:t>
      </w:r>
    </w:p>
    <w:p w14:paraId="1971BA27" w14:textId="731E74A3" w:rsidR="003D6FC9" w:rsidRPr="0034143D" w:rsidRDefault="003D6FC9" w:rsidP="00F4328F">
      <w:pPr>
        <w:pStyle w:val="ListParagraph"/>
        <w:numPr>
          <w:ilvl w:val="0"/>
          <w:numId w:val="20"/>
        </w:numPr>
        <w:rPr>
          <w:b/>
          <w:i/>
        </w:rPr>
      </w:pPr>
      <w:r>
        <w:rPr>
          <w:b/>
          <w:i/>
        </w:rPr>
        <w:t>Implement the assessment</w:t>
      </w:r>
    </w:p>
    <w:p w14:paraId="54DFBB9F" w14:textId="02031AFA" w:rsidR="00D60B3B" w:rsidRDefault="0052354E" w:rsidP="00D60B3B">
      <w:r>
        <w:t>This task involves the collection of the specified data and refinement of the design, if required. This may include updating conceptual models or reassessing the effectiveness of some indicators (part of Steps 6 and 7). As stated above, development of an assessment program is an adaptive process, not a static one.</w:t>
      </w:r>
    </w:p>
    <w:p w14:paraId="6C0562C2" w14:textId="77777777" w:rsidR="008032C5" w:rsidRDefault="008032C5" w:rsidP="00D60B3B"/>
    <w:p w14:paraId="009479C9" w14:textId="77777777" w:rsidR="001E76C4" w:rsidRPr="004E7EB5" w:rsidRDefault="001E76C4" w:rsidP="001E76C4">
      <w:pPr>
        <w:rPr>
          <w:b/>
          <w:i/>
          <w:color w:val="8C863E" w:themeColor="background2" w:themeShade="80"/>
          <w:sz w:val="24"/>
          <w:szCs w:val="24"/>
        </w:rPr>
      </w:pPr>
      <w:r w:rsidRPr="004E7EB5">
        <w:rPr>
          <w:b/>
          <w:i/>
          <w:color w:val="8C863E" w:themeColor="background2" w:themeShade="80"/>
          <w:sz w:val="24"/>
          <w:szCs w:val="24"/>
        </w:rPr>
        <w:t>Other resources</w:t>
      </w:r>
    </w:p>
    <w:p w14:paraId="52DF8517" w14:textId="3024B069" w:rsidR="00C149FE" w:rsidRDefault="00C149FE" w:rsidP="00C149FE">
      <w:pPr>
        <w:pStyle w:val="ListParagraph"/>
        <w:numPr>
          <w:ilvl w:val="0"/>
          <w:numId w:val="51"/>
        </w:numPr>
      </w:pPr>
      <w:r w:rsidRPr="00C149FE">
        <w:lastRenderedPageBreak/>
        <w:t xml:space="preserve">Arciszewski, T.J., Munkittrick, K.R., Scrimgeour, G.J., Dubé, M.G., Wrona, F.J., and Hazewinkel, R.R. </w:t>
      </w:r>
      <w:r>
        <w:t>(</w:t>
      </w:r>
      <w:r w:rsidRPr="00C149FE">
        <w:t>2017</w:t>
      </w:r>
      <w:r>
        <w:t>)</w:t>
      </w:r>
      <w:r w:rsidRPr="00C149FE">
        <w:t xml:space="preserve">. Using adaptive processes and adverse outcome pathways to develop meaningful, robust, and actionable environmental monitoring programs: Strengthening Environmental Monitoring. </w:t>
      </w:r>
      <w:r w:rsidRPr="00C149FE">
        <w:rPr>
          <w:i/>
        </w:rPr>
        <w:t>Integrated Environmental Assessment and Management</w:t>
      </w:r>
      <w:r w:rsidRPr="00C149FE">
        <w:t>. doi:10.1002/ieam.1938.</w:t>
      </w:r>
    </w:p>
    <w:p w14:paraId="71A0E4EA" w14:textId="313AB7CA" w:rsidR="00B350BC" w:rsidRDefault="006C66F3" w:rsidP="00F4328F">
      <w:pPr>
        <w:pStyle w:val="ListParagraph"/>
        <w:numPr>
          <w:ilvl w:val="0"/>
          <w:numId w:val="51"/>
        </w:numPr>
      </w:pPr>
      <w:r w:rsidRPr="006C66F3">
        <w:t>Downes B.J., Barmuta L.A., Fairweather P.G., Faith D.P.,</w:t>
      </w:r>
      <w:r w:rsidR="0052354E">
        <w:t xml:space="preserve"> </w:t>
      </w:r>
      <w:r w:rsidRPr="006C66F3">
        <w:t>Keough M.J.,</w:t>
      </w:r>
      <w:r w:rsidR="0052354E">
        <w:t xml:space="preserve"> </w:t>
      </w:r>
      <w:r w:rsidRPr="006C66F3">
        <w:t xml:space="preserve">Lake P.S., Mapstone B.D. </w:t>
      </w:r>
      <w:r w:rsidR="001B7DA1">
        <w:t>and</w:t>
      </w:r>
      <w:r w:rsidRPr="006C66F3">
        <w:t xml:space="preserve"> Quinn G.P. (2002)</w:t>
      </w:r>
      <w:r w:rsidR="001B7DA1">
        <w:t>.</w:t>
      </w:r>
      <w:r w:rsidRPr="006C66F3">
        <w:t xml:space="preserve"> Monitoring Ecological Impacts: Concepts and Practice in Flowing Waters. xii + 434 pp. Cambridge University Press, Cambridge, UK</w:t>
      </w:r>
      <w:r w:rsidR="001B7DA1">
        <w:t>.</w:t>
      </w:r>
    </w:p>
    <w:p w14:paraId="43633410" w14:textId="6E53625D" w:rsidR="00B56D6A" w:rsidRDefault="00B56D6A" w:rsidP="001F1725">
      <w:pPr>
        <w:pStyle w:val="ListParagraph"/>
        <w:numPr>
          <w:ilvl w:val="0"/>
          <w:numId w:val="51"/>
        </w:numPr>
      </w:pPr>
      <w:r w:rsidRPr="00B56D6A">
        <w:t>CEWO. 2013. Commonwealth Environmental Water - Monitoring, Evaluation, Reporting and Improvement Framework, Commonwealth Environmental Water, June 2013 V2.0</w:t>
      </w:r>
      <w:r>
        <w:t>.</w:t>
      </w:r>
      <w:r w:rsidR="001F1725">
        <w:t xml:space="preserve"> </w:t>
      </w:r>
      <w:hyperlink r:id="rId69" w:history="1">
        <w:r w:rsidR="001F1725" w:rsidRPr="009F39BC">
          <w:rPr>
            <w:rStyle w:val="Hyperlink"/>
          </w:rPr>
          <w:t>http://environment.gov.au/water/cewo/publications/cew-monitoring-evaluation-reporting-and-improvement-framework</w:t>
        </w:r>
      </w:hyperlink>
      <w:r w:rsidR="001F1725">
        <w:t xml:space="preserve"> </w:t>
      </w:r>
    </w:p>
    <w:p w14:paraId="5B4910E8" w14:textId="450F549E" w:rsidR="00062C2D" w:rsidRPr="004E7EB5" w:rsidRDefault="00062C2D" w:rsidP="00062C2D">
      <w:pPr>
        <w:pStyle w:val="ListParagraph"/>
        <w:numPr>
          <w:ilvl w:val="0"/>
          <w:numId w:val="51"/>
        </w:numPr>
      </w:pPr>
      <w:r>
        <w:t>Cook</w:t>
      </w:r>
      <w:r w:rsidRPr="00062C2D">
        <w:t xml:space="preserve">, C.N., de Bie, K., Keith, D.A., and Addison, P.F.E. </w:t>
      </w:r>
      <w:r>
        <w:t>(</w:t>
      </w:r>
      <w:r w:rsidRPr="00062C2D">
        <w:t>2016</w:t>
      </w:r>
      <w:r>
        <w:t>)</w:t>
      </w:r>
      <w:r w:rsidRPr="00062C2D">
        <w:t xml:space="preserve">. Decision triggers are a critical part of evidence-based conservation. </w:t>
      </w:r>
      <w:r w:rsidRPr="00062C2D">
        <w:rPr>
          <w:i/>
        </w:rPr>
        <w:t>Biological Conservation</w:t>
      </w:r>
      <w:r w:rsidRPr="00062C2D">
        <w:t xml:space="preserve"> 195: 46–51.</w:t>
      </w:r>
    </w:p>
    <w:p w14:paraId="447AC72A" w14:textId="77777777" w:rsidR="00B350BC" w:rsidRPr="004E7EB5" w:rsidRDefault="00B350BC" w:rsidP="00B350BC">
      <w:pPr>
        <w:rPr>
          <w:b/>
          <w:i/>
          <w:color w:val="8C863E" w:themeColor="background2" w:themeShade="80"/>
          <w:sz w:val="24"/>
          <w:szCs w:val="24"/>
        </w:rPr>
      </w:pPr>
      <w:r w:rsidRPr="004E7EB5">
        <w:rPr>
          <w:b/>
          <w:i/>
          <w:color w:val="8C863E" w:themeColor="background2" w:themeShade="80"/>
          <w:sz w:val="24"/>
          <w:szCs w:val="24"/>
        </w:rPr>
        <w:t>Assumptions and Knowledge gaps</w:t>
      </w:r>
    </w:p>
    <w:p w14:paraId="5B10C818" w14:textId="5FF6DF2F" w:rsidR="001E76C4" w:rsidRPr="004E7EB5" w:rsidRDefault="009F2C3C" w:rsidP="001E76C4">
      <w:r>
        <w:t xml:space="preserve">Document the knowledge gaps and any assumptions made in relation to </w:t>
      </w:r>
      <w:r w:rsidR="007E550D">
        <w:t xml:space="preserve">existing </w:t>
      </w:r>
      <w:r>
        <w:t xml:space="preserve">data that were identified. For new assessments, include </w:t>
      </w:r>
      <w:r w:rsidR="00E51C2E">
        <w:t xml:space="preserve">details of </w:t>
      </w:r>
      <w:r>
        <w:t xml:space="preserve">any </w:t>
      </w:r>
      <w:r w:rsidR="00C824A5">
        <w:t>new</w:t>
      </w:r>
      <w:r>
        <w:t xml:space="preserve"> data and updating of conceptual models. Also document any knowledge gaps associated with this step in the workflow.</w:t>
      </w:r>
    </w:p>
    <w:p w14:paraId="7E3E4D2D" w14:textId="77777777" w:rsidR="001E76C4" w:rsidRPr="004E7EB5" w:rsidRDefault="001E76C4" w:rsidP="001E76C4">
      <w:pPr>
        <w:rPr>
          <w:b/>
          <w:i/>
          <w:color w:val="8C863E" w:themeColor="background2" w:themeShade="80"/>
          <w:sz w:val="24"/>
          <w:szCs w:val="24"/>
        </w:rPr>
      </w:pPr>
      <w:r w:rsidRPr="004E7EB5">
        <w:rPr>
          <w:b/>
          <w:i/>
          <w:color w:val="8C863E" w:themeColor="background2" w:themeShade="80"/>
          <w:sz w:val="24"/>
          <w:szCs w:val="24"/>
        </w:rPr>
        <w:t>Outputs</w:t>
      </w:r>
    </w:p>
    <w:p w14:paraId="2CCB64EA" w14:textId="698068D9" w:rsidR="00E97A91" w:rsidRDefault="00E97A91" w:rsidP="00E97A91">
      <w:pPr>
        <w:shd w:val="clear" w:color="auto" w:fill="C3D8D7" w:themeFill="accent2" w:themeFillTint="99"/>
      </w:pPr>
      <w:r>
        <w:t xml:space="preserve">The </w:t>
      </w:r>
      <w:r w:rsidR="00E557B7">
        <w:t>required</w:t>
      </w:r>
      <w:r>
        <w:t xml:space="preserve"> outputs of Step 5 are:</w:t>
      </w:r>
    </w:p>
    <w:p w14:paraId="3640F774" w14:textId="6116087A" w:rsidR="0076596C" w:rsidRDefault="0076596C" w:rsidP="00F4328F">
      <w:pPr>
        <w:pStyle w:val="ListParagraph"/>
        <w:numPr>
          <w:ilvl w:val="0"/>
          <w:numId w:val="4"/>
        </w:numPr>
        <w:shd w:val="clear" w:color="auto" w:fill="C3D8D7" w:themeFill="accent2" w:themeFillTint="99"/>
        <w:spacing w:after="120" w:line="288" w:lineRule="auto"/>
        <w:jc w:val="left"/>
      </w:pPr>
      <w:r>
        <w:t xml:space="preserve">List of existing data that will be </w:t>
      </w:r>
      <w:r w:rsidR="009F2C3C">
        <w:t>used</w:t>
      </w:r>
      <w:r w:rsidR="00F22565">
        <w:t xml:space="preserve"> and data that is required to be collected to address objectives and KEQs (</w:t>
      </w:r>
      <w:r w:rsidR="007E550D">
        <w:t xml:space="preserve">i.e. </w:t>
      </w:r>
      <w:r w:rsidR="00C824A5">
        <w:t>additional</w:t>
      </w:r>
      <w:r w:rsidR="00F22565">
        <w:t xml:space="preserve"> data)</w:t>
      </w:r>
      <w:r w:rsidR="0052354E">
        <w:t>;</w:t>
      </w:r>
    </w:p>
    <w:p w14:paraId="4FC67898" w14:textId="7960A60D" w:rsidR="00F7203A" w:rsidRDefault="00F7203A" w:rsidP="00F4328F">
      <w:pPr>
        <w:pStyle w:val="ListParagraph"/>
        <w:numPr>
          <w:ilvl w:val="0"/>
          <w:numId w:val="4"/>
        </w:numPr>
        <w:shd w:val="clear" w:color="auto" w:fill="C3D8D7" w:themeFill="accent2" w:themeFillTint="99"/>
        <w:spacing w:after="120" w:line="288" w:lineRule="auto"/>
        <w:jc w:val="left"/>
      </w:pPr>
      <w:r>
        <w:t>Documented conceptual model(s);</w:t>
      </w:r>
    </w:p>
    <w:p w14:paraId="7561F255" w14:textId="4B29DD69" w:rsidR="0076596C" w:rsidRDefault="0076596C" w:rsidP="00F4328F">
      <w:pPr>
        <w:pStyle w:val="ListParagraph"/>
        <w:numPr>
          <w:ilvl w:val="0"/>
          <w:numId w:val="4"/>
        </w:numPr>
        <w:shd w:val="clear" w:color="auto" w:fill="C3D8D7" w:themeFill="accent2" w:themeFillTint="99"/>
        <w:spacing w:after="120" w:line="288" w:lineRule="auto"/>
        <w:jc w:val="left"/>
      </w:pPr>
      <w:r>
        <w:t>Documented</w:t>
      </w:r>
      <w:r w:rsidR="0052354E">
        <w:t xml:space="preserve"> sample design for </w:t>
      </w:r>
      <w:r w:rsidR="00C824A5">
        <w:t>additional</w:t>
      </w:r>
      <w:r w:rsidR="0052354E">
        <w:t xml:space="preserve"> data;</w:t>
      </w:r>
    </w:p>
    <w:p w14:paraId="58D48953" w14:textId="5A8BC654" w:rsidR="00226F1F" w:rsidRDefault="00226F1F" w:rsidP="00F4328F">
      <w:pPr>
        <w:pStyle w:val="ListParagraph"/>
        <w:numPr>
          <w:ilvl w:val="0"/>
          <w:numId w:val="4"/>
        </w:numPr>
        <w:shd w:val="clear" w:color="auto" w:fill="C3D8D7" w:themeFill="accent2" w:themeFillTint="99"/>
        <w:spacing w:after="120" w:line="288" w:lineRule="auto"/>
        <w:jc w:val="left"/>
      </w:pPr>
      <w:r>
        <w:t xml:space="preserve">Documented set of targets or thresholds for </w:t>
      </w:r>
      <w:r w:rsidR="00C824A5">
        <w:t>additional</w:t>
      </w:r>
      <w:r>
        <w:t xml:space="preserve"> data;</w:t>
      </w:r>
      <w:r w:rsidR="007249B4">
        <w:t xml:space="preserve"> and</w:t>
      </w:r>
    </w:p>
    <w:p w14:paraId="06C5F44E" w14:textId="4A22AC8A" w:rsidR="00E97A91" w:rsidRDefault="0076596C" w:rsidP="00F4328F">
      <w:pPr>
        <w:pStyle w:val="ListParagraph"/>
        <w:numPr>
          <w:ilvl w:val="0"/>
          <w:numId w:val="4"/>
        </w:numPr>
        <w:shd w:val="clear" w:color="auto" w:fill="C3D8D7" w:themeFill="accent2" w:themeFillTint="99"/>
        <w:spacing w:after="120" w:line="288" w:lineRule="auto"/>
        <w:jc w:val="left"/>
      </w:pPr>
      <w:r>
        <w:t xml:space="preserve">Data analysis required for existing and </w:t>
      </w:r>
      <w:r w:rsidR="00C824A5">
        <w:t>additional</w:t>
      </w:r>
      <w:r>
        <w:t xml:space="preserve"> data.</w:t>
      </w:r>
    </w:p>
    <w:p w14:paraId="7339FE5E" w14:textId="77777777" w:rsidR="00E97A91" w:rsidRPr="004E7EB5" w:rsidRDefault="00E97A91" w:rsidP="00E97A91"/>
    <w:p w14:paraId="70E183E7" w14:textId="77777777" w:rsidR="001E76C4" w:rsidRDefault="001E76C4" w:rsidP="007A08D5"/>
    <w:p w14:paraId="5EFFE5A7" w14:textId="77777777" w:rsidR="00B350BC" w:rsidRPr="004E7EB5" w:rsidRDefault="00B350BC" w:rsidP="007A08D5">
      <w:pPr>
        <w:sectPr w:rsidR="00B350BC" w:rsidRPr="004E7EB5" w:rsidSect="00CA2773">
          <w:headerReference w:type="even" r:id="rId70"/>
          <w:headerReference w:type="default" r:id="rId71"/>
          <w:headerReference w:type="first" r:id="rId72"/>
          <w:pgSz w:w="11906" w:h="16838"/>
          <w:pgMar w:top="1440" w:right="1440" w:bottom="1440" w:left="1440" w:header="708" w:footer="708" w:gutter="0"/>
          <w:cols w:space="708"/>
          <w:docGrid w:linePitch="360"/>
        </w:sectPr>
      </w:pPr>
    </w:p>
    <w:p w14:paraId="332855B0" w14:textId="32A13824" w:rsidR="00B27B0F" w:rsidRPr="004E7EB5" w:rsidRDefault="00B27B0F" w:rsidP="006E6D41">
      <w:pPr>
        <w:pStyle w:val="Heading2"/>
      </w:pPr>
      <w:bookmarkStart w:id="78" w:name="_Toc493774223"/>
      <w:r w:rsidRPr="004E7EB5">
        <w:lastRenderedPageBreak/>
        <w:t xml:space="preserve">Step </w:t>
      </w:r>
      <w:r w:rsidR="001F0F1D" w:rsidRPr="004E7EB5">
        <w:t>6</w:t>
      </w:r>
      <w:r w:rsidRPr="004E7EB5">
        <w:t>: Analys</w:t>
      </w:r>
      <w:r w:rsidR="00460799">
        <w:t>e</w:t>
      </w:r>
      <w:r w:rsidR="0055655A">
        <w:t xml:space="preserve"> and</w:t>
      </w:r>
      <w:r w:rsidRPr="004E7EB5">
        <w:t xml:space="preserve"> Aggregate</w:t>
      </w:r>
      <w:bookmarkEnd w:id="78"/>
    </w:p>
    <w:p w14:paraId="3F59BB57" w14:textId="522593F1" w:rsidR="00A105EC" w:rsidRDefault="008E63EE" w:rsidP="007A08D5">
      <w:r>
        <w:t xml:space="preserve">Aggregation is the scaling of the assessment data to the </w:t>
      </w:r>
      <w:r w:rsidR="00F7203A">
        <w:t xml:space="preserve">spatial and temporal </w:t>
      </w:r>
      <w:r>
        <w:t>scale desired for reporting</w:t>
      </w:r>
      <w:r w:rsidR="0052354E">
        <w:t>. W</w:t>
      </w:r>
      <w:r>
        <w:t xml:space="preserve">hen the data are collected at </w:t>
      </w:r>
      <w:r w:rsidR="0052354E">
        <w:t xml:space="preserve">a </w:t>
      </w:r>
      <w:r>
        <w:t xml:space="preserve">smaller scale, this is often called ‘upscaling’, although downscaling is also a form of aggregation. </w:t>
      </w:r>
      <w:r w:rsidRPr="008E63EE">
        <w:t xml:space="preserve">Ecological </w:t>
      </w:r>
      <w:r>
        <w:t>values</w:t>
      </w:r>
      <w:r w:rsidRPr="008E63EE">
        <w:t xml:space="preserve"> can be measured at any scale from a single sampling site all the way up to the national scale</w:t>
      </w:r>
      <w:r w:rsidR="0052354E">
        <w:t>,</w:t>
      </w:r>
      <w:r w:rsidRPr="008E63EE">
        <w:t xml:space="preserve"> and thus aggregation plays an important role in </w:t>
      </w:r>
      <w:r>
        <w:t>e</w:t>
      </w:r>
      <w:r w:rsidRPr="008E63EE">
        <w:t xml:space="preserve">cological condition assessments. This is further reinforced when we consider that IECA aims to align existing programs </w:t>
      </w:r>
      <w:r w:rsidR="0052354E">
        <w:t xml:space="preserve">that </w:t>
      </w:r>
      <w:r w:rsidRPr="008E63EE">
        <w:t xml:space="preserve">will </w:t>
      </w:r>
      <w:r w:rsidR="0052354E">
        <w:t xml:space="preserve">often </w:t>
      </w:r>
      <w:r w:rsidRPr="008E63EE">
        <w:t>have different scales of data collection</w:t>
      </w:r>
      <w:r w:rsidR="0052354E">
        <w:t>,</w:t>
      </w:r>
      <w:r w:rsidRPr="008E63EE">
        <w:t xml:space="preserve"> as they are designed for different purposes. If all data points within each theme are collected at the same scale with a known selection probability</w:t>
      </w:r>
      <w:r>
        <w:t>,</w:t>
      </w:r>
      <w:r w:rsidRPr="008E63EE">
        <w:t xml:space="preserve"> then aggregation is simple</w:t>
      </w:r>
      <w:r>
        <w:t>,</w:t>
      </w:r>
      <w:r w:rsidRPr="008E63EE">
        <w:t xml:space="preserve"> and typically an averaging approach can be used.</w:t>
      </w:r>
      <w:r w:rsidR="00A105EC" w:rsidRPr="00A105EC">
        <w:t xml:space="preserve"> </w:t>
      </w:r>
      <w:r w:rsidR="008D3D2A">
        <w:t xml:space="preserve">How data are collected/sourced and then aggregated is an important consideration in </w:t>
      </w:r>
      <w:r w:rsidR="00F928A8">
        <w:t xml:space="preserve">the </w:t>
      </w:r>
      <w:r w:rsidR="00F928A8" w:rsidRPr="008D3D2A">
        <w:t>design</w:t>
      </w:r>
      <w:r w:rsidR="008D3D2A" w:rsidRPr="008D3D2A">
        <w:t xml:space="preserve"> phase</w:t>
      </w:r>
      <w:r w:rsidR="008D3D2A">
        <w:t xml:space="preserve">, and should relate to </w:t>
      </w:r>
      <w:r w:rsidR="008D3D2A" w:rsidRPr="008D3D2A">
        <w:t xml:space="preserve">the objectives </w:t>
      </w:r>
      <w:r w:rsidR="008D3D2A">
        <w:t xml:space="preserve">and </w:t>
      </w:r>
      <w:r w:rsidR="008D3D2A" w:rsidRPr="008D3D2A">
        <w:t>KEQs o</w:t>
      </w:r>
      <w:r w:rsidR="008D3D2A">
        <w:t>f the program.</w:t>
      </w:r>
    </w:p>
    <w:p w14:paraId="0F016446" w14:textId="1CE8A4B7" w:rsidR="00A75002" w:rsidRDefault="00A105EC" w:rsidP="007A08D5">
      <w:r>
        <w:t>Some existing programs (e.g. I</w:t>
      </w:r>
      <w:r w:rsidR="002F042F">
        <w:t xml:space="preserve">ndex of Stream Condition </w:t>
      </w:r>
      <w:r>
        <w:t>and S</w:t>
      </w:r>
      <w:r w:rsidR="002F042F">
        <w:t>ustainable Rivers Audit</w:t>
      </w:r>
      <w:r>
        <w:t xml:space="preserve">) attempt to perform site scale </w:t>
      </w:r>
      <w:r w:rsidRPr="00D82ED8">
        <w:rPr>
          <w:b/>
        </w:rPr>
        <w:t>integration before aggregation</w:t>
      </w:r>
      <w:r>
        <w:t xml:space="preserve"> (</w:t>
      </w:r>
      <w:r>
        <w:fldChar w:fldCharType="begin"/>
      </w:r>
      <w:r>
        <w:instrText xml:space="preserve"> REF _Ref479172986 \h </w:instrText>
      </w:r>
      <w:r>
        <w:fldChar w:fldCharType="separate"/>
      </w:r>
      <w:r w:rsidR="005F359C">
        <w:t xml:space="preserve">Figure </w:t>
      </w:r>
      <w:r w:rsidR="005F359C">
        <w:rPr>
          <w:noProof/>
        </w:rPr>
        <w:t>10</w:t>
      </w:r>
      <w:r>
        <w:fldChar w:fldCharType="end"/>
      </w:r>
      <w:r>
        <w:t>a) as this allows better engagement of local managers and communities</w:t>
      </w:r>
      <w:r w:rsidR="0052354E">
        <w:t>. H</w:t>
      </w:r>
      <w:r>
        <w:t xml:space="preserve">owever the site scale assessments </w:t>
      </w:r>
      <w:r w:rsidR="00F7203A">
        <w:t>can be</w:t>
      </w:r>
      <w:r>
        <w:t xml:space="preserve"> </w:t>
      </w:r>
      <w:r w:rsidR="001B7DA1">
        <w:t xml:space="preserve">inefficient for some </w:t>
      </w:r>
      <w:r w:rsidR="0004476C">
        <w:t>themes that</w:t>
      </w:r>
      <w:r w:rsidR="00F7203A">
        <w:t xml:space="preserve"> are relevant at larger scales, and sometimes </w:t>
      </w:r>
      <w:r>
        <w:t>coarse</w:t>
      </w:r>
      <w:r w:rsidR="001B7DA1">
        <w:t>,</w:t>
      </w:r>
      <w:r>
        <w:t xml:space="preserve"> depending on the integration method. This lower</w:t>
      </w:r>
      <w:r w:rsidR="00F7203A">
        <w:t>-</w:t>
      </w:r>
      <w:r>
        <w:t xml:space="preserve">scale integration approach also either requires all data to be available </w:t>
      </w:r>
      <w:r w:rsidR="00F7203A">
        <w:t>at</w:t>
      </w:r>
      <w:r>
        <w:t xml:space="preserve"> the smaller spatial scale, </w:t>
      </w:r>
      <w:r w:rsidR="00F7203A">
        <w:t>or may be</w:t>
      </w:r>
      <w:r>
        <w:t xml:space="preserve"> susceptible to missing data. </w:t>
      </w:r>
      <w:r w:rsidR="00A75002">
        <w:t>It also assumes that a single sampling frame applies to all themes and this is probably not true (e.g. sampling vegetation and water quality at the same point is not possible if there is no water). Also in this approach errors in integration are aggregated. Overall this approach is not recommended.</w:t>
      </w:r>
    </w:p>
    <w:p w14:paraId="25822190" w14:textId="055BE146" w:rsidR="006D2929" w:rsidRDefault="00A105EC" w:rsidP="006D2929">
      <w:r w:rsidRPr="00D82ED8">
        <w:rPr>
          <w:b/>
        </w:rPr>
        <w:t>Aggregation before integration</w:t>
      </w:r>
      <w:r>
        <w:t xml:space="preserve"> (</w:t>
      </w:r>
      <w:r>
        <w:fldChar w:fldCharType="begin"/>
      </w:r>
      <w:r>
        <w:instrText xml:space="preserve"> REF _Ref479172986 \h </w:instrText>
      </w:r>
      <w:r>
        <w:fldChar w:fldCharType="separate"/>
      </w:r>
      <w:r w:rsidR="005F359C">
        <w:t xml:space="preserve">Figure </w:t>
      </w:r>
      <w:r w:rsidR="005F359C">
        <w:rPr>
          <w:noProof/>
        </w:rPr>
        <w:t>10</w:t>
      </w:r>
      <w:r>
        <w:fldChar w:fldCharType="end"/>
      </w:r>
      <w:r w:rsidR="00F7203A">
        <w:t xml:space="preserve">b) is desirable for multi-site/ecosystem assessments </w:t>
      </w:r>
      <w:r>
        <w:t xml:space="preserve">because it is </w:t>
      </w:r>
      <w:r w:rsidR="001B7DA1">
        <w:t xml:space="preserve">more efficient (some themes are not ‘over-sampled’), </w:t>
      </w:r>
      <w:r>
        <w:t xml:space="preserve">simpler, </w:t>
      </w:r>
      <w:r w:rsidR="00F7203A">
        <w:t xml:space="preserve">and can </w:t>
      </w:r>
      <w:r>
        <w:t>create narrower confidence intervals</w:t>
      </w:r>
      <w:r w:rsidR="00F7203A">
        <w:t xml:space="preserve">. It also has the substantial advantage of allowing </w:t>
      </w:r>
      <w:r>
        <w:t>independent sampling frames for each indicator.</w:t>
      </w:r>
      <w:r w:rsidR="006D2929" w:rsidRPr="006D2929">
        <w:t xml:space="preserve"> </w:t>
      </w:r>
      <w:r w:rsidR="006D2929">
        <w:t>Themes are sampled independently of each other (this will mean less unnecessary data collection)</w:t>
      </w:r>
      <w:r w:rsidR="00D82ED8">
        <w:t xml:space="preserve"> and each </w:t>
      </w:r>
      <w:r w:rsidR="006D2929">
        <w:t>theme can be sampled to a desired level of confidence in assessment.</w:t>
      </w:r>
      <w:r w:rsidR="00D82ED8">
        <w:t xml:space="preserve"> If m</w:t>
      </w:r>
      <w:r w:rsidR="006D2929">
        <w:t>issing data</w:t>
      </w:r>
      <w:r w:rsidR="00D82ED8">
        <w:t xml:space="preserve"> is an issue it is able to be </w:t>
      </w:r>
      <w:r w:rsidR="006D2929">
        <w:t xml:space="preserve">handled within each theme. </w:t>
      </w:r>
      <w:r w:rsidR="00D82ED8">
        <w:t>The negatives of this approach are that s</w:t>
      </w:r>
      <w:r w:rsidR="006D2929">
        <w:t>ampling of different themes at different scales can require more logistical effort for field work.</w:t>
      </w:r>
      <w:r w:rsidR="00D82ED8">
        <w:t xml:space="preserve"> Also will r</w:t>
      </w:r>
      <w:r w:rsidR="006D2929">
        <w:t>equires alignment of individual themes scores to the same spatial scale before integration (themes with missing data may need to be dropped)</w:t>
      </w:r>
      <w:r w:rsidR="00D82ED8">
        <w:t>.</w:t>
      </w:r>
    </w:p>
    <w:p w14:paraId="45FC8ED1" w14:textId="7B899B72" w:rsidR="007A08D5" w:rsidRDefault="00D82ED8" w:rsidP="006D2929">
      <w:r>
        <w:t xml:space="preserve">Aggregation before integration is recommended for use in IECA assessments. </w:t>
      </w:r>
    </w:p>
    <w:p w14:paraId="278325AA" w14:textId="77777777" w:rsidR="004006CD" w:rsidRDefault="004006CD" w:rsidP="007A08D5"/>
    <w:p w14:paraId="6D48B0D0" w14:textId="77777777" w:rsidR="004006CD" w:rsidRDefault="004006CD" w:rsidP="007A08D5"/>
    <w:p w14:paraId="4B3EC228" w14:textId="30CE850A" w:rsidR="00A105EC" w:rsidRDefault="00AA01AA" w:rsidP="007A08D5">
      <w:r>
        <w:rPr>
          <w:noProof/>
          <w:lang w:eastAsia="en-AU"/>
        </w:rPr>
        <w:lastRenderedPageBreak/>
        <w:drawing>
          <wp:inline distT="0" distB="0" distL="0" distR="0" wp14:anchorId="7DD29FAE" wp14:editId="3346FAC4">
            <wp:extent cx="5731510" cy="37484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 updated a.png"/>
                    <pic:cNvPicPr/>
                  </pic:nvPicPr>
                  <pic:blipFill>
                    <a:blip r:embed="rId73">
                      <a:extLst>
                        <a:ext uri="{28A0092B-C50C-407E-A947-70E740481C1C}">
                          <a14:useLocalDpi xmlns:a14="http://schemas.microsoft.com/office/drawing/2010/main" val="0"/>
                        </a:ext>
                      </a:extLst>
                    </a:blip>
                    <a:stretch>
                      <a:fillRect/>
                    </a:stretch>
                  </pic:blipFill>
                  <pic:spPr>
                    <a:xfrm>
                      <a:off x="0" y="0"/>
                      <a:ext cx="5731510" cy="3748405"/>
                    </a:xfrm>
                    <a:prstGeom prst="rect">
                      <a:avLst/>
                    </a:prstGeom>
                  </pic:spPr>
                </pic:pic>
              </a:graphicData>
            </a:graphic>
          </wp:inline>
        </w:drawing>
      </w:r>
    </w:p>
    <w:p w14:paraId="1D1E50C9" w14:textId="4677089D" w:rsidR="00AA01AA" w:rsidRDefault="00AA01AA" w:rsidP="007A08D5">
      <w:r>
        <w:rPr>
          <w:noProof/>
          <w:lang w:eastAsia="en-AU"/>
        </w:rPr>
        <w:drawing>
          <wp:inline distT="0" distB="0" distL="0" distR="0" wp14:anchorId="5F924D12" wp14:editId="3E044EA0">
            <wp:extent cx="5731510" cy="30333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 updated b.png"/>
                    <pic:cNvPicPr/>
                  </pic:nvPicPr>
                  <pic:blipFill>
                    <a:blip r:embed="rId74">
                      <a:extLst>
                        <a:ext uri="{28A0092B-C50C-407E-A947-70E740481C1C}">
                          <a14:useLocalDpi xmlns:a14="http://schemas.microsoft.com/office/drawing/2010/main" val="0"/>
                        </a:ext>
                      </a:extLst>
                    </a:blip>
                    <a:stretch>
                      <a:fillRect/>
                    </a:stretch>
                  </pic:blipFill>
                  <pic:spPr>
                    <a:xfrm>
                      <a:off x="0" y="0"/>
                      <a:ext cx="5731510" cy="3033395"/>
                    </a:xfrm>
                    <a:prstGeom prst="rect">
                      <a:avLst/>
                    </a:prstGeom>
                  </pic:spPr>
                </pic:pic>
              </a:graphicData>
            </a:graphic>
          </wp:inline>
        </w:drawing>
      </w:r>
    </w:p>
    <w:p w14:paraId="676174FB" w14:textId="381F09A9" w:rsidR="00A105EC" w:rsidRDefault="00A105EC" w:rsidP="00A105EC">
      <w:pPr>
        <w:pStyle w:val="Caption"/>
      </w:pPr>
      <w:bookmarkStart w:id="79" w:name="_Ref479172986"/>
      <w:r>
        <w:t xml:space="preserve">Figure </w:t>
      </w:r>
      <w:fldSimple w:instr=" SEQ Figure \* ARABIC ">
        <w:r w:rsidR="005F359C">
          <w:rPr>
            <w:noProof/>
          </w:rPr>
          <w:t>10</w:t>
        </w:r>
      </w:fldSimple>
      <w:bookmarkEnd w:id="79"/>
      <w:r w:rsidR="00FD50A9">
        <w:rPr>
          <w:noProof/>
        </w:rPr>
        <w:t>:</w:t>
      </w:r>
      <w:r>
        <w:t xml:space="preserve"> Two different methods for getting from indicators to an integrated condition score. The outer box represents the assessment unit. a) each indicator or theme is assessed within each of a number of sites and each site rec</w:t>
      </w:r>
      <w:r w:rsidR="00D91972">
        <w:t>ei</w:t>
      </w:r>
      <w:r>
        <w:t>ves an integrated assessment that is subsequently aggregated to the assessment unit scale for reporting. b) each indicator or theme is assessed at the assessment unit scale then scores are integrated. The approach illustrated in b) is recommended.</w:t>
      </w:r>
    </w:p>
    <w:p w14:paraId="25AA9FF1" w14:textId="77777777" w:rsidR="008032C5" w:rsidRPr="008032C5" w:rsidRDefault="008032C5" w:rsidP="008032C5"/>
    <w:p w14:paraId="4D5D939F" w14:textId="77777777" w:rsidR="00F963F5" w:rsidRPr="004E7EB5" w:rsidRDefault="00F963F5" w:rsidP="00F963F5">
      <w:pPr>
        <w:rPr>
          <w:b/>
          <w:i/>
          <w:sz w:val="24"/>
          <w:szCs w:val="24"/>
        </w:rPr>
      </w:pPr>
      <w:r w:rsidRPr="004E7EB5">
        <w:rPr>
          <w:b/>
          <w:i/>
          <w:color w:val="8C863E" w:themeColor="background2" w:themeShade="80"/>
          <w:sz w:val="24"/>
          <w:szCs w:val="24"/>
        </w:rPr>
        <w:lastRenderedPageBreak/>
        <w:t>Aim</w:t>
      </w:r>
    </w:p>
    <w:p w14:paraId="19F51CD8" w14:textId="77777777" w:rsidR="00F963F5" w:rsidRPr="004E7EB5" w:rsidRDefault="00F963F5" w:rsidP="00F963F5">
      <w:r>
        <w:t>To convert collected information (data) into assessment scores for each theme that can be reported individually or for comparison between assessment units in space or time.</w:t>
      </w:r>
    </w:p>
    <w:p w14:paraId="6B605B64" w14:textId="77777777" w:rsidR="00F963F5" w:rsidRDefault="00F963F5" w:rsidP="00F963F5">
      <w:pPr>
        <w:rPr>
          <w:b/>
          <w:i/>
          <w:color w:val="8C863E" w:themeColor="background2" w:themeShade="80"/>
          <w:sz w:val="24"/>
          <w:szCs w:val="24"/>
        </w:rPr>
      </w:pPr>
      <w:r w:rsidRPr="004E7EB5">
        <w:rPr>
          <w:b/>
          <w:i/>
          <w:color w:val="8C863E" w:themeColor="background2" w:themeShade="80"/>
          <w:sz w:val="24"/>
          <w:szCs w:val="24"/>
        </w:rPr>
        <w:t>Inputs</w:t>
      </w:r>
    </w:p>
    <w:p w14:paraId="6A9EEBC2" w14:textId="77777777" w:rsidR="00F963F5" w:rsidRDefault="00F963F5" w:rsidP="00F963F5">
      <w:pPr>
        <w:pStyle w:val="ListParagraph"/>
        <w:numPr>
          <w:ilvl w:val="0"/>
          <w:numId w:val="27"/>
        </w:numPr>
      </w:pPr>
      <w:r>
        <w:t>Raw data;</w:t>
      </w:r>
    </w:p>
    <w:p w14:paraId="6DC768FC" w14:textId="77777777" w:rsidR="00F963F5" w:rsidRDefault="00F963F5" w:rsidP="00F963F5">
      <w:pPr>
        <w:pStyle w:val="ListParagraph"/>
        <w:numPr>
          <w:ilvl w:val="0"/>
          <w:numId w:val="27"/>
        </w:numPr>
      </w:pPr>
      <w:r>
        <w:t>List of contributing assessment programs;</w:t>
      </w:r>
    </w:p>
    <w:p w14:paraId="161380E3" w14:textId="77777777" w:rsidR="00F963F5" w:rsidRDefault="00F963F5" w:rsidP="00F963F5">
      <w:pPr>
        <w:pStyle w:val="ListParagraph"/>
        <w:numPr>
          <w:ilvl w:val="0"/>
          <w:numId w:val="27"/>
        </w:numPr>
      </w:pPr>
      <w:r>
        <w:t>Knowledge of sampling frame used when collecting raw data to allow aggregation;</w:t>
      </w:r>
    </w:p>
    <w:p w14:paraId="0544492E" w14:textId="77777777" w:rsidR="00F963F5" w:rsidRDefault="00F963F5" w:rsidP="00F963F5">
      <w:pPr>
        <w:pStyle w:val="ListParagraph"/>
        <w:numPr>
          <w:ilvl w:val="0"/>
          <w:numId w:val="27"/>
        </w:numPr>
      </w:pPr>
      <w:r>
        <w:t>Targets, triggers, points of reference for each indicator group;</w:t>
      </w:r>
    </w:p>
    <w:p w14:paraId="27B80C7B" w14:textId="77777777" w:rsidR="00F963F5" w:rsidRDefault="00F963F5" w:rsidP="00F963F5">
      <w:pPr>
        <w:pStyle w:val="ListParagraph"/>
        <w:numPr>
          <w:ilvl w:val="0"/>
          <w:numId w:val="27"/>
        </w:numPr>
      </w:pPr>
      <w:r>
        <w:t>Agreed weights or levels of importance of indicator groups within each theme;</w:t>
      </w:r>
    </w:p>
    <w:p w14:paraId="5AC388F3" w14:textId="77777777" w:rsidR="00F963F5" w:rsidRDefault="00F963F5" w:rsidP="00F963F5">
      <w:pPr>
        <w:pStyle w:val="ListParagraph"/>
        <w:numPr>
          <w:ilvl w:val="0"/>
          <w:numId w:val="27"/>
        </w:numPr>
      </w:pPr>
      <w:r>
        <w:t>Method for integrating indicator groups within each theme; and</w:t>
      </w:r>
    </w:p>
    <w:p w14:paraId="1A69A9F2" w14:textId="77777777" w:rsidR="00F963F5" w:rsidRDefault="00F963F5" w:rsidP="00F963F5">
      <w:pPr>
        <w:pStyle w:val="ListParagraph"/>
        <w:numPr>
          <w:ilvl w:val="0"/>
          <w:numId w:val="27"/>
        </w:numPr>
      </w:pPr>
      <w:r>
        <w:t>Standardised reporting framework.</w:t>
      </w:r>
    </w:p>
    <w:p w14:paraId="6B969B2E" w14:textId="6B5F67BD" w:rsidR="00D246DA" w:rsidRPr="009F54BA" w:rsidRDefault="00D246DA" w:rsidP="00D246DA">
      <w:pPr>
        <w:rPr>
          <w:b/>
          <w:color w:val="8C863E" w:themeColor="background2" w:themeShade="80"/>
          <w:sz w:val="24"/>
          <w:szCs w:val="24"/>
        </w:rPr>
      </w:pPr>
      <w:r w:rsidRPr="004E7EB5">
        <w:rPr>
          <w:b/>
          <w:i/>
          <w:color w:val="8C863E" w:themeColor="background2" w:themeShade="80"/>
          <w:sz w:val="24"/>
          <w:szCs w:val="24"/>
        </w:rPr>
        <w:t>Task</w:t>
      </w:r>
      <w:r w:rsidR="00736D3B">
        <w:rPr>
          <w:b/>
          <w:i/>
          <w:color w:val="8C863E" w:themeColor="background2" w:themeShade="80"/>
          <w:sz w:val="24"/>
          <w:szCs w:val="24"/>
        </w:rPr>
        <w:t>s</w:t>
      </w:r>
      <w:r>
        <w:rPr>
          <w:b/>
          <w:i/>
          <w:color w:val="8C863E" w:themeColor="background2" w:themeShade="80"/>
          <w:sz w:val="24"/>
          <w:szCs w:val="24"/>
        </w:rPr>
        <w:t xml:space="preserve"> </w:t>
      </w:r>
    </w:p>
    <w:p w14:paraId="0BCC289A" w14:textId="1AB4A6BF" w:rsidR="00D246DA" w:rsidRDefault="00D246DA" w:rsidP="00F4328F">
      <w:pPr>
        <w:pStyle w:val="ListParagraph"/>
        <w:numPr>
          <w:ilvl w:val="0"/>
          <w:numId w:val="21"/>
        </w:numPr>
        <w:rPr>
          <w:b/>
          <w:i/>
        </w:rPr>
      </w:pPr>
      <w:r>
        <w:rPr>
          <w:b/>
          <w:i/>
        </w:rPr>
        <w:t>Documentation of data collection methodology</w:t>
      </w:r>
      <w:r w:rsidR="0052354E">
        <w:rPr>
          <w:b/>
          <w:i/>
        </w:rPr>
        <w:t>,</w:t>
      </w:r>
      <w:r>
        <w:rPr>
          <w:b/>
          <w:i/>
        </w:rPr>
        <w:t xml:space="preserve"> including sampling strategy and sampling frame used for a) existing, and b) </w:t>
      </w:r>
      <w:r w:rsidR="00C824A5">
        <w:rPr>
          <w:b/>
          <w:i/>
        </w:rPr>
        <w:t>additional</w:t>
      </w:r>
      <w:r>
        <w:rPr>
          <w:b/>
          <w:i/>
        </w:rPr>
        <w:t xml:space="preserve"> data collection</w:t>
      </w:r>
      <w:r w:rsidR="004A7CB0">
        <w:rPr>
          <w:b/>
          <w:i/>
        </w:rPr>
        <w:t xml:space="preserve"> (Step 5)</w:t>
      </w:r>
    </w:p>
    <w:p w14:paraId="0EC4AAB5" w14:textId="0D9306BA" w:rsidR="008E63EE" w:rsidRDefault="0059580D" w:rsidP="0059580D">
      <w:r>
        <w:t xml:space="preserve">The IECA Framework allows for the use of existing programs, which in turn can facilitate assessment continuity and effectiveness, as data are sometimes comprehensive and already available. </w:t>
      </w:r>
      <w:r w:rsidR="001011B0">
        <w:t xml:space="preserve">When attempting to use existing rather than </w:t>
      </w:r>
      <w:r w:rsidR="00C824A5">
        <w:t>additional</w:t>
      </w:r>
      <w:r w:rsidR="001011B0">
        <w:t xml:space="preserve"> data having multiple data sets at multiple scales, a mixture of sampling frames and selection probabilities </w:t>
      </w:r>
      <w:r w:rsidR="00F7203A">
        <w:t xml:space="preserve">and strata </w:t>
      </w:r>
      <w:r w:rsidR="001011B0">
        <w:t>for sites and indicators can obviously increase the complexity of the analysis. For this reason it</w:t>
      </w:r>
      <w:r>
        <w:t xml:space="preserve"> is recommended that once all existing programs are identified that the information relating to aggregation and integration of data is </w:t>
      </w:r>
      <w:r w:rsidR="002A7DC5">
        <w:t>tabulated</w:t>
      </w:r>
      <w:r>
        <w:t xml:space="preserve"> to extract information regarding attributes, assessment endpoints, scoring procedures and aggregation </w:t>
      </w:r>
      <w:r w:rsidR="00F3163B">
        <w:t>technique</w:t>
      </w:r>
      <w:r>
        <w:t>s</w:t>
      </w:r>
      <w:r w:rsidR="00F6362E">
        <w:t xml:space="preserve"> (</w:t>
      </w:r>
      <w:r w:rsidR="00D24EBC">
        <w:fldChar w:fldCharType="begin"/>
      </w:r>
      <w:r w:rsidR="00D24EBC">
        <w:instrText xml:space="preserve"> REF _Ref479173309 \h </w:instrText>
      </w:r>
      <w:r w:rsidR="00D24EBC">
        <w:fldChar w:fldCharType="separate"/>
      </w:r>
      <w:r w:rsidR="005F359C">
        <w:t xml:space="preserve">Table </w:t>
      </w:r>
      <w:r w:rsidR="005F359C">
        <w:rPr>
          <w:noProof/>
        </w:rPr>
        <w:t>14</w:t>
      </w:r>
      <w:r w:rsidR="00D24EBC">
        <w:fldChar w:fldCharType="end"/>
      </w:r>
      <w:r w:rsidR="00F6362E">
        <w:t>)</w:t>
      </w:r>
      <w:r>
        <w:t xml:space="preserve"> (e.g. </w:t>
      </w:r>
      <w:r w:rsidR="004A60EA">
        <w:fldChar w:fldCharType="begin"/>
      </w:r>
      <w:r w:rsidR="004A60EA">
        <w:instrText xml:space="preserve"> ADDIN ZOTERO_ITEM CSL_CITATION {"citationID":"mnshd4bhq","properties":{"formattedCitation":"(Langhans et al. 2013)","plainCitation":"(Langhans et al. 2013)"},"citationItems":[{"id":3177,"uris":["http://zotero.org/users/3119797/items/NPRVX7EG"],"uri":["http://zotero.org/users/3119797/items/NPRVX7EG"],"itemData":{"id":3177,"type":"article-journal","title":"How to make river assessments comparable: A demonstration for hydromorphology","container-title":"Ecological Indicators","page":"264-275","volume":"32","source":"CrossRef","DOI":"10.1016/j.ecolind.2013.03.027","ISSN":"1470160X","shortTitle":"How to make river assessments comparable","language":"en","author":[{"family":"Langhans","given":"Simone D."},{"family":"Lienert","given":"Judit"},{"family":"Schuwirth","given":"Nele"},{"family":"Reichert","given":"Peter"}],"issued":{"date-parts":[["2013",9]]}}}],"schema":"https://github.com/citation-style-language/schema/raw/master/csl-citation.json"} </w:instrText>
      </w:r>
      <w:r w:rsidR="004A60EA">
        <w:fldChar w:fldCharType="separate"/>
      </w:r>
      <w:r w:rsidR="004A60EA" w:rsidRPr="004A60EA">
        <w:rPr>
          <w:rFonts w:cs="Calibri"/>
        </w:rPr>
        <w:t>Langhans et al. 2013)</w:t>
      </w:r>
      <w:r w:rsidR="004A60EA">
        <w:fldChar w:fldCharType="end"/>
      </w:r>
      <w:r>
        <w:t xml:space="preserve">. </w:t>
      </w:r>
    </w:p>
    <w:p w14:paraId="243FB92C" w14:textId="53D0DB64" w:rsidR="004A7CB0" w:rsidRDefault="004A7CB0" w:rsidP="004A7CB0">
      <w:r>
        <w:t>To combine data within or between themes from two programs requires</w:t>
      </w:r>
      <w:r w:rsidR="00D24EBC">
        <w:t>:</w:t>
      </w:r>
    </w:p>
    <w:p w14:paraId="3BAF9584" w14:textId="4F4F9D2C" w:rsidR="004A7CB0" w:rsidRDefault="00D24EBC" w:rsidP="00F4328F">
      <w:pPr>
        <w:pStyle w:val="ListParagraph"/>
        <w:numPr>
          <w:ilvl w:val="0"/>
          <w:numId w:val="38"/>
        </w:numPr>
      </w:pPr>
      <w:r>
        <w:t>A</w:t>
      </w:r>
      <w:r w:rsidR="004A7CB0">
        <w:t xml:space="preserve"> combined target population definition</w:t>
      </w:r>
      <w:r w:rsidR="004E4F49">
        <w:t>;</w:t>
      </w:r>
      <w:r w:rsidR="004A7CB0">
        <w:t xml:space="preserve"> </w:t>
      </w:r>
    </w:p>
    <w:p w14:paraId="5A07BC32" w14:textId="0667800F" w:rsidR="004A7CB0" w:rsidRDefault="00D24EBC" w:rsidP="00F4328F">
      <w:pPr>
        <w:pStyle w:val="ListParagraph"/>
        <w:numPr>
          <w:ilvl w:val="0"/>
          <w:numId w:val="38"/>
        </w:numPr>
      </w:pPr>
      <w:r>
        <w:t>A</w:t>
      </w:r>
      <w:r w:rsidR="004A7CB0">
        <w:t xml:space="preserve"> combined sample frame</w:t>
      </w:r>
      <w:r w:rsidR="004E4F49">
        <w:t>;</w:t>
      </w:r>
      <w:r w:rsidR="004A7CB0">
        <w:t xml:space="preserve"> and </w:t>
      </w:r>
    </w:p>
    <w:p w14:paraId="75CBC2CC" w14:textId="23D11A05" w:rsidR="004A7CB0" w:rsidRDefault="00D24EBC" w:rsidP="00F4328F">
      <w:pPr>
        <w:pStyle w:val="ListParagraph"/>
        <w:numPr>
          <w:ilvl w:val="0"/>
          <w:numId w:val="38"/>
        </w:numPr>
      </w:pPr>
      <w:r>
        <w:t>A</w:t>
      </w:r>
      <w:r w:rsidR="004A7CB0">
        <w:t xml:space="preserve"> re-calculation of weights (inclusion probabilities) using original survey design information </w:t>
      </w:r>
      <w:r w:rsidR="004A7CB0">
        <w:fldChar w:fldCharType="begin"/>
      </w:r>
      <w:r w:rsidR="004A7CB0">
        <w:instrText xml:space="preserve"> ADDIN ZOTERO_ITEM CSL_CITATION {"citationID":"7t8438ur5","properties":{"formattedCitation":"(Larsen et al. 2007)","plainCitation":"(Larsen et al. 2007)"},"citationItems":[{"id":3372,"uris":["http://zotero.org/users/3119797/items/NZQAF8D8"],"uri":["http://zotero.org/users/3119797/items/NZQAF8D8"],"itemData":{"id":3372,"type":"article-journal","title":"Sound Survey Designs can Facilitate Integrating Stream Monitoring Data Across Multiple Programs","container-title":"Journal of the American Water Resources Association","page":"384-397","volume":"43","issue":"2","source":"CrossRef","DOI":"10.1111/j.1752-1688.2007.00030.x","ISSN":"1093-474X, 1752-1688","language":"en","author":[{"family":"Larsen","given":"David P."},{"family":"Olsen","given":"Anthony R."},{"family":"Lanigan","given":"Steven H."},{"family":"Moyer","given":"Chris"},{"family":"Jones","given":"Kim K."},{"family":"Kincaid","given":"Thomas M."}],"issued":{"date-parts":[["2007",4]]}}}],"schema":"https://github.com/citation-style-language/schema/raw/master/csl-citation.json"} </w:instrText>
      </w:r>
      <w:r w:rsidR="004A7CB0">
        <w:fldChar w:fldCharType="separate"/>
      </w:r>
      <w:r w:rsidR="004A7CB0" w:rsidRPr="001174E1">
        <w:rPr>
          <w:rFonts w:cs="Calibri"/>
        </w:rPr>
        <w:t>(Larsen et al. 2007)</w:t>
      </w:r>
      <w:r w:rsidR="004A7CB0">
        <w:fldChar w:fldCharType="end"/>
      </w:r>
      <w:r w:rsidR="004A7CB0">
        <w:t>.</w:t>
      </w:r>
    </w:p>
    <w:p w14:paraId="24FCF6E2" w14:textId="7E48F6B7" w:rsidR="004A7CB0" w:rsidRDefault="002A7DC5" w:rsidP="004A7CB0">
      <w:r>
        <w:t xml:space="preserve">When the reporting scale and spatial domain </w:t>
      </w:r>
      <w:r w:rsidR="004A7CB0">
        <w:t xml:space="preserve">is different to the combined sampling frame (this will nearly always be the case if the data were collected for a different purpose to IECA), then caveats will need to be placed on the results. For example, data from a high country riparian vegetation survey may be combined with several lowland riparian vegetation surveys, but if the IECA </w:t>
      </w:r>
      <w:r>
        <w:t xml:space="preserve">assessment </w:t>
      </w:r>
      <w:r w:rsidR="004A7CB0">
        <w:t xml:space="preserve">aims for a state-wide assessment, then there is a substantial part of the state that </w:t>
      </w:r>
      <w:r w:rsidR="0076596C">
        <w:t xml:space="preserve">may not have been </w:t>
      </w:r>
      <w:r w:rsidR="004A7CB0">
        <w:t>included in the sampling frame. This potential bias must be identified when reporting.</w:t>
      </w:r>
    </w:p>
    <w:p w14:paraId="6993C08D" w14:textId="77777777" w:rsidR="00D246DA" w:rsidRPr="0034143D" w:rsidRDefault="00D246DA" w:rsidP="00F4328F">
      <w:pPr>
        <w:pStyle w:val="ListParagraph"/>
        <w:numPr>
          <w:ilvl w:val="0"/>
          <w:numId w:val="21"/>
        </w:numPr>
        <w:rPr>
          <w:b/>
          <w:i/>
        </w:rPr>
      </w:pPr>
      <w:r w:rsidRPr="0034143D">
        <w:rPr>
          <w:b/>
          <w:i/>
        </w:rPr>
        <w:t>Calculate condition scores</w:t>
      </w:r>
      <w:r>
        <w:rPr>
          <w:b/>
          <w:i/>
        </w:rPr>
        <w:t xml:space="preserve"> </w:t>
      </w:r>
      <w:r w:rsidRPr="0034143D">
        <w:rPr>
          <w:b/>
          <w:i/>
        </w:rPr>
        <w:t>for priority values, ecosystems and assessment units</w:t>
      </w:r>
      <w:r>
        <w:rPr>
          <w:b/>
          <w:i/>
        </w:rPr>
        <w:t>.</w:t>
      </w:r>
      <w:r w:rsidRPr="0034143D">
        <w:rPr>
          <w:b/>
          <w:i/>
        </w:rPr>
        <w:t xml:space="preserve"> </w:t>
      </w:r>
    </w:p>
    <w:p w14:paraId="38BB0E77" w14:textId="303F82E7" w:rsidR="0076596C" w:rsidRDefault="0076596C" w:rsidP="0076596C">
      <w:r>
        <w:t xml:space="preserve">The KEQ and the scale at which the </w:t>
      </w:r>
      <w:r w:rsidR="004875C1">
        <w:t>baseline condition</w:t>
      </w:r>
      <w:r w:rsidR="002F042F">
        <w:t xml:space="preserve"> are</w:t>
      </w:r>
      <w:r>
        <w:t xml:space="preserve"> set influence how the data are collected and how they can be reported. The analysis may be at the sampling site scale, or it may be at a larger scale. For example, an objective related to the diversity of native riparian plants in a</w:t>
      </w:r>
      <w:r w:rsidR="00D24EBC">
        <w:t>n</w:t>
      </w:r>
      <w:r>
        <w:t xml:space="preserve"> </w:t>
      </w:r>
      <w:r w:rsidR="00D24EBC">
        <w:t>assessment</w:t>
      </w:r>
      <w:r>
        <w:t xml:space="preserve"> unit may be interested in average species richness within a sampling site, and/or the total diversity of plants in the entire </w:t>
      </w:r>
      <w:r w:rsidR="00D24EBC">
        <w:t>assessment</w:t>
      </w:r>
      <w:r>
        <w:t xml:space="preserve"> unit. The former requires a number of point assessments, one for each sampling site which </w:t>
      </w:r>
      <w:r w:rsidR="00D61D09">
        <w:t>is</w:t>
      </w:r>
      <w:r>
        <w:t xml:space="preserve"> then typically averaged to </w:t>
      </w:r>
      <w:r>
        <w:lastRenderedPageBreak/>
        <w:t xml:space="preserve">return a score for the </w:t>
      </w:r>
      <w:r w:rsidR="00D24EBC">
        <w:t>assessment</w:t>
      </w:r>
      <w:r>
        <w:t xml:space="preserve"> unit.  The latter measure of diversity only requires a single assessment calculated for the entire </w:t>
      </w:r>
      <w:r w:rsidR="00D24EBC">
        <w:t>assessment</w:t>
      </w:r>
      <w:r>
        <w:t xml:space="preserve"> unit. </w:t>
      </w:r>
    </w:p>
    <w:p w14:paraId="7B26BDCC" w14:textId="0602218E" w:rsidR="0076596C" w:rsidRDefault="0076596C" w:rsidP="0076596C">
      <w:r>
        <w:t>A site</w:t>
      </w:r>
      <w:r w:rsidR="002A7DC5">
        <w:t>-</w:t>
      </w:r>
      <w:r>
        <w:t xml:space="preserve">based method of scoring can either compare </w:t>
      </w:r>
      <w:r w:rsidR="001B7DA1">
        <w:t>individual site</w:t>
      </w:r>
      <w:r>
        <w:t xml:space="preserve"> data to the baseline condition, or it can compare the </w:t>
      </w:r>
      <w:r w:rsidR="00D24EBC">
        <w:t>assessment</w:t>
      </w:r>
      <w:r>
        <w:t xml:space="preserve"> unit average score to a baseline condition, depending on how the objectives </w:t>
      </w:r>
      <w:r w:rsidR="00D24EBC">
        <w:t>were conceived</w:t>
      </w:r>
      <w:r>
        <w:t xml:space="preserve">. Using the average of site based scores is preferred where available as it gives more flexibility in reporting and allows for simple measures of confidence of assessment to be included.  </w:t>
      </w:r>
    </w:p>
    <w:p w14:paraId="184C41C2" w14:textId="74910683" w:rsidR="0076596C" w:rsidRPr="009B679A" w:rsidRDefault="0076596C" w:rsidP="00F4328F">
      <w:pPr>
        <w:pStyle w:val="ListParagraph"/>
        <w:numPr>
          <w:ilvl w:val="0"/>
          <w:numId w:val="21"/>
        </w:numPr>
        <w:rPr>
          <w:b/>
          <w:i/>
        </w:rPr>
      </w:pPr>
      <w:r w:rsidRPr="009B679A">
        <w:rPr>
          <w:b/>
          <w:i/>
        </w:rPr>
        <w:t xml:space="preserve">Apply </w:t>
      </w:r>
      <w:r w:rsidR="009B679A">
        <w:rPr>
          <w:b/>
          <w:i/>
        </w:rPr>
        <w:t xml:space="preserve">selection </w:t>
      </w:r>
      <w:r w:rsidRPr="009B679A">
        <w:rPr>
          <w:b/>
          <w:i/>
        </w:rPr>
        <w:t>weights to indicator groups as necessary.</w:t>
      </w:r>
    </w:p>
    <w:p w14:paraId="408372B0" w14:textId="1DC6B6F2" w:rsidR="0076596C" w:rsidRPr="009B679A" w:rsidRDefault="0076596C" w:rsidP="0076596C">
      <w:r w:rsidRPr="009B679A">
        <w:t xml:space="preserve">All scores that are to be scaled up to the </w:t>
      </w:r>
      <w:r w:rsidR="00D24EBC" w:rsidRPr="009B679A">
        <w:t>assessment unit</w:t>
      </w:r>
      <w:r w:rsidRPr="009B679A">
        <w:t xml:space="preserve"> level must use site selection probabilities </w:t>
      </w:r>
      <w:r w:rsidR="009B679A">
        <w:t xml:space="preserve">when aggregating </w:t>
      </w:r>
      <w:r w:rsidR="00D24EBC" w:rsidRPr="009B679A">
        <w:t xml:space="preserve">(see example in </w:t>
      </w:r>
      <w:r w:rsidR="00D24EBC" w:rsidRPr="009B679A">
        <w:fldChar w:fldCharType="begin"/>
      </w:r>
      <w:r w:rsidR="00D24EBC" w:rsidRPr="009B679A">
        <w:instrText xml:space="preserve"> REF _Ref479520094 \h </w:instrText>
      </w:r>
      <w:r w:rsidR="006C6AE7" w:rsidRPr="009B679A">
        <w:instrText xml:space="preserve"> \* MERGEFORMAT </w:instrText>
      </w:r>
      <w:r w:rsidR="00D24EBC" w:rsidRPr="009B679A">
        <w:fldChar w:fldCharType="separate"/>
      </w:r>
      <w:r w:rsidR="005F359C" w:rsidRPr="005F359C">
        <w:t xml:space="preserve">Text Box </w:t>
      </w:r>
      <w:r w:rsidR="005F359C" w:rsidRPr="005F359C">
        <w:rPr>
          <w:noProof/>
        </w:rPr>
        <w:t>4</w:t>
      </w:r>
      <w:r w:rsidR="00D24EBC" w:rsidRPr="009B679A">
        <w:fldChar w:fldCharType="end"/>
      </w:r>
      <w:r w:rsidR="00D24EBC" w:rsidRPr="009B679A">
        <w:t>)</w:t>
      </w:r>
      <w:r w:rsidRPr="009B679A">
        <w:t xml:space="preserve">. When sites </w:t>
      </w:r>
      <w:r w:rsidR="009B679A">
        <w:t>selected to be sampled a</w:t>
      </w:r>
      <w:r w:rsidRPr="009B679A">
        <w:t xml:space="preserve">re not selected using equal probabilities, then </w:t>
      </w:r>
      <w:r w:rsidR="00D24EBC" w:rsidRPr="009B679A">
        <w:t>assessment unit</w:t>
      </w:r>
      <w:r w:rsidRPr="009B679A">
        <w:t xml:space="preserve"> scale baseline conditions must reflect these probabilities when setting the points of reference or thresholds.</w:t>
      </w:r>
      <w:r w:rsidR="00D24EBC" w:rsidRPr="009B679A">
        <w:t xml:space="preserve"> For example, if an assessment </w:t>
      </w:r>
      <w:r w:rsidR="002A7DC5" w:rsidRPr="009B679A">
        <w:t>addresses a total waterbird count objective</w:t>
      </w:r>
      <w:r w:rsidR="001B7DA1" w:rsidRPr="009B679A">
        <w:t xml:space="preserve">, </w:t>
      </w:r>
      <w:r w:rsidR="009B679A">
        <w:t xml:space="preserve">and 10 out of 20 </w:t>
      </w:r>
      <w:r w:rsidR="001B7DA1" w:rsidRPr="009B679A">
        <w:t>permanent wetlands</w:t>
      </w:r>
      <w:r w:rsidR="009B679A">
        <w:t xml:space="preserve"> (inclusion probability of 0.5)</w:t>
      </w:r>
      <w:r w:rsidR="001B7DA1" w:rsidRPr="009B679A">
        <w:t xml:space="preserve"> </w:t>
      </w:r>
      <w:r w:rsidR="009B679A">
        <w:t xml:space="preserve">are sampled </w:t>
      </w:r>
      <w:r w:rsidR="001B7DA1" w:rsidRPr="009B679A">
        <w:t xml:space="preserve">compared </w:t>
      </w:r>
      <w:r w:rsidR="006606EA" w:rsidRPr="009B679A">
        <w:t>with ephemeral</w:t>
      </w:r>
      <w:r w:rsidR="001B7DA1" w:rsidRPr="009B679A">
        <w:t xml:space="preserve"> </w:t>
      </w:r>
      <w:r w:rsidR="009B679A">
        <w:t xml:space="preserve">5 out of 50 (inclusion probability = 0.1) ephemeral </w:t>
      </w:r>
      <w:r w:rsidR="001B7DA1" w:rsidRPr="009B679A">
        <w:t xml:space="preserve">wetlands, then the baseline or reference population value must reflect </w:t>
      </w:r>
      <w:r w:rsidR="00D24EBC" w:rsidRPr="009B679A">
        <w:t>this</w:t>
      </w:r>
      <w:r w:rsidR="001B7DA1" w:rsidRPr="009B679A">
        <w:t>.</w:t>
      </w:r>
    </w:p>
    <w:p w14:paraId="4D8F0225" w14:textId="07AB6EEE" w:rsidR="00D246DA" w:rsidRPr="009B679A" w:rsidRDefault="00D246DA" w:rsidP="00F4328F">
      <w:pPr>
        <w:pStyle w:val="ListParagraph"/>
        <w:numPr>
          <w:ilvl w:val="0"/>
          <w:numId w:val="21"/>
        </w:numPr>
        <w:rPr>
          <w:b/>
          <w:i/>
        </w:rPr>
      </w:pPr>
      <w:r w:rsidRPr="009B679A">
        <w:rPr>
          <w:b/>
          <w:i/>
        </w:rPr>
        <w:t>Guidance on appropriate method</w:t>
      </w:r>
      <w:r w:rsidR="00D24EBC" w:rsidRPr="009B679A">
        <w:rPr>
          <w:b/>
          <w:i/>
        </w:rPr>
        <w:t xml:space="preserve">(s) for </w:t>
      </w:r>
      <w:r w:rsidRPr="009B679A">
        <w:rPr>
          <w:b/>
          <w:i/>
        </w:rPr>
        <w:t>aggregat</w:t>
      </w:r>
      <w:r w:rsidR="00D24EBC" w:rsidRPr="009B679A">
        <w:rPr>
          <w:b/>
          <w:i/>
        </w:rPr>
        <w:t>ion (</w:t>
      </w:r>
      <w:r w:rsidRPr="009B679A">
        <w:rPr>
          <w:b/>
          <w:i/>
        </w:rPr>
        <w:t xml:space="preserve"> e.g. for up scaling data</w:t>
      </w:r>
      <w:r w:rsidR="00D24EBC" w:rsidRPr="009B679A">
        <w:rPr>
          <w:b/>
          <w:i/>
        </w:rPr>
        <w:t>)</w:t>
      </w:r>
      <w:r w:rsidRPr="009B679A">
        <w:rPr>
          <w:b/>
          <w:i/>
        </w:rPr>
        <w:t xml:space="preserve"> </w:t>
      </w:r>
    </w:p>
    <w:p w14:paraId="52112CDA" w14:textId="53D63182" w:rsidR="0084477D" w:rsidRPr="009B679A" w:rsidRDefault="0084477D" w:rsidP="0035357B">
      <w:bookmarkStart w:id="80" w:name="_Ref471816808"/>
      <w:r w:rsidRPr="009B679A">
        <w:t xml:space="preserve">There are </w:t>
      </w:r>
      <w:r w:rsidR="001B7DA1" w:rsidRPr="009B679A">
        <w:t xml:space="preserve">typically </w:t>
      </w:r>
      <w:r w:rsidRPr="009B679A">
        <w:t>three main methods for aggregating scores to a larger scale for reporting (</w:t>
      </w:r>
      <w:r w:rsidRPr="009B679A">
        <w:fldChar w:fldCharType="begin"/>
      </w:r>
      <w:r w:rsidRPr="009B679A">
        <w:instrText xml:space="preserve"> REF _Ref479173309 \h </w:instrText>
      </w:r>
      <w:r w:rsidR="006C6AE7" w:rsidRPr="009B679A">
        <w:instrText xml:space="preserve"> \* MERGEFORMAT </w:instrText>
      </w:r>
      <w:r w:rsidRPr="009B679A">
        <w:fldChar w:fldCharType="separate"/>
      </w:r>
      <w:r w:rsidR="005F359C">
        <w:t xml:space="preserve">Table </w:t>
      </w:r>
      <w:r w:rsidR="005F359C">
        <w:rPr>
          <w:noProof/>
        </w:rPr>
        <w:t>14</w:t>
      </w:r>
      <w:r w:rsidRPr="009B679A">
        <w:fldChar w:fldCharType="end"/>
      </w:r>
      <w:r w:rsidRPr="009B679A">
        <w:t>).  These are either some form of average, extrapolation</w:t>
      </w:r>
      <w:r w:rsidR="009B679A">
        <w:t xml:space="preserve"> using a model</w:t>
      </w:r>
      <w:r w:rsidRPr="009B679A">
        <w:t>, or summing of the data. The actual method chosen will depend on the sampling strategy</w:t>
      </w:r>
      <w:r w:rsidR="009B679A">
        <w:t xml:space="preserve"> that was</w:t>
      </w:r>
      <w:r w:rsidRPr="009B679A">
        <w:t xml:space="preserve"> used when </w:t>
      </w:r>
      <w:r w:rsidR="009B679A">
        <w:t>existing</w:t>
      </w:r>
      <w:r w:rsidRPr="009B679A">
        <w:t xml:space="preserve"> data</w:t>
      </w:r>
      <w:r w:rsidR="009B679A">
        <w:t xml:space="preserve"> was collected</w:t>
      </w:r>
      <w:r w:rsidRPr="009B679A">
        <w:t xml:space="preserve">, or the design of sampling when collecting </w:t>
      </w:r>
      <w:r w:rsidR="00C824A5" w:rsidRPr="009B679A">
        <w:t>additional</w:t>
      </w:r>
      <w:r w:rsidRPr="009B679A">
        <w:t xml:space="preserve"> data. The sampling strategy is influenced by the distribution of the attribute being reported</w:t>
      </w:r>
      <w:r w:rsidR="00D24EBC" w:rsidRPr="009B679A">
        <w:t>,</w:t>
      </w:r>
      <w:r w:rsidRPr="009B679A">
        <w:t xml:space="preserve"> and the point of reference or target for the indicator being measured.  </w:t>
      </w:r>
    </w:p>
    <w:p w14:paraId="5DA87C0A" w14:textId="77777777" w:rsidR="009B679A" w:rsidRDefault="009B679A" w:rsidP="009B679A">
      <w:r>
        <w:t>The aggregation method will be determined by the design, which should relate to the program type and KEQs.</w:t>
      </w:r>
      <w:r w:rsidRPr="00A243C2">
        <w:t xml:space="preserve"> The likelihood that data will be collected at different scales, </w:t>
      </w:r>
      <w:r>
        <w:t xml:space="preserve">along with </w:t>
      </w:r>
      <w:r w:rsidRPr="00A243C2">
        <w:t xml:space="preserve">the </w:t>
      </w:r>
      <w:r>
        <w:t>possibility</w:t>
      </w:r>
      <w:r w:rsidRPr="00A243C2">
        <w:t xml:space="preserve"> that different themes can require different aggregation methods, reinforces </w:t>
      </w:r>
      <w:r>
        <w:t xml:space="preserve">the </w:t>
      </w:r>
      <w:r w:rsidRPr="00A243C2">
        <w:t xml:space="preserve">recommendation </w:t>
      </w:r>
      <w:r>
        <w:t xml:space="preserve">that </w:t>
      </w:r>
      <w:r w:rsidRPr="00A243C2">
        <w:t xml:space="preserve">aggregation </w:t>
      </w:r>
      <w:r>
        <w:t xml:space="preserve">occurs </w:t>
      </w:r>
      <w:r w:rsidRPr="00A243C2">
        <w:t xml:space="preserve">before integration.  </w:t>
      </w:r>
    </w:p>
    <w:p w14:paraId="50135FE6" w14:textId="23AB7BCD" w:rsidR="003B3A89" w:rsidRDefault="009B679A" w:rsidP="009B679A">
      <w:r w:rsidRPr="0076596C">
        <w:t xml:space="preserve">For the majority of cases, averaging will be </w:t>
      </w:r>
      <w:r>
        <w:t xml:space="preserve">most </w:t>
      </w:r>
      <w:r w:rsidRPr="0076596C">
        <w:t xml:space="preserve">appropriate for use in </w:t>
      </w:r>
      <w:r>
        <w:t xml:space="preserve">the </w:t>
      </w:r>
      <w:r w:rsidRPr="0076596C">
        <w:t>IECA</w:t>
      </w:r>
      <w:r>
        <w:t xml:space="preserve"> Framework</w:t>
      </w:r>
      <w:r w:rsidR="003B3A89" w:rsidRPr="0076596C">
        <w:t>.</w:t>
      </w:r>
    </w:p>
    <w:p w14:paraId="14A3CA47" w14:textId="77777777" w:rsidR="0076596C" w:rsidRDefault="0076596C" w:rsidP="0035357B">
      <w:pPr>
        <w:sectPr w:rsidR="0076596C" w:rsidSect="00CA2773">
          <w:headerReference w:type="even" r:id="rId75"/>
          <w:headerReference w:type="default" r:id="rId76"/>
          <w:headerReference w:type="first" r:id="rId77"/>
          <w:pgSz w:w="11906" w:h="16838"/>
          <w:pgMar w:top="1440" w:right="1440" w:bottom="1440" w:left="1440" w:header="708" w:footer="708" w:gutter="0"/>
          <w:cols w:space="708"/>
          <w:docGrid w:linePitch="360"/>
        </w:sectPr>
      </w:pPr>
    </w:p>
    <w:p w14:paraId="348C73C2" w14:textId="5CFFFF7A" w:rsidR="0035357B" w:rsidRPr="00140CA1" w:rsidRDefault="0035357B" w:rsidP="0035357B">
      <w:pPr>
        <w:pStyle w:val="Caption"/>
      </w:pPr>
      <w:bookmarkStart w:id="81" w:name="_Ref479173309"/>
      <w:bookmarkEnd w:id="80"/>
      <w:r>
        <w:lastRenderedPageBreak/>
        <w:t xml:space="preserve">Table </w:t>
      </w:r>
      <w:fldSimple w:instr=" SEQ Table \* ARABIC ">
        <w:r w:rsidR="005F359C">
          <w:rPr>
            <w:noProof/>
          </w:rPr>
          <w:t>14</w:t>
        </w:r>
      </w:fldSimple>
      <w:bookmarkEnd w:id="81"/>
      <w:r w:rsidR="00FD50A9">
        <w:rPr>
          <w:noProof/>
        </w:rPr>
        <w:t>:</w:t>
      </w:r>
      <w:r>
        <w:t xml:space="preserve"> Summary of common methods of Aggregation. all examples require that data are collected using a probabilistic sampling method.</w:t>
      </w:r>
      <w:r w:rsidR="00D6082B">
        <w:t xml:space="preserve"> </w:t>
      </w:r>
    </w:p>
    <w:tbl>
      <w:tblPr>
        <w:tblStyle w:val="LightList-Accent2"/>
        <w:tblW w:w="5000" w:type="pct"/>
        <w:tblBorders>
          <w:top w:val="single" w:sz="4" w:space="0" w:color="9CBEBD" w:themeColor="accent2"/>
          <w:left w:val="single" w:sz="4" w:space="0" w:color="9CBEBD" w:themeColor="accent2"/>
          <w:bottom w:val="single" w:sz="4" w:space="0" w:color="9CBEBD" w:themeColor="accent2"/>
          <w:right w:val="single" w:sz="4" w:space="0" w:color="9CBEBD" w:themeColor="accent2"/>
          <w:insideH w:val="single" w:sz="4" w:space="0" w:color="9CBEBD" w:themeColor="accent2"/>
          <w:insideV w:val="single" w:sz="4" w:space="0" w:color="9CBEBD" w:themeColor="accent2"/>
        </w:tblBorders>
        <w:tblLook w:val="04A0" w:firstRow="1" w:lastRow="0" w:firstColumn="1" w:lastColumn="0" w:noHBand="0" w:noVBand="1"/>
      </w:tblPr>
      <w:tblGrid>
        <w:gridCol w:w="1041"/>
        <w:gridCol w:w="1718"/>
        <w:gridCol w:w="2692"/>
        <w:gridCol w:w="3275"/>
        <w:gridCol w:w="2960"/>
        <w:gridCol w:w="2262"/>
      </w:tblGrid>
      <w:tr w:rsidR="0076596C" w:rsidRPr="0035357B" w14:paraId="4B5B0783" w14:textId="0DF144BC" w:rsidTr="0076596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3" w:type="pct"/>
          </w:tcPr>
          <w:p w14:paraId="0B41AEE6" w14:textId="77777777" w:rsidR="0084477D" w:rsidRPr="0035357B" w:rsidRDefault="0084477D" w:rsidP="0035357B">
            <w:pPr>
              <w:rPr>
                <w:bCs w:val="0"/>
              </w:rPr>
            </w:pPr>
            <w:r w:rsidRPr="0035357B">
              <w:t>Method</w:t>
            </w:r>
          </w:p>
        </w:tc>
        <w:tc>
          <w:tcPr>
            <w:tcW w:w="616" w:type="pct"/>
          </w:tcPr>
          <w:p w14:paraId="71DF63BA" w14:textId="77777777" w:rsidR="0084477D" w:rsidRPr="0035357B" w:rsidRDefault="0084477D" w:rsidP="0035357B">
            <w:pPr>
              <w:cnfStyle w:val="100000000000" w:firstRow="1" w:lastRow="0" w:firstColumn="0" w:lastColumn="0" w:oddVBand="0" w:evenVBand="0" w:oddHBand="0" w:evenHBand="0" w:firstRowFirstColumn="0" w:firstRowLastColumn="0" w:lastRowFirstColumn="0" w:lastRowLastColumn="0"/>
              <w:rPr>
                <w:bCs w:val="0"/>
              </w:rPr>
            </w:pPr>
            <w:r w:rsidRPr="0035357B">
              <w:t>Description</w:t>
            </w:r>
          </w:p>
        </w:tc>
        <w:tc>
          <w:tcPr>
            <w:tcW w:w="965" w:type="pct"/>
          </w:tcPr>
          <w:p w14:paraId="2201BCED" w14:textId="77777777" w:rsidR="0084477D" w:rsidRPr="0035357B" w:rsidRDefault="0084477D" w:rsidP="0035357B">
            <w:pPr>
              <w:cnfStyle w:val="100000000000" w:firstRow="1" w:lastRow="0" w:firstColumn="0" w:lastColumn="0" w:oddVBand="0" w:evenVBand="0" w:oddHBand="0" w:evenHBand="0" w:firstRowFirstColumn="0" w:firstRowLastColumn="0" w:lastRowFirstColumn="0" w:lastRowLastColumn="0"/>
              <w:rPr>
                <w:bCs w:val="0"/>
              </w:rPr>
            </w:pPr>
            <w:r w:rsidRPr="0035357B">
              <w:t>Example</w:t>
            </w:r>
          </w:p>
        </w:tc>
        <w:tc>
          <w:tcPr>
            <w:tcW w:w="1174" w:type="pct"/>
          </w:tcPr>
          <w:p w14:paraId="37B98838" w14:textId="77777777" w:rsidR="0084477D" w:rsidRPr="0035357B" w:rsidRDefault="0084477D" w:rsidP="0035357B">
            <w:pPr>
              <w:cnfStyle w:val="100000000000" w:firstRow="1" w:lastRow="0" w:firstColumn="0" w:lastColumn="0" w:oddVBand="0" w:evenVBand="0" w:oddHBand="0" w:evenHBand="0" w:firstRowFirstColumn="0" w:firstRowLastColumn="0" w:lastRowFirstColumn="0" w:lastRowLastColumn="0"/>
              <w:rPr>
                <w:bCs w:val="0"/>
              </w:rPr>
            </w:pPr>
            <w:r w:rsidRPr="0035357B">
              <w:t>Advantages</w:t>
            </w:r>
          </w:p>
        </w:tc>
        <w:tc>
          <w:tcPr>
            <w:tcW w:w="1061" w:type="pct"/>
          </w:tcPr>
          <w:p w14:paraId="63ABA80E" w14:textId="77777777" w:rsidR="0084477D" w:rsidRPr="0035357B" w:rsidRDefault="0084477D" w:rsidP="0035357B">
            <w:pPr>
              <w:cnfStyle w:val="100000000000" w:firstRow="1" w:lastRow="0" w:firstColumn="0" w:lastColumn="0" w:oddVBand="0" w:evenVBand="0" w:oddHBand="0" w:evenHBand="0" w:firstRowFirstColumn="0" w:firstRowLastColumn="0" w:lastRowFirstColumn="0" w:lastRowLastColumn="0"/>
              <w:rPr>
                <w:bCs w:val="0"/>
              </w:rPr>
            </w:pPr>
            <w:r w:rsidRPr="0035357B">
              <w:t>Disadvantages</w:t>
            </w:r>
          </w:p>
        </w:tc>
        <w:tc>
          <w:tcPr>
            <w:tcW w:w="811" w:type="pct"/>
          </w:tcPr>
          <w:p w14:paraId="7BE6A11B" w14:textId="312D6BD5" w:rsidR="0084477D" w:rsidRPr="0035357B" w:rsidRDefault="0084477D" w:rsidP="0035357B">
            <w:pPr>
              <w:cnfStyle w:val="100000000000" w:firstRow="1" w:lastRow="0" w:firstColumn="0" w:lastColumn="0" w:oddVBand="0" w:evenVBand="0" w:oddHBand="0" w:evenHBand="0" w:firstRowFirstColumn="0" w:firstRowLastColumn="0" w:lastRowFirstColumn="0" w:lastRowLastColumn="0"/>
            </w:pPr>
            <w:r>
              <w:t>When to use</w:t>
            </w:r>
          </w:p>
        </w:tc>
      </w:tr>
      <w:tr w:rsidR="0076596C" w:rsidRPr="0035357B" w14:paraId="5040384C" w14:textId="59BF8D95" w:rsidTr="0076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E3C120A" w14:textId="77777777" w:rsidR="0076596C" w:rsidRPr="0076596C" w:rsidRDefault="0076596C" w:rsidP="0035357B">
            <w:pPr>
              <w:rPr>
                <w:b w:val="0"/>
                <w:bCs w:val="0"/>
              </w:rPr>
            </w:pPr>
            <w:r w:rsidRPr="0076596C">
              <w:rPr>
                <w:b w:val="0"/>
              </w:rPr>
              <w:t>Averaging</w:t>
            </w:r>
          </w:p>
        </w:tc>
        <w:tc>
          <w:tcPr>
            <w:tcW w:w="616" w:type="pct"/>
          </w:tcPr>
          <w:p w14:paraId="618D0796" w14:textId="77777777" w:rsidR="0076596C" w:rsidRPr="0035357B" w:rsidRDefault="0076596C" w:rsidP="0035357B">
            <w:pPr>
              <w:jc w:val="left"/>
              <w:cnfStyle w:val="000000100000" w:firstRow="0" w:lastRow="0" w:firstColumn="0" w:lastColumn="0" w:oddVBand="0" w:evenVBand="0" w:oddHBand="1" w:evenHBand="0" w:firstRowFirstColumn="0" w:firstRowLastColumn="0" w:lastRowFirstColumn="0" w:lastRowLastColumn="0"/>
              <w:rPr>
                <w:bCs/>
              </w:rPr>
            </w:pPr>
            <w:r w:rsidRPr="0035357B">
              <w:rPr>
                <w:bCs/>
              </w:rPr>
              <w:t>Creates an average score for the assessment unit.</w:t>
            </w:r>
          </w:p>
        </w:tc>
        <w:tc>
          <w:tcPr>
            <w:tcW w:w="965" w:type="pct"/>
          </w:tcPr>
          <w:p w14:paraId="7A68EC5E" w14:textId="77777777" w:rsidR="0076596C" w:rsidRPr="0035357B" w:rsidRDefault="0076596C" w:rsidP="0035357B">
            <w:pPr>
              <w:jc w:val="left"/>
              <w:cnfStyle w:val="000000100000" w:firstRow="0" w:lastRow="0" w:firstColumn="0" w:lastColumn="0" w:oddVBand="0" w:evenVBand="0" w:oddHBand="1" w:evenHBand="0" w:firstRowFirstColumn="0" w:firstRowLastColumn="0" w:lastRowFirstColumn="0" w:lastRowLastColumn="0"/>
              <w:rPr>
                <w:bCs/>
              </w:rPr>
            </w:pPr>
            <w:r w:rsidRPr="0035357B">
              <w:rPr>
                <w:bCs/>
              </w:rPr>
              <w:t>Mean AUSRIVAS OE50 score.</w:t>
            </w:r>
          </w:p>
        </w:tc>
        <w:tc>
          <w:tcPr>
            <w:tcW w:w="1174" w:type="pct"/>
          </w:tcPr>
          <w:p w14:paraId="2640BB0D" w14:textId="32552A66" w:rsidR="0076596C" w:rsidRPr="0035357B" w:rsidRDefault="0076596C" w:rsidP="0035357B">
            <w:pPr>
              <w:jc w:val="left"/>
              <w:cnfStyle w:val="000000100000" w:firstRow="0" w:lastRow="0" w:firstColumn="0" w:lastColumn="0" w:oddVBand="0" w:evenVBand="0" w:oddHBand="1" w:evenHBand="0" w:firstRowFirstColumn="0" w:firstRowLastColumn="0" w:lastRowFirstColumn="0" w:lastRowLastColumn="0"/>
              <w:rPr>
                <w:bCs/>
              </w:rPr>
            </w:pPr>
            <w:r w:rsidRPr="0035357B">
              <w:rPr>
                <w:bCs/>
              </w:rPr>
              <w:t>Well suited to upscaling indicators that have a site scale reference value. Can use sites selected with unequal probability</w:t>
            </w:r>
            <w:r w:rsidR="000F1765">
              <w:rPr>
                <w:bCs/>
              </w:rPr>
              <w:t xml:space="preserve"> simply</w:t>
            </w:r>
            <w:r w:rsidRPr="0035357B">
              <w:rPr>
                <w:bCs/>
              </w:rPr>
              <w:t>.</w:t>
            </w:r>
          </w:p>
          <w:p w14:paraId="1C54A097" w14:textId="77777777" w:rsidR="0076596C" w:rsidRPr="0035357B" w:rsidRDefault="0076596C" w:rsidP="0035357B">
            <w:pPr>
              <w:jc w:val="left"/>
              <w:cnfStyle w:val="000000100000" w:firstRow="0" w:lastRow="0" w:firstColumn="0" w:lastColumn="0" w:oddVBand="0" w:evenVBand="0" w:oddHBand="1" w:evenHBand="0" w:firstRowFirstColumn="0" w:firstRowLastColumn="0" w:lastRowFirstColumn="0" w:lastRowLastColumn="0"/>
              <w:rPr>
                <w:bCs/>
              </w:rPr>
            </w:pPr>
            <w:r w:rsidRPr="0035357B">
              <w:rPr>
                <w:bCs/>
              </w:rPr>
              <w:t>Simple to obtain simple confidence intervals for the assessment unit</w:t>
            </w:r>
          </w:p>
        </w:tc>
        <w:tc>
          <w:tcPr>
            <w:tcW w:w="1061" w:type="pct"/>
          </w:tcPr>
          <w:p w14:paraId="75A1838A" w14:textId="6557F1DE" w:rsidR="0076596C" w:rsidRPr="0035357B" w:rsidRDefault="0076596C" w:rsidP="00D91972">
            <w:pPr>
              <w:jc w:val="left"/>
              <w:cnfStyle w:val="000000100000" w:firstRow="0" w:lastRow="0" w:firstColumn="0" w:lastColumn="0" w:oddVBand="0" w:evenVBand="0" w:oddHBand="1" w:evenHBand="0" w:firstRowFirstColumn="0" w:firstRowLastColumn="0" w:lastRowFirstColumn="0" w:lastRowLastColumn="0"/>
              <w:rPr>
                <w:bCs/>
              </w:rPr>
            </w:pPr>
            <w:r w:rsidRPr="0035357B">
              <w:rPr>
                <w:bCs/>
              </w:rPr>
              <w:t>Few if any</w:t>
            </w:r>
            <w:r w:rsidR="000F1765">
              <w:rPr>
                <w:bCs/>
              </w:rPr>
              <w:t xml:space="preserve">. </w:t>
            </w:r>
            <w:r w:rsidR="00D91972">
              <w:rPr>
                <w:bCs/>
              </w:rPr>
              <w:t>Scores c</w:t>
            </w:r>
            <w:r w:rsidR="00AB43EA">
              <w:rPr>
                <w:bCs/>
              </w:rPr>
              <w:t>a</w:t>
            </w:r>
            <w:r w:rsidR="000F1765">
              <w:rPr>
                <w:bCs/>
              </w:rPr>
              <w:t>n tend to a central value, hence the range or variability in the individual scores is lost by averaging.</w:t>
            </w:r>
          </w:p>
        </w:tc>
        <w:tc>
          <w:tcPr>
            <w:tcW w:w="811" w:type="pct"/>
          </w:tcPr>
          <w:p w14:paraId="24A761E0" w14:textId="336697D3" w:rsidR="0076596C" w:rsidRPr="0035357B" w:rsidRDefault="0076596C" w:rsidP="0035357B">
            <w:pPr>
              <w:jc w:val="left"/>
              <w:cnfStyle w:val="000000100000" w:firstRow="0" w:lastRow="0" w:firstColumn="0" w:lastColumn="0" w:oddVBand="0" w:evenVBand="0" w:oddHBand="1" w:evenHBand="0" w:firstRowFirstColumn="0" w:firstRowLastColumn="0" w:lastRowFirstColumn="0" w:lastRowLastColumn="0"/>
              <w:rPr>
                <w:bCs/>
              </w:rPr>
            </w:pPr>
            <w:r>
              <w:rPr>
                <w:bCs/>
              </w:rPr>
              <w:t>Default method when scores are calculated at a series of sampling points (in space or time)</w:t>
            </w:r>
          </w:p>
        </w:tc>
      </w:tr>
      <w:tr w:rsidR="0076596C" w:rsidRPr="0035357B" w14:paraId="61C86B9C" w14:textId="4462928F" w:rsidTr="0076596C">
        <w:tc>
          <w:tcPr>
            <w:cnfStyle w:val="001000000000" w:firstRow="0" w:lastRow="0" w:firstColumn="1" w:lastColumn="0" w:oddVBand="0" w:evenVBand="0" w:oddHBand="0" w:evenHBand="0" w:firstRowFirstColumn="0" w:firstRowLastColumn="0" w:lastRowFirstColumn="0" w:lastRowLastColumn="0"/>
            <w:tcW w:w="373" w:type="pct"/>
          </w:tcPr>
          <w:p w14:paraId="4ABC9C7E" w14:textId="77777777" w:rsidR="0076596C" w:rsidRPr="0076596C" w:rsidRDefault="0076596C" w:rsidP="0035357B">
            <w:pPr>
              <w:rPr>
                <w:b w:val="0"/>
                <w:bCs w:val="0"/>
              </w:rPr>
            </w:pPr>
            <w:r w:rsidRPr="0076596C">
              <w:rPr>
                <w:b w:val="0"/>
              </w:rPr>
              <w:t>Modelling</w:t>
            </w:r>
          </w:p>
        </w:tc>
        <w:tc>
          <w:tcPr>
            <w:tcW w:w="616" w:type="pct"/>
          </w:tcPr>
          <w:p w14:paraId="40CC624B" w14:textId="77777777" w:rsidR="0076596C" w:rsidRPr="0035357B" w:rsidRDefault="0076596C" w:rsidP="0035357B">
            <w:pPr>
              <w:jc w:val="left"/>
              <w:cnfStyle w:val="000000000000" w:firstRow="0" w:lastRow="0" w:firstColumn="0" w:lastColumn="0" w:oddVBand="0" w:evenVBand="0" w:oddHBand="0" w:evenHBand="0" w:firstRowFirstColumn="0" w:firstRowLastColumn="0" w:lastRowFirstColumn="0" w:lastRowLastColumn="0"/>
              <w:rPr>
                <w:bCs/>
              </w:rPr>
            </w:pPr>
            <w:r w:rsidRPr="0035357B">
              <w:rPr>
                <w:bCs/>
              </w:rPr>
              <w:t>Predicting a large scale value.</w:t>
            </w:r>
          </w:p>
        </w:tc>
        <w:tc>
          <w:tcPr>
            <w:tcW w:w="965" w:type="pct"/>
          </w:tcPr>
          <w:p w14:paraId="7BE3ACE3" w14:textId="67443525" w:rsidR="0076596C" w:rsidRPr="0035357B" w:rsidRDefault="0076596C" w:rsidP="0076596C">
            <w:pPr>
              <w:jc w:val="left"/>
              <w:cnfStyle w:val="000000000000" w:firstRow="0" w:lastRow="0" w:firstColumn="0" w:lastColumn="0" w:oddVBand="0" w:evenVBand="0" w:oddHBand="0" w:evenHBand="0" w:firstRowFirstColumn="0" w:firstRowLastColumn="0" w:lastRowFirstColumn="0" w:lastRowLastColumn="0"/>
              <w:rPr>
                <w:bCs/>
              </w:rPr>
            </w:pPr>
            <w:r w:rsidRPr="0035357B">
              <w:rPr>
                <w:bCs/>
              </w:rPr>
              <w:t>Species accumulation curve to predict asse</w:t>
            </w:r>
            <w:r>
              <w:rPr>
                <w:bCs/>
              </w:rPr>
              <w:t>ssment unit</w:t>
            </w:r>
            <w:r w:rsidRPr="0035357B">
              <w:rPr>
                <w:bCs/>
              </w:rPr>
              <w:t xml:space="preserve"> total species richness.</w:t>
            </w:r>
          </w:p>
        </w:tc>
        <w:tc>
          <w:tcPr>
            <w:tcW w:w="1174" w:type="pct"/>
          </w:tcPr>
          <w:p w14:paraId="686C71E7" w14:textId="77777777" w:rsidR="0076596C" w:rsidRPr="0035357B" w:rsidRDefault="0076596C" w:rsidP="0035357B">
            <w:pPr>
              <w:jc w:val="left"/>
              <w:cnfStyle w:val="000000000000" w:firstRow="0" w:lastRow="0" w:firstColumn="0" w:lastColumn="0" w:oddVBand="0" w:evenVBand="0" w:oddHBand="0" w:evenHBand="0" w:firstRowFirstColumn="0" w:firstRowLastColumn="0" w:lastRowFirstColumn="0" w:lastRowLastColumn="0"/>
              <w:rPr>
                <w:bCs/>
              </w:rPr>
            </w:pPr>
            <w:r w:rsidRPr="0035357B">
              <w:rPr>
                <w:bCs/>
              </w:rPr>
              <w:t>Suited to indicators that have an assessment unit scale reference value.</w:t>
            </w:r>
          </w:p>
        </w:tc>
        <w:tc>
          <w:tcPr>
            <w:tcW w:w="1061" w:type="pct"/>
          </w:tcPr>
          <w:p w14:paraId="235AAB46" w14:textId="77777777" w:rsidR="0076596C" w:rsidRPr="0035357B" w:rsidRDefault="0076596C" w:rsidP="0035357B">
            <w:pPr>
              <w:jc w:val="left"/>
              <w:cnfStyle w:val="000000000000" w:firstRow="0" w:lastRow="0" w:firstColumn="0" w:lastColumn="0" w:oddVBand="0" w:evenVBand="0" w:oddHBand="0" w:evenHBand="0" w:firstRowFirstColumn="0" w:firstRowLastColumn="0" w:lastRowFirstColumn="0" w:lastRowLastColumn="0"/>
              <w:rPr>
                <w:bCs/>
              </w:rPr>
            </w:pPr>
            <w:r w:rsidRPr="0035357B">
              <w:rPr>
                <w:bCs/>
              </w:rPr>
              <w:t>Only as good as the data that are collected.</w:t>
            </w:r>
          </w:p>
          <w:p w14:paraId="686955AC" w14:textId="2EE95AE6" w:rsidR="0076596C" w:rsidRPr="0035357B" w:rsidRDefault="006C6AE7" w:rsidP="0035357B">
            <w:pPr>
              <w:jc w:val="left"/>
              <w:cnfStyle w:val="000000000000" w:firstRow="0" w:lastRow="0" w:firstColumn="0" w:lastColumn="0" w:oddVBand="0" w:evenVBand="0" w:oddHBand="0" w:evenHBand="0" w:firstRowFirstColumn="0" w:firstRowLastColumn="0" w:lastRowFirstColumn="0" w:lastRowLastColumn="0"/>
              <w:rPr>
                <w:bCs/>
              </w:rPr>
            </w:pPr>
            <w:r>
              <w:rPr>
                <w:bCs/>
              </w:rPr>
              <w:t>A</w:t>
            </w:r>
            <w:r w:rsidR="0076596C" w:rsidRPr="0035357B">
              <w:rPr>
                <w:bCs/>
              </w:rPr>
              <w:t>dds modelling error to sampling error in all predictions.</w:t>
            </w:r>
          </w:p>
          <w:p w14:paraId="2C089EFF" w14:textId="43A2EF5F" w:rsidR="0076596C" w:rsidRPr="0035357B" w:rsidRDefault="006C6AE7" w:rsidP="0035357B">
            <w:pPr>
              <w:jc w:val="left"/>
              <w:cnfStyle w:val="000000000000" w:firstRow="0" w:lastRow="0" w:firstColumn="0" w:lastColumn="0" w:oddVBand="0" w:evenVBand="0" w:oddHBand="0" w:evenHBand="0" w:firstRowFirstColumn="0" w:firstRowLastColumn="0" w:lastRowFirstColumn="0" w:lastRowLastColumn="0"/>
              <w:rPr>
                <w:bCs/>
              </w:rPr>
            </w:pPr>
            <w:r>
              <w:rPr>
                <w:bCs/>
              </w:rPr>
              <w:t>C</w:t>
            </w:r>
            <w:r w:rsidR="0076596C" w:rsidRPr="0035357B">
              <w:rPr>
                <w:bCs/>
              </w:rPr>
              <w:t>omplex if site selection probabilities are not equal.</w:t>
            </w:r>
          </w:p>
        </w:tc>
        <w:tc>
          <w:tcPr>
            <w:tcW w:w="811" w:type="pct"/>
          </w:tcPr>
          <w:p w14:paraId="149D5D08" w14:textId="2E09DDF0" w:rsidR="0076596C" w:rsidRPr="0035357B" w:rsidRDefault="0076596C" w:rsidP="0035357B">
            <w:pPr>
              <w:jc w:val="left"/>
              <w:cnfStyle w:val="000000000000" w:firstRow="0" w:lastRow="0" w:firstColumn="0" w:lastColumn="0" w:oddVBand="0" w:evenVBand="0" w:oddHBand="0" w:evenHBand="0" w:firstRowFirstColumn="0" w:firstRowLastColumn="0" w:lastRowFirstColumn="0" w:lastRowLastColumn="0"/>
              <w:rPr>
                <w:bCs/>
              </w:rPr>
            </w:pPr>
            <w:r>
              <w:rPr>
                <w:bCs/>
              </w:rPr>
              <w:t xml:space="preserve">To </w:t>
            </w:r>
            <w:r w:rsidR="000F1765">
              <w:rPr>
                <w:bCs/>
              </w:rPr>
              <w:t xml:space="preserve">determine cumulative (larger spatial scale) values, or to </w:t>
            </w:r>
            <w:r>
              <w:rPr>
                <w:bCs/>
              </w:rPr>
              <w:t>calculate scores for unmeasured points (in space or time).</w:t>
            </w:r>
          </w:p>
        </w:tc>
      </w:tr>
      <w:tr w:rsidR="0076596C" w:rsidRPr="0035357B" w14:paraId="08FE1039" w14:textId="7406B0A7" w:rsidTr="0076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60D52ABE" w14:textId="77777777" w:rsidR="0076596C" w:rsidRPr="0076596C" w:rsidRDefault="0076596C" w:rsidP="0035357B">
            <w:pPr>
              <w:rPr>
                <w:b w:val="0"/>
                <w:bCs w:val="0"/>
              </w:rPr>
            </w:pPr>
            <w:r w:rsidRPr="0076596C">
              <w:rPr>
                <w:b w:val="0"/>
              </w:rPr>
              <w:t>Summing</w:t>
            </w:r>
          </w:p>
        </w:tc>
        <w:tc>
          <w:tcPr>
            <w:tcW w:w="616" w:type="pct"/>
          </w:tcPr>
          <w:p w14:paraId="6CD5AA84" w14:textId="77777777" w:rsidR="0076596C" w:rsidRPr="0035357B" w:rsidRDefault="0076596C" w:rsidP="0035357B">
            <w:pPr>
              <w:jc w:val="left"/>
              <w:cnfStyle w:val="000000100000" w:firstRow="0" w:lastRow="0" w:firstColumn="0" w:lastColumn="0" w:oddVBand="0" w:evenVBand="0" w:oddHBand="1" w:evenHBand="0" w:firstRowFirstColumn="0" w:firstRowLastColumn="0" w:lastRowFirstColumn="0" w:lastRowLastColumn="0"/>
              <w:rPr>
                <w:bCs/>
              </w:rPr>
            </w:pPr>
            <w:r w:rsidRPr="0035357B">
              <w:rPr>
                <w:bCs/>
              </w:rPr>
              <w:t>Creates a total score for the assessment unit.</w:t>
            </w:r>
          </w:p>
        </w:tc>
        <w:tc>
          <w:tcPr>
            <w:tcW w:w="965" w:type="pct"/>
          </w:tcPr>
          <w:p w14:paraId="5BFB6E95" w14:textId="19DF84C3" w:rsidR="0076596C" w:rsidRPr="0035357B" w:rsidRDefault="0076596C" w:rsidP="0035357B">
            <w:pPr>
              <w:jc w:val="left"/>
              <w:cnfStyle w:val="000000100000" w:firstRow="0" w:lastRow="0" w:firstColumn="0" w:lastColumn="0" w:oddVBand="0" w:evenVBand="0" w:oddHBand="1" w:evenHBand="0" w:firstRowFirstColumn="0" w:firstRowLastColumn="0" w:lastRowFirstColumn="0" w:lastRowLastColumn="0"/>
              <w:rPr>
                <w:bCs/>
              </w:rPr>
            </w:pPr>
            <w:r w:rsidRPr="0035357B">
              <w:rPr>
                <w:bCs/>
              </w:rPr>
              <w:t>a) Total species richness collected in the asse</w:t>
            </w:r>
            <w:r>
              <w:rPr>
                <w:bCs/>
              </w:rPr>
              <w:t>ssment unit</w:t>
            </w:r>
          </w:p>
          <w:p w14:paraId="19F63664" w14:textId="21F68450" w:rsidR="0076596C" w:rsidRPr="0035357B" w:rsidRDefault="0076596C" w:rsidP="0035357B">
            <w:pPr>
              <w:jc w:val="left"/>
              <w:cnfStyle w:val="000000100000" w:firstRow="0" w:lastRow="0" w:firstColumn="0" w:lastColumn="0" w:oddVBand="0" w:evenVBand="0" w:oddHBand="1" w:evenHBand="0" w:firstRowFirstColumn="0" w:firstRowLastColumn="0" w:lastRowFirstColumn="0" w:lastRowLastColumn="0"/>
              <w:rPr>
                <w:bCs/>
              </w:rPr>
            </w:pPr>
            <w:r w:rsidRPr="0035357B">
              <w:rPr>
                <w:bCs/>
              </w:rPr>
              <w:t>b) Proportion of the asse</w:t>
            </w:r>
            <w:r>
              <w:rPr>
                <w:bCs/>
              </w:rPr>
              <w:t>ssment unit</w:t>
            </w:r>
            <w:r w:rsidRPr="0035357B">
              <w:rPr>
                <w:bCs/>
              </w:rPr>
              <w:t xml:space="preserve"> with feature </w:t>
            </w:r>
            <w:r w:rsidRPr="0035357B">
              <w:rPr>
                <w:bCs/>
                <w:i/>
              </w:rPr>
              <w:t>x</w:t>
            </w:r>
            <w:r w:rsidRPr="0035357B">
              <w:rPr>
                <w:bCs/>
              </w:rPr>
              <w:t>.</w:t>
            </w:r>
          </w:p>
        </w:tc>
        <w:tc>
          <w:tcPr>
            <w:tcW w:w="1174" w:type="pct"/>
          </w:tcPr>
          <w:p w14:paraId="15914DA8" w14:textId="77777777" w:rsidR="0076596C" w:rsidRPr="0035357B" w:rsidRDefault="0076596C" w:rsidP="0035357B">
            <w:pPr>
              <w:jc w:val="left"/>
              <w:cnfStyle w:val="000000100000" w:firstRow="0" w:lastRow="0" w:firstColumn="0" w:lastColumn="0" w:oddVBand="0" w:evenVBand="0" w:oddHBand="1" w:evenHBand="0" w:firstRowFirstColumn="0" w:firstRowLastColumn="0" w:lastRowFirstColumn="0" w:lastRowLastColumn="0"/>
              <w:rPr>
                <w:bCs/>
              </w:rPr>
            </w:pPr>
            <w:r w:rsidRPr="0035357B">
              <w:rPr>
                <w:bCs/>
              </w:rPr>
              <w:t>Suited to indicators that have an assessment unit scale reference value.</w:t>
            </w:r>
          </w:p>
          <w:p w14:paraId="025CE9C5" w14:textId="77777777" w:rsidR="0076596C" w:rsidRPr="0035357B" w:rsidRDefault="0076596C" w:rsidP="0035357B">
            <w:pPr>
              <w:jc w:val="left"/>
              <w:cnfStyle w:val="000000100000" w:firstRow="0" w:lastRow="0" w:firstColumn="0" w:lastColumn="0" w:oddVBand="0" w:evenVBand="0" w:oddHBand="1" w:evenHBand="0" w:firstRowFirstColumn="0" w:firstRowLastColumn="0" w:lastRowFirstColumn="0" w:lastRowLastColumn="0"/>
              <w:rPr>
                <w:bCs/>
              </w:rPr>
            </w:pPr>
            <w:r w:rsidRPr="0035357B">
              <w:rPr>
                <w:bCs/>
              </w:rPr>
              <w:t>Can upscale simple indicators like presence absence of a feature from site data.</w:t>
            </w:r>
          </w:p>
        </w:tc>
        <w:tc>
          <w:tcPr>
            <w:tcW w:w="1061" w:type="pct"/>
          </w:tcPr>
          <w:p w14:paraId="4180E5D6" w14:textId="5E156F3A" w:rsidR="0076596C" w:rsidRPr="0035357B" w:rsidRDefault="0076596C" w:rsidP="0035357B">
            <w:pPr>
              <w:jc w:val="left"/>
              <w:cnfStyle w:val="000000100000" w:firstRow="0" w:lastRow="0" w:firstColumn="0" w:lastColumn="0" w:oddVBand="0" w:evenVBand="0" w:oddHBand="1" w:evenHBand="0" w:firstRowFirstColumn="0" w:firstRowLastColumn="0" w:lastRowFirstColumn="0" w:lastRowLastColumn="0"/>
              <w:rPr>
                <w:bCs/>
              </w:rPr>
            </w:pPr>
            <w:r w:rsidRPr="0035357B">
              <w:rPr>
                <w:bCs/>
              </w:rPr>
              <w:t>Can be complex if site selection probabilities or site sizes are not equal.</w:t>
            </w:r>
            <w:r w:rsidR="000F1765">
              <w:rPr>
                <w:bCs/>
              </w:rPr>
              <w:t xml:space="preserve"> Typically does not have confidence intervals that are as tight as averaging.</w:t>
            </w:r>
          </w:p>
        </w:tc>
        <w:tc>
          <w:tcPr>
            <w:tcW w:w="811" w:type="pct"/>
          </w:tcPr>
          <w:p w14:paraId="3FB3F213" w14:textId="6929B5D1" w:rsidR="0076596C" w:rsidRPr="0035357B" w:rsidRDefault="0076596C" w:rsidP="0035357B">
            <w:pPr>
              <w:jc w:val="left"/>
              <w:cnfStyle w:val="000000100000" w:firstRow="0" w:lastRow="0" w:firstColumn="0" w:lastColumn="0" w:oddVBand="0" w:evenVBand="0" w:oddHBand="1" w:evenHBand="0" w:firstRowFirstColumn="0" w:firstRowLastColumn="0" w:lastRowFirstColumn="0" w:lastRowLastColumn="0"/>
              <w:rPr>
                <w:bCs/>
              </w:rPr>
            </w:pPr>
            <w:r>
              <w:rPr>
                <w:bCs/>
              </w:rPr>
              <w:t>When the baseline is set at the larger scale.</w:t>
            </w:r>
          </w:p>
        </w:tc>
      </w:tr>
    </w:tbl>
    <w:p w14:paraId="15C11E25" w14:textId="77777777" w:rsidR="0035357B" w:rsidRDefault="0035357B" w:rsidP="0035357B"/>
    <w:p w14:paraId="66AD5082" w14:textId="77777777" w:rsidR="0076596C" w:rsidRDefault="0076596C" w:rsidP="0035357B">
      <w:pPr>
        <w:sectPr w:rsidR="0076596C" w:rsidSect="0076596C">
          <w:pgSz w:w="16838" w:h="11906" w:orient="landscape"/>
          <w:pgMar w:top="1440" w:right="1440" w:bottom="1440" w:left="1440" w:header="708" w:footer="708" w:gutter="0"/>
          <w:cols w:space="708"/>
          <w:docGrid w:linePitch="360"/>
        </w:sectPr>
      </w:pPr>
    </w:p>
    <w:p w14:paraId="6EB3AF0C" w14:textId="77777777" w:rsidR="002262A6" w:rsidRDefault="002262A6" w:rsidP="00F4328F">
      <w:pPr>
        <w:pStyle w:val="ListParagraph"/>
        <w:numPr>
          <w:ilvl w:val="0"/>
          <w:numId w:val="21"/>
        </w:numPr>
        <w:rPr>
          <w:b/>
          <w:i/>
        </w:rPr>
      </w:pPr>
      <w:r>
        <w:rPr>
          <w:b/>
          <w:i/>
        </w:rPr>
        <w:lastRenderedPageBreak/>
        <w:t>Dealing with missing data</w:t>
      </w:r>
    </w:p>
    <w:p w14:paraId="7E4F55E4" w14:textId="05C28742" w:rsidR="002262A6" w:rsidRDefault="00D24EBC" w:rsidP="002262A6">
      <w:r>
        <w:t xml:space="preserve">Missing data is frequently encountered in ecological assessments, for example due to insufficient sampling, loss of samples, limitations in access to sites, or failure of measuring instruments. Thus it is possible that missing data will occur at some point in an IECA. </w:t>
      </w:r>
      <w:r w:rsidR="002262A6">
        <w:t>The relative impact of missing data can vary</w:t>
      </w:r>
      <w:r>
        <w:t>. F</w:t>
      </w:r>
      <w:r w:rsidR="002262A6">
        <w:t xml:space="preserve">or example, missing data </w:t>
      </w:r>
      <w:r w:rsidR="008032C5">
        <w:t xml:space="preserve">can </w:t>
      </w:r>
      <w:r w:rsidR="002262A6">
        <w:t xml:space="preserve">have large weight on some types of </w:t>
      </w:r>
      <w:r>
        <w:t>indicators compared</w:t>
      </w:r>
      <w:r w:rsidR="002262A6">
        <w:t xml:space="preserve"> </w:t>
      </w:r>
      <w:r>
        <w:t>with</w:t>
      </w:r>
      <w:r w:rsidR="002262A6">
        <w:t xml:space="preserve"> others</w:t>
      </w:r>
      <w:r>
        <w:t xml:space="preserve"> (e.g. presence absence, weediness)</w:t>
      </w:r>
      <w:r w:rsidR="002262A6">
        <w:t xml:space="preserve">. </w:t>
      </w:r>
      <w:r w:rsidR="00DD7D13">
        <w:t xml:space="preserve">Large amounts of missing data will result in less confidence in assessments. </w:t>
      </w:r>
      <w:r w:rsidR="002262A6">
        <w:t xml:space="preserve">Also the level at which </w:t>
      </w:r>
      <w:r w:rsidR="00DD7D13">
        <w:t xml:space="preserve">data are missing is important. </w:t>
      </w:r>
      <w:r w:rsidR="002262A6">
        <w:t xml:space="preserve">Data missing for indicators groups within a theme may have less influence than those missing at theme scale. Themes with large numbers </w:t>
      </w:r>
      <w:r w:rsidR="008032C5">
        <w:t xml:space="preserve">of </w:t>
      </w:r>
      <w:r w:rsidR="002262A6">
        <w:t xml:space="preserve">sub-indicators, and or indicator groups, are more likely to have missing data, but are less likely to be affected by missing data. </w:t>
      </w:r>
    </w:p>
    <w:p w14:paraId="26A8891E" w14:textId="77777777" w:rsidR="002262A6" w:rsidRDefault="002262A6" w:rsidP="002262A6">
      <w:r w:rsidRPr="00ED0B16">
        <w:t xml:space="preserve">Missing data can be handled in a </w:t>
      </w:r>
      <w:r>
        <w:t>several</w:t>
      </w:r>
      <w:r w:rsidRPr="00ED0B16">
        <w:t xml:space="preserve"> ways</w:t>
      </w:r>
      <w:r>
        <w:t>:</w:t>
      </w:r>
    </w:p>
    <w:p w14:paraId="6A9BB4E9" w14:textId="178EE08E" w:rsidR="00D24EBC" w:rsidRDefault="00D24EBC" w:rsidP="00F4328F">
      <w:pPr>
        <w:pStyle w:val="ListParagraph"/>
        <w:numPr>
          <w:ilvl w:val="0"/>
          <w:numId w:val="54"/>
        </w:numPr>
      </w:pPr>
      <w:r>
        <w:t>Collect more data (see below)</w:t>
      </w:r>
      <w:r w:rsidR="004E4F49">
        <w:t>.</w:t>
      </w:r>
    </w:p>
    <w:p w14:paraId="72784195" w14:textId="5CC5F590" w:rsidR="00D24EBC" w:rsidRDefault="00D24EBC" w:rsidP="00F4328F">
      <w:pPr>
        <w:pStyle w:val="ListParagraph"/>
        <w:numPr>
          <w:ilvl w:val="0"/>
          <w:numId w:val="54"/>
        </w:numPr>
      </w:pPr>
      <w:r>
        <w:t>Imputation</w:t>
      </w:r>
      <w:r w:rsidR="006C6AE7">
        <w:t>/Infilling</w:t>
      </w:r>
      <w:r>
        <w:t xml:space="preserve">: filling in the missing data using a range of approaches (see </w:t>
      </w:r>
      <w:r w:rsidR="004A60EA">
        <w:t>‘</w:t>
      </w:r>
      <w:r>
        <w:t>Other resources</w:t>
      </w:r>
      <w:r w:rsidR="004A60EA">
        <w:t>’</w:t>
      </w:r>
      <w:r>
        <w:t>, below, for literature on imputation approaches).</w:t>
      </w:r>
    </w:p>
    <w:p w14:paraId="0A78E366" w14:textId="77777777" w:rsidR="00D24EBC" w:rsidRDefault="00D24EBC" w:rsidP="00F4328F">
      <w:pPr>
        <w:pStyle w:val="ListParagraph"/>
        <w:numPr>
          <w:ilvl w:val="0"/>
          <w:numId w:val="54"/>
        </w:numPr>
      </w:pPr>
      <w:r>
        <w:t xml:space="preserve">Deleting: If the missing data are totally random, then it could be deleted as the remaining data will be representative of the sample. However, this is rarely the case and if data do not occur randomly, deletion can lead to bias as the remaining values do not represent the whole sample. </w:t>
      </w:r>
    </w:p>
    <w:p w14:paraId="5AB873AE" w14:textId="77777777" w:rsidR="00D24EBC" w:rsidRDefault="00D24EBC" w:rsidP="00F4328F">
      <w:pPr>
        <w:pStyle w:val="ListParagraph"/>
        <w:numPr>
          <w:ilvl w:val="0"/>
          <w:numId w:val="54"/>
        </w:numPr>
      </w:pPr>
      <w:r>
        <w:t>Default scores: Set a default score for missing data (usually a mid-range score to have low influence on assessment, OR a conservative value if following the precautionary principle to assessment).</w:t>
      </w:r>
    </w:p>
    <w:p w14:paraId="713AB9D1" w14:textId="77777777" w:rsidR="00D24EBC" w:rsidRDefault="00D24EBC" w:rsidP="00F4328F">
      <w:pPr>
        <w:pStyle w:val="ListParagraph"/>
        <w:numPr>
          <w:ilvl w:val="0"/>
          <w:numId w:val="54"/>
        </w:numPr>
      </w:pPr>
      <w:r>
        <w:t>Surrogates: Use surrogate data (from a different sub-indicator that is somehow aligned with the desired indicator if it exists) – or realign conceptual model to match other available data.</w:t>
      </w:r>
    </w:p>
    <w:p w14:paraId="74F77E6F" w14:textId="77777777" w:rsidR="00D24EBC" w:rsidRDefault="00D24EBC" w:rsidP="00D24EBC">
      <w:r>
        <w:t xml:space="preserve">Missing data become problematic if it is the same indicator data that are consistently missing. For example, if ‘weediness’ is missing more often than vegetation ‘species diversity’ then inevitably, their respective influence or weight on the IECA are not what they are intended to be. </w:t>
      </w:r>
    </w:p>
    <w:p w14:paraId="0270940C" w14:textId="2443C32A" w:rsidR="002262A6" w:rsidRDefault="00D24EBC" w:rsidP="00D24EBC">
      <w:r>
        <w:t xml:space="preserve">It is strongly recommended that a statistician is consulted to </w:t>
      </w:r>
      <w:r w:rsidR="004A60EA">
        <w:t>provide advice</w:t>
      </w:r>
      <w:r>
        <w:t xml:space="preserve"> on the implications of missing data on the IECA</w:t>
      </w:r>
      <w:r w:rsidR="00E577D5">
        <w:t>.</w:t>
      </w:r>
    </w:p>
    <w:p w14:paraId="1C20AB31" w14:textId="1952C589" w:rsidR="00E577D5" w:rsidRDefault="00E577D5" w:rsidP="00E577D5">
      <w:pPr>
        <w:pStyle w:val="Caption"/>
      </w:pPr>
      <w:r>
        <w:t xml:space="preserve">Table </w:t>
      </w:r>
      <w:fldSimple w:instr=" SEQ Table \* ARABIC ">
        <w:r w:rsidR="005F359C">
          <w:rPr>
            <w:noProof/>
          </w:rPr>
          <w:t>15</w:t>
        </w:r>
      </w:fldSimple>
      <w:r w:rsidR="00FD50A9">
        <w:rPr>
          <w:noProof/>
        </w:rPr>
        <w:t>:</w:t>
      </w:r>
      <w:r>
        <w:t xml:space="preserve"> Example of missing data </w:t>
      </w:r>
      <w:r w:rsidR="00D179D2">
        <w:t>Effects</w:t>
      </w:r>
      <w:r>
        <w:t xml:space="preserve">. For the biodiversity themes, as there are multiple indicators a few missing data </w:t>
      </w:r>
      <w:r w:rsidR="006C6AE7">
        <w:t xml:space="preserve">records </w:t>
      </w:r>
      <w:r>
        <w:t xml:space="preserve">are acceptable. </w:t>
      </w:r>
      <w:r w:rsidR="00D179D2">
        <w:t xml:space="preserve">For the </w:t>
      </w:r>
      <w:r w:rsidR="00583019">
        <w:t>water quality</w:t>
      </w:r>
      <w:r w:rsidR="00D179D2">
        <w:t xml:space="preserve"> theme</w:t>
      </w:r>
      <w:r w:rsidR="00DD7D13">
        <w:t>,</w:t>
      </w:r>
      <w:r w:rsidR="00D179D2">
        <w:t xml:space="preserve"> one missing data</w:t>
      </w:r>
      <w:r w:rsidR="009B679A">
        <w:t xml:space="preserve"> record</w:t>
      </w:r>
      <w:r w:rsidR="00D179D2">
        <w:t xml:space="preserve"> is enough to invalidate the use of the theme for that assessment unit.</w:t>
      </w:r>
    </w:p>
    <w:tbl>
      <w:tblPr>
        <w:tblStyle w:val="LightList-Accent2"/>
        <w:tblW w:w="0" w:type="auto"/>
        <w:tblBorders>
          <w:top w:val="single" w:sz="4" w:space="0" w:color="9CBEBD" w:themeColor="accent2"/>
          <w:left w:val="single" w:sz="4" w:space="0" w:color="9CBEBD" w:themeColor="accent2"/>
          <w:bottom w:val="single" w:sz="4" w:space="0" w:color="9CBEBD" w:themeColor="accent2"/>
          <w:right w:val="single" w:sz="4" w:space="0" w:color="9CBEBD" w:themeColor="accent2"/>
          <w:insideH w:val="single" w:sz="4" w:space="0" w:color="9CBEBD" w:themeColor="accent2"/>
          <w:insideV w:val="single" w:sz="4" w:space="0" w:color="9CBEBD" w:themeColor="accent2"/>
        </w:tblBorders>
        <w:tblLayout w:type="fixed"/>
        <w:tblLook w:val="04A0" w:firstRow="1" w:lastRow="0" w:firstColumn="1" w:lastColumn="0" w:noHBand="0" w:noVBand="1"/>
      </w:tblPr>
      <w:tblGrid>
        <w:gridCol w:w="1198"/>
        <w:gridCol w:w="489"/>
        <w:gridCol w:w="489"/>
        <w:gridCol w:w="489"/>
        <w:gridCol w:w="489"/>
        <w:gridCol w:w="489"/>
        <w:gridCol w:w="489"/>
        <w:gridCol w:w="1169"/>
        <w:gridCol w:w="1080"/>
        <w:gridCol w:w="1081"/>
        <w:gridCol w:w="1186"/>
        <w:gridCol w:w="594"/>
      </w:tblGrid>
      <w:tr w:rsidR="00E577D5" w:rsidRPr="00780BFC" w14:paraId="29227441" w14:textId="77777777" w:rsidTr="008D1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56B5A848" w14:textId="39A89A6F" w:rsidR="00E577D5" w:rsidRPr="00780BFC" w:rsidRDefault="00E577D5" w:rsidP="002262A6">
            <w:pPr>
              <w:rPr>
                <w:rFonts w:asciiTheme="minorHAnsi" w:hAnsiTheme="minorHAnsi" w:cstheme="minorHAnsi"/>
              </w:rPr>
            </w:pPr>
            <w:r w:rsidRPr="00780BFC">
              <w:rPr>
                <w:rFonts w:asciiTheme="minorHAnsi" w:hAnsiTheme="minorHAnsi" w:cstheme="minorHAnsi"/>
              </w:rPr>
              <w:t>Assessment unit</w:t>
            </w:r>
          </w:p>
        </w:tc>
        <w:tc>
          <w:tcPr>
            <w:tcW w:w="2934" w:type="dxa"/>
            <w:gridSpan w:val="6"/>
          </w:tcPr>
          <w:p w14:paraId="4E17BAAC" w14:textId="1A9996E2" w:rsidR="00E577D5" w:rsidRPr="00780BFC" w:rsidRDefault="00E577D5" w:rsidP="00E577D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Indicators</w:t>
            </w:r>
            <w:r>
              <w:rPr>
                <w:rFonts w:asciiTheme="minorHAnsi" w:hAnsiTheme="minorHAnsi" w:cstheme="minorHAnsi"/>
              </w:rPr>
              <w:t xml:space="preserve"> (sub-indicator level)</w:t>
            </w:r>
          </w:p>
        </w:tc>
        <w:tc>
          <w:tcPr>
            <w:tcW w:w="1169" w:type="dxa"/>
          </w:tcPr>
          <w:p w14:paraId="4C83D918" w14:textId="445D65D0" w:rsidR="00E577D5" w:rsidRPr="00780BFC" w:rsidRDefault="00E577D5" w:rsidP="002262A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Theme</w:t>
            </w:r>
          </w:p>
        </w:tc>
        <w:tc>
          <w:tcPr>
            <w:tcW w:w="2161" w:type="dxa"/>
            <w:gridSpan w:val="2"/>
          </w:tcPr>
          <w:p w14:paraId="5B10DC7F" w14:textId="459910A7" w:rsidR="00E577D5" w:rsidRPr="00780BFC" w:rsidRDefault="00E577D5" w:rsidP="00E577D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Indicators</w:t>
            </w:r>
            <w:r>
              <w:rPr>
                <w:rFonts w:asciiTheme="minorHAnsi" w:hAnsiTheme="minorHAnsi" w:cstheme="minorHAnsi"/>
              </w:rPr>
              <w:t xml:space="preserve"> (sub-indicator level)</w:t>
            </w:r>
          </w:p>
        </w:tc>
        <w:tc>
          <w:tcPr>
            <w:tcW w:w="1186" w:type="dxa"/>
          </w:tcPr>
          <w:p w14:paraId="3DA40A96" w14:textId="4B0A093A" w:rsidR="00E577D5" w:rsidRPr="00780BFC" w:rsidRDefault="00E577D5" w:rsidP="002262A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Theme</w:t>
            </w:r>
          </w:p>
        </w:tc>
        <w:tc>
          <w:tcPr>
            <w:tcW w:w="594" w:type="dxa"/>
          </w:tcPr>
          <w:p w14:paraId="5936DF54" w14:textId="06F4DAC0" w:rsidR="00E577D5" w:rsidRPr="00780BFC" w:rsidRDefault="00E577D5" w:rsidP="002262A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IECA</w:t>
            </w:r>
          </w:p>
        </w:tc>
      </w:tr>
      <w:tr w:rsidR="00E577D5" w:rsidRPr="00780BFC" w14:paraId="1D5AA698" w14:textId="77777777" w:rsidTr="008D1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Borders>
              <w:top w:val="none" w:sz="0" w:space="0" w:color="auto"/>
              <w:left w:val="none" w:sz="0" w:space="0" w:color="auto"/>
              <w:bottom w:val="none" w:sz="0" w:space="0" w:color="auto"/>
            </w:tcBorders>
          </w:tcPr>
          <w:p w14:paraId="29D2BA2E" w14:textId="77777777" w:rsidR="00E577D5" w:rsidRPr="00780BFC" w:rsidRDefault="00E577D5" w:rsidP="002262A6">
            <w:pPr>
              <w:rPr>
                <w:rFonts w:asciiTheme="minorHAnsi" w:hAnsiTheme="minorHAnsi" w:cstheme="minorHAnsi"/>
              </w:rPr>
            </w:pPr>
          </w:p>
        </w:tc>
        <w:tc>
          <w:tcPr>
            <w:tcW w:w="489" w:type="dxa"/>
            <w:tcBorders>
              <w:top w:val="none" w:sz="0" w:space="0" w:color="auto"/>
              <w:bottom w:val="none" w:sz="0" w:space="0" w:color="auto"/>
            </w:tcBorders>
          </w:tcPr>
          <w:p w14:paraId="143D4504" w14:textId="4F5807E0"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B1</w:t>
            </w:r>
          </w:p>
        </w:tc>
        <w:tc>
          <w:tcPr>
            <w:tcW w:w="489" w:type="dxa"/>
            <w:tcBorders>
              <w:top w:val="none" w:sz="0" w:space="0" w:color="auto"/>
              <w:bottom w:val="none" w:sz="0" w:space="0" w:color="auto"/>
            </w:tcBorders>
          </w:tcPr>
          <w:p w14:paraId="0D8D56D0" w14:textId="64A5E4EA"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B2</w:t>
            </w:r>
          </w:p>
        </w:tc>
        <w:tc>
          <w:tcPr>
            <w:tcW w:w="489" w:type="dxa"/>
            <w:tcBorders>
              <w:top w:val="none" w:sz="0" w:space="0" w:color="auto"/>
              <w:bottom w:val="none" w:sz="0" w:space="0" w:color="auto"/>
            </w:tcBorders>
          </w:tcPr>
          <w:p w14:paraId="0248316C" w14:textId="34C5926B"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B3</w:t>
            </w:r>
          </w:p>
        </w:tc>
        <w:tc>
          <w:tcPr>
            <w:tcW w:w="489" w:type="dxa"/>
            <w:tcBorders>
              <w:top w:val="none" w:sz="0" w:space="0" w:color="auto"/>
              <w:bottom w:val="none" w:sz="0" w:space="0" w:color="auto"/>
            </w:tcBorders>
          </w:tcPr>
          <w:p w14:paraId="269CB721" w14:textId="75DCEDA7"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B4</w:t>
            </w:r>
          </w:p>
        </w:tc>
        <w:tc>
          <w:tcPr>
            <w:tcW w:w="489" w:type="dxa"/>
            <w:tcBorders>
              <w:top w:val="none" w:sz="0" w:space="0" w:color="auto"/>
              <w:bottom w:val="none" w:sz="0" w:space="0" w:color="auto"/>
            </w:tcBorders>
          </w:tcPr>
          <w:p w14:paraId="127280FC" w14:textId="1AFEC053" w:rsidR="00E577D5" w:rsidRPr="00780BFC" w:rsidRDefault="00E577D5" w:rsidP="00780BF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B5</w:t>
            </w:r>
          </w:p>
        </w:tc>
        <w:tc>
          <w:tcPr>
            <w:tcW w:w="489" w:type="dxa"/>
            <w:tcBorders>
              <w:top w:val="none" w:sz="0" w:space="0" w:color="auto"/>
              <w:bottom w:val="none" w:sz="0" w:space="0" w:color="auto"/>
            </w:tcBorders>
          </w:tcPr>
          <w:p w14:paraId="4FA36283" w14:textId="3A24F131"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B6</w:t>
            </w:r>
          </w:p>
        </w:tc>
        <w:tc>
          <w:tcPr>
            <w:tcW w:w="1169" w:type="dxa"/>
            <w:tcBorders>
              <w:top w:val="none" w:sz="0" w:space="0" w:color="auto"/>
              <w:bottom w:val="none" w:sz="0" w:space="0" w:color="auto"/>
            </w:tcBorders>
          </w:tcPr>
          <w:p w14:paraId="652A3DFC" w14:textId="7F6137B7"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Biodiversity</w:t>
            </w:r>
          </w:p>
        </w:tc>
        <w:tc>
          <w:tcPr>
            <w:tcW w:w="1080" w:type="dxa"/>
            <w:tcBorders>
              <w:top w:val="none" w:sz="0" w:space="0" w:color="auto"/>
              <w:bottom w:val="none" w:sz="0" w:space="0" w:color="auto"/>
            </w:tcBorders>
          </w:tcPr>
          <w:p w14:paraId="2098EAF4" w14:textId="2FCF0819" w:rsidR="00E577D5" w:rsidRPr="00780BFC" w:rsidRDefault="00E577D5" w:rsidP="00E57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N1</w:t>
            </w:r>
          </w:p>
        </w:tc>
        <w:tc>
          <w:tcPr>
            <w:tcW w:w="1081" w:type="dxa"/>
            <w:tcBorders>
              <w:top w:val="none" w:sz="0" w:space="0" w:color="auto"/>
              <w:bottom w:val="none" w:sz="0" w:space="0" w:color="auto"/>
            </w:tcBorders>
          </w:tcPr>
          <w:p w14:paraId="49934D72" w14:textId="67546A1A" w:rsidR="00E577D5" w:rsidRPr="00780BFC" w:rsidRDefault="00E577D5" w:rsidP="00E57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N2</w:t>
            </w:r>
          </w:p>
        </w:tc>
        <w:tc>
          <w:tcPr>
            <w:tcW w:w="1186" w:type="dxa"/>
            <w:tcBorders>
              <w:top w:val="none" w:sz="0" w:space="0" w:color="auto"/>
              <w:bottom w:val="none" w:sz="0" w:space="0" w:color="auto"/>
            </w:tcBorders>
          </w:tcPr>
          <w:p w14:paraId="6156423F" w14:textId="4E91444A" w:rsidR="00E577D5" w:rsidRPr="00780BFC" w:rsidRDefault="00583019"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Water quality</w:t>
            </w:r>
          </w:p>
        </w:tc>
        <w:tc>
          <w:tcPr>
            <w:tcW w:w="594" w:type="dxa"/>
            <w:tcBorders>
              <w:top w:val="none" w:sz="0" w:space="0" w:color="auto"/>
              <w:bottom w:val="none" w:sz="0" w:space="0" w:color="auto"/>
              <w:right w:val="none" w:sz="0" w:space="0" w:color="auto"/>
            </w:tcBorders>
          </w:tcPr>
          <w:p w14:paraId="4538567C" w14:textId="77777777"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E577D5" w:rsidRPr="00780BFC" w14:paraId="7CBECA81" w14:textId="77777777" w:rsidTr="008D1C98">
        <w:tc>
          <w:tcPr>
            <w:cnfStyle w:val="001000000000" w:firstRow="0" w:lastRow="0" w:firstColumn="1" w:lastColumn="0" w:oddVBand="0" w:evenVBand="0" w:oddHBand="0" w:evenHBand="0" w:firstRowFirstColumn="0" w:firstRowLastColumn="0" w:lastRowFirstColumn="0" w:lastRowLastColumn="0"/>
            <w:tcW w:w="1198" w:type="dxa"/>
          </w:tcPr>
          <w:p w14:paraId="39B5DD00" w14:textId="5E29028D" w:rsidR="00E577D5" w:rsidRPr="00780BFC" w:rsidRDefault="00E577D5" w:rsidP="002262A6">
            <w:pPr>
              <w:rPr>
                <w:rFonts w:asciiTheme="minorHAnsi" w:hAnsiTheme="minorHAnsi" w:cstheme="minorHAnsi"/>
              </w:rPr>
            </w:pPr>
            <w:r w:rsidRPr="00780BFC">
              <w:rPr>
                <w:rFonts w:asciiTheme="minorHAnsi" w:hAnsiTheme="minorHAnsi" w:cstheme="minorHAnsi"/>
              </w:rPr>
              <w:t>A</w:t>
            </w:r>
          </w:p>
        </w:tc>
        <w:tc>
          <w:tcPr>
            <w:tcW w:w="489" w:type="dxa"/>
          </w:tcPr>
          <w:p w14:paraId="10EC234B" w14:textId="65724A40" w:rsidR="00E577D5" w:rsidRPr="00780BFC" w:rsidRDefault="00E577D5" w:rsidP="002262A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67</w:t>
            </w:r>
          </w:p>
        </w:tc>
        <w:tc>
          <w:tcPr>
            <w:tcW w:w="489" w:type="dxa"/>
          </w:tcPr>
          <w:p w14:paraId="4E12A300" w14:textId="77777777" w:rsidR="00E577D5" w:rsidRPr="00780BFC" w:rsidRDefault="00E577D5" w:rsidP="002262A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89" w:type="dxa"/>
          </w:tcPr>
          <w:p w14:paraId="3C041E07" w14:textId="576F8B4E" w:rsidR="00E577D5" w:rsidRPr="00780BFC" w:rsidRDefault="00E577D5" w:rsidP="002262A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66</w:t>
            </w:r>
          </w:p>
        </w:tc>
        <w:tc>
          <w:tcPr>
            <w:tcW w:w="489" w:type="dxa"/>
          </w:tcPr>
          <w:p w14:paraId="0500C305" w14:textId="6D402618" w:rsidR="00E577D5" w:rsidRPr="00780BFC" w:rsidRDefault="00E577D5" w:rsidP="002262A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65</w:t>
            </w:r>
          </w:p>
        </w:tc>
        <w:tc>
          <w:tcPr>
            <w:tcW w:w="489" w:type="dxa"/>
          </w:tcPr>
          <w:p w14:paraId="7FD7E2D0" w14:textId="1FA66E11" w:rsidR="00E577D5" w:rsidRPr="00780BFC" w:rsidRDefault="00E577D5" w:rsidP="00780B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44</w:t>
            </w:r>
          </w:p>
        </w:tc>
        <w:tc>
          <w:tcPr>
            <w:tcW w:w="489" w:type="dxa"/>
          </w:tcPr>
          <w:p w14:paraId="0E439DD3" w14:textId="6A101BF5" w:rsidR="00E577D5" w:rsidRPr="00780BFC" w:rsidRDefault="00E577D5" w:rsidP="002262A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56</w:t>
            </w:r>
          </w:p>
        </w:tc>
        <w:tc>
          <w:tcPr>
            <w:tcW w:w="1169" w:type="dxa"/>
          </w:tcPr>
          <w:p w14:paraId="09464D71" w14:textId="4A071F2B" w:rsidR="00E577D5" w:rsidRPr="00780BFC" w:rsidRDefault="00E577D5" w:rsidP="00780B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17ED">
              <w:rPr>
                <w:rFonts w:asciiTheme="minorHAnsi" w:eastAsia="Times New Roman" w:hAnsiTheme="minorHAnsi" w:cstheme="minorHAnsi"/>
              </w:rPr>
              <w:sym w:font="Wingdings" w:char="F0FC"/>
            </w:r>
          </w:p>
        </w:tc>
        <w:tc>
          <w:tcPr>
            <w:tcW w:w="1080" w:type="dxa"/>
          </w:tcPr>
          <w:p w14:paraId="6915AB7C" w14:textId="4ED95545" w:rsidR="00E577D5" w:rsidRPr="00780BFC" w:rsidRDefault="00E577D5" w:rsidP="00E577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31</w:t>
            </w:r>
          </w:p>
        </w:tc>
        <w:tc>
          <w:tcPr>
            <w:tcW w:w="1081" w:type="dxa"/>
          </w:tcPr>
          <w:p w14:paraId="5FE220E9" w14:textId="0C3AFFCC" w:rsidR="00E577D5" w:rsidRPr="00780BFC" w:rsidRDefault="00E577D5" w:rsidP="00E577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42</w:t>
            </w:r>
          </w:p>
        </w:tc>
        <w:tc>
          <w:tcPr>
            <w:tcW w:w="1186" w:type="dxa"/>
          </w:tcPr>
          <w:p w14:paraId="38ED6F95" w14:textId="67027FB5" w:rsidR="00E577D5" w:rsidRPr="00780BFC" w:rsidRDefault="00E577D5" w:rsidP="008150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17ED">
              <w:rPr>
                <w:rFonts w:asciiTheme="minorHAnsi" w:eastAsia="Times New Roman" w:hAnsiTheme="minorHAnsi" w:cstheme="minorHAnsi"/>
              </w:rPr>
              <w:sym w:font="Wingdings" w:char="F0FC"/>
            </w:r>
          </w:p>
        </w:tc>
        <w:tc>
          <w:tcPr>
            <w:tcW w:w="594" w:type="dxa"/>
          </w:tcPr>
          <w:p w14:paraId="07DE786E" w14:textId="5957E15B" w:rsidR="00E577D5" w:rsidRPr="00780BFC" w:rsidRDefault="00E577D5" w:rsidP="008150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17ED">
              <w:rPr>
                <w:rFonts w:asciiTheme="minorHAnsi" w:eastAsia="Times New Roman" w:hAnsiTheme="minorHAnsi" w:cstheme="minorHAnsi"/>
              </w:rPr>
              <w:sym w:font="Wingdings" w:char="F0FC"/>
            </w:r>
          </w:p>
        </w:tc>
      </w:tr>
      <w:tr w:rsidR="00E577D5" w:rsidRPr="00780BFC" w14:paraId="10FD1962" w14:textId="77777777" w:rsidTr="008D1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Borders>
              <w:top w:val="none" w:sz="0" w:space="0" w:color="auto"/>
              <w:left w:val="none" w:sz="0" w:space="0" w:color="auto"/>
              <w:bottom w:val="none" w:sz="0" w:space="0" w:color="auto"/>
            </w:tcBorders>
          </w:tcPr>
          <w:p w14:paraId="3E6BC00F" w14:textId="6653B2D0" w:rsidR="00E577D5" w:rsidRPr="00780BFC" w:rsidRDefault="00E577D5" w:rsidP="002262A6">
            <w:pPr>
              <w:rPr>
                <w:rFonts w:asciiTheme="minorHAnsi" w:hAnsiTheme="minorHAnsi" w:cstheme="minorHAnsi"/>
              </w:rPr>
            </w:pPr>
            <w:r w:rsidRPr="00780BFC">
              <w:rPr>
                <w:rFonts w:asciiTheme="minorHAnsi" w:hAnsiTheme="minorHAnsi" w:cstheme="minorHAnsi"/>
              </w:rPr>
              <w:t>B</w:t>
            </w:r>
          </w:p>
        </w:tc>
        <w:tc>
          <w:tcPr>
            <w:tcW w:w="489" w:type="dxa"/>
            <w:tcBorders>
              <w:top w:val="none" w:sz="0" w:space="0" w:color="auto"/>
              <w:bottom w:val="none" w:sz="0" w:space="0" w:color="auto"/>
            </w:tcBorders>
          </w:tcPr>
          <w:p w14:paraId="46B3C967" w14:textId="77777777"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89" w:type="dxa"/>
            <w:tcBorders>
              <w:top w:val="none" w:sz="0" w:space="0" w:color="auto"/>
              <w:bottom w:val="none" w:sz="0" w:space="0" w:color="auto"/>
            </w:tcBorders>
          </w:tcPr>
          <w:p w14:paraId="7A4258F8" w14:textId="085D9CDD"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55</w:t>
            </w:r>
          </w:p>
        </w:tc>
        <w:tc>
          <w:tcPr>
            <w:tcW w:w="489" w:type="dxa"/>
            <w:tcBorders>
              <w:top w:val="none" w:sz="0" w:space="0" w:color="auto"/>
              <w:bottom w:val="none" w:sz="0" w:space="0" w:color="auto"/>
            </w:tcBorders>
          </w:tcPr>
          <w:p w14:paraId="5E5C1927" w14:textId="0A576FFA"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66</w:t>
            </w:r>
          </w:p>
        </w:tc>
        <w:tc>
          <w:tcPr>
            <w:tcW w:w="489" w:type="dxa"/>
            <w:tcBorders>
              <w:top w:val="none" w:sz="0" w:space="0" w:color="auto"/>
              <w:bottom w:val="none" w:sz="0" w:space="0" w:color="auto"/>
            </w:tcBorders>
          </w:tcPr>
          <w:p w14:paraId="0E3DDF23" w14:textId="51026319"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67</w:t>
            </w:r>
          </w:p>
        </w:tc>
        <w:tc>
          <w:tcPr>
            <w:tcW w:w="489" w:type="dxa"/>
            <w:tcBorders>
              <w:top w:val="none" w:sz="0" w:space="0" w:color="auto"/>
              <w:bottom w:val="none" w:sz="0" w:space="0" w:color="auto"/>
            </w:tcBorders>
          </w:tcPr>
          <w:p w14:paraId="670997EF" w14:textId="77777777" w:rsidR="00E577D5" w:rsidRPr="00780BFC" w:rsidRDefault="00E577D5" w:rsidP="00780B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489" w:type="dxa"/>
            <w:tcBorders>
              <w:top w:val="none" w:sz="0" w:space="0" w:color="auto"/>
              <w:bottom w:val="none" w:sz="0" w:space="0" w:color="auto"/>
            </w:tcBorders>
          </w:tcPr>
          <w:p w14:paraId="4F79511C" w14:textId="3645B1C1"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780BFC">
              <w:rPr>
                <w:rFonts w:asciiTheme="minorHAnsi" w:eastAsia="Times New Roman" w:hAnsiTheme="minorHAnsi" w:cstheme="minorHAnsi"/>
              </w:rPr>
              <w:t>59</w:t>
            </w:r>
          </w:p>
        </w:tc>
        <w:tc>
          <w:tcPr>
            <w:tcW w:w="1169" w:type="dxa"/>
            <w:tcBorders>
              <w:top w:val="none" w:sz="0" w:space="0" w:color="auto"/>
              <w:bottom w:val="none" w:sz="0" w:space="0" w:color="auto"/>
            </w:tcBorders>
          </w:tcPr>
          <w:p w14:paraId="76A5FFC1" w14:textId="530A5C07" w:rsidR="00E577D5" w:rsidRPr="00780BFC" w:rsidRDefault="00E577D5" w:rsidP="00780B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17ED">
              <w:rPr>
                <w:rFonts w:asciiTheme="minorHAnsi" w:eastAsia="Times New Roman" w:hAnsiTheme="minorHAnsi" w:cstheme="minorHAnsi"/>
              </w:rPr>
              <w:sym w:font="Wingdings" w:char="F0FC"/>
            </w:r>
          </w:p>
        </w:tc>
        <w:tc>
          <w:tcPr>
            <w:tcW w:w="1080" w:type="dxa"/>
            <w:tcBorders>
              <w:top w:val="none" w:sz="0" w:space="0" w:color="auto"/>
              <w:bottom w:val="none" w:sz="0" w:space="0" w:color="auto"/>
            </w:tcBorders>
          </w:tcPr>
          <w:p w14:paraId="5951783D" w14:textId="02A922C5" w:rsidR="00E577D5" w:rsidRPr="00780BFC" w:rsidRDefault="00E577D5" w:rsidP="00E57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33</w:t>
            </w:r>
          </w:p>
        </w:tc>
        <w:tc>
          <w:tcPr>
            <w:tcW w:w="1081" w:type="dxa"/>
            <w:tcBorders>
              <w:top w:val="none" w:sz="0" w:space="0" w:color="auto"/>
              <w:bottom w:val="none" w:sz="0" w:space="0" w:color="auto"/>
            </w:tcBorders>
          </w:tcPr>
          <w:p w14:paraId="2F0FBFF3" w14:textId="2C10E76C" w:rsidR="00E577D5" w:rsidRPr="00780BFC" w:rsidRDefault="00E577D5" w:rsidP="00E57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186" w:type="dxa"/>
            <w:tcBorders>
              <w:top w:val="none" w:sz="0" w:space="0" w:color="auto"/>
              <w:bottom w:val="none" w:sz="0" w:space="0" w:color="auto"/>
            </w:tcBorders>
          </w:tcPr>
          <w:p w14:paraId="03675A06" w14:textId="54EDAF2F" w:rsidR="00E577D5" w:rsidRPr="00780BFC" w:rsidRDefault="00D179D2" w:rsidP="008150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17ED">
              <w:rPr>
                <w:rFonts w:asciiTheme="minorHAnsi" w:eastAsia="Times New Roman" w:hAnsiTheme="minorHAnsi" w:cstheme="minorHAnsi"/>
              </w:rPr>
              <w:sym w:font="Wingdings" w:char="F0FB"/>
            </w:r>
          </w:p>
        </w:tc>
        <w:tc>
          <w:tcPr>
            <w:tcW w:w="594" w:type="dxa"/>
            <w:tcBorders>
              <w:top w:val="none" w:sz="0" w:space="0" w:color="auto"/>
              <w:bottom w:val="none" w:sz="0" w:space="0" w:color="auto"/>
              <w:right w:val="none" w:sz="0" w:space="0" w:color="auto"/>
            </w:tcBorders>
          </w:tcPr>
          <w:p w14:paraId="2EF53B9F" w14:textId="084716D4" w:rsidR="00E577D5" w:rsidRPr="00780BFC" w:rsidRDefault="00D179D2" w:rsidP="008150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17ED">
              <w:rPr>
                <w:rFonts w:asciiTheme="minorHAnsi" w:eastAsia="Times New Roman" w:hAnsiTheme="minorHAnsi" w:cstheme="minorHAnsi"/>
              </w:rPr>
              <w:sym w:font="Wingdings" w:char="F0FB"/>
            </w:r>
          </w:p>
        </w:tc>
      </w:tr>
      <w:tr w:rsidR="00E577D5" w:rsidRPr="00780BFC" w14:paraId="11425AF8" w14:textId="77777777" w:rsidTr="008D1C98">
        <w:tc>
          <w:tcPr>
            <w:cnfStyle w:val="001000000000" w:firstRow="0" w:lastRow="0" w:firstColumn="1" w:lastColumn="0" w:oddVBand="0" w:evenVBand="0" w:oddHBand="0" w:evenHBand="0" w:firstRowFirstColumn="0" w:firstRowLastColumn="0" w:lastRowFirstColumn="0" w:lastRowLastColumn="0"/>
            <w:tcW w:w="1198" w:type="dxa"/>
          </w:tcPr>
          <w:p w14:paraId="58C3772D" w14:textId="33FFBC5D" w:rsidR="00E577D5" w:rsidRPr="00780BFC" w:rsidRDefault="00E577D5" w:rsidP="002262A6">
            <w:pPr>
              <w:rPr>
                <w:rFonts w:asciiTheme="minorHAnsi" w:hAnsiTheme="minorHAnsi" w:cstheme="minorHAnsi"/>
              </w:rPr>
            </w:pPr>
            <w:r w:rsidRPr="00780BFC">
              <w:rPr>
                <w:rFonts w:asciiTheme="minorHAnsi" w:hAnsiTheme="minorHAnsi" w:cstheme="minorHAnsi"/>
              </w:rPr>
              <w:t>C</w:t>
            </w:r>
          </w:p>
        </w:tc>
        <w:tc>
          <w:tcPr>
            <w:tcW w:w="489" w:type="dxa"/>
          </w:tcPr>
          <w:p w14:paraId="5DBFEA7D" w14:textId="6C976DD6" w:rsidR="00E577D5" w:rsidRPr="00780BFC" w:rsidRDefault="00E577D5" w:rsidP="002262A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BFC">
              <w:rPr>
                <w:rFonts w:asciiTheme="minorHAnsi" w:hAnsiTheme="minorHAnsi" w:cstheme="minorHAnsi"/>
              </w:rPr>
              <w:t>67</w:t>
            </w:r>
          </w:p>
        </w:tc>
        <w:tc>
          <w:tcPr>
            <w:tcW w:w="489" w:type="dxa"/>
          </w:tcPr>
          <w:p w14:paraId="2693A1E4" w14:textId="77777777" w:rsidR="00E577D5" w:rsidRPr="00780BFC" w:rsidRDefault="00E577D5" w:rsidP="002262A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89" w:type="dxa"/>
          </w:tcPr>
          <w:p w14:paraId="08B67190" w14:textId="77777777" w:rsidR="00E577D5" w:rsidRPr="00780BFC" w:rsidRDefault="00E577D5" w:rsidP="002262A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89" w:type="dxa"/>
          </w:tcPr>
          <w:p w14:paraId="5A2F4A99" w14:textId="77777777" w:rsidR="00E577D5" w:rsidRPr="00780BFC" w:rsidRDefault="00E577D5" w:rsidP="002262A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89" w:type="dxa"/>
          </w:tcPr>
          <w:p w14:paraId="5B8DDFD9" w14:textId="2D07CF3F" w:rsidR="00E577D5" w:rsidRPr="00780BFC" w:rsidRDefault="00E577D5" w:rsidP="00780B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4</w:t>
            </w:r>
            <w:r w:rsidRPr="00780BFC">
              <w:rPr>
                <w:rFonts w:asciiTheme="minorHAnsi" w:eastAsia="Times New Roman" w:hAnsiTheme="minorHAnsi" w:cstheme="minorHAnsi"/>
              </w:rPr>
              <w:t>3</w:t>
            </w:r>
          </w:p>
        </w:tc>
        <w:tc>
          <w:tcPr>
            <w:tcW w:w="489" w:type="dxa"/>
          </w:tcPr>
          <w:p w14:paraId="5C598DAD" w14:textId="77777777" w:rsidR="00E577D5" w:rsidRPr="00780BFC" w:rsidRDefault="00E577D5" w:rsidP="002262A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169" w:type="dxa"/>
          </w:tcPr>
          <w:p w14:paraId="634DACA4" w14:textId="7C296D78" w:rsidR="00E577D5" w:rsidRPr="00780BFC" w:rsidRDefault="00E577D5" w:rsidP="00780BF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17ED">
              <w:rPr>
                <w:rFonts w:asciiTheme="minorHAnsi" w:eastAsia="Times New Roman" w:hAnsiTheme="minorHAnsi" w:cstheme="minorHAnsi"/>
              </w:rPr>
              <w:sym w:font="Wingdings" w:char="F0FC"/>
            </w:r>
          </w:p>
        </w:tc>
        <w:tc>
          <w:tcPr>
            <w:tcW w:w="1080" w:type="dxa"/>
          </w:tcPr>
          <w:p w14:paraId="35E50059" w14:textId="77777777" w:rsidR="00E577D5" w:rsidRPr="00780BFC" w:rsidRDefault="00E577D5" w:rsidP="00E577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081" w:type="dxa"/>
          </w:tcPr>
          <w:p w14:paraId="5F01F77F" w14:textId="41C1C533" w:rsidR="00E577D5" w:rsidRPr="00780BFC" w:rsidRDefault="00E577D5" w:rsidP="00E577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186" w:type="dxa"/>
          </w:tcPr>
          <w:p w14:paraId="34E3636E" w14:textId="383FA823" w:rsidR="00E577D5" w:rsidRPr="00780BFC" w:rsidRDefault="00E577D5" w:rsidP="008150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17ED">
              <w:rPr>
                <w:rFonts w:asciiTheme="minorHAnsi" w:eastAsia="Times New Roman" w:hAnsiTheme="minorHAnsi" w:cstheme="minorHAnsi"/>
              </w:rPr>
              <w:sym w:font="Wingdings" w:char="F0FB"/>
            </w:r>
          </w:p>
        </w:tc>
        <w:tc>
          <w:tcPr>
            <w:tcW w:w="594" w:type="dxa"/>
          </w:tcPr>
          <w:p w14:paraId="126A40BD" w14:textId="7D220979" w:rsidR="00E577D5" w:rsidRPr="00780BFC" w:rsidRDefault="00E577D5" w:rsidP="008150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17ED">
              <w:rPr>
                <w:rFonts w:asciiTheme="minorHAnsi" w:eastAsia="Times New Roman" w:hAnsiTheme="minorHAnsi" w:cstheme="minorHAnsi"/>
              </w:rPr>
              <w:sym w:font="Wingdings" w:char="F0FB"/>
            </w:r>
          </w:p>
        </w:tc>
      </w:tr>
      <w:tr w:rsidR="00E577D5" w:rsidRPr="00780BFC" w14:paraId="6EFDEED8" w14:textId="77777777" w:rsidTr="008D1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Borders>
              <w:top w:val="none" w:sz="0" w:space="0" w:color="auto"/>
              <w:left w:val="none" w:sz="0" w:space="0" w:color="auto"/>
              <w:bottom w:val="none" w:sz="0" w:space="0" w:color="auto"/>
            </w:tcBorders>
          </w:tcPr>
          <w:p w14:paraId="43D69620" w14:textId="1EC0CC82" w:rsidR="00E577D5" w:rsidRPr="00780BFC" w:rsidRDefault="00E577D5" w:rsidP="002262A6">
            <w:pPr>
              <w:rPr>
                <w:rFonts w:asciiTheme="minorHAnsi" w:hAnsiTheme="minorHAnsi" w:cstheme="minorHAnsi"/>
              </w:rPr>
            </w:pPr>
            <w:r w:rsidRPr="00780BFC">
              <w:rPr>
                <w:rFonts w:asciiTheme="minorHAnsi" w:hAnsiTheme="minorHAnsi" w:cstheme="minorHAnsi"/>
              </w:rPr>
              <w:t>D</w:t>
            </w:r>
          </w:p>
        </w:tc>
        <w:tc>
          <w:tcPr>
            <w:tcW w:w="489" w:type="dxa"/>
            <w:tcBorders>
              <w:top w:val="none" w:sz="0" w:space="0" w:color="auto"/>
              <w:bottom w:val="none" w:sz="0" w:space="0" w:color="auto"/>
            </w:tcBorders>
          </w:tcPr>
          <w:p w14:paraId="1A4A21BE" w14:textId="77777777"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89" w:type="dxa"/>
            <w:tcBorders>
              <w:top w:val="none" w:sz="0" w:space="0" w:color="auto"/>
              <w:bottom w:val="none" w:sz="0" w:space="0" w:color="auto"/>
            </w:tcBorders>
          </w:tcPr>
          <w:p w14:paraId="28FD40E1" w14:textId="77777777"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89" w:type="dxa"/>
            <w:tcBorders>
              <w:top w:val="none" w:sz="0" w:space="0" w:color="auto"/>
              <w:bottom w:val="none" w:sz="0" w:space="0" w:color="auto"/>
            </w:tcBorders>
          </w:tcPr>
          <w:p w14:paraId="16AEBCD3" w14:textId="77777777"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89" w:type="dxa"/>
            <w:tcBorders>
              <w:top w:val="none" w:sz="0" w:space="0" w:color="auto"/>
              <w:bottom w:val="none" w:sz="0" w:space="0" w:color="auto"/>
            </w:tcBorders>
          </w:tcPr>
          <w:p w14:paraId="488EB043" w14:textId="77777777"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89" w:type="dxa"/>
            <w:tcBorders>
              <w:top w:val="none" w:sz="0" w:space="0" w:color="auto"/>
              <w:bottom w:val="none" w:sz="0" w:space="0" w:color="auto"/>
            </w:tcBorders>
          </w:tcPr>
          <w:p w14:paraId="390CC49A" w14:textId="77777777" w:rsidR="00E577D5" w:rsidRPr="00780BFC" w:rsidRDefault="00E577D5" w:rsidP="00780B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489" w:type="dxa"/>
            <w:tcBorders>
              <w:top w:val="none" w:sz="0" w:space="0" w:color="auto"/>
              <w:bottom w:val="none" w:sz="0" w:space="0" w:color="auto"/>
            </w:tcBorders>
          </w:tcPr>
          <w:p w14:paraId="0F17B170" w14:textId="77777777" w:rsidR="00E577D5" w:rsidRPr="00780BFC" w:rsidRDefault="00E577D5" w:rsidP="002262A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169" w:type="dxa"/>
            <w:tcBorders>
              <w:top w:val="none" w:sz="0" w:space="0" w:color="auto"/>
              <w:bottom w:val="none" w:sz="0" w:space="0" w:color="auto"/>
            </w:tcBorders>
          </w:tcPr>
          <w:p w14:paraId="250CCA5D" w14:textId="729D1410" w:rsidR="00E577D5" w:rsidRPr="00780BFC" w:rsidRDefault="00E577D5" w:rsidP="00780B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17ED">
              <w:rPr>
                <w:rFonts w:asciiTheme="minorHAnsi" w:eastAsia="Times New Roman" w:hAnsiTheme="minorHAnsi" w:cstheme="minorHAnsi"/>
              </w:rPr>
              <w:sym w:font="Wingdings" w:char="F0FB"/>
            </w:r>
          </w:p>
        </w:tc>
        <w:tc>
          <w:tcPr>
            <w:tcW w:w="1080" w:type="dxa"/>
            <w:tcBorders>
              <w:top w:val="none" w:sz="0" w:space="0" w:color="auto"/>
              <w:bottom w:val="none" w:sz="0" w:space="0" w:color="auto"/>
            </w:tcBorders>
          </w:tcPr>
          <w:p w14:paraId="76BC2B52" w14:textId="2DA785DB" w:rsidR="00E577D5" w:rsidRPr="00780BFC" w:rsidRDefault="00E577D5" w:rsidP="00E57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33</w:t>
            </w:r>
          </w:p>
        </w:tc>
        <w:tc>
          <w:tcPr>
            <w:tcW w:w="1081" w:type="dxa"/>
            <w:tcBorders>
              <w:top w:val="none" w:sz="0" w:space="0" w:color="auto"/>
              <w:bottom w:val="none" w:sz="0" w:space="0" w:color="auto"/>
            </w:tcBorders>
          </w:tcPr>
          <w:p w14:paraId="0625A3B1" w14:textId="668784EF" w:rsidR="00E577D5" w:rsidRPr="00780BFC" w:rsidRDefault="00E577D5" w:rsidP="00E57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42</w:t>
            </w:r>
          </w:p>
        </w:tc>
        <w:tc>
          <w:tcPr>
            <w:tcW w:w="1186" w:type="dxa"/>
            <w:tcBorders>
              <w:top w:val="none" w:sz="0" w:space="0" w:color="auto"/>
              <w:bottom w:val="none" w:sz="0" w:space="0" w:color="auto"/>
            </w:tcBorders>
          </w:tcPr>
          <w:p w14:paraId="6F0E45EF" w14:textId="67036394" w:rsidR="00E577D5" w:rsidRPr="00780BFC" w:rsidRDefault="00E577D5" w:rsidP="008150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17ED">
              <w:rPr>
                <w:rFonts w:asciiTheme="minorHAnsi" w:eastAsia="Times New Roman" w:hAnsiTheme="minorHAnsi" w:cstheme="minorHAnsi"/>
              </w:rPr>
              <w:sym w:font="Wingdings" w:char="F0FC"/>
            </w:r>
          </w:p>
        </w:tc>
        <w:tc>
          <w:tcPr>
            <w:tcW w:w="594" w:type="dxa"/>
            <w:tcBorders>
              <w:top w:val="none" w:sz="0" w:space="0" w:color="auto"/>
              <w:bottom w:val="none" w:sz="0" w:space="0" w:color="auto"/>
              <w:right w:val="none" w:sz="0" w:space="0" w:color="auto"/>
            </w:tcBorders>
          </w:tcPr>
          <w:p w14:paraId="119DD4EB" w14:textId="1DD26118" w:rsidR="00E577D5" w:rsidRPr="00780BFC" w:rsidRDefault="00E577D5" w:rsidP="008150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17ED">
              <w:rPr>
                <w:rFonts w:asciiTheme="minorHAnsi" w:eastAsia="Times New Roman" w:hAnsiTheme="minorHAnsi" w:cstheme="minorHAnsi"/>
              </w:rPr>
              <w:sym w:font="Wingdings" w:char="F0FB"/>
            </w:r>
          </w:p>
        </w:tc>
      </w:tr>
    </w:tbl>
    <w:p w14:paraId="3D089EA6" w14:textId="77777777" w:rsidR="001517ED" w:rsidRDefault="001517ED" w:rsidP="002262A6"/>
    <w:p w14:paraId="4FE4564D" w14:textId="77777777" w:rsidR="001E76C4" w:rsidRPr="004E7EB5" w:rsidRDefault="001E76C4" w:rsidP="001E76C4">
      <w:pPr>
        <w:rPr>
          <w:b/>
          <w:i/>
          <w:color w:val="8C863E" w:themeColor="background2" w:themeShade="80"/>
          <w:sz w:val="24"/>
          <w:szCs w:val="24"/>
        </w:rPr>
      </w:pPr>
      <w:r w:rsidRPr="004E7EB5">
        <w:rPr>
          <w:b/>
          <w:i/>
          <w:color w:val="8C863E" w:themeColor="background2" w:themeShade="80"/>
          <w:sz w:val="24"/>
          <w:szCs w:val="24"/>
        </w:rPr>
        <w:t>Other resources</w:t>
      </w:r>
    </w:p>
    <w:p w14:paraId="78F9B0F8" w14:textId="77777777" w:rsidR="00D246DA" w:rsidRDefault="00D246DA" w:rsidP="00F4328F">
      <w:pPr>
        <w:pStyle w:val="ListParagraph"/>
        <w:numPr>
          <w:ilvl w:val="0"/>
          <w:numId w:val="48"/>
        </w:numPr>
      </w:pPr>
      <w:r>
        <w:t>Robinson, W., and Butcher, R. (2017). Briefing Paper 3</w:t>
      </w:r>
      <w:r w:rsidRPr="00382817">
        <w:t xml:space="preserve"> IECA </w:t>
      </w:r>
      <w:r>
        <w:t>Framework: Approaches to aggregation, harmonisation and integration. Integrated Ecosystem Condition Assessment (IECA) Framework Phase 3 Report to the Department of the Environment and Energy.</w:t>
      </w:r>
    </w:p>
    <w:p w14:paraId="6E98D591" w14:textId="680843E7" w:rsidR="00144E90" w:rsidRPr="00246AEA" w:rsidRDefault="00144E90" w:rsidP="00F4328F">
      <w:pPr>
        <w:pStyle w:val="ListParagraph"/>
        <w:numPr>
          <w:ilvl w:val="0"/>
          <w:numId w:val="48"/>
        </w:numPr>
      </w:pPr>
      <w:r w:rsidRPr="00417EB0">
        <w:rPr>
          <w:rFonts w:cs="Calibri"/>
        </w:rPr>
        <w:lastRenderedPageBreak/>
        <w:t xml:space="preserve">Norris, </w:t>
      </w:r>
      <w:r w:rsidR="00417EB0" w:rsidRPr="00417EB0">
        <w:rPr>
          <w:rFonts w:cs="Calibri"/>
        </w:rPr>
        <w:t xml:space="preserve">R.H. </w:t>
      </w:r>
      <w:r w:rsidRPr="00417EB0">
        <w:rPr>
          <w:rFonts w:cs="Calibri"/>
        </w:rPr>
        <w:t>Dyer,</w:t>
      </w:r>
      <w:r w:rsidR="00417EB0" w:rsidRPr="00417EB0">
        <w:rPr>
          <w:rFonts w:cs="Calibri"/>
        </w:rPr>
        <w:t xml:space="preserve"> F.,</w:t>
      </w:r>
      <w:r w:rsidRPr="00417EB0">
        <w:rPr>
          <w:rFonts w:cs="Calibri"/>
        </w:rPr>
        <w:t xml:space="preserve"> Hairsine,</w:t>
      </w:r>
      <w:r w:rsidR="00417EB0" w:rsidRPr="00417EB0">
        <w:rPr>
          <w:rFonts w:cs="Calibri"/>
        </w:rPr>
        <w:t xml:space="preserve"> P.,</w:t>
      </w:r>
      <w:r w:rsidRPr="00417EB0">
        <w:rPr>
          <w:rFonts w:cs="Calibri"/>
        </w:rPr>
        <w:t xml:space="preserve"> Kennard,</w:t>
      </w:r>
      <w:r w:rsidR="00417EB0" w:rsidRPr="00417EB0">
        <w:rPr>
          <w:rFonts w:cs="Calibri"/>
        </w:rPr>
        <w:t xml:space="preserve"> M.,</w:t>
      </w:r>
      <w:r w:rsidRPr="00417EB0">
        <w:rPr>
          <w:rFonts w:cs="Calibri"/>
        </w:rPr>
        <w:t xml:space="preserve"> Linke,</w:t>
      </w:r>
      <w:r w:rsidR="00417EB0" w:rsidRPr="00417EB0">
        <w:rPr>
          <w:rFonts w:cs="Calibri"/>
        </w:rPr>
        <w:t xml:space="preserve"> S.,</w:t>
      </w:r>
      <w:r w:rsidRPr="00417EB0">
        <w:rPr>
          <w:rFonts w:cs="Calibri"/>
        </w:rPr>
        <w:t xml:space="preserve"> Merrin,</w:t>
      </w:r>
      <w:r w:rsidR="00417EB0" w:rsidRPr="00417EB0">
        <w:rPr>
          <w:rFonts w:cs="Calibri"/>
        </w:rPr>
        <w:t xml:space="preserve"> L.,</w:t>
      </w:r>
      <w:r w:rsidRPr="00417EB0">
        <w:rPr>
          <w:rFonts w:cs="Calibri"/>
        </w:rPr>
        <w:t xml:space="preserve"> Read,</w:t>
      </w:r>
      <w:r w:rsidR="00417EB0" w:rsidRPr="00417EB0">
        <w:rPr>
          <w:rFonts w:cs="Calibri"/>
        </w:rPr>
        <w:t xml:space="preserve"> A., </w:t>
      </w:r>
      <w:r w:rsidRPr="00417EB0">
        <w:rPr>
          <w:rFonts w:cs="Calibri"/>
        </w:rPr>
        <w:t>Robinson,</w:t>
      </w:r>
      <w:r w:rsidR="00417EB0" w:rsidRPr="00417EB0">
        <w:rPr>
          <w:rFonts w:cs="Calibri"/>
        </w:rPr>
        <w:t xml:space="preserve"> W., </w:t>
      </w:r>
      <w:r w:rsidRPr="00417EB0">
        <w:rPr>
          <w:rFonts w:cs="Calibri"/>
        </w:rPr>
        <w:t>Ryan,</w:t>
      </w:r>
      <w:r w:rsidR="00417EB0" w:rsidRPr="00417EB0">
        <w:rPr>
          <w:rFonts w:cs="Calibri"/>
        </w:rPr>
        <w:t xml:space="preserve"> C.,</w:t>
      </w:r>
      <w:r w:rsidRPr="00417EB0">
        <w:rPr>
          <w:rFonts w:cs="Calibri"/>
        </w:rPr>
        <w:t xml:space="preserve"> Wilkinson,</w:t>
      </w:r>
      <w:r w:rsidR="00417EB0" w:rsidRPr="00417EB0">
        <w:rPr>
          <w:rFonts w:cs="Calibri"/>
        </w:rPr>
        <w:t xml:space="preserve"> S.,</w:t>
      </w:r>
      <w:r w:rsidRPr="00417EB0">
        <w:rPr>
          <w:rFonts w:cs="Calibri"/>
        </w:rPr>
        <w:t xml:space="preserve"> and Williams</w:t>
      </w:r>
      <w:r w:rsidR="00417EB0" w:rsidRPr="00417EB0">
        <w:rPr>
          <w:rFonts w:cs="Calibri"/>
        </w:rPr>
        <w:t>, D.</w:t>
      </w:r>
      <w:r w:rsidRPr="00417EB0">
        <w:rPr>
          <w:rFonts w:cs="Calibri"/>
        </w:rPr>
        <w:t xml:space="preserve"> (2007)</w:t>
      </w:r>
      <w:r w:rsidR="00417EB0" w:rsidRPr="00417EB0">
        <w:rPr>
          <w:rFonts w:cs="Calibri"/>
        </w:rPr>
        <w:t>.</w:t>
      </w:r>
      <w:r w:rsidRPr="00417EB0">
        <w:rPr>
          <w:rFonts w:cs="Calibri"/>
        </w:rPr>
        <w:t xml:space="preserve"> A baseline assessment of water resources for the National Water Initiative, Level 2 assessment. Assessment of River and Wetland Health: A Framework for Comparative Assessment of the Ecological Condition of Australian Rivers and Wetlands. The WRON Alliance, 36pp.</w:t>
      </w:r>
    </w:p>
    <w:p w14:paraId="0384AE7C" w14:textId="73543AD3" w:rsidR="00246AEA" w:rsidRPr="00B070CD" w:rsidRDefault="00246AEA" w:rsidP="00246AEA">
      <w:pPr>
        <w:pStyle w:val="ListParagraph"/>
        <w:numPr>
          <w:ilvl w:val="0"/>
          <w:numId w:val="48"/>
        </w:numPr>
      </w:pPr>
      <w:r w:rsidRPr="00246AEA">
        <w:rPr>
          <w:rFonts w:cs="Calibri"/>
        </w:rPr>
        <w:t>Enders, C.K. (2010). Applied Missing Data Analysis. Guilford Press: New York.</w:t>
      </w:r>
    </w:p>
    <w:p w14:paraId="06C32528" w14:textId="686B9D76" w:rsidR="00430622" w:rsidRDefault="00430622" w:rsidP="00430622">
      <w:pPr>
        <w:pStyle w:val="ListParagraph"/>
        <w:numPr>
          <w:ilvl w:val="0"/>
          <w:numId w:val="48"/>
        </w:numPr>
      </w:pPr>
      <w:r>
        <w:t>Gibert, K et al</w:t>
      </w:r>
      <w:r w:rsidR="00246AEA">
        <w:t>.</w:t>
      </w:r>
      <w:r>
        <w:t xml:space="preserve"> (2008) Review of method for handling missing data in longitudinal analysis. In </w:t>
      </w:r>
      <w:r w:rsidRPr="00430622">
        <w:rPr>
          <w:i/>
        </w:rPr>
        <w:t>Data Mining for Environmental Systems, Developments in Integrated Environmental Assessment Volume 3, Environmental Modelling, Software and Decision Support</w:t>
      </w:r>
      <w:r>
        <w:t xml:space="preserve">. Edited by A.J. Jakeman, A.A. Voinov, A.E. Rizzoli and S.H. Chen. </w:t>
      </w:r>
      <w:hyperlink r:id="rId78" w:history="1">
        <w:r w:rsidRPr="00A72547">
          <w:rPr>
            <w:rStyle w:val="Hyperlink"/>
          </w:rPr>
          <w:t>http://bmcmedresmethodol.biomedcentral.com/articles/10.1186/1471-2288-12-96</w:t>
        </w:r>
      </w:hyperlink>
    </w:p>
    <w:p w14:paraId="7A7040A5" w14:textId="36D04453" w:rsidR="00B070CD" w:rsidRPr="002262A6" w:rsidRDefault="00B070CD" w:rsidP="00B070CD">
      <w:pPr>
        <w:pStyle w:val="ListParagraph"/>
        <w:numPr>
          <w:ilvl w:val="0"/>
          <w:numId w:val="48"/>
        </w:numPr>
      </w:pPr>
      <w:r w:rsidRPr="00B070CD">
        <w:t>Schafer, Joseph L., John W. Graham. 2002. “Missing Data: Our View of the State of the Art.” Psychological Methods. 2002, Vol. 7, No. 2, 147–177</w:t>
      </w:r>
      <w:r w:rsidR="00430622">
        <w:t>.</w:t>
      </w:r>
    </w:p>
    <w:p w14:paraId="7CCB3BFE" w14:textId="77777777" w:rsidR="00B350BC" w:rsidRPr="004E7EB5" w:rsidRDefault="00B350BC" w:rsidP="00B350BC">
      <w:pPr>
        <w:rPr>
          <w:b/>
          <w:i/>
          <w:color w:val="8C863E" w:themeColor="background2" w:themeShade="80"/>
          <w:sz w:val="24"/>
          <w:szCs w:val="24"/>
        </w:rPr>
      </w:pPr>
      <w:r w:rsidRPr="004E7EB5">
        <w:rPr>
          <w:b/>
          <w:i/>
          <w:color w:val="8C863E" w:themeColor="background2" w:themeShade="80"/>
          <w:sz w:val="24"/>
          <w:szCs w:val="24"/>
        </w:rPr>
        <w:t>Assumptions and Knowledge gaps</w:t>
      </w:r>
    </w:p>
    <w:p w14:paraId="1BC98AA5" w14:textId="15CFDFB8" w:rsidR="00B350BC" w:rsidRDefault="007D25BD" w:rsidP="00B350BC">
      <w:r>
        <w:t xml:space="preserve">Document assumptions and caveats when analysing and aggregating the data. Document how missing data are dealt with and what bias or changes to confidence this might entail. </w:t>
      </w:r>
    </w:p>
    <w:p w14:paraId="15BD339E" w14:textId="77777777" w:rsidR="001E76C4" w:rsidRPr="004E7EB5" w:rsidRDefault="001E76C4" w:rsidP="001E76C4">
      <w:pPr>
        <w:rPr>
          <w:b/>
          <w:i/>
          <w:color w:val="8C863E" w:themeColor="background2" w:themeShade="80"/>
          <w:sz w:val="24"/>
          <w:szCs w:val="24"/>
        </w:rPr>
      </w:pPr>
      <w:r w:rsidRPr="004E7EB5">
        <w:rPr>
          <w:b/>
          <w:i/>
          <w:color w:val="8C863E" w:themeColor="background2" w:themeShade="80"/>
          <w:sz w:val="24"/>
          <w:szCs w:val="24"/>
        </w:rPr>
        <w:t>Outputs</w:t>
      </w:r>
    </w:p>
    <w:p w14:paraId="7D4A691C" w14:textId="678ABBFD" w:rsidR="00E97A91" w:rsidRDefault="00E97A91" w:rsidP="00E97A91">
      <w:pPr>
        <w:shd w:val="clear" w:color="auto" w:fill="C3D8D7" w:themeFill="accent2" w:themeFillTint="99"/>
      </w:pPr>
      <w:r>
        <w:t xml:space="preserve">The </w:t>
      </w:r>
      <w:r w:rsidR="00E557B7">
        <w:t>required</w:t>
      </w:r>
      <w:r>
        <w:t xml:space="preserve"> outputs of Step 6 are:</w:t>
      </w:r>
    </w:p>
    <w:p w14:paraId="75038BE4" w14:textId="4E3C00AC" w:rsidR="00D246DA" w:rsidRDefault="00F3163B" w:rsidP="00F4328F">
      <w:pPr>
        <w:pStyle w:val="ListParagraph"/>
        <w:numPr>
          <w:ilvl w:val="0"/>
          <w:numId w:val="4"/>
        </w:numPr>
        <w:shd w:val="clear" w:color="auto" w:fill="C3D8D7" w:themeFill="accent2" w:themeFillTint="99"/>
        <w:spacing w:after="120" w:line="288" w:lineRule="auto"/>
        <w:jc w:val="left"/>
      </w:pPr>
      <w:r>
        <w:t>Theme</w:t>
      </w:r>
      <w:r w:rsidR="00D246DA">
        <w:t xml:space="preserve"> assessment scores</w:t>
      </w:r>
      <w:r w:rsidR="00DD7D13">
        <w:t>;</w:t>
      </w:r>
    </w:p>
    <w:p w14:paraId="241A961A" w14:textId="6BFD8D55" w:rsidR="00D246DA" w:rsidRDefault="00D246DA" w:rsidP="00F4328F">
      <w:pPr>
        <w:pStyle w:val="ListParagraph"/>
        <w:numPr>
          <w:ilvl w:val="0"/>
          <w:numId w:val="4"/>
        </w:numPr>
        <w:shd w:val="clear" w:color="auto" w:fill="C3D8D7" w:themeFill="accent2" w:themeFillTint="99"/>
        <w:spacing w:after="120" w:line="288" w:lineRule="auto"/>
        <w:jc w:val="left"/>
      </w:pPr>
      <w:r>
        <w:t>Levels of confidence associated with the assessments</w:t>
      </w:r>
      <w:r w:rsidR="00DD7D13">
        <w:t>;</w:t>
      </w:r>
    </w:p>
    <w:p w14:paraId="24DD026F" w14:textId="5F495FDB" w:rsidR="00E97A91" w:rsidRDefault="00144E90" w:rsidP="00F4328F">
      <w:pPr>
        <w:pStyle w:val="ListParagraph"/>
        <w:numPr>
          <w:ilvl w:val="0"/>
          <w:numId w:val="4"/>
        </w:numPr>
        <w:shd w:val="clear" w:color="auto" w:fill="C3D8D7" w:themeFill="accent2" w:themeFillTint="99"/>
        <w:spacing w:after="120" w:line="288" w:lineRule="auto"/>
        <w:jc w:val="left"/>
      </w:pPr>
      <w:r>
        <w:t>Statement of limitations/bounds/extent to which the assessment can be applied</w:t>
      </w:r>
      <w:r w:rsidR="00DD7D13">
        <w:t>;</w:t>
      </w:r>
      <w:r w:rsidR="004E4F49">
        <w:t xml:space="preserve"> and</w:t>
      </w:r>
    </w:p>
    <w:p w14:paraId="5983CE23" w14:textId="62C64C8A" w:rsidR="007D25BD" w:rsidRDefault="007D25BD" w:rsidP="00F4328F">
      <w:pPr>
        <w:pStyle w:val="ListParagraph"/>
        <w:numPr>
          <w:ilvl w:val="0"/>
          <w:numId w:val="4"/>
        </w:numPr>
        <w:shd w:val="clear" w:color="auto" w:fill="C3D8D7" w:themeFill="accent2" w:themeFillTint="99"/>
        <w:spacing w:after="120" w:line="288" w:lineRule="auto"/>
        <w:jc w:val="left"/>
      </w:pPr>
      <w:r>
        <w:t>Approach adopted for aggregation and dealing with missing data.</w:t>
      </w:r>
    </w:p>
    <w:p w14:paraId="1671F8F6" w14:textId="77777777" w:rsidR="001E76C4" w:rsidRPr="004E7EB5" w:rsidRDefault="001E76C4" w:rsidP="001E76C4"/>
    <w:p w14:paraId="4C870128" w14:textId="77777777" w:rsidR="00A05834" w:rsidRDefault="00A05834" w:rsidP="007A08D5"/>
    <w:p w14:paraId="7EFB3CB8" w14:textId="77777777" w:rsidR="00A05834" w:rsidRPr="004E7EB5" w:rsidRDefault="00A05834" w:rsidP="007A08D5">
      <w:pPr>
        <w:sectPr w:rsidR="00A05834" w:rsidRPr="004E7EB5" w:rsidSect="00CA2773">
          <w:pgSz w:w="11906" w:h="16838"/>
          <w:pgMar w:top="1440" w:right="1440" w:bottom="1440" w:left="1440" w:header="708" w:footer="708" w:gutter="0"/>
          <w:cols w:space="708"/>
          <w:docGrid w:linePitch="360"/>
        </w:sectPr>
      </w:pPr>
    </w:p>
    <w:p w14:paraId="30125B0B" w14:textId="07E17EEB" w:rsidR="00B27B0F" w:rsidRDefault="00B27B0F" w:rsidP="006E6D41">
      <w:pPr>
        <w:pStyle w:val="Heading2"/>
      </w:pPr>
      <w:bookmarkStart w:id="82" w:name="_Toc493774224"/>
      <w:r w:rsidRPr="004E7EB5">
        <w:lastRenderedPageBreak/>
        <w:t xml:space="preserve">Step </w:t>
      </w:r>
      <w:r w:rsidR="001F0F1D" w:rsidRPr="004E7EB5">
        <w:t>7</w:t>
      </w:r>
      <w:r w:rsidRPr="004E7EB5">
        <w:t>: Harmonis</w:t>
      </w:r>
      <w:r w:rsidR="00460799">
        <w:t>e</w:t>
      </w:r>
      <w:r w:rsidR="0055655A">
        <w:t xml:space="preserve"> and </w:t>
      </w:r>
      <w:r w:rsidR="00460799">
        <w:t>Integrate</w:t>
      </w:r>
      <w:bookmarkEnd w:id="82"/>
      <w:r w:rsidR="00460799">
        <w:t xml:space="preserve"> </w:t>
      </w:r>
    </w:p>
    <w:p w14:paraId="78859CCB" w14:textId="6B1E2B68" w:rsidR="00147B64" w:rsidRDefault="00147B64" w:rsidP="000627ED">
      <w:r w:rsidRPr="00147B64">
        <w:t xml:space="preserve">Harmonisation is the </w:t>
      </w:r>
      <w:r w:rsidR="00B46CD8">
        <w:t>process</w:t>
      </w:r>
      <w:r w:rsidRPr="00147B64">
        <w:t xml:space="preserve">ing of data prior to integration and should be considered within the integration process. It is the alignment of different </w:t>
      </w:r>
      <w:r w:rsidR="00B46CD8">
        <w:t>indicators</w:t>
      </w:r>
      <w:r w:rsidRPr="00147B64">
        <w:t xml:space="preserve"> with different properties so that integration can produce meaningful outcomes. </w:t>
      </w:r>
      <w:r w:rsidR="006C6AE7">
        <w:t xml:space="preserve">The TAG should be consulted to confirm the conceptual relevance of harmonising various indicators. </w:t>
      </w:r>
      <w:r w:rsidRPr="00147B64">
        <w:t>This section is written as a generic overview because the IECA Framework is flexible allowing locally relevant indicators</w:t>
      </w:r>
      <w:r w:rsidR="00DD7D13">
        <w:t xml:space="preserve">; </w:t>
      </w:r>
      <w:r w:rsidRPr="00147B64">
        <w:t xml:space="preserve">thus there are no standard methods </w:t>
      </w:r>
      <w:r w:rsidR="00DD7D13">
        <w:t>proposed for data collection</w:t>
      </w:r>
      <w:r w:rsidRPr="00147B64">
        <w:t xml:space="preserve">. </w:t>
      </w:r>
      <w:r w:rsidR="00DD7D13">
        <w:t>It is likely that</w:t>
      </w:r>
      <w:r w:rsidRPr="00147B64">
        <w:t xml:space="preserve"> many assessments using the </w:t>
      </w:r>
      <w:r>
        <w:t xml:space="preserve">IECA </w:t>
      </w:r>
      <w:r w:rsidRPr="00147B64">
        <w:t xml:space="preserve">Framework will be made up of unique sets of indicators. Even the same set of indicators may have different levels of importance </w:t>
      </w:r>
      <w:r>
        <w:t>across</w:t>
      </w:r>
      <w:r w:rsidRPr="00147B64">
        <w:t xml:space="preserve"> different </w:t>
      </w:r>
      <w:r>
        <w:t xml:space="preserve">assessment </w:t>
      </w:r>
      <w:r w:rsidRPr="00147B64">
        <w:t>units.</w:t>
      </w:r>
    </w:p>
    <w:p w14:paraId="38DD018C" w14:textId="5D47FA7A" w:rsidR="00147B64" w:rsidRDefault="00147B64" w:rsidP="000627ED">
      <w:r>
        <w:t xml:space="preserve">This section is written </w:t>
      </w:r>
      <w:r w:rsidR="00DD7D13">
        <w:t xml:space="preserve">assuming that </w:t>
      </w:r>
      <w:r>
        <w:t>all indicators are measured on a numerical scale</w:t>
      </w:r>
      <w:r w:rsidR="00DD7D13">
        <w:t>, as</w:t>
      </w:r>
      <w:r>
        <w:t xml:space="preserve"> this is the common manner used in ecological assessments. However, there are occasions where an indicator may be assessed using a categorical scale (e.g. low, medium or high for conservation value, or presence/absence of a species).  In those cases, the integration requires use of a non-numerical method, such as expert rules</w:t>
      </w:r>
      <w:r w:rsidR="003F6269">
        <w:t xml:space="preserve"> (e.g. </w:t>
      </w:r>
      <w:r w:rsidR="003F6269">
        <w:fldChar w:fldCharType="begin"/>
      </w:r>
      <w:r w:rsidR="003F6269">
        <w:instrText xml:space="preserve"> ADDIN ZOTERO_ITEM CSL_CITATION {"citationID":"22i7kb2dav","properties":{"formattedCitation":"(Carter 2011)","plainCitation":"(Carter 2011)"},"citationItems":[{"id":3556,"uris":["http://zotero.org/users/3119797/items/7TNJ9B6V"],"uri":["http://zotero.org/users/3119797/items/7TNJ9B6V"],"itemData":{"id":3556,"type":"article","title":"Sustainable River Audit 2: Metric processing system, unpublished report to the Murray-Darling Basin Authroity, Environmental Dynamics Project ED5115, Environmental Dynamics, Hobart.","author":[{"family":"Carter","given":"C."}],"issued":{"date-parts":[["2011"]]}}}],"schema":"https://github.com/citation-style-language/schema/raw/master/csl-citation.json"} </w:instrText>
      </w:r>
      <w:r w:rsidR="003F6269">
        <w:fldChar w:fldCharType="separate"/>
      </w:r>
      <w:r w:rsidR="003F6269" w:rsidRPr="003F6269">
        <w:rPr>
          <w:rFonts w:cs="Calibri"/>
        </w:rPr>
        <w:t>Carter 2011</w:t>
      </w:r>
      <w:r w:rsidR="003F6269">
        <w:rPr>
          <w:rFonts w:cs="Calibri"/>
        </w:rPr>
        <w:t xml:space="preserve">, </w:t>
      </w:r>
      <w:r w:rsidR="003F6269">
        <w:fldChar w:fldCharType="end"/>
      </w:r>
      <w:r w:rsidR="003F6269">
        <w:fldChar w:fldCharType="begin"/>
      </w:r>
      <w:r w:rsidR="003F6269">
        <w:instrText xml:space="preserve"> ADDIN ZOTERO_ITEM CSL_CITATION {"citationID":"19mptj1q9","properties":{"formattedCitation":"(Davies et al. 2012)","plainCitation":"(Davies et al. 2012)"},"citationItems":[{"id":172,"uris":["http://zotero.org/users/3119797/items/BBQQTAVH"],"uri":["http://zotero.org/users/3119797/items/BBQQTAVH"],"itemData":{"id":172,"type":"article","title":"Sustainable Rivers Audit 2: The ecological health of rivers in the Murray–Darling Basin at the end of the Millennium Drought (2008–2010). Volume 2.","publisher":"MDBA","author":[{"family":"Davies","given":"P."},{"family":"Stewardson","given":"Michael J"},{"family":"Hillman","given":"T.J."},{"family":"Roberts","given":"J."},{"family":"Thoms","given":"M.C."}],"issued":{"date-parts":[["2012"]]}}}],"schema":"https://github.com/citation-style-language/schema/raw/master/csl-citation.json"} </w:instrText>
      </w:r>
      <w:r w:rsidR="003F6269">
        <w:fldChar w:fldCharType="separate"/>
      </w:r>
      <w:r w:rsidR="003F6269" w:rsidRPr="003F6269">
        <w:rPr>
          <w:rFonts w:cs="Calibri"/>
        </w:rPr>
        <w:t>Davies et al. 2012)</w:t>
      </w:r>
      <w:r w:rsidR="003F6269">
        <w:fldChar w:fldCharType="end"/>
      </w:r>
      <w:r>
        <w:t xml:space="preserve"> or conversion of the categories to a numerical value first.</w:t>
      </w:r>
    </w:p>
    <w:p w14:paraId="6730621D" w14:textId="77777777" w:rsidR="001E76C4" w:rsidRPr="004E7EB5" w:rsidRDefault="001E76C4" w:rsidP="001F0F1D">
      <w:pPr>
        <w:rPr>
          <w:b/>
          <w:i/>
          <w:sz w:val="24"/>
          <w:szCs w:val="24"/>
        </w:rPr>
      </w:pPr>
      <w:r w:rsidRPr="004E7EB5">
        <w:rPr>
          <w:b/>
          <w:i/>
          <w:color w:val="8C863E" w:themeColor="background2" w:themeShade="80"/>
          <w:sz w:val="24"/>
          <w:szCs w:val="24"/>
        </w:rPr>
        <w:t>Aim</w:t>
      </w:r>
    </w:p>
    <w:p w14:paraId="528320B3" w14:textId="45608120" w:rsidR="00D246DA" w:rsidRPr="004E7EB5" w:rsidRDefault="00D246DA" w:rsidP="00D246DA">
      <w:r>
        <w:t xml:space="preserve">To produce an integrated assessment score from the indicator categories assessed for </w:t>
      </w:r>
      <w:r w:rsidR="00223AA7">
        <w:t xml:space="preserve">each </w:t>
      </w:r>
      <w:r w:rsidR="000B3C7C">
        <w:t>assessment</w:t>
      </w:r>
      <w:r>
        <w:t xml:space="preserve"> </w:t>
      </w:r>
      <w:r w:rsidR="00223AA7">
        <w:t>level</w:t>
      </w:r>
      <w:r>
        <w:t>.</w:t>
      </w:r>
    </w:p>
    <w:p w14:paraId="0300FF68" w14:textId="77777777" w:rsidR="007168D1" w:rsidRDefault="007168D1" w:rsidP="007168D1">
      <w:pPr>
        <w:rPr>
          <w:b/>
          <w:i/>
          <w:color w:val="8C863E" w:themeColor="background2" w:themeShade="80"/>
          <w:sz w:val="24"/>
          <w:szCs w:val="24"/>
        </w:rPr>
      </w:pPr>
      <w:r w:rsidRPr="004E7EB5">
        <w:rPr>
          <w:b/>
          <w:i/>
          <w:color w:val="8C863E" w:themeColor="background2" w:themeShade="80"/>
          <w:sz w:val="24"/>
          <w:szCs w:val="24"/>
        </w:rPr>
        <w:t>Inputs</w:t>
      </w:r>
    </w:p>
    <w:p w14:paraId="75A1CEC0" w14:textId="5DB4D3EB" w:rsidR="00D246DA" w:rsidRDefault="00384215" w:rsidP="00F4328F">
      <w:pPr>
        <w:pStyle w:val="ListParagraph"/>
        <w:numPr>
          <w:ilvl w:val="0"/>
          <w:numId w:val="28"/>
        </w:numPr>
      </w:pPr>
      <w:r>
        <w:t>Aggregated data</w:t>
      </w:r>
      <w:r w:rsidR="00D246DA">
        <w:t xml:space="preserve"> for the </w:t>
      </w:r>
      <w:r w:rsidR="000627ED">
        <w:t>assessment</w:t>
      </w:r>
      <w:r w:rsidR="00D246DA">
        <w:t xml:space="preserve"> unit </w:t>
      </w:r>
      <w:r w:rsidR="003B3A89">
        <w:t>(output of Step 6)</w:t>
      </w:r>
      <w:r w:rsidR="00DD7D13">
        <w:t>;</w:t>
      </w:r>
    </w:p>
    <w:p w14:paraId="5B858745" w14:textId="1CEF3E36" w:rsidR="00D246DA" w:rsidRDefault="00D246DA" w:rsidP="00F4328F">
      <w:pPr>
        <w:pStyle w:val="ListParagraph"/>
        <w:numPr>
          <w:ilvl w:val="0"/>
          <w:numId w:val="28"/>
        </w:numPr>
      </w:pPr>
      <w:r>
        <w:t xml:space="preserve">If not already standardised, then </w:t>
      </w:r>
      <w:r w:rsidR="004875C1">
        <w:t>reference point</w:t>
      </w:r>
      <w:r>
        <w:t>s for each category for harmonisation</w:t>
      </w:r>
      <w:r w:rsidR="00DD7D13">
        <w:t>;</w:t>
      </w:r>
      <w:r w:rsidR="004E4F49">
        <w:t xml:space="preserve"> and</w:t>
      </w:r>
    </w:p>
    <w:p w14:paraId="2CA35515" w14:textId="77777777" w:rsidR="00D246DA" w:rsidRDefault="00D246DA" w:rsidP="00F4328F">
      <w:pPr>
        <w:pStyle w:val="ListParagraph"/>
        <w:numPr>
          <w:ilvl w:val="0"/>
          <w:numId w:val="28"/>
        </w:numPr>
      </w:pPr>
      <w:r>
        <w:t>Integration framework guidelines</w:t>
      </w:r>
    </w:p>
    <w:p w14:paraId="1103D981" w14:textId="263BAF14" w:rsidR="00D246DA" w:rsidRDefault="00D246DA" w:rsidP="00F4328F">
      <w:pPr>
        <w:pStyle w:val="ListParagraph"/>
        <w:numPr>
          <w:ilvl w:val="1"/>
          <w:numId w:val="28"/>
        </w:numPr>
      </w:pPr>
      <w:r>
        <w:t xml:space="preserve">Integration strategy (e.g. </w:t>
      </w:r>
      <w:r w:rsidR="003B3A89">
        <w:t xml:space="preserve">additive integration, </w:t>
      </w:r>
      <w:r>
        <w:t>expert rules)</w:t>
      </w:r>
      <w:r w:rsidR="006C6AE7">
        <w:t>;</w:t>
      </w:r>
    </w:p>
    <w:p w14:paraId="5BBBD94B" w14:textId="1FF108D9" w:rsidR="00D246DA" w:rsidRDefault="00D246DA" w:rsidP="00F4328F">
      <w:pPr>
        <w:pStyle w:val="ListParagraph"/>
        <w:numPr>
          <w:ilvl w:val="1"/>
          <w:numId w:val="28"/>
        </w:numPr>
      </w:pPr>
      <w:r>
        <w:t>Integration weights</w:t>
      </w:r>
      <w:r w:rsidR="00DD7D13">
        <w:t>.</w:t>
      </w:r>
    </w:p>
    <w:p w14:paraId="5B5C36AE" w14:textId="461BB253" w:rsidR="001E76C4" w:rsidRPr="004E7EB5" w:rsidRDefault="001E76C4" w:rsidP="001F0F1D">
      <w:pPr>
        <w:rPr>
          <w:b/>
          <w:i/>
          <w:color w:val="8C863E" w:themeColor="background2" w:themeShade="80"/>
          <w:sz w:val="24"/>
          <w:szCs w:val="24"/>
        </w:rPr>
      </w:pPr>
      <w:r w:rsidRPr="004E7EB5">
        <w:rPr>
          <w:b/>
          <w:i/>
          <w:color w:val="8C863E" w:themeColor="background2" w:themeShade="80"/>
          <w:sz w:val="24"/>
          <w:szCs w:val="24"/>
        </w:rPr>
        <w:t>Task</w:t>
      </w:r>
      <w:r w:rsidR="00736D3B">
        <w:rPr>
          <w:b/>
          <w:i/>
          <w:color w:val="8C863E" w:themeColor="background2" w:themeShade="80"/>
          <w:sz w:val="24"/>
          <w:szCs w:val="24"/>
        </w:rPr>
        <w:t>s</w:t>
      </w:r>
    </w:p>
    <w:p w14:paraId="72853DD6" w14:textId="72FA5D94" w:rsidR="00D246DA" w:rsidRPr="0034143D" w:rsidRDefault="00B46CD8" w:rsidP="00F4328F">
      <w:pPr>
        <w:pStyle w:val="ListParagraph"/>
        <w:numPr>
          <w:ilvl w:val="0"/>
          <w:numId w:val="22"/>
        </w:numPr>
        <w:rPr>
          <w:b/>
          <w:i/>
        </w:rPr>
      </w:pPr>
      <w:r>
        <w:rPr>
          <w:b/>
          <w:i/>
        </w:rPr>
        <w:t xml:space="preserve">Using </w:t>
      </w:r>
      <w:r w:rsidR="00D246DA" w:rsidRPr="0034143D">
        <w:rPr>
          <w:b/>
          <w:i/>
        </w:rPr>
        <w:t xml:space="preserve">different data sources – i.e. data from existing methods or </w:t>
      </w:r>
      <w:r w:rsidR="00C824A5">
        <w:rPr>
          <w:b/>
          <w:i/>
        </w:rPr>
        <w:t>additional</w:t>
      </w:r>
      <w:r w:rsidR="003056EE">
        <w:rPr>
          <w:b/>
          <w:i/>
        </w:rPr>
        <w:t xml:space="preserve"> </w:t>
      </w:r>
      <w:r w:rsidR="00D246DA" w:rsidRPr="0034143D">
        <w:rPr>
          <w:b/>
          <w:i/>
        </w:rPr>
        <w:t>data</w:t>
      </w:r>
    </w:p>
    <w:p w14:paraId="2447BBDF" w14:textId="6B2D121F" w:rsidR="004815D0" w:rsidRDefault="00D246DA" w:rsidP="00D246DA">
      <w:r>
        <w:t xml:space="preserve">Data collected using different sampling frames and/or different methods will need to be adjusted for </w:t>
      </w:r>
      <w:r w:rsidR="006C6AE7">
        <w:t xml:space="preserve">spatial </w:t>
      </w:r>
      <w:r>
        <w:t>sampling probabilities</w:t>
      </w:r>
      <w:r w:rsidR="006C6AE7">
        <w:t>/strata</w:t>
      </w:r>
      <w:r>
        <w:t xml:space="preserve"> and standardised measurement units</w:t>
      </w:r>
      <w:r w:rsidR="00B46CD8">
        <w:t xml:space="preserve"> (although this is not essential for expert rules approaches)</w:t>
      </w:r>
      <w:r>
        <w:t>. In a simple example, conversion of fish data to catch per unit effort rather than just raw abundance may allow data collected in sites of different sizes or with different selection methods to be comparable.</w:t>
      </w:r>
      <w:r w:rsidDel="00825FE7">
        <w:t xml:space="preserve"> </w:t>
      </w:r>
      <w:r w:rsidR="00384215">
        <w:t>Note</w:t>
      </w:r>
      <w:r w:rsidR="00DD7D13">
        <w:t>:</w:t>
      </w:r>
      <w:r w:rsidR="00384215">
        <w:t xml:space="preserve"> some of this may have been done in Step 6</w:t>
      </w:r>
      <w:r w:rsidR="0017074A">
        <w:t>.</w:t>
      </w:r>
    </w:p>
    <w:p w14:paraId="7CA22D14" w14:textId="6EFF2B3B" w:rsidR="00D246DA" w:rsidRPr="0034143D" w:rsidRDefault="00D246DA" w:rsidP="00F4328F">
      <w:pPr>
        <w:pStyle w:val="ListParagraph"/>
        <w:numPr>
          <w:ilvl w:val="0"/>
          <w:numId w:val="22"/>
        </w:numPr>
        <w:rPr>
          <w:b/>
          <w:i/>
        </w:rPr>
      </w:pPr>
      <w:r w:rsidRPr="0034143D">
        <w:rPr>
          <w:b/>
          <w:i/>
        </w:rPr>
        <w:t>Method options for harmonisation of indicator values</w:t>
      </w:r>
    </w:p>
    <w:p w14:paraId="57CBEDA7" w14:textId="1E287464" w:rsidR="006C6AE7" w:rsidRDefault="00D246DA" w:rsidP="004815D0">
      <w:r>
        <w:t xml:space="preserve">Harmonisation merely means conversion to a common scale. </w:t>
      </w:r>
      <w:r w:rsidR="00E51C2E">
        <w:t xml:space="preserve">Prior to integration, the raw data are converted to a standard and normalised scale to allow ease of integration and weighting. </w:t>
      </w:r>
      <w:r w:rsidR="006C6AE7">
        <w:t xml:space="preserve">After the TAG has been consulted to confirm the conceptual relevance of harmonising indicators, the relative equivalence of the scale intervals used in the harmonisation process should also be confirmed. </w:t>
      </w:r>
      <w:r w:rsidR="006C6AE7" w:rsidRPr="006C6AE7">
        <w:t xml:space="preserve">For example harmonising SIGNAL scores and EPT scores </w:t>
      </w:r>
      <w:r w:rsidR="006C6AE7">
        <w:t xml:space="preserve">derived from </w:t>
      </w:r>
      <w:r w:rsidR="0004476C">
        <w:t>AusRivAS</w:t>
      </w:r>
      <w:r w:rsidR="006C6AE7">
        <w:t xml:space="preserve"> </w:t>
      </w:r>
      <w:r w:rsidR="006C6AE7" w:rsidRPr="006C6AE7">
        <w:t>is simple mathematically but converting them both to a 0 to 1 scale may mask different and non-linear relationship</w:t>
      </w:r>
      <w:r w:rsidR="006C6AE7">
        <w:t>s</w:t>
      </w:r>
      <w:r w:rsidR="006C6AE7" w:rsidRPr="006C6AE7">
        <w:t xml:space="preserve"> between the indicator value and the ecological response it represents.</w:t>
      </w:r>
      <w:r w:rsidR="006A3F6E">
        <w:t xml:space="preserve"> </w:t>
      </w:r>
    </w:p>
    <w:p w14:paraId="4254A55F" w14:textId="4A4FBBD6" w:rsidR="00E51C2E" w:rsidRDefault="00E51C2E" w:rsidP="004815D0">
      <w:r>
        <w:t xml:space="preserve">An illustration of </w:t>
      </w:r>
      <w:r w:rsidR="006C6AE7">
        <w:t>harmonisation</w:t>
      </w:r>
      <w:r>
        <w:t xml:space="preserve"> is presented in </w:t>
      </w:r>
      <w:r>
        <w:fldChar w:fldCharType="begin"/>
      </w:r>
      <w:r>
        <w:instrText xml:space="preserve"> REF _Ref479242274 \h </w:instrText>
      </w:r>
      <w:r>
        <w:fldChar w:fldCharType="separate"/>
      </w:r>
      <w:r w:rsidR="005F359C">
        <w:t xml:space="preserve">Figure </w:t>
      </w:r>
      <w:r w:rsidR="005F359C">
        <w:rPr>
          <w:noProof/>
        </w:rPr>
        <w:t>11</w:t>
      </w:r>
      <w:r>
        <w:fldChar w:fldCharType="end"/>
      </w:r>
      <w:r>
        <w:t>. This approach</w:t>
      </w:r>
      <w:r w:rsidR="00064A41">
        <w:t xml:space="preserve"> can be </w:t>
      </w:r>
      <w:r>
        <w:t xml:space="preserve">used when raw data are available, when existing condition scores are used a different approach is needed (see Task 6 below – converting </w:t>
      </w:r>
      <w:r>
        <w:lastRenderedPageBreak/>
        <w:t>condition scores to IECA bands).</w:t>
      </w:r>
      <w:r w:rsidR="006A3F6E">
        <w:t xml:space="preserve"> </w:t>
      </w:r>
      <w:r w:rsidR="00630316" w:rsidRPr="00630316">
        <w:t xml:space="preserve">It </w:t>
      </w:r>
      <w:r w:rsidR="00630316">
        <w:t>is</w:t>
      </w:r>
      <w:r w:rsidR="00630316" w:rsidRPr="00630316">
        <w:t xml:space="preserve"> important to document how harmonisation was done, so that reverse ‘unpacking’ of the IECA scores becomes possible</w:t>
      </w:r>
      <w:r w:rsidR="00630316">
        <w:t>.</w:t>
      </w:r>
    </w:p>
    <w:p w14:paraId="50031629" w14:textId="6E90F1A1" w:rsidR="000627ED" w:rsidRDefault="00EB1582" w:rsidP="004815D0">
      <w:r>
        <w:rPr>
          <w:noProof/>
          <w:lang w:eastAsia="en-AU"/>
        </w:rPr>
        <w:drawing>
          <wp:inline distT="0" distB="0" distL="0" distR="0" wp14:anchorId="4992AD64" wp14:editId="33B51123">
            <wp:extent cx="5731510" cy="20631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onisation v3 a.png"/>
                    <pic:cNvPicPr/>
                  </pic:nvPicPr>
                  <pic:blipFill>
                    <a:blip r:embed="rId79">
                      <a:extLst>
                        <a:ext uri="{28A0092B-C50C-407E-A947-70E740481C1C}">
                          <a14:useLocalDpi xmlns:a14="http://schemas.microsoft.com/office/drawing/2010/main" val="0"/>
                        </a:ext>
                      </a:extLst>
                    </a:blip>
                    <a:stretch>
                      <a:fillRect/>
                    </a:stretch>
                  </pic:blipFill>
                  <pic:spPr>
                    <a:xfrm>
                      <a:off x="0" y="0"/>
                      <a:ext cx="5731510" cy="2063115"/>
                    </a:xfrm>
                    <a:prstGeom prst="rect">
                      <a:avLst/>
                    </a:prstGeom>
                  </pic:spPr>
                </pic:pic>
              </a:graphicData>
            </a:graphic>
          </wp:inline>
        </w:drawing>
      </w:r>
    </w:p>
    <w:p w14:paraId="55765EC0" w14:textId="2D4E10D2" w:rsidR="009238AB" w:rsidRDefault="00EB1582" w:rsidP="004815D0">
      <w:r>
        <w:rPr>
          <w:noProof/>
          <w:lang w:eastAsia="en-AU"/>
        </w:rPr>
        <w:drawing>
          <wp:inline distT="0" distB="0" distL="0" distR="0" wp14:anchorId="26E81864" wp14:editId="73D1F3E2">
            <wp:extent cx="5731510" cy="419544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onisation v3 b c.png"/>
                    <pic:cNvPicPr/>
                  </pic:nvPicPr>
                  <pic:blipFill>
                    <a:blip r:embed="rId80">
                      <a:extLst>
                        <a:ext uri="{28A0092B-C50C-407E-A947-70E740481C1C}">
                          <a14:useLocalDpi xmlns:a14="http://schemas.microsoft.com/office/drawing/2010/main" val="0"/>
                        </a:ext>
                      </a:extLst>
                    </a:blip>
                    <a:stretch>
                      <a:fillRect/>
                    </a:stretch>
                  </pic:blipFill>
                  <pic:spPr>
                    <a:xfrm>
                      <a:off x="0" y="0"/>
                      <a:ext cx="5731510" cy="4195445"/>
                    </a:xfrm>
                    <a:prstGeom prst="rect">
                      <a:avLst/>
                    </a:prstGeom>
                  </pic:spPr>
                </pic:pic>
              </a:graphicData>
            </a:graphic>
          </wp:inline>
        </w:drawing>
      </w:r>
    </w:p>
    <w:p w14:paraId="72A9D64A" w14:textId="52018C59" w:rsidR="00F15949" w:rsidRPr="00BC02F1" w:rsidRDefault="00F15949" w:rsidP="00F15949">
      <w:pPr>
        <w:pStyle w:val="Caption"/>
      </w:pPr>
      <w:bookmarkStart w:id="83" w:name="_Ref479242274"/>
      <w:r>
        <w:t xml:space="preserve">Figure </w:t>
      </w:r>
      <w:fldSimple w:instr=" SEQ Figure \* ARABIC ">
        <w:r w:rsidR="005F359C">
          <w:rPr>
            <w:noProof/>
          </w:rPr>
          <w:t>11</w:t>
        </w:r>
      </w:fldSimple>
      <w:bookmarkEnd w:id="83"/>
      <w:r w:rsidR="00FD50A9">
        <w:rPr>
          <w:noProof/>
        </w:rPr>
        <w:t>:</w:t>
      </w:r>
      <w:r>
        <w:t xml:space="preserve"> Example of indicator conversion</w:t>
      </w:r>
      <w:r w:rsidR="00610F11">
        <w:t xml:space="preserve"> to </w:t>
      </w:r>
      <w:r w:rsidR="009238AB">
        <w:t>IECA</w:t>
      </w:r>
      <w:r w:rsidR="00610F11">
        <w:t xml:space="preserve"> score. </w:t>
      </w:r>
      <w:r>
        <w:t xml:space="preserve"> </w:t>
      </w:r>
      <w:r w:rsidR="00610F11">
        <w:t xml:space="preserve">a) General calculation, b) </w:t>
      </w:r>
      <w:r w:rsidR="009238AB">
        <w:t>Example of four water quality condition indicators for the hypothetical estuary example</w:t>
      </w:r>
      <w:r>
        <w:t xml:space="preserve">. </w:t>
      </w:r>
      <w:r w:rsidR="009238AB">
        <w:t>c). Example of two stressor indicators relating to water quality for the</w:t>
      </w:r>
      <w:r w:rsidR="009238AB" w:rsidRPr="009238AB">
        <w:t xml:space="preserve"> </w:t>
      </w:r>
      <w:r w:rsidR="009238AB">
        <w:t xml:space="preserve">for hypothetical estuary example </w:t>
      </w:r>
      <w:r>
        <w:t xml:space="preserve"> (after </w:t>
      </w:r>
      <w:r>
        <w:fldChar w:fldCharType="begin"/>
      </w:r>
      <w:r>
        <w:rPr>
          <w:caps w:val="0"/>
        </w:rPr>
        <w:instrText xml:space="preserve"> ADDIN ZOTERO_ITEM CSL_CITATION {"citationID":"s2ap5hsim","properties":{"formattedCitation":"(United Nations Development Programme 2007)","plainCitation":"(UNITED NATIONS DEVELOPMENT PROGRAMME 2007)"},"citationItems":[{"id":3404,"uris":["http://zotero.org/users/3119797/items/G2DBB5B3"],"uri":["http://zotero.org/users/3119797/items/G2DBB5B3"],"itemData":{"id":3404,"type":"article","title":"Fighting climate change: Human solidarity in a divided world. Human Development Report 2007/2008.","publisher":"Palgrave Macmillan","author":[{"family":"United Nations Development Programme","given":""}],"issued":{"date-parts":[["2007"]]}}}],"schema":"https://github.com/citation-style-language/schema/raw/master/csl-citation.json"} </w:instrText>
      </w:r>
      <w:r>
        <w:fldChar w:fldCharType="separate"/>
      </w:r>
      <w:r w:rsidRPr="007652A1">
        <w:rPr>
          <w:rFonts w:cs="Calibri"/>
        </w:rPr>
        <w:t>United Nations Development Programme 2007)</w:t>
      </w:r>
      <w:r>
        <w:fldChar w:fldCharType="end"/>
      </w:r>
      <w:r>
        <w:t>.</w:t>
      </w:r>
    </w:p>
    <w:p w14:paraId="7FD5DFE7" w14:textId="03BF92FD" w:rsidR="00F15949" w:rsidRDefault="00F15949" w:rsidP="000C73FD"/>
    <w:p w14:paraId="12CB944B" w14:textId="77777777" w:rsidR="008032C5" w:rsidRDefault="008032C5" w:rsidP="000C73FD"/>
    <w:p w14:paraId="74A85F82" w14:textId="1604D6ED" w:rsidR="00D246DA" w:rsidRPr="004815D0" w:rsidRDefault="000627ED" w:rsidP="00F4328F">
      <w:pPr>
        <w:pStyle w:val="ListParagraph"/>
        <w:numPr>
          <w:ilvl w:val="0"/>
          <w:numId w:val="22"/>
        </w:numPr>
        <w:rPr>
          <w:b/>
          <w:i/>
        </w:rPr>
      </w:pPr>
      <w:r>
        <w:rPr>
          <w:b/>
          <w:i/>
        </w:rPr>
        <w:lastRenderedPageBreak/>
        <w:t>Levels and options</w:t>
      </w:r>
      <w:r w:rsidR="00D246DA" w:rsidRPr="004815D0">
        <w:rPr>
          <w:b/>
          <w:i/>
        </w:rPr>
        <w:t xml:space="preserve"> for integration</w:t>
      </w:r>
    </w:p>
    <w:p w14:paraId="4DC3F788" w14:textId="1BB29074" w:rsidR="00B46CD8" w:rsidRDefault="00B46CD8" w:rsidP="002F042F">
      <w:r w:rsidRPr="002D2264">
        <w:t xml:space="preserve">Integration of data used in the IECA Framework can occur at different levels depending on if the data is from an existing method (i.e. output at ecological value theme level) or </w:t>
      </w:r>
      <w:r w:rsidR="00C824A5">
        <w:t>is new</w:t>
      </w:r>
      <w:r w:rsidR="00223AA7">
        <w:t>ly collected</w:t>
      </w:r>
      <w:r w:rsidR="00C824A5">
        <w:t xml:space="preserve"> </w:t>
      </w:r>
      <w:r w:rsidR="00D91972">
        <w:t>data</w:t>
      </w:r>
      <w:r w:rsidR="00223AA7">
        <w:t xml:space="preserve"> specific to the assessment</w:t>
      </w:r>
      <w:r w:rsidR="00D91972">
        <w:t xml:space="preserve">. </w:t>
      </w:r>
      <w:r w:rsidR="00223AA7">
        <w:t xml:space="preserve">In most assessments it is likely that there will be a need or desire to </w:t>
      </w:r>
      <w:r w:rsidRPr="002D2264">
        <w:t>combin</w:t>
      </w:r>
      <w:r w:rsidR="00223AA7">
        <w:t>e</w:t>
      </w:r>
      <w:r w:rsidRPr="002D2264">
        <w:t xml:space="preserve"> information from a number of</w:t>
      </w:r>
      <w:r w:rsidRPr="002D2264" w:rsidDel="00A42E1F">
        <w:t xml:space="preserve"> </w:t>
      </w:r>
      <w:r w:rsidRPr="002D2264">
        <w:t>indicators (or sub-</w:t>
      </w:r>
      <w:r>
        <w:t>indicators)</w:t>
      </w:r>
      <w:r w:rsidRPr="00AE2BEB">
        <w:t xml:space="preserve"> to provide a single </w:t>
      </w:r>
      <w:r>
        <w:t xml:space="preserve">assessment </w:t>
      </w:r>
      <w:r w:rsidRPr="00AE2BEB">
        <w:t xml:space="preserve">score </w:t>
      </w:r>
      <w:r w:rsidR="00295997">
        <w:t>at the</w:t>
      </w:r>
      <w:r>
        <w:t xml:space="preserve"> indicator group</w:t>
      </w:r>
      <w:r w:rsidR="00295997">
        <w:t xml:space="preserve"> level</w:t>
      </w:r>
      <w:r w:rsidR="00223AA7">
        <w:t>: this is referred</w:t>
      </w:r>
      <w:r w:rsidR="00295997">
        <w:t xml:space="preserve"> to as Level 1 integration</w:t>
      </w:r>
      <w:r>
        <w:t xml:space="preserve"> (</w:t>
      </w:r>
      <w:r w:rsidR="00295997">
        <w:fldChar w:fldCharType="begin"/>
      </w:r>
      <w:r w:rsidR="00295997">
        <w:instrText xml:space="preserve"> REF _Ref484374669 \h </w:instrText>
      </w:r>
      <w:r w:rsidR="00295997">
        <w:fldChar w:fldCharType="separate"/>
      </w:r>
      <w:r w:rsidR="005F359C">
        <w:t xml:space="preserve">Figure </w:t>
      </w:r>
      <w:r w:rsidR="005F359C">
        <w:rPr>
          <w:noProof/>
        </w:rPr>
        <w:t>12</w:t>
      </w:r>
      <w:r w:rsidR="00295997">
        <w:fldChar w:fldCharType="end"/>
      </w:r>
      <w:r w:rsidR="00223AA7">
        <w:t xml:space="preserve"> and </w:t>
      </w:r>
      <w:r w:rsidR="00223AA7">
        <w:fldChar w:fldCharType="begin"/>
      </w:r>
      <w:r w:rsidR="00223AA7">
        <w:instrText xml:space="preserve"> REF _Ref484420981 \h </w:instrText>
      </w:r>
      <w:r w:rsidR="00223AA7">
        <w:fldChar w:fldCharType="separate"/>
      </w:r>
      <w:r w:rsidR="005F359C">
        <w:t xml:space="preserve">Figure </w:t>
      </w:r>
      <w:r w:rsidR="005F359C">
        <w:rPr>
          <w:noProof/>
        </w:rPr>
        <w:t>13</w:t>
      </w:r>
      <w:r w:rsidR="00223AA7">
        <w:fldChar w:fldCharType="end"/>
      </w:r>
      <w:r w:rsidR="00DD7D13">
        <w:t>). For each assessment unit and/</w:t>
      </w:r>
      <w:r>
        <w:t xml:space="preserve">or ecosystem type within the assessment unit, the scores for each indicator group </w:t>
      </w:r>
      <w:r w:rsidR="00BF510F">
        <w:t>can be</w:t>
      </w:r>
      <w:r>
        <w:t xml:space="preserve"> </w:t>
      </w:r>
      <w:r w:rsidR="00295997">
        <w:t xml:space="preserve">further </w:t>
      </w:r>
      <w:r>
        <w:t>integrated to provide an assessment score for each of the relevant ecological value themes</w:t>
      </w:r>
      <w:r w:rsidR="00295997">
        <w:t>: called Level 2 integration</w:t>
      </w:r>
      <w:r>
        <w:t xml:space="preserve">. The final </w:t>
      </w:r>
      <w:r w:rsidR="00295997">
        <w:t xml:space="preserve">option is to undertake </w:t>
      </w:r>
      <w:r>
        <w:t xml:space="preserve">integration </w:t>
      </w:r>
      <w:r w:rsidR="00295997">
        <w:t xml:space="preserve">across the themes to a single </w:t>
      </w:r>
      <w:r>
        <w:t>score for the appropriate spatial unit being assessed; typically</w:t>
      </w:r>
      <w:r w:rsidR="00DD7D13">
        <w:t>,</w:t>
      </w:r>
      <w:r>
        <w:t xml:space="preserve"> the assessment unit and/or the ecosystem type level (</w:t>
      </w:r>
      <w:r w:rsidR="00295997">
        <w:fldChar w:fldCharType="begin"/>
      </w:r>
      <w:r w:rsidR="00295997">
        <w:instrText xml:space="preserve"> REF _Ref484374669 \h </w:instrText>
      </w:r>
      <w:r w:rsidR="00295997">
        <w:fldChar w:fldCharType="separate"/>
      </w:r>
      <w:r w:rsidR="005F359C">
        <w:t xml:space="preserve">Figure </w:t>
      </w:r>
      <w:r w:rsidR="005F359C">
        <w:rPr>
          <w:noProof/>
        </w:rPr>
        <w:t>12</w:t>
      </w:r>
      <w:r w:rsidR="00295997">
        <w:fldChar w:fldCharType="end"/>
      </w:r>
      <w:r>
        <w:t>).</w:t>
      </w:r>
      <w:r w:rsidR="00BF510F">
        <w:t xml:space="preserve"> </w:t>
      </w:r>
      <w:r w:rsidR="00295997">
        <w:t xml:space="preserve">This is Level 3 integration and is only recommended in limited circumstances. </w:t>
      </w:r>
      <w:r w:rsidR="008D3D2A">
        <w:t xml:space="preserve">Ultimately the level of integration will be at the level that produces a </w:t>
      </w:r>
      <w:r w:rsidR="008D3D2A" w:rsidRPr="008D3D2A">
        <w:t>meaningful outcome, addresses the objectives and/or answers the key evaluation questions</w:t>
      </w:r>
      <w:r w:rsidR="008D3D2A">
        <w:t>.</w:t>
      </w:r>
    </w:p>
    <w:p w14:paraId="3484C156" w14:textId="1DE34FFE" w:rsidR="00223AA7" w:rsidRDefault="00223AA7" w:rsidP="00223AA7">
      <w:pPr>
        <w:shd w:val="clear" w:color="auto" w:fill="F6F4E1" w:themeFill="accent3" w:themeFillTint="33"/>
        <w:rPr>
          <w:b/>
          <w:i/>
          <w:color w:val="456867" w:themeColor="accent2" w:themeShade="80"/>
        </w:rPr>
      </w:pPr>
      <w:r>
        <w:rPr>
          <w:b/>
          <w:i/>
          <w:color w:val="456867" w:themeColor="accent2" w:themeShade="80"/>
        </w:rPr>
        <w:t>Tip: C</w:t>
      </w:r>
      <w:r w:rsidRPr="00223AA7">
        <w:rPr>
          <w:b/>
          <w:i/>
          <w:color w:val="456867" w:themeColor="accent2" w:themeShade="80"/>
        </w:rPr>
        <w:t>ondition and threat scores should be kept separate</w:t>
      </w:r>
      <w:r>
        <w:rPr>
          <w:b/>
          <w:i/>
          <w:color w:val="456867" w:themeColor="accent2" w:themeShade="80"/>
        </w:rPr>
        <w:t xml:space="preserve"> in assessments and reported at the scale most relevant to informing management options. </w:t>
      </w:r>
      <w:r w:rsidR="008D1C98">
        <w:rPr>
          <w:b/>
          <w:i/>
          <w:color w:val="456867" w:themeColor="accent2" w:themeShade="80"/>
        </w:rPr>
        <w:t>It may also be advisable to keep the data separated for condition, stressor, pressure and response type indicators.</w:t>
      </w:r>
    </w:p>
    <w:p w14:paraId="3BA72F26" w14:textId="77777777" w:rsidR="00223AA7" w:rsidRPr="00223AA7" w:rsidRDefault="00223AA7" w:rsidP="00223AA7">
      <w:pPr>
        <w:pStyle w:val="tblBody"/>
      </w:pPr>
    </w:p>
    <w:p w14:paraId="5E63FF58" w14:textId="6138816A" w:rsidR="00440E6A" w:rsidRDefault="00A33E54" w:rsidP="000C73FD">
      <w:pPr>
        <w:jc w:val="center"/>
      </w:pPr>
      <w:r>
        <w:rPr>
          <w:noProof/>
          <w:lang w:eastAsia="en-AU"/>
        </w:rPr>
        <w:drawing>
          <wp:inline distT="0" distB="0" distL="0" distR="0" wp14:anchorId="4FC9BB83" wp14:editId="6EEFB8DD">
            <wp:extent cx="5180400" cy="4892400"/>
            <wp:effectExtent l="0" t="0" r="127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tion levels condition scores v1.png"/>
                    <pic:cNvPicPr/>
                  </pic:nvPicPr>
                  <pic:blipFill>
                    <a:blip r:embed="rId81">
                      <a:extLst>
                        <a:ext uri="{28A0092B-C50C-407E-A947-70E740481C1C}">
                          <a14:useLocalDpi xmlns:a14="http://schemas.microsoft.com/office/drawing/2010/main" val="0"/>
                        </a:ext>
                      </a:extLst>
                    </a:blip>
                    <a:stretch>
                      <a:fillRect/>
                    </a:stretch>
                  </pic:blipFill>
                  <pic:spPr>
                    <a:xfrm>
                      <a:off x="0" y="0"/>
                      <a:ext cx="5180400" cy="4892400"/>
                    </a:xfrm>
                    <a:prstGeom prst="rect">
                      <a:avLst/>
                    </a:prstGeom>
                  </pic:spPr>
                </pic:pic>
              </a:graphicData>
            </a:graphic>
          </wp:inline>
        </w:drawing>
      </w:r>
    </w:p>
    <w:p w14:paraId="196FB89A" w14:textId="5626992B" w:rsidR="000C73FD" w:rsidRDefault="000C73FD" w:rsidP="000C73FD">
      <w:pPr>
        <w:pStyle w:val="Caption"/>
      </w:pPr>
      <w:bookmarkStart w:id="84" w:name="_Ref484374669"/>
      <w:r>
        <w:t xml:space="preserve">Figure </w:t>
      </w:r>
      <w:fldSimple w:instr=" SEQ Figure \* ARABIC ">
        <w:r w:rsidR="005F359C">
          <w:rPr>
            <w:noProof/>
          </w:rPr>
          <w:t>12</w:t>
        </w:r>
      </w:fldSimple>
      <w:bookmarkEnd w:id="84"/>
      <w:r w:rsidR="00FD50A9">
        <w:rPr>
          <w:noProof/>
        </w:rPr>
        <w:t>:</w:t>
      </w:r>
      <w:r>
        <w:t xml:space="preserve"> Illustration of Levels of integration for priority values using hypothetical estuary example. </w:t>
      </w:r>
    </w:p>
    <w:p w14:paraId="30C81233" w14:textId="77777777" w:rsidR="00F03CF2" w:rsidRPr="00F03CF2" w:rsidRDefault="00F03CF2" w:rsidP="00F03CF2"/>
    <w:p w14:paraId="066EEC92" w14:textId="77777777" w:rsidR="00F03CF2" w:rsidRPr="004A4B9D" w:rsidRDefault="00F03CF2" w:rsidP="00F03CF2">
      <w:pPr>
        <w:shd w:val="clear" w:color="auto" w:fill="F6F4E1" w:themeFill="accent3" w:themeFillTint="33"/>
        <w:rPr>
          <w:b/>
          <w:i/>
          <w:color w:val="456867" w:themeColor="accent2" w:themeShade="80"/>
        </w:rPr>
      </w:pPr>
      <w:r w:rsidRPr="004A4B9D">
        <w:rPr>
          <w:b/>
          <w:i/>
          <w:color w:val="456867" w:themeColor="accent2" w:themeShade="80"/>
        </w:rPr>
        <w:t xml:space="preserve">Tip: Level 3 integration, to produce a single score, for condition of values and threats should only be used rarely; such as at the national level or possibly in cross jurisdictional assessments. </w:t>
      </w:r>
      <w:r>
        <w:rPr>
          <w:b/>
          <w:i/>
          <w:color w:val="456867" w:themeColor="accent2" w:themeShade="80"/>
        </w:rPr>
        <w:t>In the</w:t>
      </w:r>
      <w:r w:rsidRPr="004A4B9D">
        <w:rPr>
          <w:b/>
          <w:i/>
          <w:color w:val="456867" w:themeColor="accent2" w:themeShade="80"/>
        </w:rPr>
        <w:t xml:space="preserve"> majority of assessments integration </w:t>
      </w:r>
      <w:r>
        <w:rPr>
          <w:b/>
          <w:i/>
          <w:color w:val="456867" w:themeColor="accent2" w:themeShade="80"/>
        </w:rPr>
        <w:t xml:space="preserve">should </w:t>
      </w:r>
      <w:r w:rsidRPr="004A4B9D">
        <w:rPr>
          <w:b/>
          <w:i/>
          <w:color w:val="456867" w:themeColor="accent2" w:themeShade="80"/>
        </w:rPr>
        <w:t>only proceed to Level 2</w:t>
      </w:r>
      <w:r>
        <w:rPr>
          <w:b/>
          <w:i/>
          <w:color w:val="456867" w:themeColor="accent2" w:themeShade="80"/>
        </w:rPr>
        <w:t>. This will ensure</w:t>
      </w:r>
      <w:r w:rsidRPr="004A4B9D">
        <w:rPr>
          <w:b/>
          <w:i/>
          <w:color w:val="456867" w:themeColor="accent2" w:themeShade="80"/>
        </w:rPr>
        <w:t xml:space="preserve"> transparency and also </w:t>
      </w:r>
      <w:r>
        <w:rPr>
          <w:b/>
          <w:i/>
          <w:color w:val="456867" w:themeColor="accent2" w:themeShade="80"/>
        </w:rPr>
        <w:t>minimise the weighting considerations that potentially arise from having</w:t>
      </w:r>
      <w:r w:rsidRPr="004A4B9D">
        <w:rPr>
          <w:b/>
          <w:i/>
          <w:color w:val="456867" w:themeColor="accent2" w:themeShade="80"/>
        </w:rPr>
        <w:t xml:space="preserve"> an uneven number of indicators in each indicator group and or theme. </w:t>
      </w:r>
    </w:p>
    <w:p w14:paraId="43F01C00" w14:textId="77777777" w:rsidR="00F03CF2" w:rsidRDefault="00F03CF2" w:rsidP="00F03CF2"/>
    <w:p w14:paraId="6D6F02D7" w14:textId="174E985F" w:rsidR="00F03CF2" w:rsidRDefault="00A33E54" w:rsidP="00F03CF2">
      <w:r>
        <w:rPr>
          <w:noProof/>
          <w:lang w:eastAsia="en-AU"/>
        </w:rPr>
        <w:drawing>
          <wp:inline distT="0" distB="0" distL="0" distR="0" wp14:anchorId="3D383DA4" wp14:editId="72313623">
            <wp:extent cx="5731510" cy="3407410"/>
            <wp:effectExtent l="0" t="0" r="254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at integration v1.png"/>
                    <pic:cNvPicPr/>
                  </pic:nvPicPr>
                  <pic:blipFill>
                    <a:blip r:embed="rId82">
                      <a:extLst>
                        <a:ext uri="{28A0092B-C50C-407E-A947-70E740481C1C}">
                          <a14:useLocalDpi xmlns:a14="http://schemas.microsoft.com/office/drawing/2010/main" val="0"/>
                        </a:ext>
                      </a:extLst>
                    </a:blip>
                    <a:stretch>
                      <a:fillRect/>
                    </a:stretch>
                  </pic:blipFill>
                  <pic:spPr>
                    <a:xfrm>
                      <a:off x="0" y="0"/>
                      <a:ext cx="5731510" cy="3407410"/>
                    </a:xfrm>
                    <a:prstGeom prst="rect">
                      <a:avLst/>
                    </a:prstGeom>
                  </pic:spPr>
                </pic:pic>
              </a:graphicData>
            </a:graphic>
          </wp:inline>
        </w:drawing>
      </w:r>
    </w:p>
    <w:p w14:paraId="68765FCC" w14:textId="6D69D23C" w:rsidR="00F03CF2" w:rsidRDefault="00F03CF2" w:rsidP="00F03CF2">
      <w:pPr>
        <w:pStyle w:val="Caption"/>
      </w:pPr>
      <w:bookmarkStart w:id="85" w:name="_Ref484420981"/>
      <w:r>
        <w:t xml:space="preserve">Figure </w:t>
      </w:r>
      <w:fldSimple w:instr=" SEQ Figure \* ARABIC ">
        <w:r w:rsidR="005F359C">
          <w:rPr>
            <w:noProof/>
          </w:rPr>
          <w:t>13</w:t>
        </w:r>
      </w:fldSimple>
      <w:bookmarkEnd w:id="85"/>
      <w:r w:rsidR="00FD50A9">
        <w:rPr>
          <w:noProof/>
        </w:rPr>
        <w:t>:</w:t>
      </w:r>
      <w:r>
        <w:t xml:space="preserve"> Illustration of Levels of integration for priority threats (Climate change and Invasive species) using hypothetical estuary example. * indicators which can be assessed as either condition or threat indicator</w:t>
      </w:r>
      <w:r w:rsidR="00BA31A9">
        <w:t>s</w:t>
      </w:r>
      <w:r>
        <w:t>.</w:t>
      </w:r>
      <w:r w:rsidR="008D1C98">
        <w:t xml:space="preserve"> Note may wish to keep indicator types separate at level 1 integration (i.e. don’t integrate response and stressor indicators for aquatic life).</w:t>
      </w:r>
    </w:p>
    <w:p w14:paraId="4CAA2699" w14:textId="4828BBA9" w:rsidR="00295997" w:rsidRDefault="00295997" w:rsidP="00295997">
      <w:r w:rsidRPr="00A35784">
        <w:t>The integration methods do not need to be the same at each level</w:t>
      </w:r>
      <w:r>
        <w:t xml:space="preserve">. The most common forms of integration are some kind of additive or averaging process that requires the assumption that the (sub-) indicator scores are correlated; which is more likely for Level 1 or 2, for </w:t>
      </w:r>
      <w:r w:rsidRPr="0057688D">
        <w:rPr>
          <w:i/>
        </w:rPr>
        <w:t>within</w:t>
      </w:r>
      <w:r>
        <w:t xml:space="preserve"> theme, assessments. When using an additive method for Level 1 and 2 integration it may be necessary to compensate for missing data statistically, for example by using Geometric means, Standardised Euclidean distances, or simple averaging</w:t>
      </w:r>
      <w:r w:rsidR="00F25F4B">
        <w:t xml:space="preserve"> (note </w:t>
      </w:r>
      <w:r w:rsidR="00F25F4B" w:rsidRPr="00F25F4B">
        <w:t xml:space="preserve">this works </w:t>
      </w:r>
      <w:r w:rsidR="00F25F4B">
        <w:t>best</w:t>
      </w:r>
      <w:r w:rsidR="00F25F4B" w:rsidRPr="00F25F4B">
        <w:t xml:space="preserve"> for randomly distributed, spatially representative site designs, not selective/spatially biased or stratified designs</w:t>
      </w:r>
      <w:r w:rsidR="00F25F4B">
        <w:t>)</w:t>
      </w:r>
      <w:r>
        <w:t xml:space="preserve"> (see Step 6 Task 7).</w:t>
      </w:r>
    </w:p>
    <w:p w14:paraId="36979B6B" w14:textId="77777777" w:rsidR="00295997" w:rsidRDefault="00295997" w:rsidP="00295997">
      <w:r>
        <w:t>Other alternatives to additive integration include:</w:t>
      </w:r>
    </w:p>
    <w:p w14:paraId="7132178F" w14:textId="77777777" w:rsidR="00295997" w:rsidRDefault="00295997" w:rsidP="00295997">
      <w:pPr>
        <w:pStyle w:val="ListParagraph"/>
        <w:numPr>
          <w:ilvl w:val="0"/>
          <w:numId w:val="40"/>
        </w:numPr>
      </w:pPr>
      <w:r w:rsidRPr="00F24430">
        <w:rPr>
          <w:b/>
        </w:rPr>
        <w:t>The precautionary principle</w:t>
      </w:r>
      <w:r>
        <w:rPr>
          <w:b/>
        </w:rPr>
        <w:t>:</w:t>
      </w:r>
      <w:r>
        <w:t xml:space="preserve"> </w:t>
      </w:r>
    </w:p>
    <w:p w14:paraId="29BEB1ED" w14:textId="77777777" w:rsidR="00295997" w:rsidRDefault="00295997" w:rsidP="00295997">
      <w:pPr>
        <w:pStyle w:val="ListParagraph"/>
        <w:numPr>
          <w:ilvl w:val="1"/>
          <w:numId w:val="40"/>
        </w:numPr>
      </w:pPr>
      <w:r>
        <w:t xml:space="preserve">which is limited because it returns conservative assessments; </w:t>
      </w:r>
    </w:p>
    <w:p w14:paraId="13BC9702" w14:textId="77777777" w:rsidR="00295997" w:rsidRDefault="00295997" w:rsidP="00295997">
      <w:pPr>
        <w:pStyle w:val="ListParagraph"/>
        <w:numPr>
          <w:ilvl w:val="1"/>
          <w:numId w:val="40"/>
        </w:numPr>
      </w:pPr>
      <w:r>
        <w:t xml:space="preserve">cannot easily include unequal weights for sub-components; and </w:t>
      </w:r>
    </w:p>
    <w:p w14:paraId="44F9ED43" w14:textId="77777777" w:rsidR="00295997" w:rsidRDefault="00295997" w:rsidP="00295997">
      <w:pPr>
        <w:pStyle w:val="ListParagraph"/>
        <w:numPr>
          <w:ilvl w:val="1"/>
          <w:numId w:val="40"/>
        </w:numPr>
      </w:pPr>
      <w:r>
        <w:t>performs poorly when there is missing data.</w:t>
      </w:r>
    </w:p>
    <w:p w14:paraId="430FEC65" w14:textId="77777777" w:rsidR="00295997" w:rsidRPr="00F24430" w:rsidRDefault="00295997" w:rsidP="00295997">
      <w:pPr>
        <w:pStyle w:val="ListParagraph"/>
        <w:numPr>
          <w:ilvl w:val="0"/>
          <w:numId w:val="40"/>
        </w:numPr>
      </w:pPr>
      <w:r>
        <w:lastRenderedPageBreak/>
        <w:t xml:space="preserve"> </w:t>
      </w:r>
      <w:r w:rsidRPr="00F24430">
        <w:rPr>
          <w:b/>
        </w:rPr>
        <w:t>Expert rules</w:t>
      </w:r>
      <w:r>
        <w:rPr>
          <w:b/>
        </w:rPr>
        <w:t>:</w:t>
      </w:r>
    </w:p>
    <w:p w14:paraId="54ECBC5A" w14:textId="77777777" w:rsidR="00295997" w:rsidRDefault="00295997" w:rsidP="00295997">
      <w:pPr>
        <w:pStyle w:val="ListParagraph"/>
        <w:numPr>
          <w:ilvl w:val="1"/>
          <w:numId w:val="40"/>
        </w:numPr>
      </w:pPr>
      <w:r>
        <w:t xml:space="preserve"> Which may be considered costly in some situations, can deal with conceptual/value based differences in components/indicators, and be set up to be optimised for a specific assessment.</w:t>
      </w:r>
    </w:p>
    <w:p w14:paraId="2E426ADA" w14:textId="0F62EC0E" w:rsidR="000627ED" w:rsidRDefault="000627ED" w:rsidP="00F4328F">
      <w:pPr>
        <w:pStyle w:val="ListParagraph"/>
        <w:numPr>
          <w:ilvl w:val="0"/>
          <w:numId w:val="22"/>
        </w:numPr>
        <w:rPr>
          <w:b/>
          <w:i/>
        </w:rPr>
      </w:pPr>
      <w:r>
        <w:rPr>
          <w:b/>
          <w:i/>
        </w:rPr>
        <w:t xml:space="preserve">Undertake a </w:t>
      </w:r>
      <w:r w:rsidR="000F1765">
        <w:rPr>
          <w:b/>
          <w:i/>
        </w:rPr>
        <w:t xml:space="preserve">redundancy and </w:t>
      </w:r>
      <w:r>
        <w:rPr>
          <w:b/>
          <w:i/>
        </w:rPr>
        <w:t>sensitivity analysis</w:t>
      </w:r>
    </w:p>
    <w:p w14:paraId="321631B6" w14:textId="5659C334" w:rsidR="00EC706E" w:rsidRDefault="00DD7D13" w:rsidP="00EC706E">
      <w:r>
        <w:t>While th</w:t>
      </w:r>
      <w:r w:rsidR="000F1765">
        <w:t xml:space="preserve">e earlier sensitivity analysis </w:t>
      </w:r>
      <w:r>
        <w:t>focused on confirming whether an</w:t>
      </w:r>
      <w:r w:rsidR="000F1765">
        <w:t xml:space="preserve"> indicator responds to </w:t>
      </w:r>
      <w:r>
        <w:t>a</w:t>
      </w:r>
      <w:r w:rsidR="000F1765">
        <w:t xml:space="preserve"> stressor,</w:t>
      </w:r>
      <w:r>
        <w:t xml:space="preserve"> here </w:t>
      </w:r>
      <w:r w:rsidR="006C6AE7">
        <w:t xml:space="preserve">such an </w:t>
      </w:r>
      <w:r w:rsidR="000F1765">
        <w:t xml:space="preserve">analysis </w:t>
      </w:r>
      <w:r>
        <w:t xml:space="preserve">seeks to confirm </w:t>
      </w:r>
      <w:r w:rsidR="000F1765">
        <w:t xml:space="preserve">the </w:t>
      </w:r>
      <w:r w:rsidR="006C6AE7">
        <w:t>degree to which the condition index</w:t>
      </w:r>
      <w:r w:rsidR="000F1765">
        <w:t xml:space="preserve"> respon</w:t>
      </w:r>
      <w:r w:rsidR="0017074A">
        <w:t>ds</w:t>
      </w:r>
      <w:r>
        <w:t xml:space="preserve"> to the indicators</w:t>
      </w:r>
      <w:r w:rsidR="000F1765">
        <w:t>.  It</w:t>
      </w:r>
      <w:r w:rsidR="00EC706E">
        <w:t xml:space="preserve"> requires analysing the influence of each sub-</w:t>
      </w:r>
      <w:r w:rsidR="0004476C">
        <w:t>indicator;</w:t>
      </w:r>
      <w:r w:rsidR="00EC706E">
        <w:t xml:space="preserve"> indicator and theme score to the overall assessment (see Step 4, </w:t>
      </w:r>
      <w:r>
        <w:t>T</w:t>
      </w:r>
      <w:r w:rsidR="00EC706E">
        <w:t xml:space="preserve">ask 4). For example, </w:t>
      </w:r>
      <w:r w:rsidR="00BE3993">
        <w:t>redundancy and sensitivity analysis could consider</w:t>
      </w:r>
      <w:r w:rsidR="00EC706E">
        <w:t xml:space="preserve"> the consequence for </w:t>
      </w:r>
      <w:r w:rsidR="00BE3993">
        <w:t xml:space="preserve">the </w:t>
      </w:r>
      <w:r w:rsidR="00EC706E">
        <w:t>Hydrology theme and IECA scores in the example presented in</w:t>
      </w:r>
      <w:r w:rsidR="003444F0">
        <w:t xml:space="preserve"> </w:t>
      </w:r>
      <w:r w:rsidR="003444F0">
        <w:fldChar w:fldCharType="begin"/>
      </w:r>
      <w:r w:rsidR="003444F0">
        <w:instrText xml:space="preserve"> REF _Ref484374669 \h </w:instrText>
      </w:r>
      <w:r w:rsidR="003444F0">
        <w:fldChar w:fldCharType="separate"/>
      </w:r>
      <w:r w:rsidR="005F359C">
        <w:t xml:space="preserve">Figure </w:t>
      </w:r>
      <w:r w:rsidR="005F359C">
        <w:rPr>
          <w:noProof/>
        </w:rPr>
        <w:t>12</w:t>
      </w:r>
      <w:r w:rsidR="003444F0">
        <w:fldChar w:fldCharType="end"/>
      </w:r>
      <w:r w:rsidR="00EC706E">
        <w:t xml:space="preserve">, if </w:t>
      </w:r>
      <w:r w:rsidR="003444F0">
        <w:t>tidal regime</w:t>
      </w:r>
      <w:r w:rsidR="00EC706E">
        <w:t xml:space="preserve"> data were unavailable</w:t>
      </w:r>
      <w:r w:rsidR="0017074A">
        <w:t>.</w:t>
      </w:r>
      <w:r w:rsidR="00EC706E">
        <w:t xml:space="preserve"> </w:t>
      </w:r>
    </w:p>
    <w:p w14:paraId="187DDF52" w14:textId="5A752A3A" w:rsidR="00EC706E" w:rsidRDefault="00DD7D13" w:rsidP="00EC706E">
      <w:r>
        <w:t xml:space="preserve">The sensitivity analysis should also identify redundant or ineffective sub-indicators. In other words, the IECA has been set up using conceptual models, but what is the reality of the proposed conceptual links in light of data collection and analysis? For example, one or more of the variables measured </w:t>
      </w:r>
      <w:r w:rsidR="001D3B4B">
        <w:t xml:space="preserve">may be </w:t>
      </w:r>
      <w:r>
        <w:t xml:space="preserve">invariant and thus do not influence IECA scores.  Perhaps a key indicator species occurs in every site, or another species can’t be detected using the sampling frame. </w:t>
      </w:r>
      <w:r w:rsidR="00BE3993">
        <w:t xml:space="preserve">Indicators based on these results can potentially have no effect or </w:t>
      </w:r>
      <w:r>
        <w:t>a disproportionate</w:t>
      </w:r>
      <w:r w:rsidR="00BE3993">
        <w:t xml:space="preserve"> effect on the IECA.</w:t>
      </w:r>
    </w:p>
    <w:p w14:paraId="273F624F" w14:textId="35CF1454" w:rsidR="00EC706E" w:rsidRDefault="00EC706E" w:rsidP="00EC706E">
      <w:r>
        <w:t xml:space="preserve">A typical sensitivity analysis involves scenario modelling where individual </w:t>
      </w:r>
      <w:r w:rsidR="0017074A">
        <w:t>indicators</w:t>
      </w:r>
      <w:r>
        <w:t xml:space="preserve"> are manipulated whilst the higher level composite indicators are monitored</w:t>
      </w:r>
      <w:r w:rsidR="00DD7D13">
        <w:t xml:space="preserve"> (e.g.</w:t>
      </w:r>
      <w:r>
        <w:t xml:space="preserve"> running computer generated data scenarios where the input data are simulated in a way that allows the responses</w:t>
      </w:r>
      <w:r w:rsidR="00BE3993">
        <w:t xml:space="preserve"> of the higher level scores</w:t>
      </w:r>
      <w:r>
        <w:t xml:space="preserve"> to be monitored</w:t>
      </w:r>
      <w:r w:rsidR="00DD7D13">
        <w:t>)</w:t>
      </w:r>
      <w:r>
        <w:t xml:space="preserve">. </w:t>
      </w:r>
    </w:p>
    <w:p w14:paraId="1A2270C1" w14:textId="644BA658" w:rsidR="0017074A" w:rsidRDefault="0017074A" w:rsidP="0017074A">
      <w:r>
        <w:t>In summary</w:t>
      </w:r>
      <w:r w:rsidR="00DD7D13">
        <w:t>,</w:t>
      </w:r>
      <w:r>
        <w:t xml:space="preserve"> a sensitivity analysis should include:</w:t>
      </w:r>
    </w:p>
    <w:p w14:paraId="364C6877" w14:textId="77777777" w:rsidR="0017074A" w:rsidRDefault="0017074A" w:rsidP="00F4328F">
      <w:pPr>
        <w:pStyle w:val="ListParagraph"/>
        <w:numPr>
          <w:ilvl w:val="0"/>
          <w:numId w:val="39"/>
        </w:numPr>
      </w:pPr>
      <w:r>
        <w:t>Verification of response to condition (indicators and integrated scores).</w:t>
      </w:r>
    </w:p>
    <w:p w14:paraId="2C507A98" w14:textId="77777777" w:rsidR="0017074A" w:rsidRDefault="0017074A" w:rsidP="00F4328F">
      <w:pPr>
        <w:pStyle w:val="ListParagraph"/>
        <w:numPr>
          <w:ilvl w:val="1"/>
          <w:numId w:val="39"/>
        </w:numPr>
      </w:pPr>
      <w:r>
        <w:t>That the score responds to changes in ecosystem condition.</w:t>
      </w:r>
    </w:p>
    <w:p w14:paraId="267BD922" w14:textId="77777777" w:rsidR="0017074A" w:rsidRDefault="0017074A" w:rsidP="00F4328F">
      <w:pPr>
        <w:pStyle w:val="ListParagraph"/>
        <w:numPr>
          <w:ilvl w:val="0"/>
          <w:numId w:val="39"/>
        </w:numPr>
      </w:pPr>
      <w:r>
        <w:t>Verification of the range of the response (indicators and integrated scores).</w:t>
      </w:r>
    </w:p>
    <w:p w14:paraId="7845C4DD" w14:textId="77777777" w:rsidR="0017074A" w:rsidRDefault="0017074A" w:rsidP="00F4328F">
      <w:pPr>
        <w:pStyle w:val="ListParagraph"/>
        <w:numPr>
          <w:ilvl w:val="1"/>
          <w:numId w:val="39"/>
        </w:numPr>
      </w:pPr>
      <w:r>
        <w:t xml:space="preserve">That the indicator </w:t>
      </w:r>
      <w:r w:rsidRPr="006F00C6">
        <w:rPr>
          <w:i/>
        </w:rPr>
        <w:t>can</w:t>
      </w:r>
      <w:r>
        <w:t xml:space="preserve"> achieve the theoretical minimum and maximum scores.</w:t>
      </w:r>
    </w:p>
    <w:p w14:paraId="279E587C" w14:textId="77777777" w:rsidR="0017074A" w:rsidRDefault="0017074A" w:rsidP="00F4328F">
      <w:pPr>
        <w:pStyle w:val="ListParagraph"/>
        <w:numPr>
          <w:ilvl w:val="0"/>
          <w:numId w:val="39"/>
        </w:numPr>
      </w:pPr>
      <w:r>
        <w:t>Verification of the type of response (linear or not, multiplicative or not, etc.) for indicators and integrated scores.</w:t>
      </w:r>
    </w:p>
    <w:p w14:paraId="00B54CD1" w14:textId="77777777" w:rsidR="0017074A" w:rsidRDefault="0017074A" w:rsidP="00F4328F">
      <w:pPr>
        <w:pStyle w:val="ListParagraph"/>
        <w:numPr>
          <w:ilvl w:val="1"/>
          <w:numId w:val="39"/>
        </w:numPr>
      </w:pPr>
      <w:r>
        <w:t>Is a value of 0.8 twice 0.4?  Is an increase from 0.8 to 0.9 the same as an increase from 0.1 to 0.2?</w:t>
      </w:r>
    </w:p>
    <w:p w14:paraId="46509124" w14:textId="77777777" w:rsidR="0017074A" w:rsidRDefault="0017074A" w:rsidP="00F4328F">
      <w:pPr>
        <w:pStyle w:val="ListParagraph"/>
        <w:numPr>
          <w:ilvl w:val="0"/>
          <w:numId w:val="39"/>
        </w:numPr>
      </w:pPr>
      <w:r>
        <w:t>Contribution of indicators to indicator groups, ecological themes and IECA scores.</w:t>
      </w:r>
    </w:p>
    <w:p w14:paraId="1BDCFA28" w14:textId="77777777" w:rsidR="0017074A" w:rsidRDefault="0017074A" w:rsidP="00F4328F">
      <w:pPr>
        <w:pStyle w:val="ListParagraph"/>
        <w:numPr>
          <w:ilvl w:val="1"/>
          <w:numId w:val="39"/>
        </w:numPr>
      </w:pPr>
      <w:r>
        <w:t>Do some indicators barely- or over-influence the integrated assessment score?</w:t>
      </w:r>
    </w:p>
    <w:p w14:paraId="03F99DAC" w14:textId="3327136E" w:rsidR="0017074A" w:rsidRPr="00EC706E" w:rsidRDefault="0017074A" w:rsidP="00EC706E">
      <w:r>
        <w:t xml:space="preserve">See </w:t>
      </w:r>
      <w:r w:rsidR="004A60EA">
        <w:t>‘</w:t>
      </w:r>
      <w:r w:rsidR="00DD7D13" w:rsidRPr="008032C5">
        <w:rPr>
          <w:i/>
        </w:rPr>
        <w:t>O</w:t>
      </w:r>
      <w:r w:rsidRPr="008032C5">
        <w:rPr>
          <w:i/>
        </w:rPr>
        <w:t>ther resources</w:t>
      </w:r>
      <w:r w:rsidR="004A60EA">
        <w:t>’</w:t>
      </w:r>
      <w:r w:rsidR="00DD7D13">
        <w:t xml:space="preserve"> (below)</w:t>
      </w:r>
      <w:r>
        <w:t xml:space="preserve"> for recommended reading on how to undertake sensitivity analysis.</w:t>
      </w:r>
    </w:p>
    <w:p w14:paraId="51CB72D7" w14:textId="75C35888" w:rsidR="00D246DA" w:rsidRPr="0034143D" w:rsidRDefault="00225465" w:rsidP="00F4328F">
      <w:pPr>
        <w:pStyle w:val="ListParagraph"/>
        <w:numPr>
          <w:ilvl w:val="0"/>
          <w:numId w:val="22"/>
        </w:numPr>
        <w:rPr>
          <w:b/>
          <w:i/>
        </w:rPr>
      </w:pPr>
      <w:r>
        <w:rPr>
          <w:b/>
          <w:i/>
        </w:rPr>
        <w:t xml:space="preserve">IECA </w:t>
      </w:r>
      <w:r w:rsidR="00D246DA" w:rsidRPr="0034143D">
        <w:rPr>
          <w:b/>
          <w:i/>
        </w:rPr>
        <w:t>banding</w:t>
      </w:r>
    </w:p>
    <w:p w14:paraId="05017F52" w14:textId="3A29D566" w:rsidR="00D246DA" w:rsidRDefault="00D246DA" w:rsidP="00D246DA">
      <w:r>
        <w:t xml:space="preserve">A scaled grade system that has been recommended for national reporting </w:t>
      </w:r>
      <w:r w:rsidR="00DD7D13">
        <w:t>has been</w:t>
      </w:r>
      <w:r>
        <w:t xml:space="preserve"> adopted. The approach has been utilised by</w:t>
      </w:r>
      <w:r w:rsidR="005F359C">
        <w:t xml:space="preserve"> </w:t>
      </w:r>
      <w:r w:rsidR="005F359C">
        <w:fldChar w:fldCharType="begin"/>
      </w:r>
      <w:r w:rsidR="005F359C">
        <w:instrText xml:space="preserve"> ADDIN ZOTERO_ITEM CSL_CITATION {"citationID":"l68mvcq22","properties":{"formattedCitation":"(Davies et al. 2008)","plainCitation":"(Davies et al. 2008)"},"citationItems":[{"id":3201,"uris":["http://zotero.org/users/3119797/items/G9VRFCIQ"],"uri":["http://zotero.org/users/3119797/items/G9VRFCIQ"],"itemData":{"id":3201,"type":"article","title":"Sustainable Rivers Audit Report 1: a report on the ecological health of rivers in the Murray–Darling Basin, 2004–2007, Report prepared by the Independent Sustainable Rivers Audit Group for the Murray–Darling Basin Ministerial Council. Murray-Darling Basin Commission, Canberra.","author":[{"family":"Davies","given":"P.E."},{"family":"Harris","given":"J.H."},{"family":"Hillman","given":"T.J."},{"family":"Walker","given":"K.F."}],"issued":{"date-parts":[["2008"]]}}}],"schema":"https://github.com/citation-style-language/schema/raw/master/csl-citation.json"} </w:instrText>
      </w:r>
      <w:r w:rsidR="005F359C">
        <w:fldChar w:fldCharType="separate"/>
      </w:r>
      <w:r w:rsidR="005F359C" w:rsidRPr="005F359C">
        <w:rPr>
          <w:rFonts w:cs="Calibri"/>
        </w:rPr>
        <w:t xml:space="preserve">Davies et al. </w:t>
      </w:r>
      <w:r w:rsidR="005F359C">
        <w:rPr>
          <w:rFonts w:cs="Calibri"/>
        </w:rPr>
        <w:t>(</w:t>
      </w:r>
      <w:r w:rsidR="005F359C" w:rsidRPr="005F359C">
        <w:rPr>
          <w:rFonts w:cs="Calibri"/>
        </w:rPr>
        <w:t>2008)</w:t>
      </w:r>
      <w:r w:rsidR="005F359C">
        <w:fldChar w:fldCharType="end"/>
      </w:r>
      <w:r w:rsidR="005F359C">
        <w:t xml:space="preserve"> </w:t>
      </w:r>
      <w:r w:rsidR="001D3B4B">
        <w:t>and</w:t>
      </w:r>
      <w:r>
        <w:t xml:space="preserve"> </w:t>
      </w:r>
      <w:r w:rsidR="00996754">
        <w:fldChar w:fldCharType="begin"/>
      </w:r>
      <w:r w:rsidR="00996754">
        <w:instrText xml:space="preserve"> ADDIN ZOTERO_ITEM CSL_CITATION {"citationID":"17nfctkj6k","properties":{"formattedCitation":"(Roberts et al. 2009)","plainCitation":"(Roberts et al. 2009)"},"citationItems":[{"id":3454,"uris":["http://zotero.org/users/3119797/items/EPN852QI"],"uri":["http://zotero.org/users/3119797/items/EPN852QI"],"itemData":{"id":3454,"type":"article","title":"Indicator Protocol: River (riparian) vegetation. Supporting Report. Report prepared for River Health Consulting Group, Department of Water, Environment, Heritage and the Arts.","author":[{"family":"Roberts","given":"J."},{"family":"Hale","given":"J."},{"family":"Jansen","given":"A."},{"family":"Dixon","given":"I."},{"family":"Kobryn","given":"H."}],"issued":{"date-parts":[["2009"]]}}}],"schema":"https://github.com/citation-style-language/schema/raw/master/csl-citation.json"} </w:instrText>
      </w:r>
      <w:r w:rsidR="00996754">
        <w:fldChar w:fldCharType="separate"/>
      </w:r>
      <w:r w:rsidR="00996754" w:rsidRPr="00996754">
        <w:rPr>
          <w:rFonts w:cs="Calibri"/>
        </w:rPr>
        <w:t xml:space="preserve">Roberts et al. </w:t>
      </w:r>
      <w:r w:rsidR="00996754">
        <w:rPr>
          <w:rFonts w:cs="Calibri"/>
        </w:rPr>
        <w:t>(</w:t>
      </w:r>
      <w:r w:rsidR="00996754" w:rsidRPr="00996754">
        <w:rPr>
          <w:rFonts w:cs="Calibri"/>
        </w:rPr>
        <w:t>2009)</w:t>
      </w:r>
      <w:r w:rsidR="00996754">
        <w:fldChar w:fldCharType="end"/>
      </w:r>
      <w:r w:rsidR="00996754">
        <w:t xml:space="preserve"> </w:t>
      </w:r>
      <w:r>
        <w:t xml:space="preserve">and is consistent with the recommendations of the FARWH </w:t>
      </w:r>
      <w:r w:rsidR="00E87653">
        <w:fldChar w:fldCharType="begin"/>
      </w:r>
      <w:r w:rsidR="00E87653">
        <w:instrText xml:space="preserve"> ADDIN ZOTERO_ITEM CSL_CITATION {"citationID":"1d6h9vk1n7","properties":{"formattedCitation":"(Norris et al. 2007)","plainCitation":"(Norris et al. 2007)"},"citationItems":[{"id":3223,"uris":["http://zotero.org/users/3119797/items/ZMEKSQ6X"],"uri":["http://zotero.org/users/3119797/items/ZMEKSQ6X"],"itemData":{"id":3223,"type":"article","title":"Assessment of River and Wetland Health: A Framework for Comparative Assessment of the Ecological Condition of Australian Rivers and Wetlands. National Water Commission, Canberra, ACT.","author":[{"family":"Norris","given":"R."},{"family":"Dyer","given":"F."},{"family":"Hairsine","given":"P."},{"family":"Kennard","given":"M. J."},{"family":"Linke","given":"S."},{"family":"Merrin","given":"L.E."},{"family":"Read","given":"A"},{"family":"Robinson","given":"Wayne"},{"family":"Ryan","given":"C."},{"family":"Wilkinson","given":"S."},{"family":"Williams","given":"D."}],"issued":{"date-parts":[["2007"]]}}}],"schema":"https://github.com/citation-style-language/schema/raw/master/csl-citation.json"} </w:instrText>
      </w:r>
      <w:r w:rsidR="00E87653">
        <w:fldChar w:fldCharType="separate"/>
      </w:r>
      <w:r w:rsidR="00E87653" w:rsidRPr="00E87653">
        <w:rPr>
          <w:rFonts w:cs="Calibri"/>
        </w:rPr>
        <w:t>(Norris et al. 2007)</w:t>
      </w:r>
      <w:r w:rsidR="00E87653">
        <w:fldChar w:fldCharType="end"/>
      </w:r>
      <w:r w:rsidR="00DD7D13">
        <w:t>,</w:t>
      </w:r>
      <w:r>
        <w:t xml:space="preserve"> with scores scaled from 0 to 1 across five bands as </w:t>
      </w:r>
      <w:r w:rsidR="00AB6D46">
        <w:t xml:space="preserve">shown in </w:t>
      </w:r>
      <w:r w:rsidR="00AB6D46">
        <w:fldChar w:fldCharType="begin"/>
      </w:r>
      <w:r w:rsidR="00AB6D46">
        <w:instrText xml:space="preserve"> REF _Ref479242638 \h </w:instrText>
      </w:r>
      <w:r w:rsidR="00AB6D46">
        <w:fldChar w:fldCharType="separate"/>
      </w:r>
      <w:r w:rsidR="005F359C">
        <w:t xml:space="preserve">Table </w:t>
      </w:r>
      <w:r w:rsidR="005F359C">
        <w:rPr>
          <w:noProof/>
        </w:rPr>
        <w:t>16</w:t>
      </w:r>
      <w:r w:rsidR="00AB6D46">
        <w:fldChar w:fldCharType="end"/>
      </w:r>
      <w:r w:rsidR="00AB6D46">
        <w:t>.</w:t>
      </w:r>
    </w:p>
    <w:p w14:paraId="2E1325F3" w14:textId="77777777" w:rsidR="00677450" w:rsidRDefault="00677450" w:rsidP="00677450">
      <w:r>
        <w:t>This is consistent with many other condition assessments (</w:t>
      </w:r>
      <w:r>
        <w:fldChar w:fldCharType="begin"/>
      </w:r>
      <w:r>
        <w:instrText xml:space="preserve"> REF _Ref474760586 \h </w:instrText>
      </w:r>
      <w:r>
        <w:fldChar w:fldCharType="separate"/>
      </w:r>
      <w:r>
        <w:t xml:space="preserve">Table </w:t>
      </w:r>
      <w:r>
        <w:rPr>
          <w:noProof/>
        </w:rPr>
        <w:t>17</w:t>
      </w:r>
      <w:r>
        <w:fldChar w:fldCharType="end"/>
      </w:r>
      <w:r>
        <w:t>), with a score of 1 (or close to 1) equating to no change from or equivalence to baseline condition, while a score of 0 indicates an extreme change or total loss. An example of applying the IECA banding to a system of existing condition assessment is presented in Text Box 5.</w:t>
      </w:r>
    </w:p>
    <w:p w14:paraId="7FA397ED" w14:textId="77777777" w:rsidR="00630316" w:rsidRDefault="00630316" w:rsidP="00677450"/>
    <w:p w14:paraId="62799DC2" w14:textId="5E389478" w:rsidR="00AB6D46" w:rsidRDefault="00AB6D46" w:rsidP="00AB6D46">
      <w:pPr>
        <w:pStyle w:val="Caption"/>
      </w:pPr>
      <w:bookmarkStart w:id="86" w:name="_Ref479242638"/>
      <w:r>
        <w:lastRenderedPageBreak/>
        <w:t xml:space="preserve">Table </w:t>
      </w:r>
      <w:fldSimple w:instr=" SEQ Table \* ARABIC ">
        <w:r w:rsidR="005F359C">
          <w:rPr>
            <w:noProof/>
          </w:rPr>
          <w:t>16</w:t>
        </w:r>
      </w:fldSimple>
      <w:bookmarkEnd w:id="86"/>
      <w:r w:rsidR="00FD50A9">
        <w:rPr>
          <w:noProof/>
        </w:rPr>
        <w:t>:</w:t>
      </w:r>
      <w:r>
        <w:t xml:space="preserve"> IECA score and bands.</w:t>
      </w:r>
    </w:p>
    <w:tbl>
      <w:tblPr>
        <w:tblW w:w="5000" w:type="pct"/>
        <w:tblCellMar>
          <w:left w:w="0" w:type="dxa"/>
          <w:right w:w="0" w:type="dxa"/>
        </w:tblCellMar>
        <w:tblLook w:val="04A0" w:firstRow="1" w:lastRow="0" w:firstColumn="1" w:lastColumn="0" w:noHBand="0" w:noVBand="1"/>
      </w:tblPr>
      <w:tblGrid>
        <w:gridCol w:w="1994"/>
        <w:gridCol w:w="3511"/>
        <w:gridCol w:w="3511"/>
      </w:tblGrid>
      <w:tr w:rsidR="00821E89" w:rsidRPr="005545F3" w14:paraId="6DF2782A" w14:textId="77777777" w:rsidTr="00821E89">
        <w:tc>
          <w:tcPr>
            <w:tcW w:w="1106"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9CBEBD" w:themeFill="accent2"/>
            <w:tcMar>
              <w:top w:w="15" w:type="dxa"/>
              <w:left w:w="108" w:type="dxa"/>
              <w:bottom w:w="0" w:type="dxa"/>
              <w:right w:w="108" w:type="dxa"/>
            </w:tcMar>
            <w:hideMark/>
          </w:tcPr>
          <w:p w14:paraId="3AAC7DD2" w14:textId="77777777" w:rsidR="00821E89" w:rsidRPr="005545F3" w:rsidRDefault="00821E89" w:rsidP="005545F3">
            <w:pPr>
              <w:spacing w:after="0" w:line="240" w:lineRule="auto"/>
              <w:rPr>
                <w:color w:val="FFFFFF" w:themeColor="background1"/>
              </w:rPr>
            </w:pPr>
            <w:r w:rsidRPr="005545F3">
              <w:rPr>
                <w:b/>
                <w:bCs/>
                <w:color w:val="FFFFFF" w:themeColor="background1"/>
              </w:rPr>
              <w:t>IECA Score</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9CBEBD" w:themeFill="accent2"/>
            <w:tcMar>
              <w:top w:w="15" w:type="dxa"/>
              <w:left w:w="108" w:type="dxa"/>
              <w:bottom w:w="0" w:type="dxa"/>
              <w:right w:w="108" w:type="dxa"/>
            </w:tcMar>
            <w:hideMark/>
          </w:tcPr>
          <w:p w14:paraId="0663AE2B" w14:textId="77777777" w:rsidR="00821E89" w:rsidRPr="005545F3" w:rsidRDefault="00821E89" w:rsidP="005545F3">
            <w:pPr>
              <w:spacing w:after="0" w:line="240" w:lineRule="auto"/>
              <w:rPr>
                <w:color w:val="FFFFFF" w:themeColor="background1"/>
              </w:rPr>
            </w:pPr>
            <w:r w:rsidRPr="005545F3">
              <w:rPr>
                <w:b/>
                <w:bCs/>
                <w:color w:val="FFFFFF" w:themeColor="background1"/>
              </w:rPr>
              <w:t>ICEA Band description</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9CBEBD" w:themeFill="accent2"/>
            <w:tcMar>
              <w:top w:w="15" w:type="dxa"/>
              <w:left w:w="108" w:type="dxa"/>
              <w:bottom w:w="0" w:type="dxa"/>
              <w:right w:w="108" w:type="dxa"/>
            </w:tcMar>
            <w:hideMark/>
          </w:tcPr>
          <w:p w14:paraId="391D6909" w14:textId="737CCFCD" w:rsidR="00821E89" w:rsidRPr="00821E89" w:rsidRDefault="00821E89" w:rsidP="005545F3">
            <w:pPr>
              <w:spacing w:after="0" w:line="240" w:lineRule="auto"/>
              <w:rPr>
                <w:b/>
                <w:color w:val="FFFFFF" w:themeColor="background1"/>
              </w:rPr>
            </w:pPr>
          </w:p>
        </w:tc>
      </w:tr>
      <w:tr w:rsidR="00821E89" w:rsidRPr="005545F3" w14:paraId="391DD45F" w14:textId="77777777" w:rsidTr="00821E89">
        <w:trPr>
          <w:trHeight w:val="258"/>
        </w:trPr>
        <w:tc>
          <w:tcPr>
            <w:tcW w:w="5000" w:type="pct"/>
            <w:gridSpan w:val="3"/>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tcPr>
          <w:p w14:paraId="227FF2A9" w14:textId="512B0960" w:rsidR="00821E89" w:rsidRPr="005545F3" w:rsidRDefault="00821E89" w:rsidP="005545F3">
            <w:pPr>
              <w:spacing w:after="0" w:line="240" w:lineRule="auto"/>
            </w:pPr>
            <w:r w:rsidRPr="008032C5">
              <w:rPr>
                <w:b/>
                <w:bCs/>
              </w:rPr>
              <w:t>Condition</w:t>
            </w:r>
          </w:p>
        </w:tc>
      </w:tr>
      <w:tr w:rsidR="00821E89" w:rsidRPr="005545F3" w14:paraId="2F590128" w14:textId="77777777" w:rsidTr="00821E89">
        <w:trPr>
          <w:trHeight w:val="258"/>
        </w:trPr>
        <w:tc>
          <w:tcPr>
            <w:tcW w:w="1106"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09F8D0CE" w14:textId="77777777" w:rsidR="00821E89" w:rsidRPr="009E1164" w:rsidRDefault="00821E89" w:rsidP="005545F3">
            <w:pPr>
              <w:spacing w:after="0" w:line="240" w:lineRule="auto"/>
            </w:pPr>
            <w:r w:rsidRPr="009E1164">
              <w:rPr>
                <w:bCs/>
              </w:rPr>
              <w:t>1 – 0.8</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296F37BE" w14:textId="77777777" w:rsidR="00821E89" w:rsidRPr="005545F3" w:rsidRDefault="00821E89" w:rsidP="005545F3">
            <w:pPr>
              <w:spacing w:after="0" w:line="240" w:lineRule="auto"/>
            </w:pPr>
            <w:r w:rsidRPr="005545F3">
              <w:t>Largely unmodified</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92D050"/>
            <w:tcMar>
              <w:top w:w="15" w:type="dxa"/>
              <w:left w:w="108" w:type="dxa"/>
              <w:bottom w:w="0" w:type="dxa"/>
              <w:right w:w="108" w:type="dxa"/>
            </w:tcMar>
            <w:hideMark/>
          </w:tcPr>
          <w:p w14:paraId="2ABA43C0" w14:textId="77777777" w:rsidR="00821E89" w:rsidRPr="005545F3" w:rsidRDefault="00821E89" w:rsidP="005545F3">
            <w:pPr>
              <w:spacing w:after="0" w:line="240" w:lineRule="auto"/>
            </w:pPr>
            <w:r w:rsidRPr="005545F3">
              <w:t xml:space="preserve">Excellent </w:t>
            </w:r>
          </w:p>
        </w:tc>
      </w:tr>
      <w:tr w:rsidR="00821E89" w:rsidRPr="005545F3" w14:paraId="177B92EB" w14:textId="77777777" w:rsidTr="00821E89">
        <w:tc>
          <w:tcPr>
            <w:tcW w:w="1106"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048E1D8C" w14:textId="77777777" w:rsidR="00821E89" w:rsidRPr="009E1164" w:rsidRDefault="00821E89" w:rsidP="005545F3">
            <w:pPr>
              <w:spacing w:after="0" w:line="240" w:lineRule="auto"/>
            </w:pPr>
            <w:r w:rsidRPr="009E1164">
              <w:rPr>
                <w:bCs/>
              </w:rPr>
              <w:t>0.79 – 0.6</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5B10384F" w14:textId="77777777" w:rsidR="00821E89" w:rsidRPr="005545F3" w:rsidRDefault="00821E89" w:rsidP="005545F3">
            <w:pPr>
              <w:spacing w:after="0" w:line="240" w:lineRule="auto"/>
            </w:pPr>
            <w:r w:rsidRPr="005545F3">
              <w:t>Slightly modified</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9BBB59"/>
            <w:tcMar>
              <w:top w:w="15" w:type="dxa"/>
              <w:left w:w="108" w:type="dxa"/>
              <w:bottom w:w="0" w:type="dxa"/>
              <w:right w:w="108" w:type="dxa"/>
            </w:tcMar>
            <w:hideMark/>
          </w:tcPr>
          <w:p w14:paraId="184D0E3C" w14:textId="798559B9" w:rsidR="00821E89" w:rsidRPr="005545F3" w:rsidRDefault="00064A41" w:rsidP="005545F3">
            <w:pPr>
              <w:spacing w:after="0" w:line="240" w:lineRule="auto"/>
            </w:pPr>
            <w:r>
              <w:t>Good</w:t>
            </w:r>
          </w:p>
        </w:tc>
      </w:tr>
      <w:tr w:rsidR="00821E89" w:rsidRPr="005545F3" w14:paraId="33D236C6" w14:textId="77777777" w:rsidTr="00821E89">
        <w:tc>
          <w:tcPr>
            <w:tcW w:w="1106"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7AC005B4" w14:textId="77777777" w:rsidR="00821E89" w:rsidRPr="009E1164" w:rsidRDefault="00821E89" w:rsidP="005545F3">
            <w:pPr>
              <w:spacing w:after="0" w:line="240" w:lineRule="auto"/>
            </w:pPr>
            <w:r w:rsidRPr="009E1164">
              <w:rPr>
                <w:bCs/>
              </w:rPr>
              <w:t>0.59 – 0.4</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33A7BD68" w14:textId="77777777" w:rsidR="00821E89" w:rsidRPr="005545F3" w:rsidRDefault="00821E89" w:rsidP="005545F3">
            <w:pPr>
              <w:spacing w:after="0" w:line="240" w:lineRule="auto"/>
            </w:pPr>
            <w:r w:rsidRPr="005545F3">
              <w:t>Moderately modified</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C3D69B"/>
            <w:tcMar>
              <w:top w:w="15" w:type="dxa"/>
              <w:left w:w="108" w:type="dxa"/>
              <w:bottom w:w="0" w:type="dxa"/>
              <w:right w:w="108" w:type="dxa"/>
            </w:tcMar>
            <w:hideMark/>
          </w:tcPr>
          <w:p w14:paraId="451A11BA" w14:textId="5E6583F9" w:rsidR="00821E89" w:rsidRPr="005545F3" w:rsidRDefault="00064A41" w:rsidP="005545F3">
            <w:pPr>
              <w:spacing w:after="0" w:line="240" w:lineRule="auto"/>
            </w:pPr>
            <w:r>
              <w:t>Moderate</w:t>
            </w:r>
          </w:p>
        </w:tc>
      </w:tr>
      <w:tr w:rsidR="00821E89" w:rsidRPr="005545F3" w14:paraId="5F8B1E86" w14:textId="77777777" w:rsidTr="00821E89">
        <w:tc>
          <w:tcPr>
            <w:tcW w:w="1106"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228C1C0E" w14:textId="77777777" w:rsidR="00821E89" w:rsidRPr="009E1164" w:rsidRDefault="00821E89" w:rsidP="005545F3">
            <w:pPr>
              <w:spacing w:after="0" w:line="240" w:lineRule="auto"/>
            </w:pPr>
            <w:r w:rsidRPr="009E1164">
              <w:rPr>
                <w:bCs/>
              </w:rPr>
              <w:t>0.39 – 0.2</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741CFB8E" w14:textId="77777777" w:rsidR="00821E89" w:rsidRPr="005545F3" w:rsidRDefault="00821E89" w:rsidP="005545F3">
            <w:pPr>
              <w:spacing w:after="0" w:line="240" w:lineRule="auto"/>
            </w:pPr>
            <w:r w:rsidRPr="005545F3">
              <w:t>Substantially modified</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EBF1DE"/>
            <w:tcMar>
              <w:top w:w="15" w:type="dxa"/>
              <w:left w:w="108" w:type="dxa"/>
              <w:bottom w:w="0" w:type="dxa"/>
              <w:right w:w="108" w:type="dxa"/>
            </w:tcMar>
            <w:hideMark/>
          </w:tcPr>
          <w:p w14:paraId="16EB78D0" w14:textId="44504BB9" w:rsidR="00821E89" w:rsidRPr="005545F3" w:rsidRDefault="00064A41" w:rsidP="005545F3">
            <w:pPr>
              <w:spacing w:after="0" w:line="240" w:lineRule="auto"/>
            </w:pPr>
            <w:r>
              <w:t>Poor</w:t>
            </w:r>
          </w:p>
        </w:tc>
      </w:tr>
      <w:tr w:rsidR="00821E89" w:rsidRPr="005545F3" w14:paraId="0E935EC6" w14:textId="77777777" w:rsidTr="00821E89">
        <w:tc>
          <w:tcPr>
            <w:tcW w:w="1106"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771ED304" w14:textId="77777777" w:rsidR="00821E89" w:rsidRPr="009E1164" w:rsidRDefault="00821E89" w:rsidP="005545F3">
            <w:pPr>
              <w:spacing w:after="0" w:line="240" w:lineRule="auto"/>
            </w:pPr>
            <w:r w:rsidRPr="009E1164">
              <w:rPr>
                <w:bCs/>
              </w:rPr>
              <w:t>0.19 – 0</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74924692" w14:textId="77777777" w:rsidR="00821E89" w:rsidRPr="005545F3" w:rsidRDefault="00821E89" w:rsidP="005545F3">
            <w:pPr>
              <w:spacing w:after="0" w:line="240" w:lineRule="auto"/>
            </w:pPr>
            <w:r w:rsidRPr="005545F3">
              <w:t>Severely modified</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EDECE4" w:themeFill="accent1" w:themeFillTint="33"/>
            <w:tcMar>
              <w:top w:w="15" w:type="dxa"/>
              <w:left w:w="108" w:type="dxa"/>
              <w:bottom w:w="0" w:type="dxa"/>
              <w:right w:w="108" w:type="dxa"/>
            </w:tcMar>
            <w:hideMark/>
          </w:tcPr>
          <w:p w14:paraId="2AAA547D" w14:textId="0BCFF756" w:rsidR="00821E89" w:rsidRPr="005545F3" w:rsidRDefault="00064A41" w:rsidP="005545F3">
            <w:pPr>
              <w:spacing w:after="0" w:line="240" w:lineRule="auto"/>
            </w:pPr>
            <w:r>
              <w:t xml:space="preserve">Very </w:t>
            </w:r>
            <w:r w:rsidR="00821E89" w:rsidRPr="005545F3">
              <w:t>Poor</w:t>
            </w:r>
          </w:p>
        </w:tc>
      </w:tr>
      <w:tr w:rsidR="00821E89" w:rsidRPr="005545F3" w14:paraId="4BC2F2DE" w14:textId="77777777" w:rsidTr="00821E89">
        <w:trPr>
          <w:trHeight w:val="258"/>
        </w:trPr>
        <w:tc>
          <w:tcPr>
            <w:tcW w:w="5000" w:type="pct"/>
            <w:gridSpan w:val="3"/>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tcPr>
          <w:p w14:paraId="6CE5ED06" w14:textId="292CF6C7" w:rsidR="00821E89" w:rsidRPr="005545F3" w:rsidRDefault="00821E89" w:rsidP="003D0CBA">
            <w:pPr>
              <w:spacing w:after="0" w:line="240" w:lineRule="auto"/>
            </w:pPr>
            <w:r>
              <w:rPr>
                <w:b/>
                <w:bCs/>
              </w:rPr>
              <w:t>Threat</w:t>
            </w:r>
          </w:p>
        </w:tc>
      </w:tr>
      <w:tr w:rsidR="00821E89" w:rsidRPr="005545F3" w14:paraId="7054B55A" w14:textId="77777777" w:rsidTr="00821E89">
        <w:trPr>
          <w:trHeight w:val="258"/>
        </w:trPr>
        <w:tc>
          <w:tcPr>
            <w:tcW w:w="1106"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10EC19E0" w14:textId="77777777" w:rsidR="00821E89" w:rsidRPr="009E1164" w:rsidRDefault="00821E89" w:rsidP="003D0CBA">
            <w:pPr>
              <w:spacing w:after="0" w:line="240" w:lineRule="auto"/>
            </w:pPr>
            <w:r w:rsidRPr="009E1164">
              <w:rPr>
                <w:bCs/>
              </w:rPr>
              <w:t>1 – 0.8</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4CA95714" w14:textId="77777777" w:rsidR="00821E89" w:rsidRPr="005545F3" w:rsidRDefault="00821E89" w:rsidP="003D0CBA">
            <w:pPr>
              <w:spacing w:after="0" w:line="240" w:lineRule="auto"/>
            </w:pPr>
            <w:r w:rsidRPr="005545F3">
              <w:t>Largely unmodified</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F2DCDB"/>
            <w:tcMar>
              <w:top w:w="15" w:type="dxa"/>
              <w:left w:w="108" w:type="dxa"/>
              <w:bottom w:w="0" w:type="dxa"/>
              <w:right w:w="108" w:type="dxa"/>
            </w:tcMar>
            <w:hideMark/>
          </w:tcPr>
          <w:p w14:paraId="699ABD15" w14:textId="77777777" w:rsidR="00821E89" w:rsidRPr="005545F3" w:rsidRDefault="00821E89" w:rsidP="003D0CBA">
            <w:pPr>
              <w:spacing w:after="0" w:line="240" w:lineRule="auto"/>
            </w:pPr>
            <w:r w:rsidRPr="005545F3">
              <w:t>Negligible</w:t>
            </w:r>
          </w:p>
        </w:tc>
      </w:tr>
      <w:tr w:rsidR="00821E89" w:rsidRPr="005545F3" w14:paraId="13FF69E6" w14:textId="77777777" w:rsidTr="00821E89">
        <w:tc>
          <w:tcPr>
            <w:tcW w:w="1106"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7CBE3F05" w14:textId="77777777" w:rsidR="00821E89" w:rsidRPr="009E1164" w:rsidRDefault="00821E89" w:rsidP="003D0CBA">
            <w:pPr>
              <w:spacing w:after="0" w:line="240" w:lineRule="auto"/>
            </w:pPr>
            <w:r w:rsidRPr="009E1164">
              <w:rPr>
                <w:bCs/>
              </w:rPr>
              <w:t>0.79 – 0.6</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2984904A" w14:textId="77777777" w:rsidR="00821E89" w:rsidRPr="005545F3" w:rsidRDefault="00821E89" w:rsidP="003D0CBA">
            <w:pPr>
              <w:spacing w:after="0" w:line="240" w:lineRule="auto"/>
            </w:pPr>
            <w:r w:rsidRPr="005545F3">
              <w:t>Slightly modified</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E6B9B8"/>
            <w:tcMar>
              <w:top w:w="15" w:type="dxa"/>
              <w:left w:w="108" w:type="dxa"/>
              <w:bottom w:w="0" w:type="dxa"/>
              <w:right w:w="108" w:type="dxa"/>
            </w:tcMar>
            <w:hideMark/>
          </w:tcPr>
          <w:p w14:paraId="644DB401" w14:textId="77777777" w:rsidR="00821E89" w:rsidRPr="005545F3" w:rsidRDefault="00821E89" w:rsidP="003D0CBA">
            <w:pPr>
              <w:spacing w:after="0" w:line="240" w:lineRule="auto"/>
            </w:pPr>
            <w:r w:rsidRPr="005545F3">
              <w:t>Minor</w:t>
            </w:r>
          </w:p>
        </w:tc>
      </w:tr>
      <w:tr w:rsidR="00821E89" w:rsidRPr="005545F3" w14:paraId="3C15C609" w14:textId="77777777" w:rsidTr="00821E89">
        <w:tc>
          <w:tcPr>
            <w:tcW w:w="1106"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488E66BC" w14:textId="77777777" w:rsidR="00821E89" w:rsidRPr="009E1164" w:rsidRDefault="00821E89" w:rsidP="003D0CBA">
            <w:pPr>
              <w:spacing w:after="0" w:line="240" w:lineRule="auto"/>
            </w:pPr>
            <w:r w:rsidRPr="009E1164">
              <w:rPr>
                <w:bCs/>
              </w:rPr>
              <w:t>0.59 – 0.4</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1A080D65" w14:textId="77777777" w:rsidR="00821E89" w:rsidRPr="005545F3" w:rsidRDefault="00821E89" w:rsidP="003D0CBA">
            <w:pPr>
              <w:spacing w:after="0" w:line="240" w:lineRule="auto"/>
            </w:pPr>
            <w:r w:rsidRPr="005545F3">
              <w:t>Moderately modified</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D99694"/>
            <w:tcMar>
              <w:top w:w="15" w:type="dxa"/>
              <w:left w:w="108" w:type="dxa"/>
              <w:bottom w:w="0" w:type="dxa"/>
              <w:right w:w="108" w:type="dxa"/>
            </w:tcMar>
            <w:hideMark/>
          </w:tcPr>
          <w:p w14:paraId="2D65F932" w14:textId="77777777" w:rsidR="00821E89" w:rsidRPr="005545F3" w:rsidRDefault="00821E89" w:rsidP="003D0CBA">
            <w:pPr>
              <w:spacing w:after="0" w:line="240" w:lineRule="auto"/>
            </w:pPr>
            <w:r w:rsidRPr="005545F3">
              <w:t>Moderate</w:t>
            </w:r>
          </w:p>
        </w:tc>
      </w:tr>
      <w:tr w:rsidR="00821E89" w:rsidRPr="005545F3" w14:paraId="4A9F2CA2" w14:textId="77777777" w:rsidTr="00821E89">
        <w:tc>
          <w:tcPr>
            <w:tcW w:w="1106"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2A5B1D10" w14:textId="77777777" w:rsidR="00821E89" w:rsidRPr="009E1164" w:rsidRDefault="00821E89" w:rsidP="003D0CBA">
            <w:pPr>
              <w:spacing w:after="0" w:line="240" w:lineRule="auto"/>
            </w:pPr>
            <w:r w:rsidRPr="009E1164">
              <w:rPr>
                <w:bCs/>
              </w:rPr>
              <w:t>0.39 – 0.2</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0476C7D5" w14:textId="77777777" w:rsidR="00821E89" w:rsidRPr="005545F3" w:rsidRDefault="00821E89" w:rsidP="003D0CBA">
            <w:pPr>
              <w:spacing w:after="0" w:line="240" w:lineRule="auto"/>
            </w:pPr>
            <w:r w:rsidRPr="005545F3">
              <w:t>Substantially modified</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953735"/>
            <w:tcMar>
              <w:top w:w="15" w:type="dxa"/>
              <w:left w:w="108" w:type="dxa"/>
              <w:bottom w:w="0" w:type="dxa"/>
              <w:right w:w="108" w:type="dxa"/>
            </w:tcMar>
            <w:hideMark/>
          </w:tcPr>
          <w:p w14:paraId="43CDD633" w14:textId="77777777" w:rsidR="00821E89" w:rsidRPr="005545F3" w:rsidRDefault="00821E89" w:rsidP="003D0CBA">
            <w:pPr>
              <w:spacing w:after="0" w:line="240" w:lineRule="auto"/>
            </w:pPr>
            <w:r w:rsidRPr="005545F3">
              <w:t>Major</w:t>
            </w:r>
          </w:p>
        </w:tc>
      </w:tr>
      <w:tr w:rsidR="00821E89" w:rsidRPr="005545F3" w14:paraId="651CFDAC" w14:textId="77777777" w:rsidTr="00821E89">
        <w:tc>
          <w:tcPr>
            <w:tcW w:w="1106"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57800EFA" w14:textId="77777777" w:rsidR="00821E89" w:rsidRPr="009E1164" w:rsidRDefault="00821E89" w:rsidP="003D0CBA">
            <w:pPr>
              <w:spacing w:after="0" w:line="240" w:lineRule="auto"/>
            </w:pPr>
            <w:r w:rsidRPr="009E1164">
              <w:rPr>
                <w:bCs/>
              </w:rPr>
              <w:t>0.19 – 0</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auto"/>
            <w:tcMar>
              <w:top w:w="15" w:type="dxa"/>
              <w:left w:w="108" w:type="dxa"/>
              <w:bottom w:w="0" w:type="dxa"/>
              <w:right w:w="108" w:type="dxa"/>
            </w:tcMar>
            <w:hideMark/>
          </w:tcPr>
          <w:p w14:paraId="66CB7BA3" w14:textId="77777777" w:rsidR="00821E89" w:rsidRPr="005545F3" w:rsidRDefault="00821E89" w:rsidP="003D0CBA">
            <w:pPr>
              <w:spacing w:after="0" w:line="240" w:lineRule="auto"/>
            </w:pPr>
            <w:r w:rsidRPr="005545F3">
              <w:t>Severely modified</w:t>
            </w:r>
          </w:p>
        </w:tc>
        <w:tc>
          <w:tcPr>
            <w:tcW w:w="1947" w:type="pct"/>
            <w:tcBorders>
              <w:top w:val="single" w:sz="4" w:space="0" w:color="9CBEBD" w:themeColor="accent2"/>
              <w:left w:val="single" w:sz="4" w:space="0" w:color="9CBEBD" w:themeColor="accent2"/>
              <w:bottom w:val="single" w:sz="4" w:space="0" w:color="9CBEBD" w:themeColor="accent2"/>
              <w:right w:val="single" w:sz="4" w:space="0" w:color="9CBEBD" w:themeColor="accent2"/>
            </w:tcBorders>
            <w:shd w:val="clear" w:color="auto" w:fill="FF0000"/>
            <w:tcMar>
              <w:top w:w="15" w:type="dxa"/>
              <w:left w:w="108" w:type="dxa"/>
              <w:bottom w:w="0" w:type="dxa"/>
              <w:right w:w="108" w:type="dxa"/>
            </w:tcMar>
            <w:hideMark/>
          </w:tcPr>
          <w:p w14:paraId="386DBDF4" w14:textId="77777777" w:rsidR="00821E89" w:rsidRPr="005545F3" w:rsidRDefault="00821E89" w:rsidP="003D0CBA">
            <w:pPr>
              <w:spacing w:after="0" w:line="240" w:lineRule="auto"/>
            </w:pPr>
            <w:r w:rsidRPr="005545F3">
              <w:t>Extreme</w:t>
            </w:r>
          </w:p>
        </w:tc>
      </w:tr>
    </w:tbl>
    <w:p w14:paraId="5F7DF255" w14:textId="77777777" w:rsidR="00821E89" w:rsidRDefault="00821E89" w:rsidP="00D246DA"/>
    <w:p w14:paraId="285CBC01" w14:textId="77777777" w:rsidR="00D246DA" w:rsidRDefault="00D246DA" w:rsidP="00D246DA">
      <w:pPr>
        <w:pStyle w:val="Caption"/>
      </w:pPr>
      <w:bookmarkStart w:id="87" w:name="_Ref474760586"/>
      <w:bookmarkStart w:id="88" w:name="_Toc306811065"/>
      <w:r>
        <w:t xml:space="preserve">Table </w:t>
      </w:r>
      <w:fldSimple w:instr=" SEQ Table \* ARABIC ">
        <w:r w:rsidR="005F359C">
          <w:rPr>
            <w:noProof/>
          </w:rPr>
          <w:t>17</w:t>
        </w:r>
      </w:fldSimple>
      <w:bookmarkEnd w:id="87"/>
      <w:r>
        <w:t xml:space="preserve">: </w:t>
      </w:r>
      <w:r w:rsidRPr="00BC3ED7">
        <w:t>Comparison of grades used by the Sustainable Rivers Audit, AusRivAs, Riverine vegetation indicator and FARWH condition assessment programs. Note, the SRA scores have been divided by 100 to facilitate comparison</w:t>
      </w:r>
      <w:r>
        <w:t>.</w:t>
      </w:r>
      <w:bookmarkEnd w:id="88"/>
    </w:p>
    <w:tbl>
      <w:tblPr>
        <w:tblStyle w:val="LightList-Accent2"/>
        <w:tblW w:w="0" w:type="auto"/>
        <w:tblBorders>
          <w:top w:val="single" w:sz="4" w:space="0" w:color="9CBEBD" w:themeColor="accent2"/>
          <w:left w:val="single" w:sz="4" w:space="0" w:color="9CBEBD" w:themeColor="accent2"/>
          <w:bottom w:val="single" w:sz="4" w:space="0" w:color="9CBEBD" w:themeColor="accent2"/>
          <w:right w:val="single" w:sz="4" w:space="0" w:color="9CBEBD" w:themeColor="accent2"/>
          <w:insideH w:val="single" w:sz="4" w:space="0" w:color="9CBEBD" w:themeColor="accent2"/>
          <w:insideV w:val="single" w:sz="4" w:space="0" w:color="9CBEBD" w:themeColor="accent2"/>
        </w:tblBorders>
        <w:tblLook w:val="04A0" w:firstRow="1" w:lastRow="0" w:firstColumn="1" w:lastColumn="0" w:noHBand="0" w:noVBand="1"/>
      </w:tblPr>
      <w:tblGrid>
        <w:gridCol w:w="1207"/>
        <w:gridCol w:w="1528"/>
        <w:gridCol w:w="2077"/>
        <w:gridCol w:w="2073"/>
        <w:gridCol w:w="2131"/>
      </w:tblGrid>
      <w:tr w:rsidR="00D246DA" w:rsidRPr="0072558C" w14:paraId="3B3D6891" w14:textId="77777777" w:rsidTr="00D24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8A52F65" w14:textId="77777777" w:rsidR="00D246DA" w:rsidRPr="0072558C" w:rsidRDefault="00D246DA" w:rsidP="00D246DA">
            <w:r w:rsidRPr="0072558C">
              <w:t>Score</w:t>
            </w:r>
          </w:p>
        </w:tc>
        <w:tc>
          <w:tcPr>
            <w:tcW w:w="1560" w:type="dxa"/>
          </w:tcPr>
          <w:p w14:paraId="4417FA4A" w14:textId="5E669580" w:rsidR="00D246DA" w:rsidRPr="0072558C" w:rsidRDefault="00D246DA" w:rsidP="0048069D">
            <w:pPr>
              <w:jc w:val="left"/>
              <w:cnfStyle w:val="100000000000" w:firstRow="1" w:lastRow="0" w:firstColumn="0" w:lastColumn="0" w:oddVBand="0" w:evenVBand="0" w:oddHBand="0" w:evenHBand="0" w:firstRowFirstColumn="0" w:firstRowLastColumn="0" w:lastRowFirstColumn="0" w:lastRowLastColumn="0"/>
            </w:pPr>
            <w:r w:rsidRPr="0072558C">
              <w:t>SRA</w:t>
            </w:r>
            <w:r w:rsidR="0048069D">
              <w:t xml:space="preserve"> </w:t>
            </w:r>
            <w:r w:rsidR="0048069D">
              <w:fldChar w:fldCharType="begin"/>
            </w:r>
            <w:r w:rsidR="0048069D">
              <w:instrText xml:space="preserve"> ADDIN ZOTERO_ITEM CSL_CITATION {"citationID":"h6921ivl2","properties":{"formattedCitation":"(MDBA 2012)","plainCitation":"(MDBA 2012)"},"citationItems":[{"id":171,"uris":["http://zotero.org/users/3119797/items/QEVF4C4G"],"uri":["http://zotero.org/users/3119797/items/QEVF4C4G"],"itemData":{"id":171,"type":"article","title":"Sustainable Rivers Audit 2: The ecological health of rivers in the Murray Darling Basin at the end of the Millennium Drought (2008-2010). Summary.","author":[{"family":"MDBA","given":""}],"issued":{"date-parts":[["2012"]]}}}],"schema":"https://github.com/citation-style-language/schema/raw/master/csl-citation.json"} </w:instrText>
            </w:r>
            <w:r w:rsidR="0048069D">
              <w:fldChar w:fldCharType="separate"/>
            </w:r>
            <w:r w:rsidR="0048069D" w:rsidRPr="0048069D">
              <w:rPr>
                <w:rFonts w:cs="Calibri"/>
              </w:rPr>
              <w:t>(MDBA 2012)</w:t>
            </w:r>
            <w:r w:rsidR="0048069D">
              <w:fldChar w:fldCharType="end"/>
            </w:r>
          </w:p>
        </w:tc>
        <w:tc>
          <w:tcPr>
            <w:tcW w:w="2126" w:type="dxa"/>
          </w:tcPr>
          <w:p w14:paraId="66E9BABD" w14:textId="4D86A4DC" w:rsidR="00D246DA" w:rsidRPr="0072558C" w:rsidRDefault="00D246DA" w:rsidP="00D246DA">
            <w:pPr>
              <w:cnfStyle w:val="100000000000" w:firstRow="1" w:lastRow="0" w:firstColumn="0" w:lastColumn="0" w:oddVBand="0" w:evenVBand="0" w:oddHBand="0" w:evenHBand="0" w:firstRowFirstColumn="0" w:firstRowLastColumn="0" w:lastRowFirstColumn="0" w:lastRowLastColumn="0"/>
            </w:pPr>
            <w:r w:rsidRPr="0072558C">
              <w:t>AusRivAS</w:t>
            </w:r>
            <w:r w:rsidR="0048069D">
              <w:t xml:space="preserve"> </w:t>
            </w:r>
            <w:r w:rsidR="0048069D">
              <w:fldChar w:fldCharType="begin"/>
            </w:r>
            <w:r w:rsidR="0048069D">
              <w:instrText xml:space="preserve"> ADDIN ZOTERO_ITEM CSL_CITATION {"citationID":"1spsivbq9q","properties":{"formattedCitation":"(Nichols et al. 2014)","plainCitation":"(Nichols et al. 2014)"},"citationItems":[{"id":3551,"uris":["http://zotero.org/users/3119797/items/HGNDN9NN"],"uri":["http://zotero.org/users/3119797/items/HGNDN9NN"],"itemData":{"id":3551,"type":"article-journal","title":"Evaluating AUSRIVAS predictive model performance for detecting simulated eutrophication effects on invertebrate assemblages","container-title":"Freshwater Science","page":"1212-1224","volume":"33","issue":"4","source":"CrossRef","DOI":"10.1086/678946","ISSN":"2161-9549, 2161-9565","language":"en","author":[{"family":"Nichols","given":"Susan J."},{"family":"Reynoldson","given":"Trefor B."},{"family":"Harrison","given":"Evan T."}],"issued":{"date-parts":[["2014",12]]}}}],"schema":"https://github.com/citation-style-language/schema/raw/master/csl-citation.json"} </w:instrText>
            </w:r>
            <w:r w:rsidR="0048069D">
              <w:fldChar w:fldCharType="separate"/>
            </w:r>
            <w:r w:rsidR="0048069D" w:rsidRPr="0048069D">
              <w:rPr>
                <w:rFonts w:cs="Calibri"/>
              </w:rPr>
              <w:t>(Nichols et al. 2014)</w:t>
            </w:r>
            <w:r w:rsidR="0048069D">
              <w:fldChar w:fldCharType="end"/>
            </w:r>
          </w:p>
        </w:tc>
        <w:tc>
          <w:tcPr>
            <w:tcW w:w="2126" w:type="dxa"/>
          </w:tcPr>
          <w:p w14:paraId="2FADE2B1" w14:textId="120AD354" w:rsidR="00D246DA" w:rsidRPr="0072558C" w:rsidRDefault="00D246DA" w:rsidP="00D246DA">
            <w:pPr>
              <w:jc w:val="left"/>
              <w:cnfStyle w:val="100000000000" w:firstRow="1" w:lastRow="0" w:firstColumn="0" w:lastColumn="0" w:oddVBand="0" w:evenVBand="0" w:oddHBand="0" w:evenHBand="0" w:firstRowFirstColumn="0" w:firstRowLastColumn="0" w:lastRowFirstColumn="0" w:lastRowLastColumn="0"/>
            </w:pPr>
            <w:r w:rsidRPr="0072558C">
              <w:t>Riverine vegetation indicator</w:t>
            </w:r>
            <w:r w:rsidR="0048069D">
              <w:t xml:space="preserve"> (Roberts et al. 2009)</w:t>
            </w:r>
          </w:p>
        </w:tc>
        <w:tc>
          <w:tcPr>
            <w:tcW w:w="2188" w:type="dxa"/>
          </w:tcPr>
          <w:p w14:paraId="3CDE67B5" w14:textId="690216E1" w:rsidR="00D246DA" w:rsidRPr="0072558C" w:rsidRDefault="00D246DA" w:rsidP="0048069D">
            <w:pPr>
              <w:jc w:val="left"/>
              <w:cnfStyle w:val="100000000000" w:firstRow="1" w:lastRow="0" w:firstColumn="0" w:lastColumn="0" w:oddVBand="0" w:evenVBand="0" w:oddHBand="0" w:evenHBand="0" w:firstRowFirstColumn="0" w:firstRowLastColumn="0" w:lastRowFirstColumn="0" w:lastRowLastColumn="0"/>
            </w:pPr>
            <w:r w:rsidRPr="0072558C">
              <w:t>FARWH</w:t>
            </w:r>
            <w:r w:rsidR="0048069D">
              <w:t xml:space="preserve"> (</w:t>
            </w:r>
            <w:r w:rsidR="0048069D">
              <w:fldChar w:fldCharType="begin"/>
            </w:r>
            <w:r w:rsidR="0048069D">
              <w:instrText xml:space="preserve"> ADDIN ZOTERO_ITEM CSL_CITATION {"citationID":"1q631p5a6f","properties":{"formattedCitation":"(Alluvium 2011)","plainCitation":"(Alluvium 2011)"},"citationItems":[{"id":3190,"uris":["http://zotero.org/users/3119797/items/UEVJCJQA"],"uri":["http://zotero.org/users/3119797/items/UEVJCJQA"],"itemData":{"id":3190,"type":"article","title":"Framework for the assessment of river and wetland health: findings from the trials and options for uptake, Waterlines report, National Water Commission, Canberra.","author":[{"family":"Alluvium","given":""}],"issued":{"date-parts":[["2011"]]}}}],"schema":"https://github.com/citation-style-language/schema/raw/master/csl-citation.json"} </w:instrText>
            </w:r>
            <w:r w:rsidR="0048069D">
              <w:fldChar w:fldCharType="separate"/>
            </w:r>
            <w:r w:rsidR="0048069D" w:rsidRPr="0048069D">
              <w:rPr>
                <w:rFonts w:cs="Calibri"/>
              </w:rPr>
              <w:t>(Alluvium 2011)</w:t>
            </w:r>
            <w:r w:rsidR="0048069D">
              <w:fldChar w:fldCharType="end"/>
            </w:r>
          </w:p>
        </w:tc>
      </w:tr>
      <w:tr w:rsidR="00D246DA" w:rsidRPr="0072558C" w14:paraId="34D12347" w14:textId="77777777" w:rsidTr="00D24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tcBorders>
          </w:tcPr>
          <w:p w14:paraId="3DE14609" w14:textId="77777777" w:rsidR="00D246DA" w:rsidRPr="00DB234C" w:rsidRDefault="00D246DA" w:rsidP="00D246DA">
            <w:pPr>
              <w:rPr>
                <w:b w:val="0"/>
              </w:rPr>
            </w:pPr>
            <w:r w:rsidRPr="00DB234C">
              <w:rPr>
                <w:b w:val="0"/>
              </w:rPr>
              <w:t>&gt;1</w:t>
            </w:r>
          </w:p>
        </w:tc>
        <w:tc>
          <w:tcPr>
            <w:tcW w:w="1560" w:type="dxa"/>
            <w:tcBorders>
              <w:top w:val="none" w:sz="0" w:space="0" w:color="auto"/>
              <w:bottom w:val="none" w:sz="0" w:space="0" w:color="auto"/>
            </w:tcBorders>
          </w:tcPr>
          <w:p w14:paraId="0648AC6D" w14:textId="77777777" w:rsidR="00D246DA" w:rsidRPr="0072558C" w:rsidRDefault="00D246DA" w:rsidP="00D246DA">
            <w:pPr>
              <w:cnfStyle w:val="000000100000" w:firstRow="0" w:lastRow="0" w:firstColumn="0" w:lastColumn="0" w:oddVBand="0" w:evenVBand="0" w:oddHBand="1" w:evenHBand="0" w:firstRowFirstColumn="0" w:firstRowLastColumn="0" w:lastRowFirstColumn="0" w:lastRowLastColumn="0"/>
            </w:pPr>
          </w:p>
        </w:tc>
        <w:tc>
          <w:tcPr>
            <w:tcW w:w="2126" w:type="dxa"/>
            <w:tcBorders>
              <w:top w:val="none" w:sz="0" w:space="0" w:color="auto"/>
              <w:bottom w:val="none" w:sz="0" w:space="0" w:color="auto"/>
            </w:tcBorders>
          </w:tcPr>
          <w:p w14:paraId="2D0B8D51" w14:textId="088E9F3C" w:rsidR="00D246DA" w:rsidRPr="0072558C" w:rsidRDefault="00D246DA" w:rsidP="00D246DA">
            <w:pPr>
              <w:cnfStyle w:val="000000100000" w:firstRow="0" w:lastRow="0" w:firstColumn="0" w:lastColumn="0" w:oddVBand="0" w:evenVBand="0" w:oddHBand="1" w:evenHBand="0" w:firstRowFirstColumn="0" w:firstRowLastColumn="0" w:lastRowFirstColumn="0" w:lastRowLastColumn="0"/>
            </w:pPr>
            <w:r w:rsidRPr="0072558C">
              <w:t>Better than reference</w:t>
            </w:r>
            <w:r w:rsidR="00641A6D">
              <w:t>*</w:t>
            </w:r>
          </w:p>
        </w:tc>
        <w:tc>
          <w:tcPr>
            <w:tcW w:w="2126" w:type="dxa"/>
            <w:tcBorders>
              <w:top w:val="none" w:sz="0" w:space="0" w:color="auto"/>
              <w:bottom w:val="none" w:sz="0" w:space="0" w:color="auto"/>
            </w:tcBorders>
          </w:tcPr>
          <w:p w14:paraId="2F392D5A" w14:textId="77777777" w:rsidR="00D246DA" w:rsidRPr="0072558C" w:rsidRDefault="00D246DA" w:rsidP="00D246DA">
            <w:pPr>
              <w:cnfStyle w:val="000000100000" w:firstRow="0" w:lastRow="0" w:firstColumn="0" w:lastColumn="0" w:oddVBand="0" w:evenVBand="0" w:oddHBand="1" w:evenHBand="0" w:firstRowFirstColumn="0" w:firstRowLastColumn="0" w:lastRowFirstColumn="0" w:lastRowLastColumn="0"/>
            </w:pPr>
          </w:p>
        </w:tc>
        <w:tc>
          <w:tcPr>
            <w:tcW w:w="2188" w:type="dxa"/>
            <w:tcBorders>
              <w:top w:val="none" w:sz="0" w:space="0" w:color="auto"/>
              <w:bottom w:val="none" w:sz="0" w:space="0" w:color="auto"/>
              <w:right w:val="none" w:sz="0" w:space="0" w:color="auto"/>
            </w:tcBorders>
          </w:tcPr>
          <w:p w14:paraId="3F8D8FC4" w14:textId="77777777" w:rsidR="00D246DA" w:rsidRPr="0072558C" w:rsidRDefault="00D246DA" w:rsidP="00D246DA">
            <w:pPr>
              <w:cnfStyle w:val="000000100000" w:firstRow="0" w:lastRow="0" w:firstColumn="0" w:lastColumn="0" w:oddVBand="0" w:evenVBand="0" w:oddHBand="1" w:evenHBand="0" w:firstRowFirstColumn="0" w:firstRowLastColumn="0" w:lastRowFirstColumn="0" w:lastRowLastColumn="0"/>
            </w:pPr>
          </w:p>
        </w:tc>
      </w:tr>
      <w:tr w:rsidR="00D246DA" w:rsidRPr="0072558C" w14:paraId="2D447353" w14:textId="77777777" w:rsidTr="00D246DA">
        <w:tc>
          <w:tcPr>
            <w:cnfStyle w:val="001000000000" w:firstRow="0" w:lastRow="0" w:firstColumn="1" w:lastColumn="0" w:oddVBand="0" w:evenVBand="0" w:oddHBand="0" w:evenHBand="0" w:firstRowFirstColumn="0" w:firstRowLastColumn="0" w:lastRowFirstColumn="0" w:lastRowLastColumn="0"/>
            <w:tcW w:w="1242" w:type="dxa"/>
          </w:tcPr>
          <w:p w14:paraId="564322CC" w14:textId="77777777" w:rsidR="00D246DA" w:rsidRPr="00DB234C" w:rsidRDefault="00D246DA" w:rsidP="00D246DA">
            <w:pPr>
              <w:rPr>
                <w:b w:val="0"/>
              </w:rPr>
            </w:pPr>
            <w:r w:rsidRPr="00DB234C">
              <w:rPr>
                <w:b w:val="0"/>
              </w:rPr>
              <w:t>1 – 0.8</w:t>
            </w:r>
          </w:p>
        </w:tc>
        <w:tc>
          <w:tcPr>
            <w:tcW w:w="1560" w:type="dxa"/>
          </w:tcPr>
          <w:p w14:paraId="689ADB4D" w14:textId="77777777" w:rsidR="00D246DA" w:rsidRPr="0072558C" w:rsidRDefault="00D246DA" w:rsidP="00D246DA">
            <w:pPr>
              <w:cnfStyle w:val="000000000000" w:firstRow="0" w:lastRow="0" w:firstColumn="0" w:lastColumn="0" w:oddVBand="0" w:evenVBand="0" w:oddHBand="0" w:evenHBand="0" w:firstRowFirstColumn="0" w:firstRowLastColumn="0" w:lastRowFirstColumn="0" w:lastRowLastColumn="0"/>
            </w:pPr>
            <w:r w:rsidRPr="0072558C">
              <w:t>Good</w:t>
            </w:r>
          </w:p>
        </w:tc>
        <w:tc>
          <w:tcPr>
            <w:tcW w:w="2126" w:type="dxa"/>
          </w:tcPr>
          <w:p w14:paraId="17DC0818" w14:textId="77777777" w:rsidR="00D246DA" w:rsidRPr="0072558C" w:rsidRDefault="00D246DA" w:rsidP="00D246DA">
            <w:pPr>
              <w:cnfStyle w:val="000000000000" w:firstRow="0" w:lastRow="0" w:firstColumn="0" w:lastColumn="0" w:oddVBand="0" w:evenVBand="0" w:oddHBand="0" w:evenHBand="0" w:firstRowFirstColumn="0" w:firstRowLastColumn="0" w:lastRowFirstColumn="0" w:lastRowLastColumn="0"/>
            </w:pPr>
            <w:r w:rsidRPr="0072558C">
              <w:t>Reference</w:t>
            </w:r>
          </w:p>
        </w:tc>
        <w:tc>
          <w:tcPr>
            <w:tcW w:w="2126" w:type="dxa"/>
          </w:tcPr>
          <w:p w14:paraId="6F2F4281" w14:textId="77777777" w:rsidR="00D246DA" w:rsidRPr="0072558C" w:rsidRDefault="00D246DA" w:rsidP="00D246DA">
            <w:pPr>
              <w:cnfStyle w:val="000000000000" w:firstRow="0" w:lastRow="0" w:firstColumn="0" w:lastColumn="0" w:oddVBand="0" w:evenVBand="0" w:oddHBand="0" w:evenHBand="0" w:firstRowFirstColumn="0" w:firstRowLastColumn="0" w:lastRowFirstColumn="0" w:lastRowLastColumn="0"/>
            </w:pPr>
            <w:r w:rsidRPr="0072558C">
              <w:t>Largely unmodified</w:t>
            </w:r>
          </w:p>
        </w:tc>
        <w:tc>
          <w:tcPr>
            <w:tcW w:w="2188" w:type="dxa"/>
          </w:tcPr>
          <w:p w14:paraId="03173B24" w14:textId="77777777" w:rsidR="00D246DA" w:rsidRPr="0072558C" w:rsidRDefault="00D246DA" w:rsidP="00D246DA">
            <w:pPr>
              <w:cnfStyle w:val="000000000000" w:firstRow="0" w:lastRow="0" w:firstColumn="0" w:lastColumn="0" w:oddVBand="0" w:evenVBand="0" w:oddHBand="0" w:evenHBand="0" w:firstRowFirstColumn="0" w:firstRowLastColumn="0" w:lastRowFirstColumn="0" w:lastRowLastColumn="0"/>
            </w:pPr>
            <w:r w:rsidRPr="0072558C">
              <w:t>Largely unmodified</w:t>
            </w:r>
          </w:p>
        </w:tc>
      </w:tr>
      <w:tr w:rsidR="00D246DA" w:rsidRPr="0072558C" w14:paraId="7D6D41C3" w14:textId="77777777" w:rsidTr="00D24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tcBorders>
          </w:tcPr>
          <w:p w14:paraId="3609072E" w14:textId="77777777" w:rsidR="00D246DA" w:rsidRPr="00DB234C" w:rsidRDefault="00D246DA" w:rsidP="00D246DA">
            <w:pPr>
              <w:rPr>
                <w:b w:val="0"/>
              </w:rPr>
            </w:pPr>
            <w:r w:rsidRPr="00DB234C">
              <w:rPr>
                <w:b w:val="0"/>
              </w:rPr>
              <w:t>0.79 – 0.6</w:t>
            </w:r>
          </w:p>
        </w:tc>
        <w:tc>
          <w:tcPr>
            <w:tcW w:w="1560" w:type="dxa"/>
            <w:tcBorders>
              <w:top w:val="none" w:sz="0" w:space="0" w:color="auto"/>
              <w:bottom w:val="none" w:sz="0" w:space="0" w:color="auto"/>
            </w:tcBorders>
          </w:tcPr>
          <w:p w14:paraId="136539E5" w14:textId="77777777" w:rsidR="00D246DA" w:rsidRPr="0072558C" w:rsidRDefault="00D246DA" w:rsidP="00D246DA">
            <w:pPr>
              <w:cnfStyle w:val="000000100000" w:firstRow="0" w:lastRow="0" w:firstColumn="0" w:lastColumn="0" w:oddVBand="0" w:evenVBand="0" w:oddHBand="1" w:evenHBand="0" w:firstRowFirstColumn="0" w:firstRowLastColumn="0" w:lastRowFirstColumn="0" w:lastRowLastColumn="0"/>
            </w:pPr>
            <w:r w:rsidRPr="0072558C">
              <w:t>Moderate</w:t>
            </w:r>
          </w:p>
        </w:tc>
        <w:tc>
          <w:tcPr>
            <w:tcW w:w="2126" w:type="dxa"/>
            <w:tcBorders>
              <w:top w:val="none" w:sz="0" w:space="0" w:color="auto"/>
              <w:bottom w:val="none" w:sz="0" w:space="0" w:color="auto"/>
            </w:tcBorders>
          </w:tcPr>
          <w:p w14:paraId="2D6AB2ED" w14:textId="77777777" w:rsidR="00D246DA" w:rsidRPr="0072558C" w:rsidRDefault="00D246DA" w:rsidP="00D246DA">
            <w:pPr>
              <w:cnfStyle w:val="000000100000" w:firstRow="0" w:lastRow="0" w:firstColumn="0" w:lastColumn="0" w:oddVBand="0" w:evenVBand="0" w:oddHBand="1" w:evenHBand="0" w:firstRowFirstColumn="0" w:firstRowLastColumn="0" w:lastRowFirstColumn="0" w:lastRowLastColumn="0"/>
            </w:pPr>
            <w:r w:rsidRPr="0072558C">
              <w:t>Significantly impaired</w:t>
            </w:r>
          </w:p>
        </w:tc>
        <w:tc>
          <w:tcPr>
            <w:tcW w:w="2126" w:type="dxa"/>
            <w:tcBorders>
              <w:top w:val="none" w:sz="0" w:space="0" w:color="auto"/>
              <w:bottom w:val="none" w:sz="0" w:space="0" w:color="auto"/>
            </w:tcBorders>
          </w:tcPr>
          <w:p w14:paraId="715EF26E" w14:textId="77777777" w:rsidR="00D246DA" w:rsidRPr="0072558C" w:rsidRDefault="00D246DA" w:rsidP="00D246DA">
            <w:pPr>
              <w:cnfStyle w:val="000000100000" w:firstRow="0" w:lastRow="0" w:firstColumn="0" w:lastColumn="0" w:oddVBand="0" w:evenVBand="0" w:oddHBand="1" w:evenHBand="0" w:firstRowFirstColumn="0" w:firstRowLastColumn="0" w:lastRowFirstColumn="0" w:lastRowLastColumn="0"/>
            </w:pPr>
            <w:r w:rsidRPr="0072558C">
              <w:t>Slightly modified</w:t>
            </w:r>
          </w:p>
        </w:tc>
        <w:tc>
          <w:tcPr>
            <w:tcW w:w="2188" w:type="dxa"/>
            <w:tcBorders>
              <w:top w:val="none" w:sz="0" w:space="0" w:color="auto"/>
              <w:bottom w:val="none" w:sz="0" w:space="0" w:color="auto"/>
              <w:right w:val="none" w:sz="0" w:space="0" w:color="auto"/>
            </w:tcBorders>
          </w:tcPr>
          <w:p w14:paraId="628758F9" w14:textId="77777777" w:rsidR="00D246DA" w:rsidRPr="0072558C" w:rsidRDefault="00D246DA" w:rsidP="00D246DA">
            <w:pPr>
              <w:cnfStyle w:val="000000100000" w:firstRow="0" w:lastRow="0" w:firstColumn="0" w:lastColumn="0" w:oddVBand="0" w:evenVBand="0" w:oddHBand="1" w:evenHBand="0" w:firstRowFirstColumn="0" w:firstRowLastColumn="0" w:lastRowFirstColumn="0" w:lastRowLastColumn="0"/>
            </w:pPr>
            <w:r w:rsidRPr="0072558C">
              <w:t>Slightly modified</w:t>
            </w:r>
          </w:p>
        </w:tc>
      </w:tr>
      <w:tr w:rsidR="00D246DA" w:rsidRPr="0072558C" w14:paraId="66E0628A" w14:textId="77777777" w:rsidTr="00D246DA">
        <w:tc>
          <w:tcPr>
            <w:cnfStyle w:val="001000000000" w:firstRow="0" w:lastRow="0" w:firstColumn="1" w:lastColumn="0" w:oddVBand="0" w:evenVBand="0" w:oddHBand="0" w:evenHBand="0" w:firstRowFirstColumn="0" w:firstRowLastColumn="0" w:lastRowFirstColumn="0" w:lastRowLastColumn="0"/>
            <w:tcW w:w="1242" w:type="dxa"/>
          </w:tcPr>
          <w:p w14:paraId="6380D8F6" w14:textId="77777777" w:rsidR="00D246DA" w:rsidRPr="00DB234C" w:rsidRDefault="00D246DA" w:rsidP="00D246DA">
            <w:pPr>
              <w:rPr>
                <w:b w:val="0"/>
              </w:rPr>
            </w:pPr>
            <w:r w:rsidRPr="00DB234C">
              <w:rPr>
                <w:b w:val="0"/>
              </w:rPr>
              <w:t>0.59 – 0.4</w:t>
            </w:r>
          </w:p>
        </w:tc>
        <w:tc>
          <w:tcPr>
            <w:tcW w:w="1560" w:type="dxa"/>
          </w:tcPr>
          <w:p w14:paraId="6110509F" w14:textId="77777777" w:rsidR="00D246DA" w:rsidRPr="0072558C" w:rsidRDefault="00D246DA" w:rsidP="00D246DA">
            <w:pPr>
              <w:cnfStyle w:val="000000000000" w:firstRow="0" w:lastRow="0" w:firstColumn="0" w:lastColumn="0" w:oddVBand="0" w:evenVBand="0" w:oddHBand="0" w:evenHBand="0" w:firstRowFirstColumn="0" w:firstRowLastColumn="0" w:lastRowFirstColumn="0" w:lastRowLastColumn="0"/>
            </w:pPr>
            <w:r w:rsidRPr="0072558C">
              <w:t>Poor</w:t>
            </w:r>
          </w:p>
        </w:tc>
        <w:tc>
          <w:tcPr>
            <w:tcW w:w="2126" w:type="dxa"/>
          </w:tcPr>
          <w:p w14:paraId="49F1DC3F" w14:textId="77777777" w:rsidR="00D246DA" w:rsidRPr="0072558C" w:rsidRDefault="00D246DA" w:rsidP="00D246DA">
            <w:pPr>
              <w:cnfStyle w:val="000000000000" w:firstRow="0" w:lastRow="0" w:firstColumn="0" w:lastColumn="0" w:oddVBand="0" w:evenVBand="0" w:oddHBand="0" w:evenHBand="0" w:firstRowFirstColumn="0" w:firstRowLastColumn="0" w:lastRowFirstColumn="0" w:lastRowLastColumn="0"/>
            </w:pPr>
            <w:r w:rsidRPr="0072558C">
              <w:t>Severely impaired</w:t>
            </w:r>
          </w:p>
        </w:tc>
        <w:tc>
          <w:tcPr>
            <w:tcW w:w="2126" w:type="dxa"/>
          </w:tcPr>
          <w:p w14:paraId="5E9B39B9" w14:textId="77777777" w:rsidR="00D246DA" w:rsidRPr="0072558C" w:rsidRDefault="00D246DA" w:rsidP="00D246DA">
            <w:pPr>
              <w:cnfStyle w:val="000000000000" w:firstRow="0" w:lastRow="0" w:firstColumn="0" w:lastColumn="0" w:oddVBand="0" w:evenVBand="0" w:oddHBand="0" w:evenHBand="0" w:firstRowFirstColumn="0" w:firstRowLastColumn="0" w:lastRowFirstColumn="0" w:lastRowLastColumn="0"/>
            </w:pPr>
            <w:r w:rsidRPr="0072558C">
              <w:t>Moderately modified</w:t>
            </w:r>
          </w:p>
        </w:tc>
        <w:tc>
          <w:tcPr>
            <w:tcW w:w="2188" w:type="dxa"/>
          </w:tcPr>
          <w:p w14:paraId="04024A13" w14:textId="77777777" w:rsidR="00D246DA" w:rsidRPr="0072558C" w:rsidRDefault="00D246DA" w:rsidP="00D246DA">
            <w:pPr>
              <w:cnfStyle w:val="000000000000" w:firstRow="0" w:lastRow="0" w:firstColumn="0" w:lastColumn="0" w:oddVBand="0" w:evenVBand="0" w:oddHBand="0" w:evenHBand="0" w:firstRowFirstColumn="0" w:firstRowLastColumn="0" w:lastRowFirstColumn="0" w:lastRowLastColumn="0"/>
            </w:pPr>
            <w:r w:rsidRPr="0072558C">
              <w:t>Moderately modified</w:t>
            </w:r>
          </w:p>
        </w:tc>
      </w:tr>
      <w:tr w:rsidR="00D246DA" w:rsidRPr="0072558C" w14:paraId="3F030750" w14:textId="77777777" w:rsidTr="00D24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tcBorders>
          </w:tcPr>
          <w:p w14:paraId="49312558" w14:textId="77777777" w:rsidR="00D246DA" w:rsidRPr="00DB234C" w:rsidRDefault="00D246DA" w:rsidP="00D246DA">
            <w:pPr>
              <w:rPr>
                <w:b w:val="0"/>
              </w:rPr>
            </w:pPr>
            <w:r w:rsidRPr="00DB234C">
              <w:rPr>
                <w:b w:val="0"/>
              </w:rPr>
              <w:t>0.39 – 0.2</w:t>
            </w:r>
          </w:p>
        </w:tc>
        <w:tc>
          <w:tcPr>
            <w:tcW w:w="1560" w:type="dxa"/>
            <w:tcBorders>
              <w:top w:val="none" w:sz="0" w:space="0" w:color="auto"/>
              <w:bottom w:val="none" w:sz="0" w:space="0" w:color="auto"/>
            </w:tcBorders>
          </w:tcPr>
          <w:p w14:paraId="7D72794E" w14:textId="77777777" w:rsidR="00D246DA" w:rsidRPr="0072558C" w:rsidRDefault="00D246DA" w:rsidP="00D246DA">
            <w:pPr>
              <w:cnfStyle w:val="000000100000" w:firstRow="0" w:lastRow="0" w:firstColumn="0" w:lastColumn="0" w:oddVBand="0" w:evenVBand="0" w:oddHBand="1" w:evenHBand="0" w:firstRowFirstColumn="0" w:firstRowLastColumn="0" w:lastRowFirstColumn="0" w:lastRowLastColumn="0"/>
            </w:pPr>
            <w:r w:rsidRPr="0072558C">
              <w:t>Very Poor</w:t>
            </w:r>
          </w:p>
        </w:tc>
        <w:tc>
          <w:tcPr>
            <w:tcW w:w="2126" w:type="dxa"/>
            <w:tcBorders>
              <w:top w:val="none" w:sz="0" w:space="0" w:color="auto"/>
              <w:bottom w:val="none" w:sz="0" w:space="0" w:color="auto"/>
            </w:tcBorders>
          </w:tcPr>
          <w:p w14:paraId="2BA4AB76" w14:textId="77777777" w:rsidR="00D246DA" w:rsidRPr="0072558C" w:rsidRDefault="00D246DA" w:rsidP="00D246DA">
            <w:pPr>
              <w:cnfStyle w:val="000000100000" w:firstRow="0" w:lastRow="0" w:firstColumn="0" w:lastColumn="0" w:oddVBand="0" w:evenVBand="0" w:oddHBand="1" w:evenHBand="0" w:firstRowFirstColumn="0" w:firstRowLastColumn="0" w:lastRowFirstColumn="0" w:lastRowLastColumn="0"/>
            </w:pPr>
            <w:r w:rsidRPr="0072558C">
              <w:t>Impoverished</w:t>
            </w:r>
          </w:p>
        </w:tc>
        <w:tc>
          <w:tcPr>
            <w:tcW w:w="2126" w:type="dxa"/>
            <w:tcBorders>
              <w:top w:val="none" w:sz="0" w:space="0" w:color="auto"/>
              <w:bottom w:val="none" w:sz="0" w:space="0" w:color="auto"/>
            </w:tcBorders>
          </w:tcPr>
          <w:p w14:paraId="67528696" w14:textId="77777777" w:rsidR="00D246DA" w:rsidRPr="0072558C" w:rsidRDefault="00D246DA" w:rsidP="00D246DA">
            <w:pPr>
              <w:cnfStyle w:val="000000100000" w:firstRow="0" w:lastRow="0" w:firstColumn="0" w:lastColumn="0" w:oddVBand="0" w:evenVBand="0" w:oddHBand="1" w:evenHBand="0" w:firstRowFirstColumn="0" w:firstRowLastColumn="0" w:lastRowFirstColumn="0" w:lastRowLastColumn="0"/>
            </w:pPr>
            <w:r w:rsidRPr="0072558C">
              <w:t>Substantially modified</w:t>
            </w:r>
          </w:p>
        </w:tc>
        <w:tc>
          <w:tcPr>
            <w:tcW w:w="2188" w:type="dxa"/>
            <w:tcBorders>
              <w:top w:val="none" w:sz="0" w:space="0" w:color="auto"/>
              <w:bottom w:val="none" w:sz="0" w:space="0" w:color="auto"/>
              <w:right w:val="none" w:sz="0" w:space="0" w:color="auto"/>
            </w:tcBorders>
          </w:tcPr>
          <w:p w14:paraId="64021596" w14:textId="77777777" w:rsidR="00D246DA" w:rsidRPr="0072558C" w:rsidRDefault="00D246DA" w:rsidP="00D246DA">
            <w:pPr>
              <w:cnfStyle w:val="000000100000" w:firstRow="0" w:lastRow="0" w:firstColumn="0" w:lastColumn="0" w:oddVBand="0" w:evenVBand="0" w:oddHBand="1" w:evenHBand="0" w:firstRowFirstColumn="0" w:firstRowLastColumn="0" w:lastRowFirstColumn="0" w:lastRowLastColumn="0"/>
            </w:pPr>
            <w:r w:rsidRPr="0072558C">
              <w:t>Substantially modified</w:t>
            </w:r>
          </w:p>
        </w:tc>
      </w:tr>
      <w:tr w:rsidR="00D246DA" w:rsidRPr="0072558C" w14:paraId="525B82D1" w14:textId="77777777" w:rsidTr="00D246DA">
        <w:tc>
          <w:tcPr>
            <w:cnfStyle w:val="001000000000" w:firstRow="0" w:lastRow="0" w:firstColumn="1" w:lastColumn="0" w:oddVBand="0" w:evenVBand="0" w:oddHBand="0" w:evenHBand="0" w:firstRowFirstColumn="0" w:firstRowLastColumn="0" w:lastRowFirstColumn="0" w:lastRowLastColumn="0"/>
            <w:tcW w:w="1242" w:type="dxa"/>
          </w:tcPr>
          <w:p w14:paraId="723C7083" w14:textId="77777777" w:rsidR="00D246DA" w:rsidRPr="00DB234C" w:rsidRDefault="00D246DA" w:rsidP="00D246DA">
            <w:pPr>
              <w:rPr>
                <w:b w:val="0"/>
              </w:rPr>
            </w:pPr>
            <w:r w:rsidRPr="00DB234C">
              <w:rPr>
                <w:b w:val="0"/>
              </w:rPr>
              <w:t>0.19 – 0</w:t>
            </w:r>
          </w:p>
        </w:tc>
        <w:tc>
          <w:tcPr>
            <w:tcW w:w="1560" w:type="dxa"/>
          </w:tcPr>
          <w:p w14:paraId="13B53360" w14:textId="77777777" w:rsidR="00D246DA" w:rsidRPr="0072558C" w:rsidRDefault="00D246DA" w:rsidP="00D246DA">
            <w:pPr>
              <w:cnfStyle w:val="000000000000" w:firstRow="0" w:lastRow="0" w:firstColumn="0" w:lastColumn="0" w:oddVBand="0" w:evenVBand="0" w:oddHBand="0" w:evenHBand="0" w:firstRowFirstColumn="0" w:firstRowLastColumn="0" w:lastRowFirstColumn="0" w:lastRowLastColumn="0"/>
            </w:pPr>
            <w:r w:rsidRPr="0072558C">
              <w:t>Extremely Poor</w:t>
            </w:r>
          </w:p>
        </w:tc>
        <w:tc>
          <w:tcPr>
            <w:tcW w:w="2126" w:type="dxa"/>
          </w:tcPr>
          <w:p w14:paraId="29809F00" w14:textId="77777777" w:rsidR="00D246DA" w:rsidRPr="0072558C" w:rsidRDefault="00D246DA" w:rsidP="00D246DA">
            <w:pPr>
              <w:cnfStyle w:val="000000000000" w:firstRow="0" w:lastRow="0" w:firstColumn="0" w:lastColumn="0" w:oddVBand="0" w:evenVBand="0" w:oddHBand="0" w:evenHBand="0" w:firstRowFirstColumn="0" w:firstRowLastColumn="0" w:lastRowFirstColumn="0" w:lastRowLastColumn="0"/>
            </w:pPr>
            <w:r w:rsidRPr="0072558C">
              <w:t>Impoverished</w:t>
            </w:r>
          </w:p>
        </w:tc>
        <w:tc>
          <w:tcPr>
            <w:tcW w:w="2126" w:type="dxa"/>
          </w:tcPr>
          <w:p w14:paraId="46609486" w14:textId="77777777" w:rsidR="00D246DA" w:rsidRPr="0072558C" w:rsidRDefault="00D246DA" w:rsidP="00D246DA">
            <w:pPr>
              <w:cnfStyle w:val="000000000000" w:firstRow="0" w:lastRow="0" w:firstColumn="0" w:lastColumn="0" w:oddVBand="0" w:evenVBand="0" w:oddHBand="0" w:evenHBand="0" w:firstRowFirstColumn="0" w:firstRowLastColumn="0" w:lastRowFirstColumn="0" w:lastRowLastColumn="0"/>
            </w:pPr>
            <w:r w:rsidRPr="0072558C">
              <w:t>Severely modified</w:t>
            </w:r>
          </w:p>
        </w:tc>
        <w:tc>
          <w:tcPr>
            <w:tcW w:w="2188" w:type="dxa"/>
          </w:tcPr>
          <w:p w14:paraId="022EA423" w14:textId="77777777" w:rsidR="00D246DA" w:rsidRPr="0072558C" w:rsidRDefault="00D246DA" w:rsidP="00D246DA">
            <w:pPr>
              <w:cnfStyle w:val="000000000000" w:firstRow="0" w:lastRow="0" w:firstColumn="0" w:lastColumn="0" w:oddVBand="0" w:evenVBand="0" w:oddHBand="0" w:evenHBand="0" w:firstRowFirstColumn="0" w:firstRowLastColumn="0" w:lastRowFirstColumn="0" w:lastRowLastColumn="0"/>
            </w:pPr>
            <w:r w:rsidRPr="0072558C">
              <w:t>Severely modified</w:t>
            </w:r>
          </w:p>
        </w:tc>
      </w:tr>
    </w:tbl>
    <w:p w14:paraId="1BB67D4C" w14:textId="22927CD0" w:rsidR="00D246DA" w:rsidRPr="00641A6D" w:rsidRDefault="00641A6D" w:rsidP="00D246DA">
      <w:pPr>
        <w:rPr>
          <w:sz w:val="16"/>
          <w:szCs w:val="16"/>
        </w:rPr>
      </w:pPr>
      <w:r w:rsidRPr="00641A6D">
        <w:rPr>
          <w:sz w:val="16"/>
          <w:szCs w:val="16"/>
        </w:rPr>
        <w:t>*Scores greater than 1 in AusRivAS typically indicates enrichment – therefore a degraded state – an expert judgement will need to be made as how to harmonise such scores to the IECA grades.</w:t>
      </w:r>
    </w:p>
    <w:p w14:paraId="18EFF741" w14:textId="33E19335" w:rsidR="00225465" w:rsidRPr="0034143D" w:rsidRDefault="00225465" w:rsidP="00F4328F">
      <w:pPr>
        <w:pStyle w:val="ListParagraph"/>
        <w:numPr>
          <w:ilvl w:val="0"/>
          <w:numId w:val="22"/>
        </w:numPr>
        <w:rPr>
          <w:b/>
          <w:i/>
        </w:rPr>
      </w:pPr>
      <w:r>
        <w:rPr>
          <w:b/>
          <w:i/>
        </w:rPr>
        <w:t xml:space="preserve">Converting grade scores from existing programs to IECA </w:t>
      </w:r>
      <w:r w:rsidRPr="0034143D">
        <w:rPr>
          <w:b/>
          <w:i/>
        </w:rPr>
        <w:t>banding</w:t>
      </w:r>
    </w:p>
    <w:p w14:paraId="1D03D376" w14:textId="43983E96" w:rsidR="00D6082B" w:rsidRDefault="00D6082B" w:rsidP="00D6082B">
      <w:r>
        <w:t xml:space="preserve">Integrated scores are generally </w:t>
      </w:r>
      <w:r w:rsidR="001D3B4B">
        <w:t xml:space="preserve">produced by </w:t>
      </w:r>
      <w:r>
        <w:t xml:space="preserve">mathematical averaging or an expert rules approach (including minimum averaging) </w:t>
      </w:r>
      <w:r>
        <w:fldChar w:fldCharType="begin"/>
      </w:r>
      <w:r>
        <w:instrText xml:space="preserve"> ADDIN ZOTERO_ITEM CSL_CITATION {"citationID":"2jiq3648lk","properties":{"formattedCitation":"(Langhans et al. 2014)","plainCitation":"(Langhans et al. 2014)"},"citationItems":[{"id":3178,"uris":["http://zotero.org/users/3119797/items/EPMC36VJ"],"uri":["http://zotero.org/users/3119797/items/EPMC36VJ"],"itemData":{"id":3178,"type":"article-journal","title":"The method matters: A guide for indicator aggregation in ecological assessments","container-title":"Ecological Indicators","page":"494-507","volume":"45","source":"CrossRef","DOI":"10.1016/j.ecolind.2014.05.014","ISSN":"1470160X","shortTitle":"The method matters","language":"en","author":[{"family":"Langhans","given":"Simone D."},{"family":"Reichert","given":"Peter"},{"family":"Schuwirth","given":"Nele"}],"issued":{"date-parts":[["2014",10]]}}}],"schema":"https://github.com/citation-style-language/schema/raw/master/csl-citation.json"} </w:instrText>
      </w:r>
      <w:r>
        <w:fldChar w:fldCharType="separate"/>
      </w:r>
      <w:r w:rsidRPr="00F6566C">
        <w:rPr>
          <w:rFonts w:cs="Calibri"/>
        </w:rPr>
        <w:t>(Langhans et al. 2014)</w:t>
      </w:r>
      <w:r>
        <w:fldChar w:fldCharType="end"/>
      </w:r>
      <w:r>
        <w:t xml:space="preserve">. </w:t>
      </w:r>
      <w:r w:rsidR="00BE3993" w:rsidRPr="0093055C">
        <w:t>It shoul</w:t>
      </w:r>
      <w:r w:rsidR="00BE3993" w:rsidRPr="00957D76">
        <w:t xml:space="preserve">d be noted that when there are </w:t>
      </w:r>
      <w:r w:rsidR="00DD7D13">
        <w:t>numerous</w:t>
      </w:r>
      <w:r w:rsidR="00BE3993" w:rsidRPr="00957D76">
        <w:t xml:space="preserve"> </w:t>
      </w:r>
      <w:r w:rsidR="00BE3993" w:rsidRPr="006F693F">
        <w:t>themes to be integrated</w:t>
      </w:r>
      <w:r w:rsidR="00DD7D13">
        <w:t>,</w:t>
      </w:r>
      <w:r w:rsidR="00BE3993" w:rsidRPr="006F693F">
        <w:t xml:space="preserve"> or lots of sub-</w:t>
      </w:r>
      <w:r w:rsidR="00BE3993">
        <w:t>i</w:t>
      </w:r>
      <w:r w:rsidR="00BE3993" w:rsidRPr="006F693F">
        <w:t>ndicators within a theme, any form or averaging will tend to return middle of the range scores</w:t>
      </w:r>
      <w:r w:rsidR="001D3B4B">
        <w:t xml:space="preserve"> with limited value ranges</w:t>
      </w:r>
      <w:r w:rsidR="00BE3993" w:rsidRPr="006F693F">
        <w:t xml:space="preserve">. Hence simple and less complex </w:t>
      </w:r>
      <w:r w:rsidR="00BE3993">
        <w:t>assessments</w:t>
      </w:r>
      <w:r w:rsidR="00BE3993" w:rsidRPr="006F693F">
        <w:t xml:space="preserve"> will tend to be more sensitive. That is</w:t>
      </w:r>
      <w:r w:rsidR="00DD7D13">
        <w:t xml:space="preserve"> because </w:t>
      </w:r>
      <w:r w:rsidR="00BE3993" w:rsidRPr="006F693F">
        <w:t xml:space="preserve">perturbations in any one </w:t>
      </w:r>
      <w:r w:rsidR="006B4464">
        <w:t>indicator</w:t>
      </w:r>
      <w:r w:rsidR="00BE3993" w:rsidRPr="006F693F">
        <w:t xml:space="preserve"> </w:t>
      </w:r>
      <w:r w:rsidR="004604A9">
        <w:t xml:space="preserve">group </w:t>
      </w:r>
      <w:r w:rsidR="00BE3993" w:rsidRPr="006F693F">
        <w:t xml:space="preserve">of </w:t>
      </w:r>
      <w:r w:rsidR="00BE3993">
        <w:t>a theme</w:t>
      </w:r>
      <w:r w:rsidR="00BE3993" w:rsidRPr="006F693F">
        <w:t xml:space="preserve"> with many </w:t>
      </w:r>
      <w:r w:rsidR="006B4464">
        <w:t>(sub)-indicator</w:t>
      </w:r>
      <w:r w:rsidR="00BE3993" w:rsidRPr="006F693F">
        <w:t xml:space="preserve">s, will have </w:t>
      </w:r>
      <w:r w:rsidR="00DD7D13">
        <w:t xml:space="preserve">relatively less </w:t>
      </w:r>
      <w:r w:rsidR="00BE3993" w:rsidRPr="006F693F">
        <w:t>influence on the composite score</w:t>
      </w:r>
      <w:r w:rsidR="00DD7D13">
        <w:t xml:space="preserve"> than for a theme with few </w:t>
      </w:r>
      <w:r w:rsidR="00B54201">
        <w:t>(sub)-</w:t>
      </w:r>
      <w:r w:rsidR="00DD7D13">
        <w:t>indicators</w:t>
      </w:r>
      <w:r w:rsidR="00BE3993" w:rsidRPr="006F693F">
        <w:t xml:space="preserve">. This </w:t>
      </w:r>
      <w:r w:rsidR="00BE3993">
        <w:t>i</w:t>
      </w:r>
      <w:r w:rsidR="00BE3993" w:rsidRPr="006F693F">
        <w:t>s a feature that can be easily understood by considering that t</w:t>
      </w:r>
      <w:r>
        <w:rPr>
          <w:rFonts w:hint="eastAsia"/>
        </w:rPr>
        <w:t>he only possible outcome from taking the average of two non</w:t>
      </w:r>
      <w:r>
        <w:t>-</w:t>
      </w:r>
      <w:r>
        <w:rPr>
          <w:rFonts w:hint="eastAsia"/>
        </w:rPr>
        <w:t>correlated variables is to obtain a number</w:t>
      </w:r>
      <w:r>
        <w:t xml:space="preserve"> somewhere in between. Subsequently, the more variables that are used</w:t>
      </w:r>
      <w:r w:rsidR="001D3B4B">
        <w:t>,</w:t>
      </w:r>
      <w:r>
        <w:t xml:space="preserve"> the more likely they will not be correlated with each other and the more likely the final score will be somewhere near the middle of the range of </w:t>
      </w:r>
      <w:r w:rsidR="00BE3993">
        <w:t xml:space="preserve">all </w:t>
      </w:r>
      <w:r>
        <w:t xml:space="preserve">possible outcomes. </w:t>
      </w:r>
    </w:p>
    <w:p w14:paraId="36D41BED" w14:textId="77777777" w:rsidR="00D6082B" w:rsidRDefault="00D6082B" w:rsidP="00D6082B">
      <w:r>
        <w:t>There are essentially three options when integrating uncorrelated scores.</w:t>
      </w:r>
    </w:p>
    <w:p w14:paraId="02402692" w14:textId="50F92B34" w:rsidR="00D6082B" w:rsidRDefault="00D6082B" w:rsidP="00F4328F">
      <w:pPr>
        <w:pStyle w:val="ListParagraph"/>
        <w:numPr>
          <w:ilvl w:val="0"/>
          <w:numId w:val="41"/>
        </w:numPr>
      </w:pPr>
      <w:r>
        <w:t>Go ahead with the integration using a mathematical averaging approach and either</w:t>
      </w:r>
      <w:r w:rsidR="00457D75">
        <w:t>:</w:t>
      </w:r>
    </w:p>
    <w:p w14:paraId="72146FD9" w14:textId="718521BA" w:rsidR="00D6082B" w:rsidRDefault="00D6082B" w:rsidP="00F4328F">
      <w:pPr>
        <w:pStyle w:val="ListParagraph"/>
        <w:numPr>
          <w:ilvl w:val="1"/>
          <w:numId w:val="41"/>
        </w:numPr>
      </w:pPr>
      <w:r>
        <w:t>adjust the range of integrated scores to the original</w:t>
      </w:r>
      <w:r w:rsidR="00BE3993">
        <w:t>/desired</w:t>
      </w:r>
      <w:r>
        <w:t xml:space="preserve"> scale statistically</w:t>
      </w:r>
      <w:r w:rsidR="004E4F49">
        <w:t>;</w:t>
      </w:r>
      <w:r>
        <w:t xml:space="preserve"> or</w:t>
      </w:r>
      <w:r w:rsidR="004E4F49">
        <w:t xml:space="preserve"> </w:t>
      </w:r>
    </w:p>
    <w:p w14:paraId="1513DC9C" w14:textId="2B6AED50" w:rsidR="00D6082B" w:rsidRDefault="00D6082B" w:rsidP="00F4328F">
      <w:pPr>
        <w:pStyle w:val="ListParagraph"/>
        <w:numPr>
          <w:ilvl w:val="1"/>
          <w:numId w:val="41"/>
        </w:numPr>
      </w:pPr>
      <w:r>
        <w:lastRenderedPageBreak/>
        <w:t>use the ranks of the integrated scores as indications of the ranks of the condition assessments (that is, scores are not absolute, but higher scores indicate better condition)</w:t>
      </w:r>
      <w:r w:rsidR="00457D75">
        <w:t>.</w:t>
      </w:r>
    </w:p>
    <w:p w14:paraId="360311FB" w14:textId="7D7627A1" w:rsidR="00D6082B" w:rsidRDefault="00D6082B" w:rsidP="00F4328F">
      <w:pPr>
        <w:pStyle w:val="ListParagraph"/>
        <w:numPr>
          <w:ilvl w:val="0"/>
          <w:numId w:val="41"/>
        </w:numPr>
      </w:pPr>
      <w:r>
        <w:t>Use a non-mathematical approach such as</w:t>
      </w:r>
      <w:r w:rsidR="00457D75">
        <w:t>:</w:t>
      </w:r>
    </w:p>
    <w:p w14:paraId="2ED5A4B3" w14:textId="01FB4BE7" w:rsidR="00D6082B" w:rsidRDefault="00D6082B" w:rsidP="00F4328F">
      <w:pPr>
        <w:pStyle w:val="ListParagraph"/>
        <w:numPr>
          <w:ilvl w:val="1"/>
          <w:numId w:val="41"/>
        </w:numPr>
      </w:pPr>
      <w:r>
        <w:t>precautionary principle/ minimum averaging</w:t>
      </w:r>
      <w:r w:rsidR="00457D75">
        <w:t>; or</w:t>
      </w:r>
    </w:p>
    <w:p w14:paraId="551C2AB0" w14:textId="209B8083" w:rsidR="00D6082B" w:rsidRDefault="00D6082B" w:rsidP="00F4328F">
      <w:pPr>
        <w:pStyle w:val="ListParagraph"/>
        <w:numPr>
          <w:ilvl w:val="1"/>
          <w:numId w:val="41"/>
        </w:numPr>
      </w:pPr>
      <w:r>
        <w:t>expert rules</w:t>
      </w:r>
      <w:r w:rsidR="00457D75">
        <w:t>.</w:t>
      </w:r>
    </w:p>
    <w:p w14:paraId="349E7C9A" w14:textId="31C2CED6" w:rsidR="00FB021F" w:rsidRDefault="00D6082B" w:rsidP="00F4328F">
      <w:pPr>
        <w:pStyle w:val="ListParagraph"/>
        <w:numPr>
          <w:ilvl w:val="0"/>
          <w:numId w:val="41"/>
        </w:numPr>
      </w:pPr>
      <w:r>
        <w:t xml:space="preserve">Use one of the above but also deconstruct individual </w:t>
      </w:r>
      <w:r w:rsidR="006B4464">
        <w:t>element</w:t>
      </w:r>
      <w:r>
        <w:t>s in reporting</w:t>
      </w:r>
      <w:r w:rsidR="00457D75">
        <w:t>.</w:t>
      </w:r>
    </w:p>
    <w:p w14:paraId="1985A902" w14:textId="77777777" w:rsidR="00FB021F" w:rsidRDefault="00FB021F">
      <w:r>
        <w:br w:type="page"/>
      </w:r>
    </w:p>
    <w:p w14:paraId="406F24C0" w14:textId="5113B6E0" w:rsidR="008F33C1" w:rsidRPr="008D1E3C" w:rsidRDefault="007C032F" w:rsidP="00E32DD7">
      <w:pPr>
        <w:pStyle w:val="Caption"/>
        <w:shd w:val="clear" w:color="auto" w:fill="F6F4E1" w:themeFill="accent3" w:themeFillTint="33"/>
        <w:spacing w:after="0" w:line="240" w:lineRule="auto"/>
        <w:rPr>
          <w:color w:val="797325" w:themeColor="accent3" w:themeShade="80"/>
        </w:rPr>
      </w:pPr>
      <w:r w:rsidRPr="008D1E3C">
        <w:rPr>
          <w:color w:val="797325" w:themeColor="accent3" w:themeShade="80"/>
        </w:rPr>
        <w:lastRenderedPageBreak/>
        <w:t xml:space="preserve">Text Box </w:t>
      </w:r>
      <w:r w:rsidR="006C66F3" w:rsidRPr="008D1E3C">
        <w:rPr>
          <w:color w:val="797325" w:themeColor="accent3" w:themeShade="80"/>
        </w:rPr>
        <w:fldChar w:fldCharType="begin"/>
      </w:r>
      <w:r w:rsidR="006C66F3" w:rsidRPr="008D1E3C">
        <w:rPr>
          <w:color w:val="797325" w:themeColor="accent3" w:themeShade="80"/>
        </w:rPr>
        <w:instrText xml:space="preserve"> SEQ Text_Box \* ARABIC </w:instrText>
      </w:r>
      <w:r w:rsidR="006C66F3" w:rsidRPr="008D1E3C">
        <w:rPr>
          <w:color w:val="797325" w:themeColor="accent3" w:themeShade="80"/>
        </w:rPr>
        <w:fldChar w:fldCharType="separate"/>
      </w:r>
      <w:r w:rsidR="005F359C">
        <w:rPr>
          <w:noProof/>
          <w:color w:val="797325" w:themeColor="accent3" w:themeShade="80"/>
        </w:rPr>
        <w:t>5</w:t>
      </w:r>
      <w:r w:rsidR="006C66F3" w:rsidRPr="008D1E3C">
        <w:rPr>
          <w:noProof/>
          <w:color w:val="797325" w:themeColor="accent3" w:themeShade="80"/>
        </w:rPr>
        <w:fldChar w:fldCharType="end"/>
      </w:r>
      <w:r w:rsidR="00E32DD7" w:rsidRPr="008D1E3C">
        <w:rPr>
          <w:color w:val="797325" w:themeColor="accent3" w:themeShade="80"/>
        </w:rPr>
        <w:t>. Example of converting existing condition grades to IECA Bands</w:t>
      </w:r>
    </w:p>
    <w:p w14:paraId="5E075EBE" w14:textId="163CDF04" w:rsidR="002E39B6" w:rsidRPr="008D1E3C" w:rsidRDefault="00D91972" w:rsidP="007C032F">
      <w:pPr>
        <w:shd w:val="clear" w:color="auto" w:fill="F6F4E1" w:themeFill="accent3" w:themeFillTint="33"/>
        <w:rPr>
          <w:color w:val="797325" w:themeColor="accent3" w:themeShade="80"/>
        </w:rPr>
      </w:pPr>
      <w:r>
        <w:rPr>
          <w:color w:val="797325" w:themeColor="accent3" w:themeShade="80"/>
        </w:rPr>
        <w:t xml:space="preserve">In </w:t>
      </w:r>
      <w:r w:rsidRPr="008D1E3C">
        <w:rPr>
          <w:color w:val="797325" w:themeColor="accent3" w:themeShade="80"/>
        </w:rPr>
        <w:t xml:space="preserve">the </w:t>
      </w:r>
      <w:r>
        <w:rPr>
          <w:color w:val="797325" w:themeColor="accent3" w:themeShade="80"/>
        </w:rPr>
        <w:t>draft Lake Eyre Basin State of the Basin Condition Assessment 2016</w:t>
      </w:r>
      <w:r w:rsidRPr="008D1E3C">
        <w:rPr>
          <w:color w:val="797325" w:themeColor="accent3" w:themeShade="80"/>
        </w:rPr>
        <w:t xml:space="preserve"> fish populations a</w:t>
      </w:r>
      <w:r>
        <w:rPr>
          <w:color w:val="797325" w:themeColor="accent3" w:themeShade="80"/>
        </w:rPr>
        <w:t>re used</w:t>
      </w:r>
      <w:r w:rsidRPr="008D1E3C">
        <w:rPr>
          <w:color w:val="797325" w:themeColor="accent3" w:themeShade="80"/>
        </w:rPr>
        <w:t xml:space="preserve"> a key condition </w:t>
      </w:r>
      <w:r>
        <w:rPr>
          <w:color w:val="797325" w:themeColor="accent3" w:themeShade="80"/>
        </w:rPr>
        <w:t xml:space="preserve">indicator </w:t>
      </w:r>
      <w:r w:rsidR="002E39B6" w:rsidRPr="008D1E3C">
        <w:rPr>
          <w:color w:val="797325" w:themeColor="accent3" w:themeShade="80"/>
        </w:rPr>
        <w:t>(</w:t>
      </w:r>
      <w:r w:rsidR="00DC418A" w:rsidRPr="00DC418A">
        <w:rPr>
          <w:color w:val="675E47" w:themeColor="text2"/>
        </w:rPr>
        <w:fldChar w:fldCharType="begin"/>
      </w:r>
      <w:r w:rsidR="00906EDF">
        <w:rPr>
          <w:color w:val="675E47" w:themeColor="text2"/>
        </w:rPr>
        <w:instrText xml:space="preserve"> ADDIN ZOTERO_ITEM CSL_CITATION {"citationID":"amm2li6ou","properties":{"formattedCitation":"(LEBMF 2017)","plainCitation":"(LEBMF 2017)"},"citationItems":[{"id":3452,"uris":["http://zotero.org/users/3119797/items/5N5VPQP4"],"uri":["http://zotero.org/users/3119797/items/5N5VPQP4"],"itemData":{"id":3452,"type":"article","title":"Lake Eyre Basin: State of the basin 2017 draft report (Public Consultation document) Department of Agriculture and Water Resources, Canberra, November. CC BY 3.0.","author":[{"family":"LEBMF","given":""}],"issued":{"date-parts":[["2017"]]}}}],"schema":"https://github.com/citation-style-language/schema/raw/master/csl-citation.json"} </w:instrText>
      </w:r>
      <w:r w:rsidR="00DC418A" w:rsidRPr="00DC418A">
        <w:rPr>
          <w:color w:val="675E47" w:themeColor="text2"/>
        </w:rPr>
        <w:fldChar w:fldCharType="separate"/>
      </w:r>
      <w:r w:rsidR="00DC418A" w:rsidRPr="00DC418A">
        <w:rPr>
          <w:rFonts w:cs="Calibri"/>
          <w:color w:val="675E47" w:themeColor="text2"/>
        </w:rPr>
        <w:t>LEBMF 2017</w:t>
      </w:r>
      <w:r w:rsidR="00DC418A" w:rsidRPr="00DC418A">
        <w:rPr>
          <w:color w:val="675E47" w:themeColor="text2"/>
        </w:rPr>
        <w:fldChar w:fldCharType="end"/>
      </w:r>
      <w:r w:rsidR="002E39B6" w:rsidRPr="00DC418A">
        <w:rPr>
          <w:color w:val="675E47" w:themeColor="text2"/>
        </w:rPr>
        <w:t xml:space="preserve">, </w:t>
      </w:r>
      <w:r w:rsidR="00DC418A" w:rsidRPr="00DC418A">
        <w:rPr>
          <w:color w:val="675E47" w:themeColor="text2"/>
        </w:rPr>
        <w:fldChar w:fldCharType="begin"/>
      </w:r>
      <w:r w:rsidR="00DC418A" w:rsidRPr="00DC418A">
        <w:rPr>
          <w:color w:val="675E47" w:themeColor="text2"/>
        </w:rPr>
        <w:instrText xml:space="preserve"> ADDIN ZOTERO_ITEM CSL_CITATION {"citationID":"29gsfm5sdu","properties":{"formattedCitation":"(Schmarr et al. 2015)","plainCitation":"(Schmarr et al. 2015)"},"citationItems":[{"id":3453,"uris":["http://zotero.org/users/3119797/items/FMAU2B8K"],"uri":["http://zotero.org/users/3119797/items/FMAU2B8K"],"itemData":{"id":3453,"type":"article","title":"Evidence based approaches to condition assessment of fish communities in the Lake Eyre Basin, Central Australia. Goyder Institute for Water Research Technical Report Series No. 15/45, Adelaide, South Australia.","author":[{"family":"Schmarr","given":"D.W."},{"family":"Cheshire","given":"D.L.M."},{"family":"Mathwin","given":"R."},{"family":"McNeil","given":"D. G."},{"family":"Howson","given":"T."},{"family":"Cockayne","given":"B."},{"family":"Duguid","given":"A."}],"issued":{"date-parts":[["2015"]]}}}],"schema":"https://github.com/citation-style-language/schema/raw/master/csl-citation.json"} </w:instrText>
      </w:r>
      <w:r w:rsidR="00DC418A" w:rsidRPr="00DC418A">
        <w:rPr>
          <w:color w:val="675E47" w:themeColor="text2"/>
        </w:rPr>
        <w:fldChar w:fldCharType="separate"/>
      </w:r>
      <w:r w:rsidR="00DC418A" w:rsidRPr="00DC418A">
        <w:rPr>
          <w:rFonts w:cs="Calibri"/>
          <w:color w:val="675E47" w:themeColor="text2"/>
        </w:rPr>
        <w:t>Schmarr et al. 2015</w:t>
      </w:r>
      <w:r w:rsidR="00DC418A" w:rsidRPr="00DC418A">
        <w:rPr>
          <w:color w:val="675E47" w:themeColor="text2"/>
        </w:rPr>
        <w:fldChar w:fldCharType="end"/>
      </w:r>
      <w:r w:rsidR="002E39B6" w:rsidRPr="00DC418A">
        <w:rPr>
          <w:color w:val="675E47" w:themeColor="text2"/>
        </w:rPr>
        <w:t xml:space="preserve">).  </w:t>
      </w:r>
      <w:r w:rsidRPr="008D1E3C">
        <w:rPr>
          <w:color w:val="797325" w:themeColor="accent3" w:themeShade="80"/>
        </w:rPr>
        <w:t xml:space="preserve">Fish population data </w:t>
      </w:r>
      <w:r>
        <w:rPr>
          <w:color w:val="797325" w:themeColor="accent3" w:themeShade="80"/>
        </w:rPr>
        <w:t xml:space="preserve">collected annually since 2010 </w:t>
      </w:r>
      <w:r w:rsidRPr="008D1E3C">
        <w:rPr>
          <w:color w:val="797325" w:themeColor="accent3" w:themeShade="80"/>
        </w:rPr>
        <w:t>from sites in five catchments of the L</w:t>
      </w:r>
      <w:r>
        <w:rPr>
          <w:color w:val="797325" w:themeColor="accent3" w:themeShade="80"/>
        </w:rPr>
        <w:t xml:space="preserve">ake </w:t>
      </w:r>
      <w:r w:rsidRPr="008D1E3C">
        <w:rPr>
          <w:color w:val="797325" w:themeColor="accent3" w:themeShade="80"/>
        </w:rPr>
        <w:t>E</w:t>
      </w:r>
      <w:r>
        <w:rPr>
          <w:color w:val="797325" w:themeColor="accent3" w:themeShade="80"/>
        </w:rPr>
        <w:t xml:space="preserve">yre </w:t>
      </w:r>
      <w:r w:rsidRPr="008D1E3C">
        <w:rPr>
          <w:color w:val="797325" w:themeColor="accent3" w:themeShade="80"/>
        </w:rPr>
        <w:t>B</w:t>
      </w:r>
      <w:r>
        <w:rPr>
          <w:color w:val="797325" w:themeColor="accent3" w:themeShade="80"/>
        </w:rPr>
        <w:t>asin</w:t>
      </w:r>
      <w:r w:rsidRPr="008D1E3C">
        <w:rPr>
          <w:color w:val="797325" w:themeColor="accent3" w:themeShade="80"/>
        </w:rPr>
        <w:t xml:space="preserve"> was used to identify ecoregions within each catchment (i.e. regions with similar fish populations and dynamics).</w:t>
      </w:r>
      <w:r>
        <w:rPr>
          <w:color w:val="797325" w:themeColor="accent3" w:themeShade="80"/>
        </w:rPr>
        <w:t xml:space="preserve"> Fish communities were described in context of their ecoregion and were delineated in time based on their hydro-climate phase (dispersal phase, wet phase and drying phase). </w:t>
      </w:r>
      <w:r w:rsidRPr="008D1E3C">
        <w:rPr>
          <w:color w:val="797325" w:themeColor="accent3" w:themeShade="80"/>
        </w:rPr>
        <w:t xml:space="preserve">A biological condition gradient approach </w:t>
      </w:r>
      <w:r w:rsidR="002E39B6" w:rsidRPr="008D1E3C">
        <w:rPr>
          <w:color w:val="797325" w:themeColor="accent3" w:themeShade="80"/>
        </w:rPr>
        <w:t>(</w:t>
      </w:r>
      <w:r w:rsidR="00E32DD7" w:rsidRPr="008D1E3C">
        <w:rPr>
          <w:color w:val="797325" w:themeColor="accent3" w:themeShade="80"/>
        </w:rPr>
        <w:fldChar w:fldCharType="begin"/>
      </w:r>
      <w:r w:rsidR="00E32DD7" w:rsidRPr="008D1E3C">
        <w:rPr>
          <w:color w:val="797325" w:themeColor="accent3" w:themeShade="80"/>
        </w:rPr>
        <w:instrText xml:space="preserve"> REF _Ref479287020 \h </w:instrText>
      </w:r>
      <w:r w:rsidR="00E32DD7" w:rsidRPr="008D1E3C">
        <w:rPr>
          <w:color w:val="797325" w:themeColor="accent3" w:themeShade="80"/>
        </w:rPr>
      </w:r>
      <w:r w:rsidR="00E32DD7" w:rsidRPr="008D1E3C">
        <w:rPr>
          <w:color w:val="797325" w:themeColor="accent3" w:themeShade="80"/>
        </w:rPr>
        <w:fldChar w:fldCharType="separate"/>
      </w:r>
      <w:r w:rsidR="005F359C" w:rsidRPr="008D1E3C">
        <w:rPr>
          <w:color w:val="797325" w:themeColor="accent3" w:themeShade="80"/>
        </w:rPr>
        <w:t xml:space="preserve">Figure </w:t>
      </w:r>
      <w:r w:rsidR="005F359C">
        <w:rPr>
          <w:noProof/>
          <w:color w:val="797325" w:themeColor="accent3" w:themeShade="80"/>
        </w:rPr>
        <w:t>14</w:t>
      </w:r>
      <w:r w:rsidR="00E32DD7" w:rsidRPr="008D1E3C">
        <w:rPr>
          <w:color w:val="797325" w:themeColor="accent3" w:themeShade="80"/>
        </w:rPr>
        <w:fldChar w:fldCharType="end"/>
      </w:r>
      <w:r w:rsidR="002E39B6" w:rsidRPr="008D1E3C">
        <w:rPr>
          <w:color w:val="797325" w:themeColor="accent3" w:themeShade="80"/>
        </w:rPr>
        <w:t xml:space="preserve">) </w:t>
      </w:r>
      <w:r w:rsidRPr="008D1E3C">
        <w:rPr>
          <w:color w:val="797325" w:themeColor="accent3" w:themeShade="80"/>
        </w:rPr>
        <w:t>was then used to identify the condition of fish populations within each of the ecoregions and</w:t>
      </w:r>
      <w:r>
        <w:rPr>
          <w:color w:val="797325" w:themeColor="accent3" w:themeShade="80"/>
        </w:rPr>
        <w:t xml:space="preserve"> hydro-climatic phase, and </w:t>
      </w:r>
      <w:r w:rsidR="002E39B6" w:rsidRPr="008D1E3C">
        <w:rPr>
          <w:color w:val="797325" w:themeColor="accent3" w:themeShade="80"/>
        </w:rPr>
        <w:t xml:space="preserve">the condition scores then aggregated (averaged) to provide catchment condition scores.  </w:t>
      </w:r>
    </w:p>
    <w:p w14:paraId="5BCA7830" w14:textId="3FC19359" w:rsidR="002E39B6" w:rsidRPr="008F33C1" w:rsidRDefault="006435D1" w:rsidP="007C032F">
      <w:pPr>
        <w:shd w:val="clear" w:color="auto" w:fill="F6F4E1" w:themeFill="accent3" w:themeFillTint="33"/>
        <w:spacing w:after="0"/>
        <w:rPr>
          <w:sz w:val="18"/>
          <w:szCs w:val="18"/>
        </w:rPr>
      </w:pPr>
      <w:r>
        <w:rPr>
          <w:noProof/>
          <w:lang w:eastAsia="en-AU"/>
        </w:rPr>
        <w:drawing>
          <wp:inline distT="0" distB="0" distL="0" distR="0" wp14:anchorId="003E83EC" wp14:editId="53D7212A">
            <wp:extent cx="3168650" cy="17526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67278" cy="1751841"/>
                    </a:xfrm>
                    <a:prstGeom prst="rect">
                      <a:avLst/>
                    </a:prstGeom>
                    <a:noFill/>
                    <a:ln>
                      <a:noFill/>
                    </a:ln>
                    <a:extLs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171A920" w14:textId="6333718E" w:rsidR="002E39B6" w:rsidRPr="008D1E3C" w:rsidRDefault="00866E6B" w:rsidP="007C032F">
      <w:pPr>
        <w:pStyle w:val="Caption"/>
        <w:shd w:val="clear" w:color="auto" w:fill="F6F4E1" w:themeFill="accent3" w:themeFillTint="33"/>
        <w:rPr>
          <w:color w:val="797325" w:themeColor="accent3" w:themeShade="80"/>
        </w:rPr>
      </w:pPr>
      <w:bookmarkStart w:id="89" w:name="_Ref479287020"/>
      <w:r w:rsidRPr="008D1E3C">
        <w:rPr>
          <w:color w:val="797325" w:themeColor="accent3" w:themeShade="80"/>
        </w:rPr>
        <w:t xml:space="preserve">Figure </w:t>
      </w:r>
      <w:r w:rsidR="006C66F3" w:rsidRPr="008D1E3C">
        <w:rPr>
          <w:color w:val="797325" w:themeColor="accent3" w:themeShade="80"/>
        </w:rPr>
        <w:fldChar w:fldCharType="begin"/>
      </w:r>
      <w:r w:rsidR="006C66F3" w:rsidRPr="008D1E3C">
        <w:rPr>
          <w:color w:val="797325" w:themeColor="accent3" w:themeShade="80"/>
        </w:rPr>
        <w:instrText xml:space="preserve"> SEQ Figure \* ARABIC </w:instrText>
      </w:r>
      <w:r w:rsidR="006C66F3" w:rsidRPr="008D1E3C">
        <w:rPr>
          <w:color w:val="797325" w:themeColor="accent3" w:themeShade="80"/>
        </w:rPr>
        <w:fldChar w:fldCharType="separate"/>
      </w:r>
      <w:r w:rsidR="005F359C">
        <w:rPr>
          <w:noProof/>
          <w:color w:val="797325" w:themeColor="accent3" w:themeShade="80"/>
        </w:rPr>
        <w:t>14</w:t>
      </w:r>
      <w:r w:rsidR="006C66F3" w:rsidRPr="008D1E3C">
        <w:rPr>
          <w:noProof/>
          <w:color w:val="797325" w:themeColor="accent3" w:themeShade="80"/>
        </w:rPr>
        <w:fldChar w:fldCharType="end"/>
      </w:r>
      <w:bookmarkEnd w:id="89"/>
      <w:r w:rsidR="00FD50A9">
        <w:rPr>
          <w:noProof/>
          <w:color w:val="797325" w:themeColor="accent3" w:themeShade="80"/>
        </w:rPr>
        <w:t>:</w:t>
      </w:r>
      <w:r w:rsidRPr="008D1E3C">
        <w:rPr>
          <w:color w:val="797325" w:themeColor="accent3" w:themeShade="80"/>
        </w:rPr>
        <w:t xml:space="preserve"> </w:t>
      </w:r>
      <w:r w:rsidR="002E39B6" w:rsidRPr="008D1E3C">
        <w:rPr>
          <w:color w:val="797325" w:themeColor="accent3" w:themeShade="80"/>
        </w:rPr>
        <w:t xml:space="preserve">Conceptual diagram of the Biological Condition Gradient framework (from LEBMF 2017). </w:t>
      </w:r>
    </w:p>
    <w:p w14:paraId="0071E262" w14:textId="623EAADB" w:rsidR="002E39B6" w:rsidRPr="008D1E3C" w:rsidRDefault="002E39B6" w:rsidP="007C032F">
      <w:pPr>
        <w:shd w:val="clear" w:color="auto" w:fill="F6F4E1" w:themeFill="accent3" w:themeFillTint="33"/>
        <w:rPr>
          <w:color w:val="797325" w:themeColor="accent3" w:themeShade="80"/>
        </w:rPr>
      </w:pPr>
      <w:r w:rsidRPr="008D1E3C">
        <w:rPr>
          <w:color w:val="797325" w:themeColor="accent3" w:themeShade="80"/>
        </w:rPr>
        <w:t xml:space="preserve">The condition gradient assessment approach used six </w:t>
      </w:r>
      <w:r w:rsidR="00D91972">
        <w:rPr>
          <w:color w:val="797325" w:themeColor="accent3" w:themeShade="80"/>
        </w:rPr>
        <w:t>‘</w:t>
      </w:r>
      <w:r w:rsidRPr="008D1E3C">
        <w:rPr>
          <w:color w:val="797325" w:themeColor="accent3" w:themeShade="80"/>
        </w:rPr>
        <w:t>tiers</w:t>
      </w:r>
      <w:r w:rsidR="00D91972">
        <w:rPr>
          <w:color w:val="797325" w:themeColor="accent3" w:themeShade="80"/>
        </w:rPr>
        <w:t>’</w:t>
      </w:r>
      <w:r w:rsidRPr="008D1E3C">
        <w:rPr>
          <w:color w:val="797325" w:themeColor="accent3" w:themeShade="80"/>
        </w:rPr>
        <w:t xml:space="preserve"> of condition scores related to increasing levels of stress. The condition scores were aligned to the IECA scoring (0-1) as shown in </w:t>
      </w:r>
      <w:r w:rsidR="00866E6B" w:rsidRPr="008D1E3C">
        <w:rPr>
          <w:color w:val="797325" w:themeColor="accent3" w:themeShade="80"/>
        </w:rPr>
        <w:fldChar w:fldCharType="begin"/>
      </w:r>
      <w:r w:rsidR="00866E6B" w:rsidRPr="008D1E3C">
        <w:rPr>
          <w:color w:val="797325" w:themeColor="accent3" w:themeShade="80"/>
        </w:rPr>
        <w:instrText xml:space="preserve"> REF _Ref479269246 \h </w:instrText>
      </w:r>
      <w:r w:rsidR="00D6082B" w:rsidRPr="008D1E3C">
        <w:rPr>
          <w:color w:val="797325" w:themeColor="accent3" w:themeShade="80"/>
        </w:rPr>
        <w:instrText xml:space="preserve"> \* MERGEFORMAT </w:instrText>
      </w:r>
      <w:r w:rsidR="00866E6B" w:rsidRPr="008D1E3C">
        <w:rPr>
          <w:color w:val="797325" w:themeColor="accent3" w:themeShade="80"/>
        </w:rPr>
      </w:r>
      <w:r w:rsidR="00866E6B" w:rsidRPr="008D1E3C">
        <w:rPr>
          <w:color w:val="797325" w:themeColor="accent3" w:themeShade="80"/>
        </w:rPr>
        <w:fldChar w:fldCharType="separate"/>
      </w:r>
      <w:r w:rsidR="005F359C" w:rsidRPr="008D1E3C">
        <w:rPr>
          <w:color w:val="797325" w:themeColor="accent3" w:themeShade="80"/>
        </w:rPr>
        <w:t xml:space="preserve">Table </w:t>
      </w:r>
      <w:r w:rsidR="005F359C">
        <w:rPr>
          <w:noProof/>
          <w:color w:val="797325" w:themeColor="accent3" w:themeShade="80"/>
        </w:rPr>
        <w:t>18</w:t>
      </w:r>
      <w:r w:rsidR="00866E6B" w:rsidRPr="008D1E3C">
        <w:rPr>
          <w:color w:val="797325" w:themeColor="accent3" w:themeShade="80"/>
        </w:rPr>
        <w:fldChar w:fldCharType="end"/>
      </w:r>
      <w:r w:rsidRPr="008D1E3C">
        <w:rPr>
          <w:color w:val="797325" w:themeColor="accent3" w:themeShade="80"/>
        </w:rPr>
        <w:t xml:space="preserve"> and </w:t>
      </w:r>
      <w:r w:rsidR="00E32DD7" w:rsidRPr="008D1E3C">
        <w:rPr>
          <w:color w:val="797325" w:themeColor="accent3" w:themeShade="80"/>
        </w:rPr>
        <w:fldChar w:fldCharType="begin"/>
      </w:r>
      <w:r w:rsidR="00E32DD7" w:rsidRPr="008D1E3C">
        <w:rPr>
          <w:color w:val="797325" w:themeColor="accent3" w:themeShade="80"/>
        </w:rPr>
        <w:instrText xml:space="preserve"> REF _Ref479269259 \h </w:instrText>
      </w:r>
      <w:r w:rsidR="00E32DD7" w:rsidRPr="008D1E3C">
        <w:rPr>
          <w:color w:val="797325" w:themeColor="accent3" w:themeShade="80"/>
        </w:rPr>
      </w:r>
      <w:r w:rsidR="00E32DD7" w:rsidRPr="008D1E3C">
        <w:rPr>
          <w:color w:val="797325" w:themeColor="accent3" w:themeShade="80"/>
        </w:rPr>
        <w:fldChar w:fldCharType="separate"/>
      </w:r>
      <w:r w:rsidR="005F359C" w:rsidRPr="008D1E3C">
        <w:rPr>
          <w:color w:val="797325" w:themeColor="accent3" w:themeShade="80"/>
        </w:rPr>
        <w:t xml:space="preserve">Figure </w:t>
      </w:r>
      <w:r w:rsidR="005F359C">
        <w:rPr>
          <w:noProof/>
          <w:color w:val="797325" w:themeColor="accent3" w:themeShade="80"/>
        </w:rPr>
        <w:t>15</w:t>
      </w:r>
      <w:r w:rsidR="00E32DD7" w:rsidRPr="008D1E3C">
        <w:rPr>
          <w:color w:val="797325" w:themeColor="accent3" w:themeShade="80"/>
        </w:rPr>
        <w:fldChar w:fldCharType="end"/>
      </w:r>
      <w:r w:rsidR="00E32DD7" w:rsidRPr="008D1E3C">
        <w:rPr>
          <w:color w:val="797325" w:themeColor="accent3" w:themeShade="80"/>
        </w:rPr>
        <w:t xml:space="preserve"> </w:t>
      </w:r>
      <w:r w:rsidRPr="008D1E3C">
        <w:rPr>
          <w:color w:val="797325" w:themeColor="accent3" w:themeShade="80"/>
        </w:rPr>
        <w:t>below, which</w:t>
      </w:r>
      <w:r w:rsidR="00A1432B" w:rsidRPr="008D1E3C">
        <w:rPr>
          <w:color w:val="797325" w:themeColor="accent3" w:themeShade="80"/>
        </w:rPr>
        <w:t xml:space="preserve"> </w:t>
      </w:r>
      <w:r w:rsidRPr="008D1E3C">
        <w:rPr>
          <w:color w:val="797325" w:themeColor="accent3" w:themeShade="80"/>
        </w:rPr>
        <w:t xml:space="preserve">simply involved </w:t>
      </w:r>
      <w:r w:rsidR="00866E6B" w:rsidRPr="008D1E3C">
        <w:rPr>
          <w:color w:val="797325" w:themeColor="accent3" w:themeShade="80"/>
        </w:rPr>
        <w:t>standardising the scores from the LEBRA Grades to the IECA 0-1 scores</w:t>
      </w:r>
      <w:r w:rsidRPr="008D1E3C">
        <w:rPr>
          <w:color w:val="797325" w:themeColor="accent3" w:themeShade="80"/>
        </w:rPr>
        <w:t xml:space="preserve">. </w:t>
      </w:r>
    </w:p>
    <w:p w14:paraId="2C066E18" w14:textId="381FE0A6" w:rsidR="002E39B6" w:rsidRPr="008D1E3C" w:rsidRDefault="00866E6B" w:rsidP="007C032F">
      <w:pPr>
        <w:pStyle w:val="Caption"/>
        <w:shd w:val="clear" w:color="auto" w:fill="F6F4E1" w:themeFill="accent3" w:themeFillTint="33"/>
        <w:spacing w:after="0" w:line="240" w:lineRule="auto"/>
        <w:rPr>
          <w:color w:val="797325" w:themeColor="accent3" w:themeShade="80"/>
        </w:rPr>
      </w:pPr>
      <w:bookmarkStart w:id="90" w:name="_Ref479269246"/>
      <w:r w:rsidRPr="008D1E3C">
        <w:rPr>
          <w:color w:val="797325" w:themeColor="accent3" w:themeShade="80"/>
        </w:rPr>
        <w:t xml:space="preserve">Table </w:t>
      </w:r>
      <w:r w:rsidR="006C66F3" w:rsidRPr="008D1E3C">
        <w:rPr>
          <w:color w:val="797325" w:themeColor="accent3" w:themeShade="80"/>
        </w:rPr>
        <w:fldChar w:fldCharType="begin"/>
      </w:r>
      <w:r w:rsidR="006C66F3" w:rsidRPr="008D1E3C">
        <w:rPr>
          <w:color w:val="797325" w:themeColor="accent3" w:themeShade="80"/>
        </w:rPr>
        <w:instrText xml:space="preserve"> SEQ Table \* ARABIC </w:instrText>
      </w:r>
      <w:r w:rsidR="006C66F3" w:rsidRPr="008D1E3C">
        <w:rPr>
          <w:color w:val="797325" w:themeColor="accent3" w:themeShade="80"/>
        </w:rPr>
        <w:fldChar w:fldCharType="separate"/>
      </w:r>
      <w:r w:rsidR="005F359C">
        <w:rPr>
          <w:noProof/>
          <w:color w:val="797325" w:themeColor="accent3" w:themeShade="80"/>
        </w:rPr>
        <w:t>18</w:t>
      </w:r>
      <w:r w:rsidR="006C66F3" w:rsidRPr="008D1E3C">
        <w:rPr>
          <w:noProof/>
          <w:color w:val="797325" w:themeColor="accent3" w:themeShade="80"/>
        </w:rPr>
        <w:fldChar w:fldCharType="end"/>
      </w:r>
      <w:bookmarkEnd w:id="90"/>
      <w:r w:rsidR="00FD50A9">
        <w:rPr>
          <w:noProof/>
          <w:color w:val="797325" w:themeColor="accent3" w:themeShade="80"/>
        </w:rPr>
        <w:t>:</w:t>
      </w:r>
      <w:r w:rsidRPr="008D1E3C">
        <w:rPr>
          <w:color w:val="797325" w:themeColor="accent3" w:themeShade="80"/>
        </w:rPr>
        <w:t xml:space="preserve"> </w:t>
      </w:r>
      <w:r w:rsidR="002E39B6" w:rsidRPr="008D1E3C">
        <w:rPr>
          <w:color w:val="797325" w:themeColor="accent3" w:themeShade="80"/>
        </w:rPr>
        <w:t xml:space="preserve">LEBRA Fish community condition scores (From </w:t>
      </w:r>
      <w:r w:rsidR="00DC418A" w:rsidRPr="005763CF">
        <w:rPr>
          <w:color w:val="675E47" w:themeColor="text2"/>
        </w:rPr>
        <w:fldChar w:fldCharType="begin"/>
      </w:r>
      <w:r w:rsidR="00906EDF">
        <w:rPr>
          <w:caps w:val="0"/>
          <w:color w:val="675E47" w:themeColor="text2"/>
        </w:rPr>
        <w:instrText xml:space="preserve"> ADDIN ZOTERO_ITEM CSL_CITATION {"citationID":"13tr81crva","properties":{"formattedCitation":"(LEBMF 2017)","plainCitation":"(LEBMF 2017)"},"citationItems":[{"id":3452,"uris":["http://zotero.org/users/3119797/items/5N5VPQP4"],"uri":["http://zotero.org/users/3119797/items/5N5VPQP4"],"itemData":{"id":3452,"type":"article","title":"Lake Eyre Basin: State of the basin 2017 draft report (Public Consultation document) Department of Agriculture and Water Resources, Canberra, November. CC BY 3.0.","author":[{"family":"LEBMF","given":""}],"issued":{"date-parts":[["2017"]]}}}],"schema":"https://github.com/citation-style-language/schema/raw/master/csl-citation.json"} </w:instrText>
      </w:r>
      <w:r w:rsidR="00DC418A" w:rsidRPr="005763CF">
        <w:rPr>
          <w:color w:val="675E47" w:themeColor="text2"/>
        </w:rPr>
        <w:fldChar w:fldCharType="separate"/>
      </w:r>
      <w:r w:rsidR="00DC418A" w:rsidRPr="005763CF">
        <w:rPr>
          <w:rFonts w:cs="Calibri"/>
          <w:color w:val="675E47" w:themeColor="text2"/>
        </w:rPr>
        <w:t>LEBMF 2017</w:t>
      </w:r>
      <w:r w:rsidR="00DC418A" w:rsidRPr="005763CF">
        <w:rPr>
          <w:color w:val="675E47" w:themeColor="text2"/>
        </w:rPr>
        <w:fldChar w:fldCharType="end"/>
      </w:r>
      <w:r w:rsidR="002E39B6" w:rsidRPr="005763CF">
        <w:rPr>
          <w:color w:val="675E47" w:themeColor="text2"/>
        </w:rPr>
        <w:t xml:space="preserve">) </w:t>
      </w:r>
      <w:r w:rsidR="002E39B6" w:rsidRPr="008D1E3C">
        <w:rPr>
          <w:color w:val="797325" w:themeColor="accent3" w:themeShade="80"/>
        </w:rPr>
        <w:t>(0–1 is not included in the lEBRA condition).</w:t>
      </w:r>
    </w:p>
    <w:tbl>
      <w:tblPr>
        <w:tblStyle w:val="LightList-Accent2"/>
        <w:tblW w:w="4908" w:type="pct"/>
        <w:tblInd w:w="108" w:type="dxa"/>
        <w:tblLook w:val="04A0" w:firstRow="1" w:lastRow="0" w:firstColumn="1" w:lastColumn="0" w:noHBand="0" w:noVBand="1"/>
      </w:tblPr>
      <w:tblGrid>
        <w:gridCol w:w="2298"/>
        <w:gridCol w:w="1874"/>
        <w:gridCol w:w="1646"/>
        <w:gridCol w:w="3022"/>
      </w:tblGrid>
      <w:tr w:rsidR="002E39B6" w:rsidRPr="002E39B6" w14:paraId="6FDA900E" w14:textId="77777777" w:rsidTr="007C0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tcPr>
          <w:p w14:paraId="0DBA5F4E" w14:textId="77777777" w:rsidR="002E39B6" w:rsidRPr="002E39B6" w:rsidRDefault="002E39B6" w:rsidP="00567101">
            <w:r w:rsidRPr="002E39B6">
              <w:t>LEBRA condition</w:t>
            </w:r>
          </w:p>
        </w:tc>
        <w:tc>
          <w:tcPr>
            <w:tcW w:w="1060" w:type="pct"/>
          </w:tcPr>
          <w:p w14:paraId="41E6F097" w14:textId="77777777" w:rsidR="002E39B6" w:rsidRPr="002E39B6" w:rsidRDefault="002E39B6" w:rsidP="00567101">
            <w:pPr>
              <w:jc w:val="center"/>
              <w:cnfStyle w:val="100000000000" w:firstRow="1" w:lastRow="0" w:firstColumn="0" w:lastColumn="0" w:oddVBand="0" w:evenVBand="0" w:oddHBand="0" w:evenHBand="0" w:firstRowFirstColumn="0" w:firstRowLastColumn="0" w:lastRowFirstColumn="0" w:lastRowLastColumn="0"/>
            </w:pPr>
            <w:r w:rsidRPr="002E39B6">
              <w:t>LEBRA score</w:t>
            </w:r>
          </w:p>
        </w:tc>
        <w:tc>
          <w:tcPr>
            <w:tcW w:w="931" w:type="pct"/>
          </w:tcPr>
          <w:p w14:paraId="53A8AA5B" w14:textId="77777777" w:rsidR="002E39B6" w:rsidRPr="002E39B6" w:rsidRDefault="002E39B6" w:rsidP="00567101">
            <w:pPr>
              <w:jc w:val="center"/>
              <w:cnfStyle w:val="100000000000" w:firstRow="1" w:lastRow="0" w:firstColumn="0" w:lastColumn="0" w:oddVBand="0" w:evenVBand="0" w:oddHBand="0" w:evenHBand="0" w:firstRowFirstColumn="0" w:firstRowLastColumn="0" w:lastRowFirstColumn="0" w:lastRowLastColumn="0"/>
            </w:pPr>
            <w:r w:rsidRPr="002E39B6">
              <w:t>IECA score</w:t>
            </w:r>
          </w:p>
        </w:tc>
        <w:tc>
          <w:tcPr>
            <w:tcW w:w="1709" w:type="pct"/>
          </w:tcPr>
          <w:p w14:paraId="089C50F6" w14:textId="77777777" w:rsidR="002E39B6" w:rsidRPr="002E39B6" w:rsidRDefault="002E39B6" w:rsidP="00567101">
            <w:pPr>
              <w:cnfStyle w:val="100000000000" w:firstRow="1" w:lastRow="0" w:firstColumn="0" w:lastColumn="0" w:oddVBand="0" w:evenVBand="0" w:oddHBand="0" w:evenHBand="0" w:firstRowFirstColumn="0" w:firstRowLastColumn="0" w:lastRowFirstColumn="0" w:lastRowLastColumn="0"/>
            </w:pPr>
            <w:r w:rsidRPr="002E39B6">
              <w:t>IECA condition</w:t>
            </w:r>
          </w:p>
        </w:tc>
      </w:tr>
      <w:tr w:rsidR="002E39B6" w:rsidRPr="002E39B6" w14:paraId="4A36F1EE" w14:textId="77777777" w:rsidTr="007C0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EDEAC4" w:themeFill="accent3" w:themeFillTint="66"/>
          </w:tcPr>
          <w:p w14:paraId="2ED56D1C" w14:textId="77777777" w:rsidR="002E39B6" w:rsidRPr="002E39B6" w:rsidRDefault="002E39B6" w:rsidP="00567101">
            <w:pPr>
              <w:rPr>
                <w:b w:val="0"/>
              </w:rPr>
            </w:pPr>
            <w:r w:rsidRPr="002E39B6">
              <w:rPr>
                <w:b w:val="0"/>
              </w:rPr>
              <w:t>Good</w:t>
            </w:r>
          </w:p>
        </w:tc>
        <w:tc>
          <w:tcPr>
            <w:tcW w:w="1060" w:type="pct"/>
            <w:shd w:val="clear" w:color="auto" w:fill="EDEAC4" w:themeFill="accent3" w:themeFillTint="66"/>
          </w:tcPr>
          <w:p w14:paraId="4CC7A6F5" w14:textId="77777777" w:rsidR="002E39B6" w:rsidRPr="002E39B6" w:rsidRDefault="002E39B6" w:rsidP="00567101">
            <w:pPr>
              <w:jc w:val="center"/>
              <w:cnfStyle w:val="000000100000" w:firstRow="0" w:lastRow="0" w:firstColumn="0" w:lastColumn="0" w:oddVBand="0" w:evenVBand="0" w:oddHBand="1" w:evenHBand="0" w:firstRowFirstColumn="0" w:firstRowLastColumn="0" w:lastRowFirstColumn="0" w:lastRowLastColumn="0"/>
            </w:pPr>
            <w:r w:rsidRPr="002E39B6">
              <w:t>1–2</w:t>
            </w:r>
          </w:p>
        </w:tc>
        <w:tc>
          <w:tcPr>
            <w:tcW w:w="931" w:type="pct"/>
            <w:shd w:val="clear" w:color="auto" w:fill="EBF2F1" w:themeFill="accent2" w:themeFillTint="33"/>
          </w:tcPr>
          <w:p w14:paraId="225CF267" w14:textId="77777777" w:rsidR="002E39B6" w:rsidRPr="002E39B6" w:rsidRDefault="002E39B6" w:rsidP="00567101">
            <w:pPr>
              <w:jc w:val="center"/>
              <w:cnfStyle w:val="000000100000" w:firstRow="0" w:lastRow="0" w:firstColumn="0" w:lastColumn="0" w:oddVBand="0" w:evenVBand="0" w:oddHBand="1" w:evenHBand="0" w:firstRowFirstColumn="0" w:firstRowLastColumn="0" w:lastRowFirstColumn="0" w:lastRowLastColumn="0"/>
            </w:pPr>
            <w:r w:rsidRPr="002E39B6">
              <w:t xml:space="preserve">0.8–1.0 </w:t>
            </w:r>
          </w:p>
        </w:tc>
        <w:tc>
          <w:tcPr>
            <w:tcW w:w="1709" w:type="pct"/>
            <w:shd w:val="clear" w:color="auto" w:fill="EBF2F1" w:themeFill="accent2" w:themeFillTint="33"/>
          </w:tcPr>
          <w:p w14:paraId="62CC1462" w14:textId="000BFF01" w:rsidR="002E39B6" w:rsidRPr="002E39B6" w:rsidRDefault="002E39B6" w:rsidP="007339E7">
            <w:pPr>
              <w:cnfStyle w:val="000000100000" w:firstRow="0" w:lastRow="0" w:firstColumn="0" w:lastColumn="0" w:oddVBand="0" w:evenVBand="0" w:oddHBand="1" w:evenHBand="0" w:firstRowFirstColumn="0" w:firstRowLastColumn="0" w:lastRowFirstColumn="0" w:lastRowLastColumn="0"/>
            </w:pPr>
            <w:r w:rsidRPr="002E39B6">
              <w:t>Largely unmodified</w:t>
            </w:r>
            <w:r w:rsidR="007339E7">
              <w:t>/Excellent</w:t>
            </w:r>
          </w:p>
        </w:tc>
      </w:tr>
      <w:tr w:rsidR="002E39B6" w:rsidRPr="002E39B6" w14:paraId="5F4E6A0E" w14:textId="77777777" w:rsidTr="007C032F">
        <w:tc>
          <w:tcPr>
            <w:cnfStyle w:val="001000000000" w:firstRow="0" w:lastRow="0" w:firstColumn="1" w:lastColumn="0" w:oddVBand="0" w:evenVBand="0" w:oddHBand="0" w:evenHBand="0" w:firstRowFirstColumn="0" w:firstRowLastColumn="0" w:lastRowFirstColumn="0" w:lastRowLastColumn="0"/>
            <w:tcW w:w="1300" w:type="pct"/>
            <w:shd w:val="clear" w:color="auto" w:fill="EDEAC4" w:themeFill="accent3" w:themeFillTint="66"/>
          </w:tcPr>
          <w:p w14:paraId="38EC1ABE" w14:textId="77777777" w:rsidR="002E39B6" w:rsidRPr="002E39B6" w:rsidRDefault="002E39B6" w:rsidP="00567101">
            <w:pPr>
              <w:rPr>
                <w:b w:val="0"/>
              </w:rPr>
            </w:pPr>
            <w:r w:rsidRPr="002E39B6">
              <w:rPr>
                <w:b w:val="0"/>
              </w:rPr>
              <w:t>Acceptable</w:t>
            </w:r>
          </w:p>
        </w:tc>
        <w:tc>
          <w:tcPr>
            <w:tcW w:w="1060" w:type="pct"/>
            <w:shd w:val="clear" w:color="auto" w:fill="EDEAC4" w:themeFill="accent3" w:themeFillTint="66"/>
          </w:tcPr>
          <w:p w14:paraId="54CAB859" w14:textId="77777777" w:rsidR="002E39B6" w:rsidRPr="002E39B6" w:rsidRDefault="002E39B6" w:rsidP="00567101">
            <w:pPr>
              <w:jc w:val="center"/>
              <w:cnfStyle w:val="000000000000" w:firstRow="0" w:lastRow="0" w:firstColumn="0" w:lastColumn="0" w:oddVBand="0" w:evenVBand="0" w:oddHBand="0" w:evenHBand="0" w:firstRowFirstColumn="0" w:firstRowLastColumn="0" w:lastRowFirstColumn="0" w:lastRowLastColumn="0"/>
            </w:pPr>
            <w:r w:rsidRPr="002E39B6">
              <w:t>2–3</w:t>
            </w:r>
          </w:p>
        </w:tc>
        <w:tc>
          <w:tcPr>
            <w:tcW w:w="931" w:type="pct"/>
            <w:shd w:val="clear" w:color="auto" w:fill="EBF2F1" w:themeFill="accent2" w:themeFillTint="33"/>
          </w:tcPr>
          <w:p w14:paraId="000F198F" w14:textId="77777777" w:rsidR="002E39B6" w:rsidRPr="002E39B6" w:rsidRDefault="002E39B6" w:rsidP="00567101">
            <w:pPr>
              <w:jc w:val="center"/>
              <w:cnfStyle w:val="000000000000" w:firstRow="0" w:lastRow="0" w:firstColumn="0" w:lastColumn="0" w:oddVBand="0" w:evenVBand="0" w:oddHBand="0" w:evenHBand="0" w:firstRowFirstColumn="0" w:firstRowLastColumn="0" w:lastRowFirstColumn="0" w:lastRowLastColumn="0"/>
            </w:pPr>
            <w:r w:rsidRPr="002E39B6">
              <w:t>0.6–0.79</w:t>
            </w:r>
          </w:p>
        </w:tc>
        <w:tc>
          <w:tcPr>
            <w:tcW w:w="1709" w:type="pct"/>
            <w:shd w:val="clear" w:color="auto" w:fill="EBF2F1" w:themeFill="accent2" w:themeFillTint="33"/>
          </w:tcPr>
          <w:p w14:paraId="5E5433A7" w14:textId="67428754" w:rsidR="002E39B6" w:rsidRPr="002E39B6" w:rsidRDefault="002E39B6" w:rsidP="00567101">
            <w:pPr>
              <w:cnfStyle w:val="000000000000" w:firstRow="0" w:lastRow="0" w:firstColumn="0" w:lastColumn="0" w:oddVBand="0" w:evenVBand="0" w:oddHBand="0" w:evenHBand="0" w:firstRowFirstColumn="0" w:firstRowLastColumn="0" w:lastRowFirstColumn="0" w:lastRowLastColumn="0"/>
            </w:pPr>
            <w:r w:rsidRPr="002E39B6">
              <w:t>Slightly modified</w:t>
            </w:r>
            <w:r w:rsidR="007339E7">
              <w:t>/Very good</w:t>
            </w:r>
          </w:p>
        </w:tc>
      </w:tr>
      <w:tr w:rsidR="002E39B6" w:rsidRPr="002E39B6" w14:paraId="5D3F4055" w14:textId="77777777" w:rsidTr="007C0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tcPr>
          <w:p w14:paraId="5E478123" w14:textId="77777777" w:rsidR="002E39B6" w:rsidRPr="002E39B6" w:rsidRDefault="002E39B6" w:rsidP="00567101">
            <w:pPr>
              <w:rPr>
                <w:b w:val="0"/>
              </w:rPr>
            </w:pPr>
            <w:r w:rsidRPr="002E39B6">
              <w:rPr>
                <w:b w:val="0"/>
              </w:rPr>
              <w:t>Poor</w:t>
            </w:r>
          </w:p>
        </w:tc>
        <w:tc>
          <w:tcPr>
            <w:tcW w:w="1060" w:type="pct"/>
          </w:tcPr>
          <w:p w14:paraId="783204B0" w14:textId="77777777" w:rsidR="002E39B6" w:rsidRPr="002E39B6" w:rsidRDefault="002E39B6" w:rsidP="00567101">
            <w:pPr>
              <w:jc w:val="center"/>
              <w:cnfStyle w:val="000000100000" w:firstRow="0" w:lastRow="0" w:firstColumn="0" w:lastColumn="0" w:oddVBand="0" w:evenVBand="0" w:oddHBand="1" w:evenHBand="0" w:firstRowFirstColumn="0" w:firstRowLastColumn="0" w:lastRowFirstColumn="0" w:lastRowLastColumn="0"/>
            </w:pPr>
            <w:r w:rsidRPr="002E39B6">
              <w:t>3–4</w:t>
            </w:r>
          </w:p>
        </w:tc>
        <w:tc>
          <w:tcPr>
            <w:tcW w:w="931" w:type="pct"/>
            <w:shd w:val="clear" w:color="auto" w:fill="EBF2F1" w:themeFill="accent2" w:themeFillTint="33"/>
          </w:tcPr>
          <w:p w14:paraId="31EAC023" w14:textId="77777777" w:rsidR="002E39B6" w:rsidRPr="002E39B6" w:rsidRDefault="002E39B6" w:rsidP="00567101">
            <w:pPr>
              <w:jc w:val="center"/>
              <w:cnfStyle w:val="000000100000" w:firstRow="0" w:lastRow="0" w:firstColumn="0" w:lastColumn="0" w:oddVBand="0" w:evenVBand="0" w:oddHBand="1" w:evenHBand="0" w:firstRowFirstColumn="0" w:firstRowLastColumn="0" w:lastRowFirstColumn="0" w:lastRowLastColumn="0"/>
            </w:pPr>
            <w:r w:rsidRPr="002E39B6">
              <w:t>0.4–0.59</w:t>
            </w:r>
          </w:p>
        </w:tc>
        <w:tc>
          <w:tcPr>
            <w:tcW w:w="1709" w:type="pct"/>
            <w:shd w:val="clear" w:color="auto" w:fill="EBF2F1" w:themeFill="accent2" w:themeFillTint="33"/>
          </w:tcPr>
          <w:p w14:paraId="15D9BD48" w14:textId="7E4E83AB" w:rsidR="002E39B6" w:rsidRPr="002E39B6" w:rsidRDefault="002E39B6" w:rsidP="00567101">
            <w:pPr>
              <w:cnfStyle w:val="000000100000" w:firstRow="0" w:lastRow="0" w:firstColumn="0" w:lastColumn="0" w:oddVBand="0" w:evenVBand="0" w:oddHBand="1" w:evenHBand="0" w:firstRowFirstColumn="0" w:firstRowLastColumn="0" w:lastRowFirstColumn="0" w:lastRowLastColumn="0"/>
            </w:pPr>
            <w:r w:rsidRPr="002E39B6">
              <w:t>Moderately modified</w:t>
            </w:r>
            <w:r w:rsidR="007339E7">
              <w:t>/Good</w:t>
            </w:r>
          </w:p>
        </w:tc>
      </w:tr>
      <w:tr w:rsidR="002E39B6" w:rsidRPr="002E39B6" w14:paraId="765155E3" w14:textId="77777777" w:rsidTr="007C032F">
        <w:tc>
          <w:tcPr>
            <w:cnfStyle w:val="001000000000" w:firstRow="0" w:lastRow="0" w:firstColumn="1" w:lastColumn="0" w:oddVBand="0" w:evenVBand="0" w:oddHBand="0" w:evenHBand="0" w:firstRowFirstColumn="0" w:firstRowLastColumn="0" w:lastRowFirstColumn="0" w:lastRowLastColumn="0"/>
            <w:tcW w:w="1300" w:type="pct"/>
          </w:tcPr>
          <w:p w14:paraId="5E93DA2A" w14:textId="77777777" w:rsidR="002E39B6" w:rsidRPr="002E39B6" w:rsidRDefault="002E39B6" w:rsidP="00567101">
            <w:pPr>
              <w:rPr>
                <w:b w:val="0"/>
              </w:rPr>
            </w:pPr>
            <w:r w:rsidRPr="002E39B6">
              <w:rPr>
                <w:b w:val="0"/>
              </w:rPr>
              <w:t>Very poor</w:t>
            </w:r>
          </w:p>
        </w:tc>
        <w:tc>
          <w:tcPr>
            <w:tcW w:w="1060" w:type="pct"/>
          </w:tcPr>
          <w:p w14:paraId="69255C90" w14:textId="77777777" w:rsidR="002E39B6" w:rsidRPr="002E39B6" w:rsidRDefault="002E39B6" w:rsidP="00567101">
            <w:pPr>
              <w:jc w:val="center"/>
              <w:cnfStyle w:val="000000000000" w:firstRow="0" w:lastRow="0" w:firstColumn="0" w:lastColumn="0" w:oddVBand="0" w:evenVBand="0" w:oddHBand="0" w:evenHBand="0" w:firstRowFirstColumn="0" w:firstRowLastColumn="0" w:lastRowFirstColumn="0" w:lastRowLastColumn="0"/>
            </w:pPr>
            <w:r w:rsidRPr="002E39B6">
              <w:t>4–5</w:t>
            </w:r>
          </w:p>
        </w:tc>
        <w:tc>
          <w:tcPr>
            <w:tcW w:w="931" w:type="pct"/>
          </w:tcPr>
          <w:p w14:paraId="595D0250" w14:textId="77777777" w:rsidR="002E39B6" w:rsidRPr="002E39B6" w:rsidRDefault="002E39B6" w:rsidP="00567101">
            <w:pPr>
              <w:jc w:val="center"/>
              <w:cnfStyle w:val="000000000000" w:firstRow="0" w:lastRow="0" w:firstColumn="0" w:lastColumn="0" w:oddVBand="0" w:evenVBand="0" w:oddHBand="0" w:evenHBand="0" w:firstRowFirstColumn="0" w:firstRowLastColumn="0" w:lastRowFirstColumn="0" w:lastRowLastColumn="0"/>
            </w:pPr>
            <w:r w:rsidRPr="002E39B6">
              <w:t>0.2–0.39</w:t>
            </w:r>
          </w:p>
        </w:tc>
        <w:tc>
          <w:tcPr>
            <w:tcW w:w="1709" w:type="pct"/>
          </w:tcPr>
          <w:p w14:paraId="602E9685" w14:textId="251E4304" w:rsidR="002E39B6" w:rsidRPr="002E39B6" w:rsidRDefault="002E39B6" w:rsidP="00567101">
            <w:pPr>
              <w:cnfStyle w:val="000000000000" w:firstRow="0" w:lastRow="0" w:firstColumn="0" w:lastColumn="0" w:oddVBand="0" w:evenVBand="0" w:oddHBand="0" w:evenHBand="0" w:firstRowFirstColumn="0" w:firstRowLastColumn="0" w:lastRowFirstColumn="0" w:lastRowLastColumn="0"/>
            </w:pPr>
            <w:r w:rsidRPr="002E39B6">
              <w:t>Substantially modified</w:t>
            </w:r>
            <w:r w:rsidR="007339E7">
              <w:t>/Fair</w:t>
            </w:r>
          </w:p>
        </w:tc>
      </w:tr>
      <w:tr w:rsidR="002E39B6" w:rsidRPr="002E39B6" w14:paraId="51322A63" w14:textId="77777777" w:rsidTr="007C0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tcPr>
          <w:p w14:paraId="2958E30C" w14:textId="77777777" w:rsidR="002E39B6" w:rsidRPr="002E39B6" w:rsidRDefault="002E39B6" w:rsidP="00567101">
            <w:pPr>
              <w:rPr>
                <w:b w:val="0"/>
              </w:rPr>
            </w:pPr>
            <w:r w:rsidRPr="002E39B6">
              <w:rPr>
                <w:b w:val="0"/>
              </w:rPr>
              <w:t>Dire</w:t>
            </w:r>
          </w:p>
        </w:tc>
        <w:tc>
          <w:tcPr>
            <w:tcW w:w="1060" w:type="pct"/>
          </w:tcPr>
          <w:p w14:paraId="520B0752" w14:textId="77777777" w:rsidR="002E39B6" w:rsidRPr="002E39B6" w:rsidRDefault="002E39B6" w:rsidP="00567101">
            <w:pPr>
              <w:jc w:val="center"/>
              <w:cnfStyle w:val="000000100000" w:firstRow="0" w:lastRow="0" w:firstColumn="0" w:lastColumn="0" w:oddVBand="0" w:evenVBand="0" w:oddHBand="1" w:evenHBand="0" w:firstRowFirstColumn="0" w:firstRowLastColumn="0" w:lastRowFirstColumn="0" w:lastRowLastColumn="0"/>
            </w:pPr>
            <w:r w:rsidRPr="002E39B6">
              <w:t>5–6</w:t>
            </w:r>
          </w:p>
        </w:tc>
        <w:tc>
          <w:tcPr>
            <w:tcW w:w="931" w:type="pct"/>
          </w:tcPr>
          <w:p w14:paraId="0C24A4F7" w14:textId="77777777" w:rsidR="002E39B6" w:rsidRPr="002E39B6" w:rsidRDefault="002E39B6" w:rsidP="00567101">
            <w:pPr>
              <w:jc w:val="center"/>
              <w:cnfStyle w:val="000000100000" w:firstRow="0" w:lastRow="0" w:firstColumn="0" w:lastColumn="0" w:oddVBand="0" w:evenVBand="0" w:oddHBand="1" w:evenHBand="0" w:firstRowFirstColumn="0" w:firstRowLastColumn="0" w:lastRowFirstColumn="0" w:lastRowLastColumn="0"/>
            </w:pPr>
            <w:r w:rsidRPr="002E39B6">
              <w:t>0.0–0.19</w:t>
            </w:r>
          </w:p>
        </w:tc>
        <w:tc>
          <w:tcPr>
            <w:tcW w:w="1709" w:type="pct"/>
          </w:tcPr>
          <w:p w14:paraId="74D958D7" w14:textId="14FDA8BA" w:rsidR="002E39B6" w:rsidRPr="002E39B6" w:rsidRDefault="002E39B6" w:rsidP="00567101">
            <w:pPr>
              <w:cnfStyle w:val="000000100000" w:firstRow="0" w:lastRow="0" w:firstColumn="0" w:lastColumn="0" w:oddVBand="0" w:evenVBand="0" w:oddHBand="1" w:evenHBand="0" w:firstRowFirstColumn="0" w:firstRowLastColumn="0" w:lastRowFirstColumn="0" w:lastRowLastColumn="0"/>
            </w:pPr>
            <w:r w:rsidRPr="002E39B6">
              <w:t>Severely modified</w:t>
            </w:r>
            <w:r w:rsidR="007339E7">
              <w:t>/Poor</w:t>
            </w:r>
          </w:p>
        </w:tc>
      </w:tr>
    </w:tbl>
    <w:p w14:paraId="6A402925" w14:textId="77777777" w:rsidR="002E39B6" w:rsidRDefault="002E39B6" w:rsidP="00E32DD7">
      <w:pPr>
        <w:shd w:val="clear" w:color="auto" w:fill="F6F4E1" w:themeFill="accent3" w:themeFillTint="33"/>
        <w:spacing w:after="0" w:line="240" w:lineRule="auto"/>
      </w:pPr>
    </w:p>
    <w:p w14:paraId="0C910297" w14:textId="2F716606" w:rsidR="002E39B6" w:rsidRDefault="00866E6B" w:rsidP="00E32DD7">
      <w:pPr>
        <w:spacing w:after="0" w:line="240" w:lineRule="auto"/>
      </w:pPr>
      <w:r>
        <w:rPr>
          <w:noProof/>
          <w:lang w:eastAsia="en-AU"/>
        </w:rPr>
        <w:drawing>
          <wp:inline distT="0" distB="0" distL="0" distR="0" wp14:anchorId="2C63CFD2" wp14:editId="065AAE91">
            <wp:extent cx="5731510" cy="222440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sion of LEB fish to IECA corrected.png"/>
                    <pic:cNvPicPr/>
                  </pic:nvPicPr>
                  <pic:blipFill>
                    <a:blip r:embed="rId84">
                      <a:extLst>
                        <a:ext uri="{28A0092B-C50C-407E-A947-70E740481C1C}">
                          <a14:useLocalDpi xmlns:a14="http://schemas.microsoft.com/office/drawing/2010/main" val="0"/>
                        </a:ext>
                      </a:extLst>
                    </a:blip>
                    <a:stretch>
                      <a:fillRect/>
                    </a:stretch>
                  </pic:blipFill>
                  <pic:spPr>
                    <a:xfrm>
                      <a:off x="0" y="0"/>
                      <a:ext cx="5731510" cy="2224405"/>
                    </a:xfrm>
                    <a:prstGeom prst="rect">
                      <a:avLst/>
                    </a:prstGeom>
                  </pic:spPr>
                </pic:pic>
              </a:graphicData>
            </a:graphic>
          </wp:inline>
        </w:drawing>
      </w:r>
    </w:p>
    <w:p w14:paraId="321D208A" w14:textId="341D1E90" w:rsidR="002E39B6" w:rsidRPr="008D1E3C" w:rsidRDefault="00866E6B" w:rsidP="007C032F">
      <w:pPr>
        <w:pStyle w:val="Caption"/>
        <w:shd w:val="clear" w:color="auto" w:fill="F6F4E1" w:themeFill="accent3" w:themeFillTint="33"/>
        <w:rPr>
          <w:color w:val="797325" w:themeColor="accent3" w:themeShade="80"/>
        </w:rPr>
      </w:pPr>
      <w:bookmarkStart w:id="91" w:name="_Ref479269259"/>
      <w:r w:rsidRPr="008D1E3C">
        <w:rPr>
          <w:color w:val="797325" w:themeColor="accent3" w:themeShade="80"/>
        </w:rPr>
        <w:t xml:space="preserve">Figure </w:t>
      </w:r>
      <w:r w:rsidR="006C66F3" w:rsidRPr="008D1E3C">
        <w:rPr>
          <w:color w:val="797325" w:themeColor="accent3" w:themeShade="80"/>
        </w:rPr>
        <w:fldChar w:fldCharType="begin"/>
      </w:r>
      <w:r w:rsidR="006C66F3" w:rsidRPr="008D1E3C">
        <w:rPr>
          <w:color w:val="797325" w:themeColor="accent3" w:themeShade="80"/>
        </w:rPr>
        <w:instrText xml:space="preserve"> SEQ Figure \* ARABIC </w:instrText>
      </w:r>
      <w:r w:rsidR="006C66F3" w:rsidRPr="008D1E3C">
        <w:rPr>
          <w:color w:val="797325" w:themeColor="accent3" w:themeShade="80"/>
        </w:rPr>
        <w:fldChar w:fldCharType="separate"/>
      </w:r>
      <w:r w:rsidR="005F359C">
        <w:rPr>
          <w:noProof/>
          <w:color w:val="797325" w:themeColor="accent3" w:themeShade="80"/>
        </w:rPr>
        <w:t>15</w:t>
      </w:r>
      <w:r w:rsidR="006C66F3" w:rsidRPr="008D1E3C">
        <w:rPr>
          <w:noProof/>
          <w:color w:val="797325" w:themeColor="accent3" w:themeShade="80"/>
        </w:rPr>
        <w:fldChar w:fldCharType="end"/>
      </w:r>
      <w:bookmarkEnd w:id="91"/>
      <w:r w:rsidR="00FD50A9">
        <w:rPr>
          <w:noProof/>
          <w:color w:val="797325" w:themeColor="accent3" w:themeShade="80"/>
        </w:rPr>
        <w:t>:</w:t>
      </w:r>
      <w:r w:rsidRPr="008D1E3C">
        <w:rPr>
          <w:color w:val="797325" w:themeColor="accent3" w:themeShade="80"/>
        </w:rPr>
        <w:t xml:space="preserve"> </w:t>
      </w:r>
      <w:r w:rsidR="00D91972">
        <w:rPr>
          <w:color w:val="797325" w:themeColor="accent3" w:themeShade="80"/>
        </w:rPr>
        <w:t>F</w:t>
      </w:r>
      <w:r w:rsidR="002E39B6" w:rsidRPr="008D1E3C">
        <w:rPr>
          <w:color w:val="797325" w:themeColor="accent3" w:themeShade="80"/>
        </w:rPr>
        <w:t>ish community condition results for five catchments</w:t>
      </w:r>
      <w:r w:rsidR="00D91972">
        <w:rPr>
          <w:color w:val="797325" w:themeColor="accent3" w:themeShade="80"/>
        </w:rPr>
        <w:t xml:space="preserve"> in the Lake Eyre Basin</w:t>
      </w:r>
      <w:r w:rsidR="002E39B6" w:rsidRPr="008D1E3C">
        <w:rPr>
          <w:color w:val="797325" w:themeColor="accent3" w:themeShade="80"/>
        </w:rPr>
        <w:t xml:space="preserve"> (adapted from</w:t>
      </w:r>
      <w:r w:rsidR="00D91972">
        <w:rPr>
          <w:color w:val="797325" w:themeColor="accent3" w:themeShade="80"/>
        </w:rPr>
        <w:t xml:space="preserve"> DAWR 2017</w:t>
      </w:r>
      <w:r w:rsidR="002E39B6" w:rsidRPr="008D1E3C">
        <w:rPr>
          <w:color w:val="797325" w:themeColor="accent3" w:themeShade="80"/>
        </w:rPr>
        <w:t>) converted to IECA Bands. Note the direction of the Y axis is inverse</w:t>
      </w:r>
      <w:r w:rsidRPr="008D1E3C">
        <w:rPr>
          <w:color w:val="797325" w:themeColor="accent3" w:themeShade="80"/>
        </w:rPr>
        <w:t xml:space="preserve"> and different scales</w:t>
      </w:r>
      <w:r w:rsidR="002E39B6" w:rsidRPr="008D1E3C">
        <w:rPr>
          <w:color w:val="797325" w:themeColor="accent3" w:themeShade="80"/>
        </w:rPr>
        <w:t>.</w:t>
      </w:r>
    </w:p>
    <w:p w14:paraId="5691BDE8" w14:textId="77777777" w:rsidR="00FB021F" w:rsidRPr="004E7EB5" w:rsidRDefault="00FB021F" w:rsidP="00FB021F">
      <w:pPr>
        <w:rPr>
          <w:b/>
          <w:i/>
          <w:color w:val="8C863E" w:themeColor="background2" w:themeShade="80"/>
          <w:sz w:val="24"/>
          <w:szCs w:val="24"/>
        </w:rPr>
      </w:pPr>
      <w:r w:rsidRPr="004E7EB5">
        <w:rPr>
          <w:b/>
          <w:i/>
          <w:color w:val="8C863E" w:themeColor="background2" w:themeShade="80"/>
          <w:sz w:val="24"/>
          <w:szCs w:val="24"/>
        </w:rPr>
        <w:lastRenderedPageBreak/>
        <w:t>Other resources</w:t>
      </w:r>
    </w:p>
    <w:p w14:paraId="302F4A1E" w14:textId="77777777" w:rsidR="00FB021F" w:rsidRPr="00A33684" w:rsidRDefault="00FB021F" w:rsidP="00FB021F">
      <w:pPr>
        <w:pStyle w:val="ListParagraph"/>
        <w:numPr>
          <w:ilvl w:val="0"/>
          <w:numId w:val="52"/>
        </w:numPr>
      </w:pPr>
      <w:r w:rsidRPr="00A33684">
        <w:t xml:space="preserve">Langhans, S.D., Lienert, J., Schuwirth, N., and Reichert, P. (2013). How to make river assessments comparable: A demonstration for hydromorphology. Ecological Indicators </w:t>
      </w:r>
      <w:r w:rsidRPr="00A33684">
        <w:rPr>
          <w:bCs/>
        </w:rPr>
        <w:t>32</w:t>
      </w:r>
      <w:r w:rsidRPr="00A33684">
        <w:t>: 264–275. doi:10.1016/j.ecolind.2013.03.027.</w:t>
      </w:r>
    </w:p>
    <w:p w14:paraId="213B3CC3" w14:textId="77777777" w:rsidR="00FB021F" w:rsidRPr="00A33684" w:rsidRDefault="00FB021F" w:rsidP="00FB021F">
      <w:pPr>
        <w:pStyle w:val="ListParagraph"/>
        <w:numPr>
          <w:ilvl w:val="0"/>
          <w:numId w:val="52"/>
        </w:numPr>
      </w:pPr>
      <w:r w:rsidRPr="00A33684">
        <w:t xml:space="preserve">Langhans, S.D., Reichert, P., and Schuwirth, N. (2014). The method matters: A guide for indicator aggregation in ecological assessments. Ecological Indicators </w:t>
      </w:r>
      <w:r w:rsidRPr="00A33684">
        <w:rPr>
          <w:bCs/>
        </w:rPr>
        <w:t>45</w:t>
      </w:r>
      <w:r w:rsidRPr="00A33684">
        <w:t>: 494–507. doi:10.1016/j.ecolind.2014.05.014.</w:t>
      </w:r>
    </w:p>
    <w:p w14:paraId="7896D2D6" w14:textId="77777777" w:rsidR="00FB021F" w:rsidRPr="00A33684" w:rsidRDefault="00FB021F" w:rsidP="00FB021F">
      <w:pPr>
        <w:pStyle w:val="ListParagraph"/>
        <w:numPr>
          <w:ilvl w:val="0"/>
          <w:numId w:val="52"/>
        </w:numPr>
      </w:pPr>
      <w:r w:rsidRPr="00A33684">
        <w:t xml:space="preserve">Larsen, D.P., Olsen, A.R., Lanigan, S.H., Moyer, C., Jones, K.K., and Kincaid, T.M. (2007). Sound Survey Designs can Facilitate Integrating Stream Monitoring Data Across Multiple Programs. Journal of the American Water Resources Association </w:t>
      </w:r>
      <w:r w:rsidRPr="00A33684">
        <w:rPr>
          <w:bCs/>
        </w:rPr>
        <w:t>43</w:t>
      </w:r>
      <w:r w:rsidRPr="00A33684">
        <w:t>(2): 384–397. doi:10.1111/j.1752-1688.2007.00030.x.</w:t>
      </w:r>
    </w:p>
    <w:p w14:paraId="4D235F51" w14:textId="77777777" w:rsidR="00FB021F" w:rsidRPr="00A33684" w:rsidRDefault="00FB021F" w:rsidP="00FB021F">
      <w:pPr>
        <w:pStyle w:val="ListParagraph"/>
        <w:numPr>
          <w:ilvl w:val="0"/>
          <w:numId w:val="52"/>
        </w:numPr>
        <w:jc w:val="left"/>
      </w:pPr>
      <w:r w:rsidRPr="00A33684">
        <w:t>Jackson, L.E., Kurtz, J.C., and Fisher, W.S., eds. (2000). Evaluation Guidelines for Ecological Indicators. EPA/620/R-99/005. U.S. Environmental Protection Agency, Office of Research and Development, Research Triangle Park, NC. 107 p.</w:t>
      </w:r>
    </w:p>
    <w:p w14:paraId="610C7EC4" w14:textId="77777777" w:rsidR="00FB021F" w:rsidRPr="004E7EB5" w:rsidRDefault="00FB021F" w:rsidP="00FB021F">
      <w:pPr>
        <w:rPr>
          <w:b/>
          <w:i/>
          <w:color w:val="8C863E" w:themeColor="background2" w:themeShade="80"/>
          <w:sz w:val="24"/>
          <w:szCs w:val="24"/>
        </w:rPr>
      </w:pPr>
      <w:r w:rsidRPr="004E7EB5">
        <w:rPr>
          <w:b/>
          <w:i/>
          <w:color w:val="8C863E" w:themeColor="background2" w:themeShade="80"/>
          <w:sz w:val="24"/>
          <w:szCs w:val="24"/>
        </w:rPr>
        <w:t>Assumptions and Knowledge gaps</w:t>
      </w:r>
    </w:p>
    <w:p w14:paraId="376804F6" w14:textId="77777777" w:rsidR="00FB021F" w:rsidRPr="004E7EB5" w:rsidRDefault="00FB021F" w:rsidP="00FB021F">
      <w:r>
        <w:t>Clear statement defining the integration method used and justification for the ecological categories included and the reasoning for their assigned weights in integration.</w:t>
      </w:r>
    </w:p>
    <w:p w14:paraId="2C933074" w14:textId="77777777" w:rsidR="00FB021F" w:rsidRPr="004E7EB5" w:rsidRDefault="00FB021F" w:rsidP="00FB021F">
      <w:pPr>
        <w:rPr>
          <w:b/>
          <w:i/>
          <w:color w:val="8C863E" w:themeColor="background2" w:themeShade="80"/>
          <w:sz w:val="24"/>
          <w:szCs w:val="24"/>
        </w:rPr>
      </w:pPr>
      <w:r w:rsidRPr="004E7EB5">
        <w:rPr>
          <w:b/>
          <w:i/>
          <w:color w:val="8C863E" w:themeColor="background2" w:themeShade="80"/>
          <w:sz w:val="24"/>
          <w:szCs w:val="24"/>
        </w:rPr>
        <w:t>Outputs</w:t>
      </w:r>
    </w:p>
    <w:p w14:paraId="25B698E0" w14:textId="77777777" w:rsidR="00FB021F" w:rsidRDefault="00FB021F" w:rsidP="00FB021F">
      <w:pPr>
        <w:shd w:val="clear" w:color="auto" w:fill="C3D8D7" w:themeFill="accent2" w:themeFillTint="99"/>
      </w:pPr>
      <w:r>
        <w:t>The required outputs of Step 7 are:</w:t>
      </w:r>
    </w:p>
    <w:p w14:paraId="69138ED5" w14:textId="77777777" w:rsidR="00FB021F" w:rsidRDefault="00FB021F" w:rsidP="00FB021F">
      <w:pPr>
        <w:pStyle w:val="ListParagraph"/>
        <w:numPr>
          <w:ilvl w:val="0"/>
          <w:numId w:val="4"/>
        </w:numPr>
        <w:shd w:val="clear" w:color="auto" w:fill="C3D8D7" w:themeFill="accent2" w:themeFillTint="99"/>
        <w:spacing w:after="120" w:line="288" w:lineRule="auto"/>
        <w:jc w:val="left"/>
      </w:pPr>
      <w:r>
        <w:t>Individual scores for Level 1 and Level 2 of integration for the assessment unit that are harmonised to a 0 to 1 grade;</w:t>
      </w:r>
      <w:r w:rsidRPr="00223AA7">
        <w:t xml:space="preserve"> </w:t>
      </w:r>
    </w:p>
    <w:p w14:paraId="42084F57" w14:textId="53D89A31" w:rsidR="00630316" w:rsidRDefault="00630316" w:rsidP="00FB021F">
      <w:pPr>
        <w:pStyle w:val="ListParagraph"/>
        <w:numPr>
          <w:ilvl w:val="0"/>
          <w:numId w:val="4"/>
        </w:numPr>
        <w:shd w:val="clear" w:color="auto" w:fill="C3D8D7" w:themeFill="accent2" w:themeFillTint="99"/>
        <w:spacing w:after="120" w:line="288" w:lineRule="auto"/>
        <w:jc w:val="left"/>
      </w:pPr>
      <w:r>
        <w:t>Documentation of how harmonisation was undertaken;</w:t>
      </w:r>
    </w:p>
    <w:p w14:paraId="2E5B69D5" w14:textId="77777777" w:rsidR="00FB021F" w:rsidRDefault="00FB021F" w:rsidP="00FB021F">
      <w:pPr>
        <w:pStyle w:val="ListParagraph"/>
        <w:numPr>
          <w:ilvl w:val="0"/>
          <w:numId w:val="4"/>
        </w:numPr>
        <w:shd w:val="clear" w:color="auto" w:fill="C3D8D7" w:themeFill="accent2" w:themeFillTint="99"/>
        <w:spacing w:after="120" w:line="288" w:lineRule="auto"/>
        <w:jc w:val="left"/>
      </w:pPr>
      <w:r>
        <w:t>Separate outputs for condition and threats to ecological values for each scale of assessment; and</w:t>
      </w:r>
    </w:p>
    <w:p w14:paraId="03F7CBCD" w14:textId="77777777" w:rsidR="00FB021F" w:rsidRPr="004E7EB5" w:rsidRDefault="00FB021F" w:rsidP="00FB021F">
      <w:pPr>
        <w:pStyle w:val="ListParagraph"/>
        <w:numPr>
          <w:ilvl w:val="0"/>
          <w:numId w:val="4"/>
        </w:numPr>
        <w:shd w:val="clear" w:color="auto" w:fill="C3D8D7" w:themeFill="accent2" w:themeFillTint="99"/>
        <w:spacing w:after="120" w:line="288" w:lineRule="auto"/>
        <w:jc w:val="left"/>
      </w:pPr>
      <w:r>
        <w:t>Reporting of the score using the agreed IECA bands.</w:t>
      </w:r>
    </w:p>
    <w:p w14:paraId="54522C85" w14:textId="6F82DB3B" w:rsidR="00FB021F" w:rsidRDefault="00FB021F" w:rsidP="00FB021F"/>
    <w:p w14:paraId="4FA038CC" w14:textId="77777777" w:rsidR="007A08D5" w:rsidRPr="004E7EB5" w:rsidRDefault="007A08D5" w:rsidP="007A08D5"/>
    <w:p w14:paraId="418405B7" w14:textId="77777777" w:rsidR="007A08D5" w:rsidRPr="004E7EB5" w:rsidRDefault="007A08D5" w:rsidP="007A08D5">
      <w:pPr>
        <w:sectPr w:rsidR="007A08D5" w:rsidRPr="004E7EB5" w:rsidSect="00CA2773">
          <w:headerReference w:type="even" r:id="rId85"/>
          <w:headerReference w:type="default" r:id="rId86"/>
          <w:headerReference w:type="first" r:id="rId87"/>
          <w:pgSz w:w="11906" w:h="16838"/>
          <w:pgMar w:top="1440" w:right="1440" w:bottom="1440" w:left="1440" w:header="708" w:footer="708" w:gutter="0"/>
          <w:cols w:space="708"/>
          <w:docGrid w:linePitch="360"/>
        </w:sectPr>
      </w:pPr>
    </w:p>
    <w:p w14:paraId="6F070449" w14:textId="3AD226C7" w:rsidR="00B27B0F" w:rsidRPr="004E7EB5" w:rsidRDefault="00B27B0F" w:rsidP="006E6D41">
      <w:pPr>
        <w:pStyle w:val="Heading2"/>
      </w:pPr>
      <w:bookmarkStart w:id="92" w:name="_Toc493774225"/>
      <w:r w:rsidRPr="004E7EB5">
        <w:lastRenderedPageBreak/>
        <w:t>Step</w:t>
      </w:r>
      <w:r w:rsidR="0035618C" w:rsidRPr="004E7EB5">
        <w:t xml:space="preserve"> </w:t>
      </w:r>
      <w:r w:rsidR="001F0F1D" w:rsidRPr="004E7EB5">
        <w:t>8</w:t>
      </w:r>
      <w:r w:rsidRPr="004E7EB5">
        <w:t>: Develop Report Card</w:t>
      </w:r>
      <w:bookmarkEnd w:id="92"/>
      <w:r w:rsidR="003B3A89">
        <w:t xml:space="preserve"> </w:t>
      </w:r>
    </w:p>
    <w:p w14:paraId="35BB5148" w14:textId="535538C2" w:rsidR="0030735D" w:rsidRDefault="00B54201" w:rsidP="0030735D">
      <w:pPr>
        <w:rPr>
          <w:rFonts w:eastAsia="Calibri"/>
          <w:szCs w:val="22"/>
        </w:rPr>
      </w:pPr>
      <w:r>
        <w:t>Integrated scores are really a starting point for reporting.  They are rarely the endpoint and seldom used for setting policy.  Rather, they are a tool for comparisons or ranking of assessment units. It is important that assessments include descriptions of how the indicators are related to the integrated score, and allow for individual indicators to be reported when desired. Report cards seek to distil and communicate important information to an audience in a way that is accessible, even when there is a large amount of complex information.</w:t>
      </w:r>
      <w:r w:rsidR="0030735D" w:rsidRPr="0030735D">
        <w:rPr>
          <w:rFonts w:eastAsia="Calibri"/>
          <w:szCs w:val="22"/>
        </w:rPr>
        <w:t xml:space="preserve"> </w:t>
      </w:r>
    </w:p>
    <w:p w14:paraId="09F95510" w14:textId="42D8E502" w:rsidR="0030735D" w:rsidRPr="006F00C6" w:rsidRDefault="00F151DE" w:rsidP="0030735D">
      <w:r>
        <w:rPr>
          <w:rFonts w:eastAsia="Calibri"/>
          <w:szCs w:val="22"/>
        </w:rPr>
        <w:t>T</w:t>
      </w:r>
      <w:r w:rsidR="0030735D" w:rsidRPr="006F00C6">
        <w:t xml:space="preserve">he presentation of </w:t>
      </w:r>
      <w:r w:rsidR="0030735D">
        <w:t xml:space="preserve">integrated assessments can influence how the target audience(s) might </w:t>
      </w:r>
      <w:r w:rsidR="0030735D" w:rsidRPr="006F00C6">
        <w:t>visualis</w:t>
      </w:r>
      <w:r w:rsidR="0030735D">
        <w:t xml:space="preserve">e, </w:t>
      </w:r>
      <w:r w:rsidR="0030735D" w:rsidRPr="006F00C6">
        <w:t>interpret</w:t>
      </w:r>
      <w:r w:rsidR="0030735D">
        <w:t xml:space="preserve"> and accept </w:t>
      </w:r>
      <w:r w:rsidR="0030735D" w:rsidRPr="006F00C6">
        <w:t xml:space="preserve">the results. Given the complexity </w:t>
      </w:r>
      <w:r w:rsidR="0030735D" w:rsidRPr="008662B0">
        <w:t xml:space="preserve">of </w:t>
      </w:r>
      <w:r w:rsidR="0030735D">
        <w:t>integrated assessment scores</w:t>
      </w:r>
      <w:r w:rsidR="0030735D" w:rsidRPr="006F00C6">
        <w:t>, neither the general public (media, citizens, etc.) nor policy-makers generally read methodological notes and “caveats”. Therefore, their comprehension of the results will be largely based on the “messages” transmitted through summary tables or charts.</w:t>
      </w:r>
    </w:p>
    <w:p w14:paraId="10DAE5E7" w14:textId="33D27AC1" w:rsidR="00B54201" w:rsidRDefault="0030735D" w:rsidP="0030735D">
      <w:r>
        <w:t xml:space="preserve">It is critical to recognise that integrated </w:t>
      </w:r>
      <w:r w:rsidR="00F4362A">
        <w:t>ecosystem condition</w:t>
      </w:r>
      <w:r>
        <w:t xml:space="preserve"> assessments merely </w:t>
      </w:r>
      <w:r w:rsidRPr="006F00C6">
        <w:t xml:space="preserve">provide a starting point for </w:t>
      </w:r>
      <w:r>
        <w:t xml:space="preserve">reporting and </w:t>
      </w:r>
      <w:r w:rsidRPr="006F00C6">
        <w:t xml:space="preserve">analysis, which then </w:t>
      </w:r>
      <w:r>
        <w:t xml:space="preserve">has </w:t>
      </w:r>
      <w:r w:rsidRPr="006F00C6">
        <w:t>to be deepened by going back to the</w:t>
      </w:r>
      <w:r w:rsidR="001D3B4B">
        <w:t xml:space="preserve"> ‘unpacked’</w:t>
      </w:r>
      <w:r w:rsidRPr="006F00C6">
        <w:t xml:space="preserve"> detail</w:t>
      </w:r>
      <w:r w:rsidR="001D3B4B">
        <w:t xml:space="preserve"> (e.g. of individual indicator values)</w:t>
      </w:r>
      <w:r w:rsidRPr="006F00C6">
        <w:t xml:space="preserve">. </w:t>
      </w:r>
      <w:r>
        <w:t>I</w:t>
      </w:r>
      <w:r w:rsidRPr="006F00C6">
        <w:t xml:space="preserve">f the way in which </w:t>
      </w:r>
      <w:r>
        <w:t>an</w:t>
      </w:r>
      <w:r w:rsidRPr="006F00C6">
        <w:t xml:space="preserve"> </w:t>
      </w:r>
      <w:r>
        <w:t xml:space="preserve">integrated assessment </w:t>
      </w:r>
      <w:r w:rsidRPr="006F00C6">
        <w:t>is built or disseminated does not allow users and analysts to go into the details, the</w:t>
      </w:r>
      <w:r>
        <w:t>n</w:t>
      </w:r>
      <w:r w:rsidRPr="006F00C6">
        <w:t xml:space="preserve"> overall credibility of the exercise </w:t>
      </w:r>
      <w:r>
        <w:t>may</w:t>
      </w:r>
      <w:r w:rsidRPr="006F00C6">
        <w:t xml:space="preserve"> be impaired.</w:t>
      </w:r>
    </w:p>
    <w:p w14:paraId="5C8AF700" w14:textId="0A6A6A92" w:rsidR="00087881" w:rsidRDefault="00087881" w:rsidP="0030735D">
      <w:pPr>
        <w:rPr>
          <w:szCs w:val="22"/>
        </w:rPr>
      </w:pPr>
      <w:r>
        <w:t xml:space="preserve">There are numerous formats and purposes for report cards, so prescriptive guidance is not applicable for IECA. Rather the guidance provided below presents the key considerations for developing a report card and points to key resources and examples developed under other programs. </w:t>
      </w:r>
    </w:p>
    <w:p w14:paraId="369C69AB" w14:textId="77777777" w:rsidR="00ED0493" w:rsidRDefault="00ED0493" w:rsidP="00ED0493">
      <w:pPr>
        <w:rPr>
          <w:rFonts w:eastAsia="Calibri"/>
          <w:szCs w:val="22"/>
        </w:rPr>
      </w:pPr>
      <w:r w:rsidRPr="004E7EB5">
        <w:rPr>
          <w:b/>
          <w:i/>
          <w:color w:val="8C863E" w:themeColor="background2" w:themeShade="80"/>
          <w:sz w:val="24"/>
          <w:szCs w:val="24"/>
        </w:rPr>
        <w:t>Aim</w:t>
      </w:r>
      <w:r w:rsidRPr="00ED0493">
        <w:rPr>
          <w:rFonts w:eastAsia="Calibri"/>
          <w:szCs w:val="22"/>
        </w:rPr>
        <w:t xml:space="preserve"> </w:t>
      </w:r>
    </w:p>
    <w:p w14:paraId="762E1F3E" w14:textId="4C20D9B3" w:rsidR="00ED0493" w:rsidRDefault="001B498F" w:rsidP="00ED0493">
      <w:pPr>
        <w:spacing w:after="120" w:line="288" w:lineRule="auto"/>
        <w:jc w:val="left"/>
      </w:pPr>
      <w:r>
        <w:t>To develop a report card for the assessment unit</w:t>
      </w:r>
      <w:r w:rsidR="00087881">
        <w:t xml:space="preserve"> at the appropriate level of integration for the target audience</w:t>
      </w:r>
      <w:r>
        <w:t xml:space="preserve">. </w:t>
      </w:r>
    </w:p>
    <w:p w14:paraId="063983F3" w14:textId="77777777" w:rsidR="00ED0493" w:rsidRDefault="00ED0493" w:rsidP="00ED0493">
      <w:pPr>
        <w:rPr>
          <w:b/>
          <w:i/>
          <w:color w:val="8C863E" w:themeColor="background2" w:themeShade="80"/>
          <w:sz w:val="24"/>
          <w:szCs w:val="24"/>
        </w:rPr>
      </w:pPr>
      <w:r w:rsidRPr="004E7EB5">
        <w:rPr>
          <w:b/>
          <w:i/>
          <w:color w:val="8C863E" w:themeColor="background2" w:themeShade="80"/>
          <w:sz w:val="24"/>
          <w:szCs w:val="24"/>
        </w:rPr>
        <w:t>Inputs</w:t>
      </w:r>
    </w:p>
    <w:p w14:paraId="6E91E0F8" w14:textId="50407DD5" w:rsidR="00ED0493" w:rsidRDefault="0030735D" w:rsidP="00F4328F">
      <w:pPr>
        <w:pStyle w:val="ListParagraph"/>
        <w:numPr>
          <w:ilvl w:val="0"/>
          <w:numId w:val="23"/>
        </w:numPr>
        <w:spacing w:after="0" w:line="288" w:lineRule="auto"/>
        <w:jc w:val="left"/>
        <w:rPr>
          <w:szCs w:val="22"/>
        </w:rPr>
      </w:pPr>
      <w:r>
        <w:rPr>
          <w:szCs w:val="22"/>
        </w:rPr>
        <w:t>Output from previous steps</w:t>
      </w:r>
      <w:r w:rsidR="004E4F49">
        <w:rPr>
          <w:szCs w:val="22"/>
        </w:rPr>
        <w:t>; and</w:t>
      </w:r>
    </w:p>
    <w:p w14:paraId="120DE2A2" w14:textId="55313A00" w:rsidR="0030735D" w:rsidRDefault="0030735D" w:rsidP="00F4328F">
      <w:pPr>
        <w:pStyle w:val="ListParagraph"/>
        <w:numPr>
          <w:ilvl w:val="0"/>
          <w:numId w:val="23"/>
        </w:numPr>
        <w:spacing w:after="0" w:line="288" w:lineRule="auto"/>
        <w:jc w:val="left"/>
        <w:rPr>
          <w:szCs w:val="22"/>
        </w:rPr>
      </w:pPr>
      <w:r>
        <w:rPr>
          <w:szCs w:val="22"/>
        </w:rPr>
        <w:t>Data and</w:t>
      </w:r>
      <w:r w:rsidR="00087881">
        <w:rPr>
          <w:szCs w:val="22"/>
        </w:rPr>
        <w:t xml:space="preserve"> IECA harmonised </w:t>
      </w:r>
      <w:r>
        <w:rPr>
          <w:szCs w:val="22"/>
        </w:rPr>
        <w:t xml:space="preserve">scores </w:t>
      </w:r>
      <w:r w:rsidR="00087881">
        <w:rPr>
          <w:szCs w:val="22"/>
        </w:rPr>
        <w:t xml:space="preserve">derived </w:t>
      </w:r>
      <w:r>
        <w:rPr>
          <w:szCs w:val="22"/>
        </w:rPr>
        <w:t>from existing programs</w:t>
      </w:r>
      <w:r w:rsidR="004E4F49">
        <w:rPr>
          <w:szCs w:val="22"/>
        </w:rPr>
        <w:t>.</w:t>
      </w:r>
    </w:p>
    <w:p w14:paraId="39BC29C2" w14:textId="77777777" w:rsidR="0030735D" w:rsidRPr="0030735D" w:rsidRDefault="0030735D" w:rsidP="0030735D">
      <w:pPr>
        <w:pStyle w:val="ListParagraph"/>
        <w:spacing w:after="0" w:line="288" w:lineRule="auto"/>
        <w:jc w:val="left"/>
        <w:rPr>
          <w:szCs w:val="22"/>
        </w:rPr>
      </w:pPr>
    </w:p>
    <w:p w14:paraId="6787B952" w14:textId="77777777" w:rsidR="00ED0493" w:rsidRPr="004E7EB5" w:rsidRDefault="00ED0493" w:rsidP="00ED0493">
      <w:pPr>
        <w:rPr>
          <w:b/>
          <w:i/>
          <w:color w:val="8C863E" w:themeColor="background2" w:themeShade="80"/>
          <w:sz w:val="24"/>
          <w:szCs w:val="24"/>
        </w:rPr>
      </w:pPr>
      <w:r w:rsidRPr="004E7EB5">
        <w:rPr>
          <w:b/>
          <w:i/>
          <w:color w:val="8C863E" w:themeColor="background2" w:themeShade="80"/>
          <w:sz w:val="24"/>
          <w:szCs w:val="24"/>
        </w:rPr>
        <w:t>Task</w:t>
      </w:r>
      <w:r>
        <w:rPr>
          <w:b/>
          <w:i/>
          <w:color w:val="8C863E" w:themeColor="background2" w:themeShade="80"/>
          <w:sz w:val="24"/>
          <w:szCs w:val="24"/>
        </w:rPr>
        <w:t>s</w:t>
      </w:r>
    </w:p>
    <w:p w14:paraId="5CDD79E5" w14:textId="34633A7E" w:rsidR="00ED0493" w:rsidRPr="0034143D" w:rsidRDefault="00ED0493" w:rsidP="00F4328F">
      <w:pPr>
        <w:pStyle w:val="ListParagraph"/>
        <w:numPr>
          <w:ilvl w:val="0"/>
          <w:numId w:val="57"/>
        </w:numPr>
        <w:rPr>
          <w:b/>
          <w:i/>
        </w:rPr>
      </w:pPr>
      <w:r>
        <w:rPr>
          <w:b/>
          <w:i/>
        </w:rPr>
        <w:t>Stat</w:t>
      </w:r>
      <w:r w:rsidR="001B498F">
        <w:rPr>
          <w:b/>
          <w:i/>
        </w:rPr>
        <w:t>e</w:t>
      </w:r>
      <w:r>
        <w:rPr>
          <w:b/>
          <w:i/>
        </w:rPr>
        <w:t xml:space="preserve"> the objective for the report card</w:t>
      </w:r>
    </w:p>
    <w:p w14:paraId="3032485A" w14:textId="77777777" w:rsidR="00ED0493" w:rsidRPr="005E73B4" w:rsidRDefault="00ED0493" w:rsidP="00ED0493">
      <w:pPr>
        <w:rPr>
          <w:szCs w:val="22"/>
        </w:rPr>
      </w:pPr>
      <w:r>
        <w:rPr>
          <w:szCs w:val="22"/>
        </w:rPr>
        <w:t xml:space="preserve">In developing a report card it is essential to </w:t>
      </w:r>
      <w:r w:rsidRPr="005E73B4">
        <w:rPr>
          <w:szCs w:val="22"/>
        </w:rPr>
        <w:t>clarify:</w:t>
      </w:r>
    </w:p>
    <w:p w14:paraId="140E8295" w14:textId="4762B824" w:rsidR="00ED0493" w:rsidRPr="00F06BA0" w:rsidRDefault="00ED0493" w:rsidP="00F4328F">
      <w:pPr>
        <w:pStyle w:val="ListParagraph"/>
        <w:numPr>
          <w:ilvl w:val="0"/>
          <w:numId w:val="23"/>
        </w:numPr>
        <w:spacing w:after="0" w:line="288" w:lineRule="auto"/>
        <w:jc w:val="left"/>
        <w:rPr>
          <w:szCs w:val="22"/>
        </w:rPr>
      </w:pPr>
      <w:r>
        <w:rPr>
          <w:szCs w:val="22"/>
        </w:rPr>
        <w:t>T</w:t>
      </w:r>
      <w:r w:rsidRPr="00F06BA0">
        <w:rPr>
          <w:szCs w:val="22"/>
        </w:rPr>
        <w:t xml:space="preserve">he audience </w:t>
      </w:r>
      <w:r w:rsidR="001D3B4B">
        <w:rPr>
          <w:szCs w:val="22"/>
        </w:rPr>
        <w:t>–</w:t>
      </w:r>
      <w:r w:rsidRPr="00F06BA0">
        <w:rPr>
          <w:szCs w:val="22"/>
        </w:rPr>
        <w:t xml:space="preserve"> managers, policy makers, community</w:t>
      </w:r>
      <w:r>
        <w:rPr>
          <w:szCs w:val="22"/>
        </w:rPr>
        <w:t>;</w:t>
      </w:r>
    </w:p>
    <w:p w14:paraId="0BB45876" w14:textId="2F631667" w:rsidR="00ED0493" w:rsidRPr="00F06BA0" w:rsidRDefault="00ED0493" w:rsidP="00F4328F">
      <w:pPr>
        <w:pStyle w:val="ListParagraph"/>
        <w:numPr>
          <w:ilvl w:val="0"/>
          <w:numId w:val="23"/>
        </w:numPr>
        <w:spacing w:after="0" w:line="288" w:lineRule="auto"/>
        <w:jc w:val="left"/>
        <w:rPr>
          <w:szCs w:val="22"/>
        </w:rPr>
      </w:pPr>
      <w:r>
        <w:rPr>
          <w:szCs w:val="22"/>
        </w:rPr>
        <w:t>T</w:t>
      </w:r>
      <w:r w:rsidRPr="00F06BA0">
        <w:rPr>
          <w:szCs w:val="22"/>
        </w:rPr>
        <w:t xml:space="preserve">he message </w:t>
      </w:r>
      <w:r w:rsidR="001D3B4B">
        <w:rPr>
          <w:szCs w:val="22"/>
        </w:rPr>
        <w:t>–</w:t>
      </w:r>
      <w:r w:rsidRPr="00F06BA0">
        <w:rPr>
          <w:szCs w:val="22"/>
        </w:rPr>
        <w:t xml:space="preserve"> comparing condition to </w:t>
      </w:r>
      <w:r w:rsidR="00285E72">
        <w:rPr>
          <w:szCs w:val="22"/>
        </w:rPr>
        <w:t xml:space="preserve">baseline, </w:t>
      </w:r>
      <w:r w:rsidRPr="00F06BA0">
        <w:rPr>
          <w:szCs w:val="22"/>
        </w:rPr>
        <w:t>target, trends through time, effectiveness of management</w:t>
      </w:r>
      <w:r>
        <w:rPr>
          <w:szCs w:val="22"/>
        </w:rPr>
        <w:t>;</w:t>
      </w:r>
      <w:r w:rsidRPr="00F06BA0">
        <w:rPr>
          <w:szCs w:val="22"/>
        </w:rPr>
        <w:t xml:space="preserve"> and</w:t>
      </w:r>
    </w:p>
    <w:p w14:paraId="20B2618A" w14:textId="77777777" w:rsidR="00ED0493" w:rsidRDefault="00ED0493" w:rsidP="00F4328F">
      <w:pPr>
        <w:pStyle w:val="ListParagraph"/>
        <w:numPr>
          <w:ilvl w:val="0"/>
          <w:numId w:val="23"/>
        </w:numPr>
        <w:spacing w:after="0" w:line="288" w:lineRule="auto"/>
        <w:jc w:val="left"/>
        <w:rPr>
          <w:szCs w:val="22"/>
        </w:rPr>
      </w:pPr>
      <w:r>
        <w:rPr>
          <w:szCs w:val="22"/>
        </w:rPr>
        <w:t>W</w:t>
      </w:r>
      <w:r w:rsidRPr="00716B33">
        <w:rPr>
          <w:szCs w:val="22"/>
        </w:rPr>
        <w:t>hat the</w:t>
      </w:r>
      <w:r w:rsidRPr="00F06BA0">
        <w:rPr>
          <w:szCs w:val="22"/>
        </w:rPr>
        <w:t xml:space="preserve"> audience will do with information – design interventions, support management changes, refine policy.</w:t>
      </w:r>
    </w:p>
    <w:p w14:paraId="055BC117" w14:textId="77777777" w:rsidR="008769D3" w:rsidRDefault="008769D3" w:rsidP="008769D3">
      <w:pPr>
        <w:spacing w:after="0" w:line="288" w:lineRule="auto"/>
        <w:jc w:val="left"/>
        <w:rPr>
          <w:szCs w:val="22"/>
        </w:rPr>
      </w:pPr>
    </w:p>
    <w:p w14:paraId="38445360" w14:textId="77777777" w:rsidR="00821E89" w:rsidRDefault="00821E89" w:rsidP="008769D3">
      <w:pPr>
        <w:spacing w:after="0" w:line="288" w:lineRule="auto"/>
        <w:jc w:val="left"/>
        <w:rPr>
          <w:szCs w:val="22"/>
        </w:rPr>
      </w:pPr>
    </w:p>
    <w:p w14:paraId="303F692F" w14:textId="77777777" w:rsidR="00821E89" w:rsidRPr="008769D3" w:rsidRDefault="00821E89" w:rsidP="008769D3">
      <w:pPr>
        <w:spacing w:after="0" w:line="288" w:lineRule="auto"/>
        <w:jc w:val="left"/>
        <w:rPr>
          <w:szCs w:val="22"/>
        </w:rPr>
      </w:pPr>
    </w:p>
    <w:p w14:paraId="28A02979" w14:textId="78C56F39" w:rsidR="00ED0493" w:rsidRDefault="00ED0493" w:rsidP="00ED0493">
      <w:pPr>
        <w:rPr>
          <w:rFonts w:eastAsia="Calibri" w:cs="Times New Roman"/>
          <w:szCs w:val="22"/>
        </w:rPr>
      </w:pPr>
      <w:r>
        <w:rPr>
          <w:rFonts w:eastAsia="Calibri" w:cs="Times New Roman"/>
          <w:szCs w:val="22"/>
        </w:rPr>
        <w:lastRenderedPageBreak/>
        <w:t xml:space="preserve">There are five features that should be considered when developing an IECA report card (adapted from </w:t>
      </w:r>
      <w:r w:rsidR="005517D0">
        <w:rPr>
          <w:rFonts w:eastAsia="Calibri" w:cs="Times New Roman"/>
          <w:szCs w:val="22"/>
        </w:rPr>
        <w:fldChar w:fldCharType="begin"/>
      </w:r>
      <w:r w:rsidR="005517D0">
        <w:rPr>
          <w:rFonts w:eastAsia="Calibri" w:cs="Times New Roman"/>
          <w:szCs w:val="22"/>
        </w:rPr>
        <w:instrText xml:space="preserve"> ADDIN ZOTERO_ITEM CSL_CITATION {"citationID":"209iesdhq7","properties":{"formattedCitation":"(Harwell et al. 1999)","plainCitation":"(Harwell et al. 1999)"},"citationItems":[{"id":3450,"uris":["http://zotero.org/users/3119797/items/GK5U55PV"],"uri":["http://zotero.org/users/3119797/items/GK5U55PV"],"itemData":{"id":3450,"type":"article-journal","title":"A Framework for an Ecosystem Integrity Report Card","container-title":"BioScience","page":"543","volume":"49","issue":"7","source":"CrossRef","DOI":"10.2307/1313475","ISSN":"00063568","author":[{"family":"Harwell","given":"Mark A."},{"family":"Myers","given":"Victoria"},{"family":"Young","given":"Terry"},{"family":"Bartuska","given":"Ann"},{"family":"Gassman","given":"Nancy"},{"family":"Gentile","given":"John H."},{"family":"Harwell","given":"Christine C."},{"family":"Appelbaum","given":"Stuart"},{"family":"Barko","given":"John"},{"family":"Causey","given":"Billy"},{"family":"Johnson","given":"Christine"},{"family":"McLean","given":"Agnes"},{"family":"Smola","given":"Ron"},{"family":"Templet","given":"Paul"},{"family":"Tosini","given":"Stephen"}],"issued":{"date-parts":[["1999",7]]}}}],"schema":"https://github.com/citation-style-language/schema/raw/master/csl-citation.json"} </w:instrText>
      </w:r>
      <w:r w:rsidR="005517D0">
        <w:rPr>
          <w:rFonts w:eastAsia="Calibri" w:cs="Times New Roman"/>
          <w:szCs w:val="22"/>
        </w:rPr>
        <w:fldChar w:fldCharType="separate"/>
      </w:r>
      <w:r w:rsidR="005517D0" w:rsidRPr="005517D0">
        <w:rPr>
          <w:rFonts w:cs="Calibri"/>
        </w:rPr>
        <w:t>Harwell et al. 1999)</w:t>
      </w:r>
      <w:r w:rsidR="005517D0">
        <w:rPr>
          <w:rFonts w:eastAsia="Calibri" w:cs="Times New Roman"/>
          <w:szCs w:val="22"/>
        </w:rPr>
        <w:fldChar w:fldCharType="end"/>
      </w:r>
      <w:r>
        <w:rPr>
          <w:rFonts w:eastAsia="Calibri" w:cs="Times New Roman"/>
          <w:szCs w:val="22"/>
        </w:rPr>
        <w:t>:</w:t>
      </w:r>
    </w:p>
    <w:p w14:paraId="2363D2DD" w14:textId="77777777" w:rsidR="00ED0493" w:rsidRDefault="00ED0493" w:rsidP="00F4328F">
      <w:pPr>
        <w:pStyle w:val="ListParagraph"/>
        <w:numPr>
          <w:ilvl w:val="0"/>
          <w:numId w:val="24"/>
        </w:numPr>
        <w:spacing w:after="120" w:line="288" w:lineRule="auto"/>
        <w:ind w:left="720"/>
        <w:jc w:val="left"/>
        <w:rPr>
          <w:rFonts w:eastAsia="Calibri"/>
          <w:szCs w:val="22"/>
        </w:rPr>
      </w:pPr>
      <w:r>
        <w:rPr>
          <w:rFonts w:eastAsia="Calibri"/>
          <w:szCs w:val="22"/>
        </w:rPr>
        <w:t xml:space="preserve">A report card should be understandable to multiple audiences (e.g. </w:t>
      </w:r>
      <w:r w:rsidRPr="00C15FA6">
        <w:rPr>
          <w:rFonts w:eastAsia="Calibri"/>
          <w:szCs w:val="22"/>
        </w:rPr>
        <w:t>general public, stakeholders, water managers or scientists</w:t>
      </w:r>
      <w:r>
        <w:rPr>
          <w:rFonts w:eastAsia="Calibri"/>
          <w:szCs w:val="22"/>
        </w:rPr>
        <w:t>).</w:t>
      </w:r>
    </w:p>
    <w:p w14:paraId="479D1BD6" w14:textId="7B3EC0AA" w:rsidR="00ED0493" w:rsidRDefault="00ED0493" w:rsidP="00F4328F">
      <w:pPr>
        <w:pStyle w:val="ListParagraph"/>
        <w:numPr>
          <w:ilvl w:val="0"/>
          <w:numId w:val="24"/>
        </w:numPr>
        <w:spacing w:after="120" w:line="288" w:lineRule="auto"/>
        <w:ind w:left="720"/>
        <w:jc w:val="left"/>
        <w:rPr>
          <w:rFonts w:eastAsia="Calibri"/>
          <w:szCs w:val="22"/>
        </w:rPr>
      </w:pPr>
      <w:r>
        <w:rPr>
          <w:rFonts w:eastAsia="Calibri"/>
          <w:szCs w:val="22"/>
        </w:rPr>
        <w:t>A report card should show the status (condition) of the assessment unit by</w:t>
      </w:r>
      <w:r w:rsidR="004E4F49">
        <w:rPr>
          <w:rFonts w:eastAsia="Calibri"/>
          <w:szCs w:val="22"/>
        </w:rPr>
        <w:t>:</w:t>
      </w:r>
    </w:p>
    <w:p w14:paraId="7141B961" w14:textId="15CC9874" w:rsidR="00ED0493" w:rsidRPr="00C15FA6" w:rsidRDefault="00ED0493" w:rsidP="00F4328F">
      <w:pPr>
        <w:pStyle w:val="ListParagraph"/>
        <w:numPr>
          <w:ilvl w:val="0"/>
          <w:numId w:val="25"/>
        </w:numPr>
        <w:spacing w:after="120" w:line="288" w:lineRule="auto"/>
        <w:ind w:left="1080"/>
        <w:jc w:val="left"/>
        <w:rPr>
          <w:rFonts w:eastAsia="Calibri"/>
          <w:szCs w:val="22"/>
        </w:rPr>
      </w:pPr>
      <w:r>
        <w:rPr>
          <w:rFonts w:eastAsia="Calibri"/>
          <w:szCs w:val="22"/>
        </w:rPr>
        <w:t>expressing the assessment on a standard scale (0 to 1 across five condition bands)</w:t>
      </w:r>
      <w:r w:rsidR="004E4F49">
        <w:rPr>
          <w:rFonts w:eastAsia="Calibri"/>
          <w:szCs w:val="22"/>
        </w:rPr>
        <w:t>; and</w:t>
      </w:r>
    </w:p>
    <w:p w14:paraId="0171B9E0" w14:textId="2E4C4034" w:rsidR="00ED0493" w:rsidRDefault="00ED0493" w:rsidP="00F4328F">
      <w:pPr>
        <w:pStyle w:val="ListParagraph"/>
        <w:numPr>
          <w:ilvl w:val="0"/>
          <w:numId w:val="25"/>
        </w:numPr>
        <w:spacing w:after="120" w:line="288" w:lineRule="auto"/>
        <w:ind w:left="1080"/>
        <w:jc w:val="left"/>
        <w:rPr>
          <w:rFonts w:eastAsia="Calibri"/>
          <w:szCs w:val="22"/>
        </w:rPr>
      </w:pPr>
      <w:r>
        <w:rPr>
          <w:rFonts w:eastAsia="Calibri"/>
          <w:szCs w:val="22"/>
        </w:rPr>
        <w:t>integrating condition scores from multiple indicators into a single IECA grade</w:t>
      </w:r>
      <w:r w:rsidR="00061CA8">
        <w:rPr>
          <w:rFonts w:eastAsia="Calibri"/>
          <w:szCs w:val="22"/>
        </w:rPr>
        <w:t>, typically only up to Level 2 integration</w:t>
      </w:r>
      <w:r>
        <w:rPr>
          <w:rFonts w:eastAsia="Calibri"/>
          <w:szCs w:val="22"/>
        </w:rPr>
        <w:t>.</w:t>
      </w:r>
    </w:p>
    <w:p w14:paraId="02F46E9E" w14:textId="77777777" w:rsidR="00ED0493" w:rsidRPr="00C15FA6" w:rsidRDefault="00ED0493" w:rsidP="00F4328F">
      <w:pPr>
        <w:pStyle w:val="ListParagraph"/>
        <w:numPr>
          <w:ilvl w:val="0"/>
          <w:numId w:val="24"/>
        </w:numPr>
        <w:spacing w:after="120" w:line="288" w:lineRule="auto"/>
        <w:ind w:left="720"/>
        <w:jc w:val="left"/>
        <w:rPr>
          <w:rFonts w:eastAsia="Calibri"/>
          <w:szCs w:val="22"/>
        </w:rPr>
      </w:pPr>
      <w:r w:rsidRPr="00C15FA6">
        <w:rPr>
          <w:rFonts w:eastAsia="Calibri"/>
          <w:szCs w:val="22"/>
        </w:rPr>
        <w:t>A report card should address differences in responses across time</w:t>
      </w:r>
      <w:r>
        <w:rPr>
          <w:rFonts w:eastAsia="Calibri"/>
          <w:szCs w:val="22"/>
        </w:rPr>
        <w:t xml:space="preserve"> (i.e. not all indicators are expected to vary on the same time scale). For example water quality may be expected to respond over short time scales, but vegetation extent and condition may take many years to respond to management actions.</w:t>
      </w:r>
    </w:p>
    <w:p w14:paraId="76444544" w14:textId="65AFA83E" w:rsidR="00ED0493" w:rsidRPr="00C15FA6" w:rsidRDefault="00ED0493" w:rsidP="00F4328F">
      <w:pPr>
        <w:pStyle w:val="ListParagraph"/>
        <w:numPr>
          <w:ilvl w:val="0"/>
          <w:numId w:val="24"/>
        </w:numPr>
        <w:spacing w:after="120" w:line="288" w:lineRule="auto"/>
        <w:ind w:left="720"/>
        <w:jc w:val="left"/>
        <w:rPr>
          <w:rFonts w:eastAsia="Calibri"/>
          <w:szCs w:val="22"/>
        </w:rPr>
      </w:pPr>
      <w:r w:rsidRPr="00C15FA6">
        <w:rPr>
          <w:rFonts w:eastAsia="Calibri"/>
          <w:szCs w:val="22"/>
        </w:rPr>
        <w:t xml:space="preserve">A report card should recognise </w:t>
      </w:r>
      <w:r>
        <w:rPr>
          <w:rFonts w:eastAsia="Calibri"/>
          <w:szCs w:val="22"/>
        </w:rPr>
        <w:t>b</w:t>
      </w:r>
      <w:r w:rsidR="00061CA8">
        <w:rPr>
          <w:rFonts w:eastAsia="Calibri"/>
          <w:szCs w:val="22"/>
        </w:rPr>
        <w:t>aseline</w:t>
      </w:r>
      <w:r>
        <w:rPr>
          <w:rFonts w:eastAsia="Calibri"/>
          <w:szCs w:val="22"/>
        </w:rPr>
        <w:t>s, targets and t</w:t>
      </w:r>
      <w:r w:rsidRPr="00C15FA6">
        <w:rPr>
          <w:rFonts w:eastAsia="Calibri"/>
          <w:szCs w:val="22"/>
        </w:rPr>
        <w:t xml:space="preserve">riggers for the selected </w:t>
      </w:r>
      <w:r>
        <w:rPr>
          <w:rFonts w:eastAsia="Calibri"/>
          <w:szCs w:val="22"/>
        </w:rPr>
        <w:t>assessment unit(s) and clearly report condition against these.</w:t>
      </w:r>
    </w:p>
    <w:p w14:paraId="34222AF0" w14:textId="77777777" w:rsidR="00ED0493" w:rsidRDefault="00ED0493" w:rsidP="00F4328F">
      <w:pPr>
        <w:pStyle w:val="ListParagraph"/>
        <w:numPr>
          <w:ilvl w:val="0"/>
          <w:numId w:val="24"/>
        </w:numPr>
        <w:spacing w:after="120" w:line="288" w:lineRule="auto"/>
        <w:ind w:left="720"/>
        <w:jc w:val="left"/>
        <w:rPr>
          <w:rFonts w:eastAsia="Calibri"/>
          <w:szCs w:val="22"/>
        </w:rPr>
      </w:pPr>
      <w:r w:rsidRPr="00C15FA6">
        <w:rPr>
          <w:rFonts w:eastAsia="Calibri"/>
          <w:szCs w:val="22"/>
        </w:rPr>
        <w:t>A report card should provide the scientific basis for assigning particular grades</w:t>
      </w:r>
      <w:r>
        <w:rPr>
          <w:rFonts w:eastAsia="Calibri"/>
          <w:szCs w:val="22"/>
        </w:rPr>
        <w:t xml:space="preserve"> (may be in attached documentation (e.g. a fact sheet or report), but must be easy to find).</w:t>
      </w:r>
    </w:p>
    <w:p w14:paraId="2AE22585" w14:textId="77777777" w:rsidR="00295D14" w:rsidRPr="00295D14" w:rsidRDefault="00295D14" w:rsidP="00295D14">
      <w:pPr>
        <w:spacing w:after="120" w:line="288" w:lineRule="auto"/>
        <w:jc w:val="left"/>
        <w:rPr>
          <w:rFonts w:eastAsia="Calibri"/>
          <w:szCs w:val="22"/>
        </w:rPr>
      </w:pPr>
    </w:p>
    <w:p w14:paraId="7E9F3428" w14:textId="62251079" w:rsidR="001B498F" w:rsidRDefault="001B498F" w:rsidP="00F4328F">
      <w:pPr>
        <w:pStyle w:val="ListParagraph"/>
        <w:numPr>
          <w:ilvl w:val="0"/>
          <w:numId w:val="58"/>
        </w:numPr>
        <w:rPr>
          <w:b/>
          <w:i/>
        </w:rPr>
      </w:pPr>
      <w:r>
        <w:rPr>
          <w:b/>
          <w:i/>
        </w:rPr>
        <w:t>Create the report card</w:t>
      </w:r>
    </w:p>
    <w:p w14:paraId="08000EF6" w14:textId="674348F2" w:rsidR="001B498F" w:rsidRPr="00B00ACE" w:rsidRDefault="001B498F" w:rsidP="001B498F">
      <w:r>
        <w:t xml:space="preserve">The report card should relate information for each priority value within each theme, as either scores for themes or scores for single indicators. As stated earlier the report card should include the relevant target and trigger (if relevant) for each component of each theme in the assessment and make it clear if targets or triggers have been met. </w:t>
      </w:r>
      <w:r w:rsidRPr="00B00ACE">
        <w:t xml:space="preserve"> </w:t>
      </w:r>
      <w:r>
        <w:t>Include an assessment of distance from the trigger/target.</w:t>
      </w:r>
    </w:p>
    <w:p w14:paraId="5144D932" w14:textId="1EC12DDF" w:rsidR="00285E72" w:rsidRDefault="001B498F" w:rsidP="00285E72">
      <w:r>
        <w:t>Visual representation of complex information allows the report card to be interpreted more easily by a wider audience. Choose colours, shapes, graphs, diagrams and other aids that suit the style and needs of the audience and based on how they will receive the information (i.e. web based, printed s</w:t>
      </w:r>
      <w:r w:rsidR="00285E72">
        <w:t>ummary report, brochure/flyer).</w:t>
      </w:r>
    </w:p>
    <w:p w14:paraId="3E9DBCBC" w14:textId="4304C885" w:rsidR="00285E72" w:rsidRPr="00B239C0" w:rsidRDefault="00285E72" w:rsidP="00B239C0">
      <w:pPr>
        <w:pStyle w:val="Caption"/>
        <w:keepNext/>
        <w:shd w:val="clear" w:color="auto" w:fill="F6F4E1" w:themeFill="accent3" w:themeFillTint="33"/>
        <w:rPr>
          <w:color w:val="797325" w:themeColor="accent3" w:themeShade="80"/>
        </w:rPr>
      </w:pPr>
      <w:r w:rsidRPr="00B239C0">
        <w:rPr>
          <w:color w:val="797325" w:themeColor="accent3" w:themeShade="80"/>
        </w:rPr>
        <w:t xml:space="preserve">Text Box </w:t>
      </w:r>
      <w:r w:rsidRPr="00B239C0">
        <w:rPr>
          <w:color w:val="797325" w:themeColor="accent3" w:themeShade="80"/>
        </w:rPr>
        <w:fldChar w:fldCharType="begin"/>
      </w:r>
      <w:r w:rsidRPr="00B239C0">
        <w:rPr>
          <w:color w:val="797325" w:themeColor="accent3" w:themeShade="80"/>
        </w:rPr>
        <w:instrText xml:space="preserve"> SEQ Text_Box \* ARABIC </w:instrText>
      </w:r>
      <w:r w:rsidRPr="00B239C0">
        <w:rPr>
          <w:color w:val="797325" w:themeColor="accent3" w:themeShade="80"/>
        </w:rPr>
        <w:fldChar w:fldCharType="separate"/>
      </w:r>
      <w:r w:rsidR="005F359C">
        <w:rPr>
          <w:noProof/>
          <w:color w:val="797325" w:themeColor="accent3" w:themeShade="80"/>
        </w:rPr>
        <w:t>6</w:t>
      </w:r>
      <w:r w:rsidRPr="00B239C0">
        <w:rPr>
          <w:color w:val="797325" w:themeColor="accent3" w:themeShade="80"/>
        </w:rPr>
        <w:fldChar w:fldCharType="end"/>
      </w:r>
      <w:r w:rsidRPr="00B239C0">
        <w:rPr>
          <w:color w:val="797325" w:themeColor="accent3" w:themeShade="80"/>
        </w:rPr>
        <w:t>: REport card for hypothetical estuary example</w:t>
      </w:r>
    </w:p>
    <w:p w14:paraId="0DA3D899" w14:textId="2AC94A4F" w:rsidR="00285E72" w:rsidRPr="00B239C0" w:rsidRDefault="00B070CD" w:rsidP="00B239C0">
      <w:pPr>
        <w:shd w:val="clear" w:color="auto" w:fill="F6F4E1" w:themeFill="accent3" w:themeFillTint="33"/>
        <w:rPr>
          <w:color w:val="797325" w:themeColor="accent3" w:themeShade="80"/>
        </w:rPr>
      </w:pPr>
      <w:r w:rsidRPr="00B239C0">
        <w:rPr>
          <w:color w:val="797325" w:themeColor="accent3" w:themeShade="80"/>
        </w:rPr>
        <w:t xml:space="preserve">A simple example report card for the hypothetical estuary example is presented in </w:t>
      </w:r>
      <w:r w:rsidR="00061CA8" w:rsidRPr="00B239C0">
        <w:rPr>
          <w:color w:val="797325" w:themeColor="accent3" w:themeShade="80"/>
        </w:rPr>
        <w:fldChar w:fldCharType="begin"/>
      </w:r>
      <w:r w:rsidR="00061CA8" w:rsidRPr="00B239C0">
        <w:rPr>
          <w:color w:val="797325" w:themeColor="accent3" w:themeShade="80"/>
        </w:rPr>
        <w:instrText xml:space="preserve"> REF _Ref484453181 \h </w:instrText>
      </w:r>
      <w:r w:rsidR="00B239C0">
        <w:rPr>
          <w:color w:val="797325" w:themeColor="accent3" w:themeShade="80"/>
        </w:rPr>
        <w:instrText xml:space="preserve"> \* MERGEFORMAT </w:instrText>
      </w:r>
      <w:r w:rsidR="00061CA8" w:rsidRPr="00B239C0">
        <w:rPr>
          <w:color w:val="797325" w:themeColor="accent3" w:themeShade="80"/>
        </w:rPr>
      </w:r>
      <w:r w:rsidR="00061CA8" w:rsidRPr="00B239C0">
        <w:rPr>
          <w:color w:val="797325" w:themeColor="accent3" w:themeShade="80"/>
        </w:rPr>
        <w:fldChar w:fldCharType="separate"/>
      </w:r>
      <w:r w:rsidR="005F359C" w:rsidRPr="005F359C">
        <w:rPr>
          <w:color w:val="797325" w:themeColor="accent3" w:themeShade="80"/>
        </w:rPr>
        <w:t>Figure 16</w:t>
      </w:r>
      <w:r w:rsidR="00061CA8" w:rsidRPr="00B239C0">
        <w:rPr>
          <w:color w:val="797325" w:themeColor="accent3" w:themeShade="80"/>
        </w:rPr>
        <w:fldChar w:fldCharType="end"/>
      </w:r>
      <w:r w:rsidRPr="00B239C0">
        <w:rPr>
          <w:color w:val="797325" w:themeColor="accent3" w:themeShade="80"/>
        </w:rPr>
        <w:t xml:space="preserve">. </w:t>
      </w:r>
    </w:p>
    <w:p w14:paraId="150EA59B" w14:textId="63900167" w:rsidR="00285E72" w:rsidRPr="00B239C0" w:rsidRDefault="00285E72" w:rsidP="00DA2C26">
      <w:pPr>
        <w:pStyle w:val="ListParagraph"/>
        <w:numPr>
          <w:ilvl w:val="0"/>
          <w:numId w:val="75"/>
        </w:numPr>
        <w:shd w:val="clear" w:color="auto" w:fill="F6F4E1" w:themeFill="accent3" w:themeFillTint="33"/>
        <w:rPr>
          <w:color w:val="797325" w:themeColor="accent3" w:themeShade="80"/>
        </w:rPr>
      </w:pPr>
      <w:r w:rsidRPr="00B239C0">
        <w:rPr>
          <w:color w:val="797325" w:themeColor="accent3" w:themeShade="80"/>
        </w:rPr>
        <w:t>The audience is local site man</w:t>
      </w:r>
      <w:r w:rsidR="00661B1A">
        <w:rPr>
          <w:color w:val="797325" w:themeColor="accent3" w:themeShade="80"/>
        </w:rPr>
        <w:t>a</w:t>
      </w:r>
      <w:r w:rsidRPr="00B239C0">
        <w:rPr>
          <w:color w:val="797325" w:themeColor="accent3" w:themeShade="80"/>
        </w:rPr>
        <w:t>gers;</w:t>
      </w:r>
    </w:p>
    <w:p w14:paraId="17999055" w14:textId="3DA68D6B" w:rsidR="00285E72" w:rsidRPr="00B239C0" w:rsidRDefault="00285E72" w:rsidP="00DA2C26">
      <w:pPr>
        <w:pStyle w:val="ListParagraph"/>
        <w:numPr>
          <w:ilvl w:val="0"/>
          <w:numId w:val="75"/>
        </w:numPr>
        <w:shd w:val="clear" w:color="auto" w:fill="F6F4E1" w:themeFill="accent3" w:themeFillTint="33"/>
        <w:rPr>
          <w:color w:val="797325" w:themeColor="accent3" w:themeShade="80"/>
        </w:rPr>
      </w:pPr>
      <w:r w:rsidRPr="00B239C0">
        <w:rPr>
          <w:color w:val="797325" w:themeColor="accent3" w:themeShade="80"/>
        </w:rPr>
        <w:t>The intent or message is to demonstrate current condition and threat status for ecosystems to inform future management.</w:t>
      </w:r>
    </w:p>
    <w:p w14:paraId="398C297F" w14:textId="0594ECB1" w:rsidR="00285E72" w:rsidRPr="00B239C0" w:rsidRDefault="00285E72" w:rsidP="00DA2C26">
      <w:pPr>
        <w:pStyle w:val="ListParagraph"/>
        <w:numPr>
          <w:ilvl w:val="0"/>
          <w:numId w:val="75"/>
        </w:numPr>
        <w:shd w:val="clear" w:color="auto" w:fill="F6F4E1" w:themeFill="accent3" w:themeFillTint="33"/>
        <w:rPr>
          <w:color w:val="797325" w:themeColor="accent3" w:themeShade="80"/>
        </w:rPr>
      </w:pPr>
      <w:r w:rsidRPr="00B239C0">
        <w:rPr>
          <w:color w:val="797325" w:themeColor="accent3" w:themeShade="80"/>
        </w:rPr>
        <w:t xml:space="preserve">This type of status report card could be used to inform further interventions – in this case review of environmental and cultural flows to the estuary. </w:t>
      </w:r>
    </w:p>
    <w:p w14:paraId="5F708FC2" w14:textId="28B4318A" w:rsidR="00CA7442" w:rsidRPr="00B239C0" w:rsidRDefault="00285E72" w:rsidP="00B239C0">
      <w:pPr>
        <w:shd w:val="clear" w:color="auto" w:fill="F6F4E1" w:themeFill="accent3" w:themeFillTint="33"/>
        <w:rPr>
          <w:color w:val="797325" w:themeColor="accent3" w:themeShade="80"/>
        </w:rPr>
      </w:pPr>
      <w:r w:rsidRPr="00B239C0">
        <w:rPr>
          <w:color w:val="797325" w:themeColor="accent3" w:themeShade="80"/>
        </w:rPr>
        <w:t>The report card</w:t>
      </w:r>
      <w:r w:rsidR="00B070CD" w:rsidRPr="00B239C0">
        <w:rPr>
          <w:color w:val="797325" w:themeColor="accent3" w:themeShade="80"/>
        </w:rPr>
        <w:t xml:space="preserve"> shows </w:t>
      </w:r>
      <w:r w:rsidR="00061CA8" w:rsidRPr="00B239C0">
        <w:rPr>
          <w:color w:val="797325" w:themeColor="accent3" w:themeShade="80"/>
        </w:rPr>
        <w:t xml:space="preserve">condition and threat status (not trend) </w:t>
      </w:r>
      <w:r w:rsidR="00B070CD" w:rsidRPr="00B239C0">
        <w:rPr>
          <w:color w:val="797325" w:themeColor="accent3" w:themeShade="80"/>
        </w:rPr>
        <w:t xml:space="preserve">outputs for two scales of assessment: whole of assessment unit (white box) and three component ecosystems (blue shaded box). Being a hypothetical example scores are not provided for the ecosystem but the shading illustrates the different condition and threat scores for each ecosystem. This highlights the benefits </w:t>
      </w:r>
      <w:r w:rsidR="00642C5B" w:rsidRPr="00B239C0">
        <w:rPr>
          <w:color w:val="797325" w:themeColor="accent3" w:themeShade="80"/>
        </w:rPr>
        <w:t>of providing an ecosystem level assessment, as in this hypothetical the saltmarsh is in good condition and not threatened. The main areas of concern would be maintaining the estuary opening regime and freshwater inflows. If these were a real application and not just hypothetical, report cards would be developed to illustrate the outcomes for the priority values in relation to the management objectives and KEQs.</w:t>
      </w:r>
    </w:p>
    <w:p w14:paraId="3B2EC31D" w14:textId="52BC0E0A" w:rsidR="00C7087C" w:rsidRDefault="00C7087C" w:rsidP="00B070CD"/>
    <w:p w14:paraId="5DE0C14A" w14:textId="219CC296" w:rsidR="00CA7442" w:rsidRDefault="007D709E" w:rsidP="001B498F">
      <w:r>
        <w:rPr>
          <w:noProof/>
          <w:lang w:eastAsia="en-AU"/>
        </w:rPr>
        <w:drawing>
          <wp:inline distT="0" distB="0" distL="0" distR="0" wp14:anchorId="15E1B8C1" wp14:editId="02FD70DE">
            <wp:extent cx="5731510" cy="520573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ard example 2.png"/>
                    <pic:cNvPicPr/>
                  </pic:nvPicPr>
                  <pic:blipFill>
                    <a:blip r:embed="rId88">
                      <a:extLst>
                        <a:ext uri="{28A0092B-C50C-407E-A947-70E740481C1C}">
                          <a14:useLocalDpi xmlns:a14="http://schemas.microsoft.com/office/drawing/2010/main" val="0"/>
                        </a:ext>
                      </a:extLst>
                    </a:blip>
                    <a:stretch>
                      <a:fillRect/>
                    </a:stretch>
                  </pic:blipFill>
                  <pic:spPr>
                    <a:xfrm>
                      <a:off x="0" y="0"/>
                      <a:ext cx="5731510" cy="5205730"/>
                    </a:xfrm>
                    <a:prstGeom prst="rect">
                      <a:avLst/>
                    </a:prstGeom>
                  </pic:spPr>
                </pic:pic>
              </a:graphicData>
            </a:graphic>
          </wp:inline>
        </w:drawing>
      </w:r>
    </w:p>
    <w:p w14:paraId="5F2702ED" w14:textId="5F4729B3" w:rsidR="00CA7442" w:rsidRPr="00B239C0" w:rsidRDefault="00024C72" w:rsidP="00B239C0">
      <w:pPr>
        <w:pStyle w:val="Caption"/>
        <w:shd w:val="clear" w:color="auto" w:fill="F6F4E1" w:themeFill="accent3" w:themeFillTint="33"/>
        <w:rPr>
          <w:color w:val="797325" w:themeColor="accent3" w:themeShade="80"/>
        </w:rPr>
      </w:pPr>
      <w:bookmarkStart w:id="93" w:name="_Ref484453181"/>
      <w:r w:rsidRPr="00B239C0">
        <w:rPr>
          <w:color w:val="797325" w:themeColor="accent3" w:themeShade="80"/>
        </w:rPr>
        <w:t xml:space="preserve">Figure </w:t>
      </w:r>
      <w:r w:rsidRPr="00B239C0">
        <w:rPr>
          <w:color w:val="797325" w:themeColor="accent3" w:themeShade="80"/>
        </w:rPr>
        <w:fldChar w:fldCharType="begin"/>
      </w:r>
      <w:r w:rsidRPr="00B239C0">
        <w:rPr>
          <w:color w:val="797325" w:themeColor="accent3" w:themeShade="80"/>
        </w:rPr>
        <w:instrText xml:space="preserve"> SEQ Figure \* ARABIC </w:instrText>
      </w:r>
      <w:r w:rsidRPr="00B239C0">
        <w:rPr>
          <w:color w:val="797325" w:themeColor="accent3" w:themeShade="80"/>
        </w:rPr>
        <w:fldChar w:fldCharType="separate"/>
      </w:r>
      <w:r w:rsidR="005F359C">
        <w:rPr>
          <w:noProof/>
          <w:color w:val="797325" w:themeColor="accent3" w:themeShade="80"/>
        </w:rPr>
        <w:t>16</w:t>
      </w:r>
      <w:r w:rsidRPr="00B239C0">
        <w:rPr>
          <w:color w:val="797325" w:themeColor="accent3" w:themeShade="80"/>
        </w:rPr>
        <w:fldChar w:fldCharType="end"/>
      </w:r>
      <w:bookmarkEnd w:id="93"/>
      <w:r w:rsidR="00FD50A9">
        <w:rPr>
          <w:color w:val="797325" w:themeColor="accent3" w:themeShade="80"/>
        </w:rPr>
        <w:t>:</w:t>
      </w:r>
      <w:r w:rsidRPr="00B239C0">
        <w:rPr>
          <w:color w:val="797325" w:themeColor="accent3" w:themeShade="80"/>
        </w:rPr>
        <w:t xml:space="preserve"> Simple</w:t>
      </w:r>
      <w:r w:rsidR="00061CA8" w:rsidRPr="00B239C0">
        <w:rPr>
          <w:color w:val="797325" w:themeColor="accent3" w:themeShade="80"/>
        </w:rPr>
        <w:t xml:space="preserve"> condition and threat status</w:t>
      </w:r>
      <w:r w:rsidRPr="00B239C0">
        <w:rPr>
          <w:color w:val="797325" w:themeColor="accent3" w:themeShade="80"/>
        </w:rPr>
        <w:t xml:space="preserve"> report card for hypothetical estuary example, Level 2 Integration output (i.e. scores at IECA theme level) whole of Assessment Unit and Ecosystems. </w:t>
      </w:r>
    </w:p>
    <w:p w14:paraId="2EB0600A" w14:textId="2531F1AF" w:rsidR="001E76C4" w:rsidRDefault="001E76C4" w:rsidP="00E3514A">
      <w:pPr>
        <w:spacing w:after="120" w:line="288" w:lineRule="auto"/>
        <w:jc w:val="left"/>
        <w:rPr>
          <w:b/>
          <w:i/>
          <w:color w:val="8C863E" w:themeColor="background2" w:themeShade="80"/>
          <w:sz w:val="24"/>
          <w:szCs w:val="24"/>
        </w:rPr>
      </w:pPr>
      <w:r w:rsidRPr="004E7EB5">
        <w:rPr>
          <w:b/>
          <w:i/>
          <w:color w:val="8C863E" w:themeColor="background2" w:themeShade="80"/>
          <w:sz w:val="24"/>
          <w:szCs w:val="24"/>
        </w:rPr>
        <w:t>Other resources</w:t>
      </w:r>
    </w:p>
    <w:p w14:paraId="5E97153D" w14:textId="18D8C0D5" w:rsidR="00E3514A" w:rsidRDefault="00E3514A" w:rsidP="00F4328F">
      <w:pPr>
        <w:pStyle w:val="ListParagraph"/>
        <w:numPr>
          <w:ilvl w:val="0"/>
          <w:numId w:val="56"/>
        </w:numPr>
      </w:pPr>
      <w:r>
        <w:t xml:space="preserve">Dennison, B. and Kelsy, H. (2017). The continuing evolution of the report card process. IAN </w:t>
      </w:r>
      <w:hyperlink r:id="rId89" w:history="1">
        <w:r w:rsidRPr="00454FE1">
          <w:rPr>
            <w:rStyle w:val="Hyperlink"/>
          </w:rPr>
          <w:t>https://www.youtube.com/watch?v=QoYyRT-qQtg</w:t>
        </w:r>
      </w:hyperlink>
      <w:r>
        <w:t xml:space="preserve"> </w:t>
      </w:r>
    </w:p>
    <w:p w14:paraId="6516B626" w14:textId="2D89F6C5" w:rsidR="00E3514A" w:rsidRDefault="00E3514A" w:rsidP="00F4328F">
      <w:pPr>
        <w:pStyle w:val="ListParagraph"/>
        <w:numPr>
          <w:ilvl w:val="0"/>
          <w:numId w:val="56"/>
        </w:numPr>
      </w:pPr>
      <w:r>
        <w:t xml:space="preserve">National Report Card Network - </w:t>
      </w:r>
      <w:hyperlink r:id="rId90" w:history="1">
        <w:r w:rsidRPr="00454FE1">
          <w:rPr>
            <w:rStyle w:val="Hyperlink"/>
          </w:rPr>
          <w:t>http://riverhealth.org.au/national-report-card-network/workshop/</w:t>
        </w:r>
      </w:hyperlink>
      <w:r>
        <w:t xml:space="preserve"> </w:t>
      </w:r>
    </w:p>
    <w:p w14:paraId="20CCC13B" w14:textId="268AF201" w:rsidR="00E3514A" w:rsidRDefault="00E3514A" w:rsidP="00F4328F">
      <w:pPr>
        <w:pStyle w:val="ListParagraph"/>
        <w:numPr>
          <w:ilvl w:val="0"/>
          <w:numId w:val="56"/>
        </w:numPr>
      </w:pPr>
      <w:r>
        <w:t xml:space="preserve">IAN – Integration and Application Network - </w:t>
      </w:r>
      <w:hyperlink r:id="rId91" w:history="1">
        <w:r w:rsidRPr="00454FE1">
          <w:rPr>
            <w:rStyle w:val="Hyperlink"/>
          </w:rPr>
          <w:t>http://ian.umces.edu/</w:t>
        </w:r>
      </w:hyperlink>
      <w:r>
        <w:t xml:space="preserve"> </w:t>
      </w:r>
    </w:p>
    <w:p w14:paraId="3B72C93C" w14:textId="7F8DBF39" w:rsidR="00E3514A" w:rsidRDefault="00E3514A" w:rsidP="00F4328F">
      <w:pPr>
        <w:pStyle w:val="ListParagraph"/>
        <w:numPr>
          <w:ilvl w:val="0"/>
          <w:numId w:val="56"/>
        </w:numPr>
      </w:pPr>
      <w:r>
        <w:t>Connolly</w:t>
      </w:r>
      <w:r w:rsidR="00612005">
        <w:t>,</w:t>
      </w:r>
      <w:r>
        <w:t xml:space="preserve"> R</w:t>
      </w:r>
      <w:r w:rsidR="00612005">
        <w:t>.</w:t>
      </w:r>
      <w:r>
        <w:t>M</w:t>
      </w:r>
      <w:r w:rsidR="00612005">
        <w:t>.</w:t>
      </w:r>
      <w:r>
        <w:t>, Bunn</w:t>
      </w:r>
      <w:r w:rsidR="00612005">
        <w:t>,</w:t>
      </w:r>
      <w:r>
        <w:t xml:space="preserve"> S</w:t>
      </w:r>
      <w:r w:rsidR="00612005">
        <w:t>.</w:t>
      </w:r>
      <w:r>
        <w:t>, Campbell</w:t>
      </w:r>
      <w:r w:rsidR="00612005">
        <w:t>,</w:t>
      </w:r>
      <w:r>
        <w:t xml:space="preserve"> M</w:t>
      </w:r>
      <w:r w:rsidR="00612005">
        <w:t>.</w:t>
      </w:r>
      <w:r>
        <w:t>, Escher</w:t>
      </w:r>
      <w:r w:rsidR="00612005">
        <w:t>,</w:t>
      </w:r>
      <w:r>
        <w:t xml:space="preserve"> B</w:t>
      </w:r>
      <w:r w:rsidR="00612005">
        <w:t>.</w:t>
      </w:r>
      <w:r>
        <w:t>, Hunter</w:t>
      </w:r>
      <w:r w:rsidR="00612005">
        <w:t>,</w:t>
      </w:r>
      <w:r>
        <w:t xml:space="preserve"> J</w:t>
      </w:r>
      <w:r w:rsidR="00612005">
        <w:t>.</w:t>
      </w:r>
      <w:r>
        <w:t>, Maxwell</w:t>
      </w:r>
      <w:r w:rsidR="00612005">
        <w:t>,</w:t>
      </w:r>
      <w:r>
        <w:t xml:space="preserve"> P</w:t>
      </w:r>
      <w:r w:rsidR="00612005">
        <w:t>.</w:t>
      </w:r>
      <w:r>
        <w:t>, Page</w:t>
      </w:r>
      <w:r w:rsidR="00612005">
        <w:t>,</w:t>
      </w:r>
      <w:r>
        <w:t xml:space="preserve"> T</w:t>
      </w:r>
      <w:r w:rsidR="00612005">
        <w:t>.</w:t>
      </w:r>
      <w:r>
        <w:t>, Richmond</w:t>
      </w:r>
      <w:r w:rsidR="00612005">
        <w:t>,</w:t>
      </w:r>
      <w:r>
        <w:t xml:space="preserve"> S</w:t>
      </w:r>
      <w:r w:rsidR="00612005">
        <w:t>.</w:t>
      </w:r>
      <w:r>
        <w:t>, Rissik</w:t>
      </w:r>
      <w:r w:rsidR="00612005">
        <w:t>,</w:t>
      </w:r>
      <w:r>
        <w:t xml:space="preserve"> D</w:t>
      </w:r>
      <w:r w:rsidR="00612005">
        <w:t>.</w:t>
      </w:r>
      <w:r>
        <w:t>,</w:t>
      </w:r>
      <w:r w:rsidR="00612005">
        <w:t xml:space="preserve"> </w:t>
      </w:r>
      <w:r>
        <w:t>Roiko</w:t>
      </w:r>
      <w:r w:rsidR="00612005">
        <w:t>,</w:t>
      </w:r>
      <w:r>
        <w:t xml:space="preserve"> A</w:t>
      </w:r>
      <w:r w:rsidR="00612005">
        <w:t>.</w:t>
      </w:r>
      <w:r>
        <w:t>, Smart</w:t>
      </w:r>
      <w:r w:rsidR="00612005">
        <w:t>,</w:t>
      </w:r>
      <w:r>
        <w:t xml:space="preserve"> J</w:t>
      </w:r>
      <w:r w:rsidR="00612005">
        <w:t>.</w:t>
      </w:r>
      <w:r>
        <w:t>, Teasdale</w:t>
      </w:r>
      <w:r w:rsidR="00612005">
        <w:t>,</w:t>
      </w:r>
      <w:r>
        <w:t xml:space="preserve"> P</w:t>
      </w:r>
      <w:r w:rsidR="00612005">
        <w:t>.</w:t>
      </w:r>
      <w:r>
        <w:t xml:space="preserve"> (2013)</w:t>
      </w:r>
      <w:r w:rsidR="00612005">
        <w:t>.</w:t>
      </w:r>
      <w:r>
        <w:t xml:space="preserve">  </w:t>
      </w:r>
      <w:r w:rsidRPr="00E3514A">
        <w:t>Review of the use of report cards for monitoring ecosystem and waterway health. Report to: Gladstone Healthy Harbour Partnership. November 2013. Queensland, Australia</w:t>
      </w:r>
      <w:r w:rsidR="00612005">
        <w:t>.</w:t>
      </w:r>
    </w:p>
    <w:p w14:paraId="4948D6DE" w14:textId="65694565" w:rsidR="005517D0" w:rsidRDefault="00A01CF7" w:rsidP="00F4328F">
      <w:pPr>
        <w:pStyle w:val="ListParagraph"/>
        <w:numPr>
          <w:ilvl w:val="0"/>
          <w:numId w:val="56"/>
        </w:numPr>
      </w:pPr>
      <w:r>
        <w:t xml:space="preserve">Kung, A. (2016). </w:t>
      </w:r>
      <w:r w:rsidRPr="00A01CF7">
        <w:t>Using environmental report cards to encourage constructive stakeholder relationships in natural resource management: developing a participatory report card process.</w:t>
      </w:r>
      <w:r>
        <w:t xml:space="preserve"> The University of Queensland. PhD Thesis.</w:t>
      </w:r>
    </w:p>
    <w:p w14:paraId="19F9A041" w14:textId="77777777" w:rsidR="00685AE7" w:rsidRDefault="00685AE7" w:rsidP="00685AE7"/>
    <w:p w14:paraId="72BAAEBE" w14:textId="77777777" w:rsidR="00A01CF7" w:rsidRPr="004E7EB5" w:rsidRDefault="00E3514A" w:rsidP="00A01CF7">
      <w:pPr>
        <w:rPr>
          <w:b/>
          <w:i/>
          <w:color w:val="8C863E" w:themeColor="background2" w:themeShade="80"/>
          <w:sz w:val="24"/>
          <w:szCs w:val="24"/>
        </w:rPr>
      </w:pPr>
      <w:r>
        <w:t> </w:t>
      </w:r>
      <w:r w:rsidR="00A01CF7" w:rsidRPr="004E7EB5">
        <w:rPr>
          <w:b/>
          <w:i/>
          <w:color w:val="8C863E" w:themeColor="background2" w:themeShade="80"/>
          <w:sz w:val="24"/>
          <w:szCs w:val="24"/>
        </w:rPr>
        <w:t>Outputs</w:t>
      </w:r>
    </w:p>
    <w:p w14:paraId="53B9C69D" w14:textId="7C72DA26" w:rsidR="00685AE7" w:rsidRDefault="00685AE7" w:rsidP="00685AE7">
      <w:pPr>
        <w:shd w:val="clear" w:color="auto" w:fill="C3D8D7" w:themeFill="accent2" w:themeFillTint="99"/>
      </w:pPr>
      <w:r>
        <w:t xml:space="preserve">The required outputs of Step </w:t>
      </w:r>
      <w:r w:rsidR="00061CA8">
        <w:t>8</w:t>
      </w:r>
      <w:r>
        <w:t xml:space="preserve"> are:</w:t>
      </w:r>
    </w:p>
    <w:p w14:paraId="7D560B26" w14:textId="00DA3926" w:rsidR="00685AE7" w:rsidRDefault="00285E72" w:rsidP="00685AE7">
      <w:pPr>
        <w:pStyle w:val="ListParagraph"/>
        <w:numPr>
          <w:ilvl w:val="0"/>
          <w:numId w:val="4"/>
        </w:numPr>
        <w:shd w:val="clear" w:color="auto" w:fill="C3D8D7" w:themeFill="accent2" w:themeFillTint="99"/>
        <w:spacing w:after="120" w:line="288" w:lineRule="auto"/>
        <w:jc w:val="left"/>
      </w:pPr>
      <w:r>
        <w:t>Stated audience, message/intent, and purpose of the report card</w:t>
      </w:r>
      <w:r w:rsidR="00685AE7">
        <w:t xml:space="preserve">; </w:t>
      </w:r>
    </w:p>
    <w:p w14:paraId="4931EC75" w14:textId="29EC2CEF" w:rsidR="00285E72" w:rsidRDefault="00285E72" w:rsidP="00685AE7">
      <w:pPr>
        <w:pStyle w:val="ListParagraph"/>
        <w:numPr>
          <w:ilvl w:val="0"/>
          <w:numId w:val="4"/>
        </w:numPr>
        <w:shd w:val="clear" w:color="auto" w:fill="C3D8D7" w:themeFill="accent2" w:themeFillTint="99"/>
        <w:spacing w:after="120" w:line="288" w:lineRule="auto"/>
        <w:jc w:val="left"/>
      </w:pPr>
      <w:r>
        <w:t>Caveats and assumptions made relating to the development of the report card;</w:t>
      </w:r>
      <w:r w:rsidR="005D3448">
        <w:t xml:space="preserve"> and</w:t>
      </w:r>
    </w:p>
    <w:p w14:paraId="0BAD67D0" w14:textId="0028F5D3" w:rsidR="00685AE7" w:rsidRDefault="00685AE7" w:rsidP="00A01CF7">
      <w:pPr>
        <w:pStyle w:val="ListParagraph"/>
        <w:numPr>
          <w:ilvl w:val="0"/>
          <w:numId w:val="4"/>
        </w:numPr>
        <w:shd w:val="clear" w:color="auto" w:fill="C3D8D7" w:themeFill="accent2" w:themeFillTint="99"/>
        <w:spacing w:after="120" w:line="288" w:lineRule="auto"/>
        <w:jc w:val="left"/>
      </w:pPr>
      <w:r>
        <w:t>Separate outputs for condition and threats to ecological values for each scale of assessment</w:t>
      </w:r>
      <w:r w:rsidR="005D3448">
        <w:t xml:space="preserve"> in preferred report card format</w:t>
      </w:r>
      <w:r>
        <w:t>.</w:t>
      </w:r>
    </w:p>
    <w:p w14:paraId="42AD615F" w14:textId="3356CCB6" w:rsidR="00E3514A" w:rsidRPr="00E3514A" w:rsidRDefault="00E3514A" w:rsidP="00E3514A"/>
    <w:p w14:paraId="3F613593" w14:textId="77777777" w:rsidR="001E76C4" w:rsidRPr="004E7EB5" w:rsidRDefault="001E76C4" w:rsidP="001E76C4"/>
    <w:p w14:paraId="410E01A2" w14:textId="77777777" w:rsidR="00E97A91" w:rsidRPr="004E7EB5" w:rsidRDefault="00E97A91" w:rsidP="00E97A91"/>
    <w:p w14:paraId="6734986B" w14:textId="77777777" w:rsidR="001E76C4" w:rsidRPr="004E7EB5" w:rsidRDefault="001E76C4" w:rsidP="001E76C4"/>
    <w:p w14:paraId="050B6EE5" w14:textId="77777777" w:rsidR="001E76C4" w:rsidRPr="004E7EB5" w:rsidRDefault="001E76C4" w:rsidP="001E76C4"/>
    <w:p w14:paraId="62FCC554" w14:textId="77777777" w:rsidR="001E76C4" w:rsidRPr="004E7EB5" w:rsidRDefault="001E76C4" w:rsidP="00C15728">
      <w:pPr>
        <w:sectPr w:rsidR="001E76C4" w:rsidRPr="004E7EB5" w:rsidSect="00CA2773">
          <w:headerReference w:type="even" r:id="rId92"/>
          <w:headerReference w:type="default" r:id="rId93"/>
          <w:headerReference w:type="first" r:id="rId94"/>
          <w:pgSz w:w="11906" w:h="16838"/>
          <w:pgMar w:top="1440" w:right="1440" w:bottom="1440" w:left="1440" w:header="708" w:footer="708" w:gutter="0"/>
          <w:cols w:space="708"/>
          <w:docGrid w:linePitch="360"/>
        </w:sectPr>
      </w:pPr>
    </w:p>
    <w:p w14:paraId="180C910B" w14:textId="00DC0A96" w:rsidR="00B27B0F" w:rsidRPr="004E7EB5" w:rsidRDefault="00B27B0F" w:rsidP="00C15728"/>
    <w:p w14:paraId="690FA38E" w14:textId="77777777" w:rsidR="00077782" w:rsidRPr="004E7EB5" w:rsidRDefault="00F15695" w:rsidP="00DC70B2">
      <w:pPr>
        <w:pStyle w:val="Heading1"/>
      </w:pPr>
      <w:bookmarkStart w:id="94" w:name="_Toc463378326"/>
      <w:bookmarkStart w:id="95" w:name="_Toc464119087"/>
      <w:bookmarkStart w:id="96" w:name="_Toc464162728"/>
      <w:bookmarkStart w:id="97" w:name="_Toc464163341"/>
      <w:bookmarkStart w:id="98" w:name="_Toc464300671"/>
      <w:bookmarkStart w:id="99" w:name="_Toc463378327"/>
      <w:bookmarkStart w:id="100" w:name="_Toc464119088"/>
      <w:bookmarkStart w:id="101" w:name="_Toc464162729"/>
      <w:bookmarkStart w:id="102" w:name="_Toc464163342"/>
      <w:bookmarkStart w:id="103" w:name="_Toc464300672"/>
      <w:bookmarkStart w:id="104" w:name="_Toc463378328"/>
      <w:bookmarkStart w:id="105" w:name="_Toc464119089"/>
      <w:bookmarkStart w:id="106" w:name="_Toc464162730"/>
      <w:bookmarkStart w:id="107" w:name="_Toc464163343"/>
      <w:bookmarkStart w:id="108" w:name="_Toc464300673"/>
      <w:bookmarkStart w:id="109" w:name="_Toc493774226"/>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4E7EB5">
        <w:t>References cited</w:t>
      </w:r>
      <w:bookmarkEnd w:id="109"/>
    </w:p>
    <w:bookmarkStart w:id="110" w:name="_Toc457901548"/>
    <w:p w14:paraId="1C39E71B" w14:textId="77777777" w:rsidR="00580904" w:rsidRDefault="004875C1" w:rsidP="00580904">
      <w:pPr>
        <w:pStyle w:val="Bibliography"/>
      </w:pPr>
      <w:r w:rsidRPr="004875C1">
        <w:rPr>
          <w:rFonts w:asciiTheme="minorHAnsi" w:hAnsiTheme="minorHAnsi" w:cstheme="minorHAnsi"/>
          <w:lang w:val="en-US"/>
        </w:rPr>
        <w:fldChar w:fldCharType="begin"/>
      </w:r>
      <w:r w:rsidR="00F97BE1">
        <w:rPr>
          <w:rFonts w:asciiTheme="minorHAnsi" w:hAnsiTheme="minorHAnsi" w:cstheme="minorHAnsi"/>
          <w:lang w:val="en-US"/>
        </w:rPr>
        <w:instrText xml:space="preserve"> ADDIN ZOTERO_BIBL {"custom":[]} CSL_BIBLIOGRAPHY </w:instrText>
      </w:r>
      <w:r w:rsidRPr="004875C1">
        <w:rPr>
          <w:rFonts w:asciiTheme="minorHAnsi" w:hAnsiTheme="minorHAnsi" w:cstheme="minorHAnsi"/>
          <w:lang w:val="en-US"/>
        </w:rPr>
        <w:fldChar w:fldCharType="separate"/>
      </w:r>
      <w:r w:rsidR="00580904">
        <w:t>AETG. 2012a. Aquatic Ecosystems Toolkit. Module 1: Aquatic Ecosystems Toolkit Guidance Paper. Australian Government Department of Sustainability, Environment, Water, Population and Communities, Canberra. http://www.environment.gov.au/water/publications/environmental/ecosystems/ae-toolkit-mod-1.html.</w:t>
      </w:r>
    </w:p>
    <w:p w14:paraId="7463A7A9" w14:textId="77777777" w:rsidR="00580904" w:rsidRDefault="00580904" w:rsidP="00580904">
      <w:pPr>
        <w:pStyle w:val="Bibliography"/>
      </w:pPr>
      <w:r>
        <w:t>AETG. 2012b. Aquatic Ecosystems Toolkit. Module 2. Interim Australian National Aquatic Ecosystem Classification Framework. Australian Government Department of Sustainability, Environment, Water, Population and Communities, Canberra. http://www.environment.gov.au/water/publications/environmental/ecosystems/ae-toolkit-mod-2.html.</w:t>
      </w:r>
    </w:p>
    <w:p w14:paraId="2E23E8B8" w14:textId="77777777" w:rsidR="00580904" w:rsidRDefault="00580904" w:rsidP="00580904">
      <w:pPr>
        <w:pStyle w:val="Bibliography"/>
      </w:pPr>
      <w:r>
        <w:t>AETG. 2012c. Aquatic Ecosystems Toolkit. Module 3: Guidelines for Identifying High Ecological Value Aquatic Ecosystems (HEVAE). Australian Government Department of Sustainability, Environment, Water, Population and Communities, Canberra. http://www.environment.gov.au/water/publications/environmental/ecosystems/ae-toolkit-mod-3.html.</w:t>
      </w:r>
    </w:p>
    <w:p w14:paraId="32A3AB18" w14:textId="77777777" w:rsidR="00580904" w:rsidRDefault="00580904" w:rsidP="00580904">
      <w:pPr>
        <w:pStyle w:val="Bibliography"/>
      </w:pPr>
      <w:r>
        <w:t>AETG. 2012d. Aquatic Ecosystems Toolkit. Module 4: Aquatic Ecosystem Delineation and Description Guidelines. Australian Government Department of Sustainability, Environment, Water, Population and Communities, Canberra http://www.environment.gov.au/water/publications/environmental/ecosystems/ae-toolkit-mod-4.html.</w:t>
      </w:r>
    </w:p>
    <w:p w14:paraId="4BE77FCD" w14:textId="77777777" w:rsidR="00580904" w:rsidRDefault="00580904" w:rsidP="00580904">
      <w:pPr>
        <w:pStyle w:val="Bibliography"/>
      </w:pPr>
      <w:r>
        <w:t xml:space="preserve">Albert, C., Bonn, A., Burkhard, B., Daube, S., Dietrich, K., Engels, B., Frommer, J., Götzl, M., Grêt-Regamey, A., Job-Hoben, B., Koellner, T., Marzelli, S., Moning, C., Müller, F., Rabe, S.-E., Ring, I., Schwaiger, E., Schweppe-Kraft, B., and Wüstemann, H. 2016. Towards a national set of ecosystem service indicators: Insights from Germany. Ecological Indicators </w:t>
      </w:r>
      <w:r>
        <w:rPr>
          <w:b/>
          <w:bCs/>
        </w:rPr>
        <w:t>61</w:t>
      </w:r>
      <w:r>
        <w:t>: 38–48. doi:10.1016/j.ecolind.2015.08.050.</w:t>
      </w:r>
    </w:p>
    <w:p w14:paraId="0B1EAB46" w14:textId="77777777" w:rsidR="00580904" w:rsidRDefault="00580904" w:rsidP="00580904">
      <w:pPr>
        <w:pStyle w:val="Bibliography"/>
      </w:pPr>
      <w:r>
        <w:t>Alluvium. 2011. Framework for the assessment of river and wetland health: findings from the trials and options for uptake, Waterlines report, National Water Commission, Canberra.</w:t>
      </w:r>
    </w:p>
    <w:p w14:paraId="329D6111" w14:textId="77777777" w:rsidR="00580904" w:rsidRDefault="00580904" w:rsidP="00580904">
      <w:pPr>
        <w:pStyle w:val="Bibliography"/>
      </w:pPr>
      <w:r>
        <w:t>Arciszewski, T.J., Munkittrick, K.R., Scrimgeour, G.J., Dubé, M.G., Wrona, F.J., and Hazewinkel, R.R. 2017. Using adaptive processes and adverse outcome pathways to develop meaningful, robust, and actionable environmental monitoring programs: Strengthening Environmental Monitoring. Integrated Environmental Assessment and Management. doi:10.1002/ieam.1938.</w:t>
      </w:r>
    </w:p>
    <w:p w14:paraId="5AA18B56" w14:textId="77777777" w:rsidR="00580904" w:rsidRDefault="00580904" w:rsidP="00580904">
      <w:pPr>
        <w:pStyle w:val="Bibliography"/>
      </w:pPr>
      <w:r>
        <w:t>Bland, L.M., Keith, D.A., MIller, R.M., and Rodriguez, J.P. (</w:t>
      </w:r>
      <w:r>
        <w:rPr>
          <w:i/>
          <w:iCs/>
        </w:rPr>
        <w:t>Editors</w:t>
      </w:r>
      <w:r>
        <w:t>). 2016. Guidelines for the application of IUCN Red List of Ecosystems Categories and Criteria, Version 1.0. Gland, Switzerland: IUCN. ix + 94pp.</w:t>
      </w:r>
    </w:p>
    <w:p w14:paraId="026B4AFF" w14:textId="77777777" w:rsidR="00580904" w:rsidRDefault="00580904" w:rsidP="00580904">
      <w:pPr>
        <w:pStyle w:val="Bibliography"/>
      </w:pPr>
      <w:r>
        <w:t xml:space="preserve">Borja, A., Elliott, M., Andersen, J.H., Berg, T., Carstensen, J., Halpern, B.S., Heiskanen, A.-S., Korpinen, S., Lowndes, J.S.S., Martin, G., and Rodriguez-Ezpeleta, N. 2016. Overview of Integrative Assessment of Marine Systems: The Ecosystem Approach in Practice. Frontiers in Marine Science </w:t>
      </w:r>
      <w:r>
        <w:rPr>
          <w:b/>
          <w:bCs/>
        </w:rPr>
        <w:t>3</w:t>
      </w:r>
      <w:r>
        <w:t>. doi:10.3389/fmars.2016.00020.</w:t>
      </w:r>
    </w:p>
    <w:p w14:paraId="6928C990" w14:textId="77777777" w:rsidR="00580904" w:rsidRDefault="00580904" w:rsidP="00580904">
      <w:pPr>
        <w:pStyle w:val="Bibliography"/>
      </w:pPr>
      <w:r>
        <w:t>Brooks, S., Cottingham, P., Butcher, R., and Hale, J. 2013. Murray-Darling Basin Aquatic Ecosystem Classification: Stage 2 report. Peter Cottingham &amp; Associates report to the Commonwealth Environmental Water Office and Murray-Darling Basin Authority, Canberra.</w:t>
      </w:r>
    </w:p>
    <w:p w14:paraId="5CC98A9B" w14:textId="77777777" w:rsidR="00580904" w:rsidRDefault="00580904" w:rsidP="00580904">
      <w:pPr>
        <w:pStyle w:val="Bibliography"/>
      </w:pPr>
      <w:r>
        <w:t>Carter, C. 2011. Sustainable River Audit 2: Metric processing system, unpublished report to the Murray-Darling Basin Authroity, Environmental Dynamics Project ED5115, Environmental Dynamics, Hobart.</w:t>
      </w:r>
    </w:p>
    <w:p w14:paraId="3AD73F5D" w14:textId="77777777" w:rsidR="00580904" w:rsidRDefault="00580904" w:rsidP="00580904">
      <w:pPr>
        <w:pStyle w:val="Bibliography"/>
      </w:pPr>
      <w:r>
        <w:t>CEWO. 2013. Commonwealth Environmental Water - Monitoring, Evaluation, Reporting and Improvement Framework, Commonwealth Environmental Water, June 2013 V2.0.</w:t>
      </w:r>
    </w:p>
    <w:p w14:paraId="6EA6B191" w14:textId="77777777" w:rsidR="00580904" w:rsidRDefault="00580904" w:rsidP="00580904">
      <w:pPr>
        <w:pStyle w:val="Bibliography"/>
      </w:pPr>
      <w:r>
        <w:t xml:space="preserve">Cook, C.N., de Bie, K., Keith, D.A., and Addison, P.F.E. 2016. Decision triggers are a critical part of evidence-based conservation. Biological Conservation </w:t>
      </w:r>
      <w:r>
        <w:rPr>
          <w:b/>
          <w:bCs/>
        </w:rPr>
        <w:t>195</w:t>
      </w:r>
      <w:r>
        <w:t>: 46–51. doi:10.1016/j.biocon.2015.12.024.</w:t>
      </w:r>
    </w:p>
    <w:p w14:paraId="0BF6FF44" w14:textId="77777777" w:rsidR="00580904" w:rsidRDefault="00580904" w:rsidP="00580904">
      <w:pPr>
        <w:pStyle w:val="Bibliography"/>
      </w:pPr>
      <w:r>
        <w:t>Cottingham, P., and Butcher, R. 2015. Ramsar Managment Plan for the Glenelg River Estuary and Long Swamp Wetland Complex. Prepared for Glenelg Hopkins CMA.</w:t>
      </w:r>
    </w:p>
    <w:p w14:paraId="1DAB8349" w14:textId="77777777" w:rsidR="00580904" w:rsidRDefault="00580904" w:rsidP="00580904">
      <w:pPr>
        <w:pStyle w:val="Bibliography"/>
      </w:pPr>
      <w:r>
        <w:t xml:space="preserve">Dale, V.H., and Beyeler, S.C. 2001. Challenges in the development and use of ecological indicators. Ecological Indicators </w:t>
      </w:r>
      <w:r>
        <w:rPr>
          <w:b/>
          <w:bCs/>
        </w:rPr>
        <w:t>1</w:t>
      </w:r>
      <w:r>
        <w:t>(1): 3–10. doi:10.1016/S1470-160X(01)00003-6.</w:t>
      </w:r>
    </w:p>
    <w:p w14:paraId="57D8481B" w14:textId="77777777" w:rsidR="00580904" w:rsidRDefault="00580904" w:rsidP="00580904">
      <w:pPr>
        <w:pStyle w:val="Bibliography"/>
      </w:pPr>
      <w:r>
        <w:t>Davies, P., Stewardson, M.J., Hillman, T.J., Roberts, J., and Thoms, M.C. 2012. Sustainable Rivers Audit 2: The ecological health of rivers in the Murray–Darling Basin at the end of the Millennium Drought (2008–2010). Volume 2. MDBA.</w:t>
      </w:r>
    </w:p>
    <w:p w14:paraId="1F5323AE" w14:textId="77777777" w:rsidR="00580904" w:rsidRDefault="00580904" w:rsidP="00580904">
      <w:pPr>
        <w:pStyle w:val="Bibliography"/>
      </w:pPr>
      <w:r>
        <w:lastRenderedPageBreak/>
        <w:t>Davies, P.E., Harris, J.H., Hillman, T.J., and Walker, K.F. 2008. Sustainable Rivers Audit Report 1: a report on the ecological health of rivers in the Murray–Darling Basin, 2004–2007, Report prepared by the Independent Sustainable Rivers Audit Group for the Murray–Darling Basin Ministerial Council. Murray-Darling Basin Commission, Canberra.</w:t>
      </w:r>
    </w:p>
    <w:p w14:paraId="538C84F4" w14:textId="77777777" w:rsidR="00580904" w:rsidRDefault="00580904" w:rsidP="00580904">
      <w:pPr>
        <w:pStyle w:val="Bibliography"/>
      </w:pPr>
      <w:r>
        <w:t>Department of Environment and Heritage Protection. 2012a. Pictures worth a thousand words: A guide to pictorial conceptual modelling, Queensland Wetlands Program, Queensland Government, Brisbane.”.</w:t>
      </w:r>
    </w:p>
    <w:p w14:paraId="50D56E10" w14:textId="77777777" w:rsidR="00580904" w:rsidRDefault="00580904" w:rsidP="00580904">
      <w:pPr>
        <w:pStyle w:val="Bibliography"/>
      </w:pPr>
      <w:r>
        <w:t>Department of Environment and Heritage Protection. 2012b. Framework for evaluating aquatic ecosystem connectivity, Queensland Government, Brisbane.</w:t>
      </w:r>
    </w:p>
    <w:p w14:paraId="26EC4B75" w14:textId="77777777" w:rsidR="00580904" w:rsidRDefault="00580904" w:rsidP="00580904">
      <w:pPr>
        <w:pStyle w:val="Bibliography"/>
      </w:pPr>
      <w:r>
        <w:t>Department of the Environment, Water, Heritage and the Arts. 2008. National framework and guidance for describing the ecological character of Australian Ramsar Wetlands: module 2 of the National Guidelines for Ramsar Wetlands - implementing the Ramsar Convention in Australia. Dept. of the Environment, Water, Heritage and the Arts, Canberra. Available from http://www.environment.gov.au/water/publications/environmental/wetlands/pubs/module-2-framework.pdf [accessed 30 June 2013].</w:t>
      </w:r>
    </w:p>
    <w:p w14:paraId="521793B5" w14:textId="77777777" w:rsidR="00580904" w:rsidRDefault="00580904" w:rsidP="00580904">
      <w:pPr>
        <w:pStyle w:val="Bibliography"/>
      </w:pPr>
      <w:r>
        <w:t>DEWHA. 2008. National framework and guidance for describing the ecological character of Australian Ramsar Wetlands: Module 2 of the National Guidelines for Ramsar Wetlands - implementing the Ramsar Convention in Australia. Dept. of the Environment, Water, Heritage and the Arts, Canberra.</w:t>
      </w:r>
    </w:p>
    <w:p w14:paraId="6D8A562D" w14:textId="77777777" w:rsidR="00580904" w:rsidRDefault="00580904" w:rsidP="00580904">
      <w:pPr>
        <w:pStyle w:val="Bibliography"/>
      </w:pPr>
      <w:r>
        <w:t>Dodgson, J., Spackman, M., Pearman, A.D., and Phillips, L.D. 2009. Multi-criteria analysis: a manual. Department of the Environment, Transport and Regions, London. Available from http://www.communities.gov.uk/documents/corporate/pdf/1132618.pdf.</w:t>
      </w:r>
    </w:p>
    <w:p w14:paraId="6F18EADD" w14:textId="77777777" w:rsidR="00580904" w:rsidRDefault="00580904" w:rsidP="00580904">
      <w:pPr>
        <w:pStyle w:val="Bibliography"/>
      </w:pPr>
      <w:r>
        <w:t xml:space="preserve">Doran, G.T. 1981. There’s a S.M.A.R.T. way to write management’s goals and objectives. Management Review. AMA Forum </w:t>
      </w:r>
      <w:r>
        <w:rPr>
          <w:b/>
          <w:bCs/>
        </w:rPr>
        <w:t>70</w:t>
      </w:r>
      <w:r>
        <w:t>(11): 35–36.</w:t>
      </w:r>
    </w:p>
    <w:p w14:paraId="29F71D7E" w14:textId="77777777" w:rsidR="00580904" w:rsidRDefault="00580904" w:rsidP="00580904">
      <w:pPr>
        <w:pStyle w:val="Bibliography"/>
      </w:pPr>
      <w:r>
        <w:t>European Union. 2013. Mapping and Assessment of Ecosystems and their Services An analytical framework for ecosystem assessments under Action 5 of the EU Biodiversity Strategy to 2020.</w:t>
      </w:r>
    </w:p>
    <w:p w14:paraId="08333255" w14:textId="77777777" w:rsidR="00580904" w:rsidRDefault="00580904" w:rsidP="00580904">
      <w:pPr>
        <w:pStyle w:val="Bibliography"/>
      </w:pPr>
      <w:r>
        <w:t>Gawne, B., Butcher, R., Durant, R., Ellis, I., Henderson, M., Ning, N., Campbell, C., and Hawking, J. 2013. IECA Proof of Concept Trial – Technical report. Final Report prepared for the Department of Sustainability, Environment, Water, Population and Communities by The Murray-Darling Freshwater Research Centre, MDFRC Publication 27/2013.</w:t>
      </w:r>
    </w:p>
    <w:p w14:paraId="2F1EAC44" w14:textId="77777777" w:rsidR="00580904" w:rsidRDefault="00580904" w:rsidP="00580904">
      <w:pPr>
        <w:pStyle w:val="Bibliography"/>
      </w:pPr>
      <w:r>
        <w:t xml:space="preserve">Gillon, S., Booth, E.G., and Rissman, A.R. 2016. Shifting drivers and static baselines in environmental governance: challenges for improving and proving water quality outcomes. Regional Environmental Change </w:t>
      </w:r>
      <w:r>
        <w:rPr>
          <w:b/>
          <w:bCs/>
        </w:rPr>
        <w:t>16</w:t>
      </w:r>
      <w:r>
        <w:t>(3): 759–775. doi:10.1007/s10113-015-0787-0.</w:t>
      </w:r>
    </w:p>
    <w:p w14:paraId="46C367D2" w14:textId="77777777" w:rsidR="00580904" w:rsidRDefault="00580904" w:rsidP="00580904">
      <w:pPr>
        <w:pStyle w:val="Bibliography"/>
      </w:pPr>
      <w:r>
        <w:t>Gross, J. 2003. Developing Conceptual Models for Monitoring Programs. NPS Inventory and Monitoring Program, USA.</w:t>
      </w:r>
    </w:p>
    <w:p w14:paraId="5172C931" w14:textId="77777777" w:rsidR="00580904" w:rsidRDefault="00580904" w:rsidP="00580904">
      <w:pPr>
        <w:pStyle w:val="Bibliography"/>
      </w:pPr>
      <w:r>
        <w:t>Haines-Young, R.H., and Potschin, M.B. 2011. Common International Classification of Ecosystem Services (CICES): 2011 Update. Paper prepared for discussion at the expert meeting on ecosystem accounts organised by the UNSD, the EEA and the World Bank, London, December 2011.</w:t>
      </w:r>
    </w:p>
    <w:p w14:paraId="3B9D37D7" w14:textId="77777777" w:rsidR="00580904" w:rsidRDefault="00580904" w:rsidP="00580904">
      <w:pPr>
        <w:pStyle w:val="Bibliography"/>
      </w:pPr>
      <w:r>
        <w:t xml:space="preserve">Harwell, M.A., Myers, V., Young, T., Bartuska, A., Gassman, N., Gentile, J.H., Harwell, C.C., Appelbaum, S., Barko, J., Causey, B., Johnson, C., McLean, A., Smola, R., Templet, P., and Tosini, S. 1999. A Framework for an Ecosystem Integrity Report Card. BioScience </w:t>
      </w:r>
      <w:r>
        <w:rPr>
          <w:b/>
          <w:bCs/>
        </w:rPr>
        <w:t>49</w:t>
      </w:r>
      <w:r>
        <w:t>(7): 543. doi:10.2307/1313475.</w:t>
      </w:r>
    </w:p>
    <w:p w14:paraId="1974012F" w14:textId="77777777" w:rsidR="00580904" w:rsidRDefault="00580904" w:rsidP="00580904">
      <w:pPr>
        <w:pStyle w:val="Bibliography"/>
      </w:pPr>
      <w:r>
        <w:t xml:space="preserve">Heink, U., Hauck, J., Jax, K., and Sukopp, U. 2016. Requirements for the selection of ecosystem service indicators – The case of MAES indicators. Ecological Indicators </w:t>
      </w:r>
      <w:r>
        <w:rPr>
          <w:b/>
          <w:bCs/>
        </w:rPr>
        <w:t>61</w:t>
      </w:r>
      <w:r>
        <w:t>: 18–26. doi:10.1016/j.ecolind.2015.09.031.</w:t>
      </w:r>
    </w:p>
    <w:p w14:paraId="125E25E5" w14:textId="77777777" w:rsidR="00580904" w:rsidRDefault="00580904" w:rsidP="00580904">
      <w:pPr>
        <w:pStyle w:val="Bibliography"/>
      </w:pPr>
      <w:r>
        <w:t>IAP2 International Federation. 2014. IAP2’s Public Participation Spectrum. Available from https://www.iap2.org.au/Tenant/C0000004/00000001/files/IAP2_Public_Participation_Spectrum.pdf.</w:t>
      </w:r>
    </w:p>
    <w:p w14:paraId="40E0700C" w14:textId="77777777" w:rsidR="00580904" w:rsidRDefault="00580904" w:rsidP="00580904">
      <w:pPr>
        <w:pStyle w:val="Bibliography"/>
      </w:pPr>
      <w:r>
        <w:t xml:space="preserve">Kindlmann, P., and Burel, F. 2008. Connectivity measures: a review. Landscape Ecology </w:t>
      </w:r>
      <w:r>
        <w:rPr>
          <w:b/>
          <w:bCs/>
        </w:rPr>
        <w:t>23</w:t>
      </w:r>
      <w:r>
        <w:t>: 879–890. doi:10.1007/s10980-008-9245-4.</w:t>
      </w:r>
    </w:p>
    <w:p w14:paraId="7D375C7D" w14:textId="77777777" w:rsidR="00580904" w:rsidRDefault="00580904" w:rsidP="00580904">
      <w:pPr>
        <w:pStyle w:val="Bibliography"/>
      </w:pPr>
      <w:r>
        <w:t xml:space="preserve">Kopf, R.K., Finlayson, C.M., Humphries, P., Sims, N.C., and Hladyz, S. 2015. Anthropocene Baselines: Assessing Change and Managing Biodiversity in Human-Dominated Aquatic Ecosystems. BioScience </w:t>
      </w:r>
      <w:r>
        <w:rPr>
          <w:b/>
          <w:bCs/>
        </w:rPr>
        <w:t>65</w:t>
      </w:r>
      <w:r>
        <w:t>(8): 798–811. doi:10.1093/biosci/biv092.</w:t>
      </w:r>
    </w:p>
    <w:p w14:paraId="4FE42956" w14:textId="77777777" w:rsidR="00580904" w:rsidRDefault="00580904" w:rsidP="00580904">
      <w:pPr>
        <w:pStyle w:val="Bibliography"/>
      </w:pPr>
      <w:r>
        <w:t xml:space="preserve">Kuehne, L.M., Olden, J.D., Strecker, A.L., Lawler, J.J., and Theobald, D.M. 2017. Past, present, and future of ecological integrity assessment for fresh waters. Frontiers in Ecology and the Environment </w:t>
      </w:r>
      <w:r>
        <w:rPr>
          <w:b/>
          <w:bCs/>
        </w:rPr>
        <w:t>15</w:t>
      </w:r>
      <w:r>
        <w:t>(4): 197–205. doi:10.1002/fee.1483.</w:t>
      </w:r>
    </w:p>
    <w:p w14:paraId="7F12A0BB" w14:textId="77777777" w:rsidR="00580904" w:rsidRDefault="00580904" w:rsidP="00580904">
      <w:pPr>
        <w:pStyle w:val="Bibliography"/>
      </w:pPr>
      <w:r>
        <w:t xml:space="preserve">La Notte, A., D’Amato, D., Mäkinen, H., Paracchini, M.L., Liquete, C., Egoh, B., Geneletti, D., and Crossman, N.D. 2017. Ecosystem services classification: A systems ecology perspective of the cascade framework. Ecological Indicators </w:t>
      </w:r>
      <w:r>
        <w:rPr>
          <w:b/>
          <w:bCs/>
        </w:rPr>
        <w:t>74</w:t>
      </w:r>
      <w:r>
        <w:t>: 392–402. doi:10.1016/j.ecolind.2016.11.030.</w:t>
      </w:r>
    </w:p>
    <w:p w14:paraId="08AD13A2" w14:textId="77777777" w:rsidR="00580904" w:rsidRDefault="00580904" w:rsidP="00580904">
      <w:pPr>
        <w:pStyle w:val="Bibliography"/>
      </w:pPr>
      <w:r>
        <w:t xml:space="preserve">Langemeyer, J., Gomez-Baggethun, E., Haase, D., Scheuer, S., and Elmqvist, T. 2016. Bridging the gap between ecosystem service assessments and land-use planning through Multi-Criteria Decision Analysis (MCDA). Environmental Science &amp; Policy </w:t>
      </w:r>
      <w:r>
        <w:rPr>
          <w:b/>
          <w:bCs/>
        </w:rPr>
        <w:t>62</w:t>
      </w:r>
      <w:r>
        <w:t>: 45–56. doi:10.1016/j.envsci.2016.02.013.</w:t>
      </w:r>
    </w:p>
    <w:p w14:paraId="72D6DE54" w14:textId="77777777" w:rsidR="00580904" w:rsidRDefault="00580904" w:rsidP="00580904">
      <w:pPr>
        <w:pStyle w:val="Bibliography"/>
      </w:pPr>
      <w:r>
        <w:lastRenderedPageBreak/>
        <w:t xml:space="preserve">Langhans, S.D., Lienert, J., Schuwirth, N., and Reichert, P. 2013. How to make river assessments comparable: A demonstration for hydromorphology. Ecological Indicators </w:t>
      </w:r>
      <w:r>
        <w:rPr>
          <w:b/>
          <w:bCs/>
        </w:rPr>
        <w:t>32</w:t>
      </w:r>
      <w:r>
        <w:t>: 264–275. doi:10.1016/j.ecolind.2013.03.027.</w:t>
      </w:r>
    </w:p>
    <w:p w14:paraId="381C2A5C" w14:textId="77777777" w:rsidR="00580904" w:rsidRDefault="00580904" w:rsidP="00580904">
      <w:pPr>
        <w:pStyle w:val="Bibliography"/>
      </w:pPr>
      <w:r>
        <w:t xml:space="preserve">Langhans, S.D., Reichert, P., and Schuwirth, N. 2014. The method matters: A guide for indicator aggregation in ecological assessments. Ecological Indicators </w:t>
      </w:r>
      <w:r>
        <w:rPr>
          <w:b/>
          <w:bCs/>
        </w:rPr>
        <w:t>45</w:t>
      </w:r>
      <w:r>
        <w:t>: 494–507. doi:10.1016/j.ecolind.2014.05.014.</w:t>
      </w:r>
    </w:p>
    <w:p w14:paraId="2B91F034" w14:textId="77777777" w:rsidR="00580904" w:rsidRDefault="00580904" w:rsidP="00580904">
      <w:pPr>
        <w:pStyle w:val="Bibliography"/>
      </w:pPr>
      <w:r>
        <w:t xml:space="preserve">Larsen, D.P., Olsen, A.R., Lanigan, S.H., Moyer, C., Jones, K.K., and Kincaid, T.M. 2007. Sound Survey Designs can Facilitate Integrating Stream Monitoring Data Across Multiple Programs. Journal of the American Water Resources Association </w:t>
      </w:r>
      <w:r>
        <w:rPr>
          <w:b/>
          <w:bCs/>
        </w:rPr>
        <w:t>43</w:t>
      </w:r>
      <w:r>
        <w:t>(2): 384–397. doi:10.1111/j.1752-1688.2007.00030.x.</w:t>
      </w:r>
    </w:p>
    <w:p w14:paraId="18B8BA22" w14:textId="77777777" w:rsidR="00580904" w:rsidRDefault="00580904" w:rsidP="00580904">
      <w:pPr>
        <w:pStyle w:val="Bibliography"/>
      </w:pPr>
      <w:r>
        <w:t>LEBMF. 2017. Lake Eyre Basin: State of the basin 2017 draft report (Public Consultation document) Department of Agriculture and Water Resources, Canberra, November. CC BY 3.0.</w:t>
      </w:r>
    </w:p>
    <w:p w14:paraId="01C96985" w14:textId="77777777" w:rsidR="00580904" w:rsidRDefault="00580904" w:rsidP="00580904">
      <w:pPr>
        <w:pStyle w:val="Bibliography"/>
      </w:pPr>
      <w:r>
        <w:t xml:space="preserve">Levin, P.S., Kelble, C.R., Shuford, R.L., Ainsworth, C., deReynier, Y., Dunsmore, R., Fogarty, M.J., Holsman, K., Howell, E.A., Monaco, M.E., Oakes, S.A., and Werner, F. 2014. Guidance for implementation of integrated ecosystem assessments: a US perspective. ICES Journal of Marine Science </w:t>
      </w:r>
      <w:r>
        <w:rPr>
          <w:b/>
          <w:bCs/>
        </w:rPr>
        <w:t>71</w:t>
      </w:r>
      <w:r>
        <w:t>(5): 1198–1204. doi:10.1093/icesjms/fst112.</w:t>
      </w:r>
    </w:p>
    <w:p w14:paraId="26E1CB84" w14:textId="77777777" w:rsidR="00580904" w:rsidRDefault="00580904" w:rsidP="00580904">
      <w:pPr>
        <w:pStyle w:val="Bibliography"/>
      </w:pPr>
      <w:r>
        <w:t>MDBA. 2012. Sustainable Rivers Audit 2: The ecological health of rivers in the Murray Darling Basin at the end of the Millennium Drought (2008-2010). Summary.</w:t>
      </w:r>
    </w:p>
    <w:p w14:paraId="3F494346" w14:textId="77777777" w:rsidR="00580904" w:rsidRDefault="00580904" w:rsidP="00580904">
      <w:pPr>
        <w:pStyle w:val="Bibliography"/>
      </w:pPr>
      <w:r>
        <w:t xml:space="preserve">Mononen, L., Auvinen, A.-P., Ahokumpu, A.-L., Rönkä, M., Aarras, N., Tolvanen, H., Kamppinen, M., Viirret, E., Kumpula, T., and Vihervaara, P. 2016. National ecosystem service indicators: Measures of social–ecological sustainability. Ecological Indicators </w:t>
      </w:r>
      <w:r>
        <w:rPr>
          <w:b/>
          <w:bCs/>
        </w:rPr>
        <w:t>61</w:t>
      </w:r>
      <w:r>
        <w:t>: 27–37. doi:10.1016/j.ecolind.2015.03.041.</w:t>
      </w:r>
    </w:p>
    <w:p w14:paraId="78A6A75F" w14:textId="77777777" w:rsidR="00580904" w:rsidRDefault="00580904" w:rsidP="00580904">
      <w:pPr>
        <w:pStyle w:val="Bibliography"/>
      </w:pPr>
      <w:r>
        <w:t xml:space="preserve">Nanson, G.C., and Croke, J.C. 1992. A genetic classification of floodplains. Geomorphology </w:t>
      </w:r>
      <w:r>
        <w:rPr>
          <w:b/>
          <w:bCs/>
        </w:rPr>
        <w:t>4</w:t>
      </w:r>
      <w:r>
        <w:t>(6): 459–486.</w:t>
      </w:r>
    </w:p>
    <w:p w14:paraId="2C6FEAA3" w14:textId="77777777" w:rsidR="00580904" w:rsidRDefault="00580904" w:rsidP="00580904">
      <w:pPr>
        <w:pStyle w:val="Bibliography"/>
      </w:pPr>
      <w:r>
        <w:t xml:space="preserve">Nichols, S.J., Reynoldson, T.B., and Harrison, E.T. 2014. Evaluating AUSRIVAS predictive model performance for detecting simulated eutrophication effects on invertebrate assemblages. Freshwater Science </w:t>
      </w:r>
      <w:r>
        <w:rPr>
          <w:b/>
          <w:bCs/>
        </w:rPr>
        <w:t>33</w:t>
      </w:r>
      <w:r>
        <w:t>(4): 1212–1224. doi:10.1086/678946.</w:t>
      </w:r>
    </w:p>
    <w:p w14:paraId="5C89441B" w14:textId="77777777" w:rsidR="00580904" w:rsidRDefault="00580904" w:rsidP="00580904">
      <w:pPr>
        <w:pStyle w:val="Bibliography"/>
      </w:pPr>
      <w:r>
        <w:t xml:space="preserve">Niemeijer, D., and de Groot, R.S. 2008. A conceptual framework for selecting environmental indicator sets. Ecological Indicators </w:t>
      </w:r>
      <w:r>
        <w:rPr>
          <w:b/>
          <w:bCs/>
        </w:rPr>
        <w:t>8</w:t>
      </w:r>
      <w:r>
        <w:t>(1): 14–25. doi:10.1016/j.ecolind.2006.11.012.</w:t>
      </w:r>
    </w:p>
    <w:p w14:paraId="1906B84C" w14:textId="77777777" w:rsidR="00580904" w:rsidRDefault="00580904" w:rsidP="00580904">
      <w:pPr>
        <w:pStyle w:val="Bibliography"/>
      </w:pPr>
      <w:r>
        <w:t>Norris, R., Dyer, F., Hairsine, P., Kennard, M.J., Linke, S., Merrin, L.E., Read, A., Robinson, W., Ryan, C., Wilkinson, S., and Williams, D. 2007. Assessment of River and Wetland Health: A Framework for Comparative Assessment of the Ecological Condition of Australian Rivers and Wetlands. National Water Commission, Canberra, ACT.</w:t>
      </w:r>
    </w:p>
    <w:p w14:paraId="31D8F215" w14:textId="77777777" w:rsidR="00580904" w:rsidRDefault="00580904" w:rsidP="00580904">
      <w:pPr>
        <w:pStyle w:val="Bibliography"/>
      </w:pPr>
      <w:r>
        <w:t xml:space="preserve">Oesterwind, D., Rau, A., and Zaiko, A. 2016. Drivers and pressures – Untangling the terms commonly used in marine science and policy. Journal of Environmental Management </w:t>
      </w:r>
      <w:r>
        <w:rPr>
          <w:b/>
          <w:bCs/>
        </w:rPr>
        <w:t>181</w:t>
      </w:r>
      <w:r>
        <w:t>: 8–15. doi:10.1016/j.jenvman.2016.05.058.</w:t>
      </w:r>
    </w:p>
    <w:p w14:paraId="6ACBEB7D" w14:textId="77777777" w:rsidR="00580904" w:rsidRDefault="00580904" w:rsidP="00580904">
      <w:pPr>
        <w:pStyle w:val="Bibliography"/>
      </w:pPr>
      <w:r>
        <w:t xml:space="preserve">Pringle, C. 2003. What is hydrologic connectivity and why is it ecologically important? Hydrological Processes </w:t>
      </w:r>
      <w:r>
        <w:rPr>
          <w:b/>
          <w:bCs/>
        </w:rPr>
        <w:t>17</w:t>
      </w:r>
      <w:r>
        <w:t>(13): 2685–2689. doi:10.1002/hyp.5145.</w:t>
      </w:r>
    </w:p>
    <w:p w14:paraId="2C160EC6" w14:textId="77777777" w:rsidR="00580904" w:rsidRDefault="00580904" w:rsidP="00580904">
      <w:pPr>
        <w:pStyle w:val="Bibliography"/>
      </w:pPr>
      <w:r>
        <w:t>Roberts, J., Hale, J., Jansen, A., Dixon, I., and Kobryn, H. 2009. Indicator Protocol: River (riparian) vegetation. Supporting Report. Report prepared for River Health Consulting Group, Department of Water, Environment, Heritage and the Arts.</w:t>
      </w:r>
    </w:p>
    <w:p w14:paraId="65419F37" w14:textId="77777777" w:rsidR="00580904" w:rsidRDefault="00580904" w:rsidP="00580904">
      <w:pPr>
        <w:pStyle w:val="Bibliography"/>
      </w:pPr>
      <w:r>
        <w:t xml:space="preserve">Salafsky, N., Salzer, D., Stattersfield, A.J., Hilton-Taylor, C., Neugarten, R., Butchart, S.H.M., Collen, B., Cox, N., Master, L.L., O’Connor, S., and Wilkie, D. 2008. A Standard Lexicon for Biodiversity Conservation: Unified Classifications of Threats and Actions. Conservation Biology </w:t>
      </w:r>
      <w:r>
        <w:rPr>
          <w:b/>
          <w:bCs/>
        </w:rPr>
        <w:t>22</w:t>
      </w:r>
      <w:r>
        <w:t>(4): 897–911. doi:10.1111/j.1523-1739.2008.00937.x.</w:t>
      </w:r>
    </w:p>
    <w:p w14:paraId="2185E04B" w14:textId="77777777" w:rsidR="00580904" w:rsidRDefault="00580904" w:rsidP="00580904">
      <w:pPr>
        <w:pStyle w:val="Bibliography"/>
      </w:pPr>
      <w:r>
        <w:t xml:space="preserve">Samhouri, J.F., Haupt, A.J., Levin, P.S., Link, J.S., and Shuford, R. 2014. Lessons learned from developing integrated ecosystem assessments to inform marine ecosystem-based management in the USA. ICES Journal of Marine Science </w:t>
      </w:r>
      <w:r>
        <w:rPr>
          <w:b/>
          <w:bCs/>
        </w:rPr>
        <w:t>71</w:t>
      </w:r>
      <w:r>
        <w:t>(5): 1205–1215. doi:10.1093/icesjms/fst141.</w:t>
      </w:r>
    </w:p>
    <w:p w14:paraId="27FA5286" w14:textId="77777777" w:rsidR="00580904" w:rsidRDefault="00580904" w:rsidP="00580904">
      <w:pPr>
        <w:pStyle w:val="Bibliography"/>
      </w:pPr>
      <w:r>
        <w:t>Schmarr, D.W., Cheshire, D.L.M., Mathwin, R., McNeil, D.G., Howson, T., Cockayne, B., and Duguid, A. 2015. Evidence based approaches to condition assessment of fish communities in the Lake Eyre Basin, Central Australia. Goyder Institute for Water Research Technical Report Series No. 15/45, Adelaide, South Australia.</w:t>
      </w:r>
    </w:p>
    <w:p w14:paraId="493C97C6" w14:textId="77777777" w:rsidR="00580904" w:rsidRDefault="00580904" w:rsidP="00580904">
      <w:pPr>
        <w:pStyle w:val="Bibliography"/>
      </w:pPr>
      <w:r>
        <w:t xml:space="preserve">Selkoe, K.A., Blenckner, T., Caldwell, M.R., Crowder, L.B., Erickson, A.L., Essington, T.E., Estes, J.A., Fujita, R.M., Halpern, B.S., Hunsicker, M.E., Kappel, C.V., Kelly, R.P., Kittinger, J.N., Levin, P.S., Lynham, J.M., Mach, M.E., Martone, R.G., Mease, L.A., Salomon, A.K., Samhouri, J.F., Scarborough, C., Stier, A.C., White, C., and Zedler, J. 2015. Principles for managing marine ecosystems prone to tipping points. Ecosystem Health and Sustainability </w:t>
      </w:r>
      <w:r>
        <w:rPr>
          <w:b/>
          <w:bCs/>
        </w:rPr>
        <w:t>1</w:t>
      </w:r>
      <w:r>
        <w:t>(5): art17. doi:10.1890/EHS14-0024.1.</w:t>
      </w:r>
    </w:p>
    <w:p w14:paraId="34977081" w14:textId="77777777" w:rsidR="00580904" w:rsidRDefault="00580904" w:rsidP="00580904">
      <w:pPr>
        <w:pStyle w:val="Bibliography"/>
      </w:pPr>
      <w:r>
        <w:t xml:space="preserve">Sheaves, M. 2009. Consequences of ecological connectivity: the coastal ecosystem mosaic. Marine Ecology Progress Series </w:t>
      </w:r>
      <w:r>
        <w:rPr>
          <w:b/>
          <w:bCs/>
        </w:rPr>
        <w:t>391</w:t>
      </w:r>
      <w:r>
        <w:t>: 107–115. doi:10.3354/meps08121.</w:t>
      </w:r>
    </w:p>
    <w:p w14:paraId="30C3DC15" w14:textId="77777777" w:rsidR="00580904" w:rsidRDefault="00580904" w:rsidP="00580904">
      <w:pPr>
        <w:pStyle w:val="Bibliography"/>
      </w:pPr>
      <w:r>
        <w:t>United Nations Development Programme. 2007. Fighting climate change: Human solidarity in a divided world. Human Development Report 2007/2008. Palgrave Macmillan.</w:t>
      </w:r>
    </w:p>
    <w:p w14:paraId="00160EEA" w14:textId="1A44FCD0" w:rsidR="00FE69A8" w:rsidRDefault="004875C1" w:rsidP="001E0282">
      <w:pPr>
        <w:rPr>
          <w:rFonts w:ascii="Franklin Gothic LT" w:hAnsi="Franklin Gothic LT"/>
          <w:sz w:val="18"/>
          <w:szCs w:val="18"/>
          <w:lang w:val="en-US"/>
        </w:rPr>
      </w:pPr>
      <w:r w:rsidRPr="004875C1">
        <w:rPr>
          <w:rFonts w:asciiTheme="minorHAnsi" w:hAnsiTheme="minorHAnsi" w:cstheme="minorHAnsi"/>
          <w:lang w:val="en-US"/>
        </w:rPr>
        <w:lastRenderedPageBreak/>
        <w:fldChar w:fldCharType="end"/>
      </w:r>
    </w:p>
    <w:p w14:paraId="6946C534" w14:textId="77777777" w:rsidR="00FE69A8" w:rsidRDefault="00FE69A8" w:rsidP="001E0282">
      <w:pPr>
        <w:rPr>
          <w:rFonts w:ascii="Franklin Gothic LT" w:hAnsi="Franklin Gothic LT"/>
          <w:sz w:val="18"/>
          <w:szCs w:val="18"/>
          <w:lang w:val="en-US"/>
        </w:rPr>
      </w:pPr>
    </w:p>
    <w:p w14:paraId="163F69CE" w14:textId="15C6A0DE" w:rsidR="00F15695" w:rsidRPr="00FF6DF8" w:rsidRDefault="00F15695" w:rsidP="001E0282">
      <w:pPr>
        <w:rPr>
          <w:rFonts w:ascii="Franklin Gothic LT" w:hAnsi="Franklin Gothic LT"/>
          <w:sz w:val="18"/>
          <w:szCs w:val="18"/>
          <w:lang w:val="en-US"/>
        </w:rPr>
      </w:pPr>
      <w:r w:rsidRPr="00FF6DF8">
        <w:rPr>
          <w:rFonts w:ascii="Franklin Gothic LT" w:hAnsi="Franklin Gothic LT"/>
          <w:sz w:val="18"/>
          <w:szCs w:val="18"/>
          <w:lang w:val="en-US"/>
        </w:rPr>
        <w:br w:type="page"/>
      </w:r>
    </w:p>
    <w:p w14:paraId="19CAC70D" w14:textId="77777777" w:rsidR="00E24185" w:rsidRPr="004E7EB5" w:rsidRDefault="00077782" w:rsidP="00DC70B2">
      <w:pPr>
        <w:pStyle w:val="Heading1"/>
      </w:pPr>
      <w:bookmarkStart w:id="111" w:name="_Toc493774227"/>
      <w:r w:rsidRPr="004E7EB5">
        <w:lastRenderedPageBreak/>
        <w:t>Glossary</w:t>
      </w:r>
      <w:bookmarkEnd w:id="111"/>
    </w:p>
    <w:p w14:paraId="4A4F5100" w14:textId="7F632B4D" w:rsidR="0071788B" w:rsidRPr="004E7EB5" w:rsidRDefault="0071788B" w:rsidP="00426C71">
      <w:pPr>
        <w:rPr>
          <w:b/>
        </w:rPr>
      </w:pPr>
      <w:r w:rsidRPr="004E7EB5">
        <w:t xml:space="preserve">Additional terms and definitions relevant to aquatic ecosystems can be found on the QLD WetlandInfo website: see http://wetlandinfo.ehp.qld.gov.au/wetlands/resources/glossary.html. </w:t>
      </w:r>
    </w:p>
    <w:tbl>
      <w:tblPr>
        <w:tblStyle w:val="ColorfulList-Accent2"/>
        <w:tblW w:w="8789" w:type="dxa"/>
        <w:tblLayout w:type="fixed"/>
        <w:tblLook w:val="04A0" w:firstRow="1" w:lastRow="0" w:firstColumn="1" w:lastColumn="0" w:noHBand="0" w:noVBand="1"/>
      </w:tblPr>
      <w:tblGrid>
        <w:gridCol w:w="1841"/>
        <w:gridCol w:w="6948"/>
      </w:tblGrid>
      <w:tr w:rsidR="00261157" w:rsidRPr="004E7EB5" w14:paraId="4085D280" w14:textId="77777777" w:rsidTr="00426C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1" w:type="dxa"/>
            <w:shd w:val="clear" w:color="auto" w:fill="9CBEBD" w:themeFill="accent2"/>
          </w:tcPr>
          <w:p w14:paraId="09C767BB" w14:textId="77777777" w:rsidR="00261157" w:rsidRPr="004E7EB5" w:rsidRDefault="00261157" w:rsidP="00F75940">
            <w:pPr>
              <w:pStyle w:val="Table"/>
              <w:rPr>
                <w:rFonts w:asciiTheme="minorHAnsi" w:hAnsiTheme="minorHAnsi" w:cstheme="minorHAnsi"/>
                <w:szCs w:val="20"/>
                <w:lang w:val="en-AU" w:eastAsia="en-AU"/>
              </w:rPr>
            </w:pPr>
            <w:r w:rsidRPr="004E7EB5">
              <w:rPr>
                <w:rFonts w:asciiTheme="minorHAnsi" w:hAnsiTheme="minorHAnsi" w:cstheme="minorHAnsi"/>
                <w:szCs w:val="20"/>
                <w:lang w:val="en-AU" w:eastAsia="en-AU"/>
              </w:rPr>
              <w:t>Term</w:t>
            </w:r>
          </w:p>
        </w:tc>
        <w:tc>
          <w:tcPr>
            <w:tcW w:w="6948" w:type="dxa"/>
            <w:shd w:val="clear" w:color="auto" w:fill="9CBEBD" w:themeFill="accent2"/>
          </w:tcPr>
          <w:p w14:paraId="41E31ABE" w14:textId="77777777" w:rsidR="00261157" w:rsidRPr="004E7EB5" w:rsidRDefault="00261157" w:rsidP="00F75940">
            <w:pPr>
              <w:pStyle w:val="Tab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Definition</w:t>
            </w:r>
          </w:p>
        </w:tc>
      </w:tr>
      <w:tr w:rsidR="00261157" w:rsidRPr="004E7EB5" w14:paraId="10FEC0D3"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68E94C6B" w14:textId="77777777" w:rsidR="00261157" w:rsidRPr="004E7EB5" w:rsidRDefault="00261157" w:rsidP="00F75940">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Abiotic</w:t>
            </w:r>
          </w:p>
        </w:tc>
        <w:tc>
          <w:tcPr>
            <w:tcW w:w="6948" w:type="dxa"/>
          </w:tcPr>
          <w:p w14:paraId="59258F7E" w14:textId="77777777" w:rsidR="00261157" w:rsidRPr="004E7EB5" w:rsidRDefault="00261157" w:rsidP="00F75940">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lang w:val="en-AU" w:eastAsia="en-AU"/>
              </w:rPr>
            </w:pPr>
            <w:r w:rsidRPr="004E7EB5">
              <w:rPr>
                <w:rFonts w:asciiTheme="minorHAnsi" w:hAnsiTheme="minorHAnsi" w:cstheme="minorHAnsi"/>
                <w:szCs w:val="20"/>
                <w:lang w:val="en-AU" w:eastAsia="en-AU"/>
              </w:rPr>
              <w:t>Non-living, chemical and physical components in the environment.</w:t>
            </w:r>
          </w:p>
        </w:tc>
      </w:tr>
      <w:tr w:rsidR="00261157" w:rsidRPr="004E7EB5" w14:paraId="0C686DF1"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18380F49" w14:textId="77777777" w:rsidR="00261157" w:rsidRPr="004E7EB5" w:rsidRDefault="00261157" w:rsidP="00F75940">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Aquatic ecosystem</w:t>
            </w:r>
          </w:p>
        </w:tc>
        <w:tc>
          <w:tcPr>
            <w:tcW w:w="6948" w:type="dxa"/>
          </w:tcPr>
          <w:p w14:paraId="39AF1293" w14:textId="77777777" w:rsidR="00261157" w:rsidRPr="004E7EB5" w:rsidRDefault="00261157" w:rsidP="00F75940">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lang w:val="en-AU" w:eastAsia="en-AU"/>
              </w:rPr>
            </w:pPr>
            <w:r w:rsidRPr="004E7EB5">
              <w:rPr>
                <w:rFonts w:asciiTheme="minorHAnsi" w:hAnsiTheme="minorHAnsi" w:cstheme="minorHAnsi"/>
                <w:szCs w:val="20"/>
                <w:lang w:val="en-AU" w:eastAsia="en-AU"/>
              </w:rPr>
              <w:t xml:space="preserve">Ecosystems that depend on flows, or periodic or sustained inundation/waterlogging for their ecological integrity (e.g. wetlands, rivers, karst and other </w:t>
            </w:r>
            <w:r w:rsidR="00C1578A" w:rsidRPr="004E7EB5">
              <w:rPr>
                <w:rFonts w:asciiTheme="minorHAnsi" w:hAnsiTheme="minorHAnsi" w:cstheme="minorHAnsi"/>
                <w:szCs w:val="20"/>
                <w:lang w:val="en-AU" w:eastAsia="en-AU"/>
              </w:rPr>
              <w:t xml:space="preserve">aquatic </w:t>
            </w:r>
            <w:r w:rsidRPr="004E7EB5">
              <w:rPr>
                <w:rFonts w:asciiTheme="minorHAnsi" w:hAnsiTheme="minorHAnsi" w:cstheme="minorHAnsi"/>
                <w:szCs w:val="20"/>
                <w:lang w:val="en-AU" w:eastAsia="en-AU"/>
              </w:rPr>
              <w:t>groundwater-dependent ecosystems, saltmarshes and estuaries) but do not generally include marine waters (defined as areas of marine water the depth of which at low tide exceeds six metres, but to be interpreted by jurisdictions). For the purpose of the Aquatic Ecosystems Toolkit, aquatic ecosystems may also include artificial waterbodies such as sewage treatment ponds, canals and impoundments.</w:t>
            </w:r>
          </w:p>
        </w:tc>
      </w:tr>
      <w:tr w:rsidR="00FE69A8" w:rsidRPr="004E7EB5" w14:paraId="1ADFFA58"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048FDED8" w14:textId="31A5902E" w:rsidR="00FE69A8" w:rsidRPr="004E7EB5" w:rsidRDefault="00FE69A8" w:rsidP="00F75940">
            <w:pPr>
              <w:pStyle w:val="Table"/>
              <w:rPr>
                <w:rFonts w:asciiTheme="minorHAnsi" w:hAnsiTheme="minorHAnsi" w:cstheme="minorHAnsi"/>
                <w:szCs w:val="20"/>
                <w:lang w:val="en-AU" w:eastAsia="en-AU"/>
              </w:rPr>
            </w:pPr>
            <w:r>
              <w:rPr>
                <w:rFonts w:asciiTheme="minorHAnsi" w:hAnsiTheme="minorHAnsi" w:cstheme="minorHAnsi"/>
                <w:szCs w:val="20"/>
                <w:lang w:eastAsia="en-AU"/>
              </w:rPr>
              <w:t>Aquatic ecosystem connectivity</w:t>
            </w:r>
          </w:p>
        </w:tc>
        <w:tc>
          <w:tcPr>
            <w:tcW w:w="6948" w:type="dxa"/>
          </w:tcPr>
          <w:p w14:paraId="1E64C4D6" w14:textId="433551CB" w:rsidR="00FE69A8" w:rsidRPr="004E7EB5" w:rsidRDefault="00FE69A8" w:rsidP="00E24333">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C13576">
              <w:rPr>
                <w:rFonts w:asciiTheme="minorHAnsi" w:hAnsiTheme="minorHAnsi" w:cstheme="minorHAnsi"/>
                <w:szCs w:val="20"/>
                <w:lang w:eastAsia="en-AU"/>
              </w:rPr>
              <w:t>Aquatic ecosystem connectivity is the mechanism that propagates environmental processes spatially and temporally</w:t>
            </w:r>
            <w:r>
              <w:rPr>
                <w:rFonts w:asciiTheme="minorHAnsi" w:hAnsiTheme="minorHAnsi" w:cstheme="minorHAnsi"/>
                <w:szCs w:val="20"/>
                <w:lang w:eastAsia="en-AU"/>
              </w:rPr>
              <w:t xml:space="preserve"> </w:t>
            </w:r>
            <w:r>
              <w:rPr>
                <w:rFonts w:asciiTheme="minorHAnsi" w:hAnsiTheme="minorHAnsi" w:cstheme="minorHAnsi"/>
                <w:szCs w:val="20"/>
                <w:lang w:eastAsia="en-AU"/>
              </w:rPr>
              <w:fldChar w:fldCharType="begin"/>
            </w:r>
            <w:r w:rsidR="00C54BB5">
              <w:rPr>
                <w:rFonts w:asciiTheme="minorHAnsi" w:hAnsiTheme="minorHAnsi" w:cstheme="minorHAnsi"/>
                <w:szCs w:val="20"/>
                <w:lang w:eastAsia="en-AU"/>
              </w:rPr>
              <w:instrText xml:space="preserve"> ADDIN ZOTERO_ITEM CSL_CITATION {"citationID":"1h4qjritic","properties":{"formattedCitation":"(Department of Environment and Heritage Protection 2012b)","plainCitation":"(Department of Environment and Heritage Protection 2012b)"},"citationItems":[{"id":3237,"uris":["http://zotero.org/users/3119797/items/AME5S3D9"],"uri":["http://zotero.org/users/3119797/items/AME5S3D9"],"itemData":{"id":3237,"type":"article","title":"Framework for evaluating aquatic ecosystem connectivity, Queensland Government, Brisbane.","author":[{"family":"Department of Environment and Heritage Protection","given":""}],"issued":{"date-parts":[["2012"]]}}}],"schema":"https://github.com/citation-style-language/schema/raw/master/csl-citation.json"} </w:instrText>
            </w:r>
            <w:r>
              <w:rPr>
                <w:rFonts w:asciiTheme="minorHAnsi" w:hAnsiTheme="minorHAnsi" w:cstheme="minorHAnsi"/>
                <w:szCs w:val="20"/>
                <w:lang w:eastAsia="en-AU"/>
              </w:rPr>
              <w:fldChar w:fldCharType="separate"/>
            </w:r>
            <w:r w:rsidR="00C54BB5" w:rsidRPr="00C54BB5">
              <w:rPr>
                <w:rFonts w:ascii="Calibri" w:hAnsi="Calibri" w:cs="Calibri"/>
              </w:rPr>
              <w:t>(Department of Environment and Heritage Protection 2012b)</w:t>
            </w:r>
            <w:r>
              <w:rPr>
                <w:rFonts w:asciiTheme="minorHAnsi" w:hAnsiTheme="minorHAnsi" w:cstheme="minorHAnsi"/>
                <w:szCs w:val="20"/>
                <w:lang w:eastAsia="en-AU"/>
              </w:rPr>
              <w:fldChar w:fldCharType="end"/>
            </w:r>
            <w:r w:rsidRPr="00C13576">
              <w:rPr>
                <w:rFonts w:asciiTheme="minorHAnsi" w:hAnsiTheme="minorHAnsi" w:cstheme="minorHAnsi"/>
                <w:szCs w:val="20"/>
                <w:lang w:eastAsia="en-AU"/>
              </w:rPr>
              <w:t xml:space="preserve">. </w:t>
            </w:r>
          </w:p>
        </w:tc>
      </w:tr>
      <w:tr w:rsidR="00FE69A8" w:rsidRPr="004E7EB5" w14:paraId="6AD50B1C"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1D4E768B" w14:textId="77777777" w:rsidR="00FE69A8" w:rsidRPr="004E7EB5" w:rsidRDefault="00FE69A8" w:rsidP="00F75940">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Assessment unit</w:t>
            </w:r>
          </w:p>
        </w:tc>
        <w:tc>
          <w:tcPr>
            <w:tcW w:w="6948" w:type="dxa"/>
          </w:tcPr>
          <w:p w14:paraId="66266A9E" w14:textId="621FBD82" w:rsidR="00FE69A8" w:rsidRPr="004E7EB5" w:rsidRDefault="00FE69A8" w:rsidP="00E24333">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The ecosystem, group of ecosystems, river valley, sub catchment, catchment or basin that is being assessed.</w:t>
            </w:r>
          </w:p>
        </w:tc>
      </w:tr>
      <w:tr w:rsidR="00FE69A8" w:rsidRPr="004E7EB5" w14:paraId="274BC6BC"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0A18179A" w14:textId="77777777" w:rsidR="00FE69A8" w:rsidRPr="004E7EB5" w:rsidRDefault="00FE69A8" w:rsidP="00F75940">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Attribute</w:t>
            </w:r>
          </w:p>
        </w:tc>
        <w:tc>
          <w:tcPr>
            <w:tcW w:w="6948" w:type="dxa"/>
          </w:tcPr>
          <w:p w14:paraId="594E2E1C" w14:textId="77777777" w:rsidR="00FE69A8" w:rsidRPr="004E7EB5" w:rsidRDefault="00FE69A8" w:rsidP="00F75940">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An attribute is a mathematical or statistical indicator, or characteristic of a HEVAE criterion that provides the basis for scoring. An attribute may contain several metrics that are aggregated to provide an attribute score. It is also used in the Interim ANAE Classification Framework to describe characteristics of aquatic ecosystems in order to classify them.</w:t>
            </w:r>
          </w:p>
        </w:tc>
      </w:tr>
      <w:tr w:rsidR="00FE69A8" w:rsidRPr="004E7EB5" w14:paraId="075AAF51"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4C92DAF5" w14:textId="72D51609" w:rsidR="00FE69A8" w:rsidRPr="004E7EB5" w:rsidRDefault="00FE69A8" w:rsidP="003B32BD">
            <w:pPr>
              <w:pStyle w:val="Table"/>
              <w:rPr>
                <w:rFonts w:asciiTheme="minorHAnsi" w:hAnsiTheme="minorHAnsi" w:cstheme="minorHAnsi"/>
                <w:szCs w:val="20"/>
                <w:lang w:val="en-AU" w:eastAsia="en-AU"/>
              </w:rPr>
            </w:pPr>
            <w:r w:rsidRPr="004E7EB5">
              <w:rPr>
                <w:rFonts w:asciiTheme="minorHAnsi" w:hAnsiTheme="minorHAnsi" w:cstheme="minorHAnsi"/>
                <w:szCs w:val="20"/>
                <w:lang w:val="en-AU" w:eastAsia="en-AU"/>
              </w:rPr>
              <w:t xml:space="preserve">Aggregation </w:t>
            </w:r>
          </w:p>
        </w:tc>
        <w:tc>
          <w:tcPr>
            <w:tcW w:w="6948" w:type="dxa"/>
          </w:tcPr>
          <w:p w14:paraId="38E6BFD9" w14:textId="307C21AD" w:rsidR="00FE69A8" w:rsidRPr="004E7EB5" w:rsidRDefault="00FE69A8" w:rsidP="00CA5260">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rPr>
              <w:t xml:space="preserve">The process of combining scores from the same index </w:t>
            </w:r>
            <w:r w:rsidR="00CA5260" w:rsidRPr="00CA5260">
              <w:rPr>
                <w:rFonts w:asciiTheme="minorHAnsi" w:hAnsiTheme="minorHAnsi" w:cstheme="minorHAnsi"/>
                <w:szCs w:val="20"/>
                <w:lang w:val="en-AU"/>
              </w:rPr>
              <w:t>sub-index, or indicator</w:t>
            </w:r>
            <w:r w:rsidRPr="004E7EB5">
              <w:rPr>
                <w:rFonts w:asciiTheme="minorHAnsi" w:hAnsiTheme="minorHAnsi" w:cstheme="minorHAnsi"/>
                <w:szCs w:val="20"/>
                <w:lang w:val="en-AU"/>
              </w:rPr>
              <w:t xml:space="preserve"> in different locations to provide a single score at a larger spatial scale (</w:t>
            </w:r>
            <w:r w:rsidR="00CA5260">
              <w:rPr>
                <w:rFonts w:asciiTheme="minorHAnsi" w:hAnsiTheme="minorHAnsi" w:cstheme="minorHAnsi"/>
                <w:szCs w:val="20"/>
                <w:lang w:val="en-AU"/>
              </w:rPr>
              <w:t xml:space="preserve">modified from </w:t>
            </w:r>
            <w:r w:rsidRPr="004E7EB5">
              <w:rPr>
                <w:rFonts w:asciiTheme="minorHAnsi" w:hAnsiTheme="minorHAnsi" w:cstheme="minorHAnsi"/>
                <w:szCs w:val="20"/>
                <w:lang w:val="en-AU"/>
              </w:rPr>
              <w:t>Alluvium 2011).</w:t>
            </w:r>
          </w:p>
        </w:tc>
      </w:tr>
      <w:tr w:rsidR="00FE69A8" w:rsidRPr="004E7EB5" w14:paraId="267B1A6F"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2113D69E" w14:textId="1E179BD4"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Baseline condition</w:t>
            </w:r>
          </w:p>
        </w:tc>
        <w:tc>
          <w:tcPr>
            <w:tcW w:w="6948" w:type="dxa"/>
          </w:tcPr>
          <w:p w14:paraId="111D2758" w14:textId="410B58A7" w:rsidR="00FE69A8" w:rsidRPr="004E7EB5" w:rsidRDefault="00FE69A8" w:rsidP="00567101">
            <w:pPr>
              <w:shd w:val="clear" w:color="auto" w:fill="EBF2F1" w:themeFill="accent2" w:themeFillTin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highlight w:val="yellow"/>
                <w:lang w:eastAsia="en-AU"/>
              </w:rPr>
            </w:pPr>
            <w:r w:rsidRPr="004E7EB5">
              <w:rPr>
                <w:rFonts w:asciiTheme="minorHAnsi" w:hAnsiTheme="minorHAnsi" w:cstheme="minorHAnsi"/>
              </w:rPr>
              <w:t>A quantitative level or value, at a stated point of time that must be defined by the user (e.g. current condition, Ramsar “at the time of listing”, pre-European</w:t>
            </w:r>
            <w:r w:rsidR="0077691D">
              <w:rPr>
                <w:rFonts w:asciiTheme="minorHAnsi" w:hAnsiTheme="minorHAnsi" w:cstheme="minorHAnsi"/>
              </w:rPr>
              <w:t>, a predetermined time</w:t>
            </w:r>
            <w:r w:rsidRPr="004E7EB5">
              <w:rPr>
                <w:rFonts w:asciiTheme="minorHAnsi" w:hAnsiTheme="minorHAnsi" w:cstheme="minorHAnsi"/>
              </w:rPr>
              <w:t xml:space="preserve">), to which other data and observations of a comparable nature are compared. </w:t>
            </w:r>
          </w:p>
        </w:tc>
      </w:tr>
      <w:tr w:rsidR="00FE69A8" w:rsidRPr="004E7EB5" w14:paraId="0985B446"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5BB1E864"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rPr>
              <w:t>Biodiversity</w:t>
            </w:r>
          </w:p>
        </w:tc>
        <w:tc>
          <w:tcPr>
            <w:tcW w:w="6948" w:type="dxa"/>
          </w:tcPr>
          <w:p w14:paraId="532D3CE3"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rPr>
            </w:pPr>
            <w:r w:rsidRPr="004E7EB5">
              <w:rPr>
                <w:rFonts w:asciiTheme="minorHAnsi" w:hAnsiTheme="minorHAnsi" w:cstheme="minorHAnsi"/>
                <w:szCs w:val="20"/>
                <w:lang w:val="en-AU"/>
              </w:rPr>
              <w:t>Biodiversity (or biological diversity) is the variability among living organisms from all sources including inter alia, terrestrial, marine and other aquatic ecosystems and the ecological complexes of which they are a part; this includes diversity within species (genetic diversity), between species (species diversity), of ecosystems (ecosystem diversity), and of ecological processes.</w:t>
            </w:r>
          </w:p>
        </w:tc>
      </w:tr>
      <w:tr w:rsidR="00FE69A8" w:rsidRPr="004E7EB5" w14:paraId="2FC62A18"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696192CE"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Components</w:t>
            </w:r>
          </w:p>
        </w:tc>
        <w:tc>
          <w:tcPr>
            <w:tcW w:w="6948" w:type="dxa"/>
          </w:tcPr>
          <w:p w14:paraId="5F49DD93" w14:textId="77777777"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rPr>
              <w:t>The physical, chemical and biological parts of an aquatic ecosystem e.g. species, habitat, pH, soils, etc.</w:t>
            </w:r>
          </w:p>
        </w:tc>
      </w:tr>
      <w:tr w:rsidR="00FE69A8" w:rsidRPr="004E7EB5" w14:paraId="488DDE68"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60499E74"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Condition</w:t>
            </w:r>
          </w:p>
        </w:tc>
        <w:tc>
          <w:tcPr>
            <w:tcW w:w="6948" w:type="dxa"/>
          </w:tcPr>
          <w:p w14:paraId="0350A9C7" w14:textId="46DC3E7B" w:rsidR="00FE69A8" w:rsidRPr="004E7EB5" w:rsidRDefault="00FE69A8" w:rsidP="000E5922">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The state or health of individual animals or plants, communities or ecosystems as they relate to values and ecosystem services with reference to specific management goals or objectives and assessment against a defined baseline. Condition indicators can be physical-chemical or biological and represent the condition of the ecosystem. They may also be surrogates for pressures and stressors acting within the ecosystem.</w:t>
            </w:r>
          </w:p>
        </w:tc>
      </w:tr>
      <w:tr w:rsidR="00FE69A8" w:rsidRPr="004E7EB5" w14:paraId="3FFE804A"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059A0E95"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Condition assessment</w:t>
            </w:r>
          </w:p>
        </w:tc>
        <w:tc>
          <w:tcPr>
            <w:tcW w:w="6948" w:type="dxa"/>
          </w:tcPr>
          <w:p w14:paraId="022E2999" w14:textId="5FEB3F10" w:rsidR="00FE69A8" w:rsidRPr="004E7EB5" w:rsidRDefault="00F4362A" w:rsidP="004637B3">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Pr>
                <w:rFonts w:asciiTheme="minorHAnsi" w:hAnsiTheme="minorHAnsi" w:cstheme="minorHAnsi"/>
                <w:szCs w:val="20"/>
                <w:lang w:val="en-AU" w:eastAsia="en-AU"/>
              </w:rPr>
              <w:t>A</w:t>
            </w:r>
            <w:r w:rsidRPr="00F4362A">
              <w:rPr>
                <w:rFonts w:asciiTheme="minorHAnsi" w:hAnsiTheme="minorHAnsi" w:cstheme="minorHAnsi"/>
                <w:szCs w:val="20"/>
                <w:lang w:val="en-AU" w:eastAsia="en-AU"/>
              </w:rPr>
              <w:t xml:space="preserve"> means to assess the state of an ecosystem, generally using several ecological measures/indicators, often used to assess long-term changes resulting from widespread anthropogenic activity</w:t>
            </w:r>
            <w:r w:rsidR="00FE69A8" w:rsidRPr="004E7EB5">
              <w:rPr>
                <w:rFonts w:asciiTheme="minorHAnsi" w:hAnsiTheme="minorHAnsi" w:cstheme="minorHAnsi"/>
                <w:szCs w:val="20"/>
                <w:lang w:val="en-AU" w:eastAsia="en-AU"/>
              </w:rPr>
              <w:t>.</w:t>
            </w:r>
          </w:p>
        </w:tc>
      </w:tr>
      <w:tr w:rsidR="00FE69A8" w:rsidRPr="004E7EB5" w14:paraId="26BCEA94"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218C6915" w14:textId="77777777" w:rsidR="00FE69A8" w:rsidRPr="004E7EB5" w:rsidRDefault="00FE69A8" w:rsidP="003B32BD">
            <w:pPr>
              <w:pStyle w:val="Table"/>
              <w:rPr>
                <w:rFonts w:asciiTheme="minorHAnsi" w:hAnsiTheme="minorHAnsi" w:cstheme="minorHAnsi"/>
                <w:szCs w:val="20"/>
                <w:lang w:val="en-AU" w:eastAsia="en-AU"/>
              </w:rPr>
            </w:pPr>
            <w:r w:rsidRPr="004E7EB5">
              <w:rPr>
                <w:rFonts w:asciiTheme="minorHAnsi" w:hAnsiTheme="minorHAnsi" w:cstheme="minorHAnsi"/>
                <w:szCs w:val="20"/>
                <w:lang w:val="en-AU"/>
              </w:rPr>
              <w:lastRenderedPageBreak/>
              <w:t>Condition indicators</w:t>
            </w:r>
          </w:p>
        </w:tc>
        <w:tc>
          <w:tcPr>
            <w:tcW w:w="6948" w:type="dxa"/>
          </w:tcPr>
          <w:p w14:paraId="22A81F13"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rPr>
              <w:t>Condition indicators can be physical-chemical or biological and represent the condition of the ecosystem. They may also be surrogates for pressures and stressors acting within the ecosystem.</w:t>
            </w:r>
          </w:p>
        </w:tc>
      </w:tr>
      <w:tr w:rsidR="00FE69A8" w:rsidRPr="004E7EB5" w14:paraId="3F345A80"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3A087D94" w14:textId="5680C760" w:rsidR="00FE69A8" w:rsidRPr="004E7EB5" w:rsidRDefault="00FE69A8" w:rsidP="003B32BD">
            <w:pPr>
              <w:pStyle w:val="Table"/>
              <w:rPr>
                <w:rFonts w:asciiTheme="minorHAnsi" w:hAnsiTheme="minorHAnsi" w:cstheme="minorHAnsi"/>
                <w:szCs w:val="20"/>
                <w:lang w:val="en-AU" w:eastAsia="en-AU"/>
              </w:rPr>
            </w:pPr>
            <w:r w:rsidRPr="004E7EB5">
              <w:rPr>
                <w:rFonts w:asciiTheme="minorHAnsi" w:hAnsiTheme="minorHAnsi" w:cstheme="minorHAnsi"/>
                <w:szCs w:val="20"/>
                <w:lang w:val="en-AU" w:eastAsia="en-AU"/>
              </w:rPr>
              <w:t>Driver</w:t>
            </w:r>
          </w:p>
        </w:tc>
        <w:tc>
          <w:tcPr>
            <w:tcW w:w="6948" w:type="dxa"/>
          </w:tcPr>
          <w:p w14:paraId="72C65EEB" w14:textId="3F098D90"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rPr>
              <w:t xml:space="preserve">Any natural or human-induced factor that directly or indirectly causes a change in an ecosystem (Millennium Ecosystem Assessment 2005 cited in European Union 2013).  </w:t>
            </w:r>
            <w:r w:rsidR="00DF27A9" w:rsidRPr="00DF27A9">
              <w:rPr>
                <w:rFonts w:asciiTheme="minorHAnsi" w:hAnsiTheme="minorHAnsi" w:cstheme="minorHAnsi"/>
                <w:szCs w:val="20"/>
                <w:lang w:val="en-AU"/>
              </w:rPr>
              <w:t>The ultimate factors that cause change (e.g. population growth</w:t>
            </w:r>
            <w:r w:rsidR="00DF27A9">
              <w:rPr>
                <w:rFonts w:asciiTheme="minorHAnsi" w:hAnsiTheme="minorHAnsi" w:cstheme="minorHAnsi"/>
                <w:szCs w:val="20"/>
                <w:lang w:val="en-AU"/>
              </w:rPr>
              <w:t>, climate</w:t>
            </w:r>
            <w:r w:rsidR="00DF27A9" w:rsidRPr="00DF27A9">
              <w:rPr>
                <w:rFonts w:asciiTheme="minorHAnsi" w:hAnsiTheme="minorHAnsi" w:cstheme="minorHAnsi"/>
                <w:szCs w:val="20"/>
                <w:lang w:val="en-AU"/>
              </w:rPr>
              <w:t>) (OECD 2003)</w:t>
            </w:r>
            <w:r w:rsidR="00DF27A9">
              <w:rPr>
                <w:rFonts w:asciiTheme="minorHAnsi" w:hAnsiTheme="minorHAnsi" w:cstheme="minorHAnsi"/>
                <w:szCs w:val="20"/>
                <w:lang w:val="en-AU"/>
              </w:rPr>
              <w:t xml:space="preserve">. </w:t>
            </w:r>
            <w:r w:rsidRPr="004E7EB5">
              <w:rPr>
                <w:rFonts w:asciiTheme="minorHAnsi" w:hAnsiTheme="minorHAnsi" w:cstheme="minorHAnsi"/>
                <w:szCs w:val="20"/>
                <w:lang w:val="en-AU"/>
              </w:rPr>
              <w:t xml:space="preserve">Anthropogenic and natural drivers can lead to manageable and unmanageable pressures, respectively </w:t>
            </w:r>
            <w:r w:rsidRPr="004E7EB5">
              <w:rPr>
                <w:rFonts w:asciiTheme="minorHAnsi" w:hAnsiTheme="minorHAnsi" w:cstheme="minorHAnsi"/>
                <w:szCs w:val="20"/>
                <w:lang w:val="en-AU"/>
              </w:rPr>
              <w:fldChar w:fldCharType="begin"/>
            </w:r>
            <w:r w:rsidRPr="004E7EB5">
              <w:rPr>
                <w:rFonts w:asciiTheme="minorHAnsi" w:hAnsiTheme="minorHAnsi" w:cstheme="minorHAnsi"/>
                <w:szCs w:val="20"/>
                <w:lang w:val="en-AU"/>
              </w:rPr>
              <w:instrText xml:space="preserve"> ADDIN ZOTERO_ITEM CSL_CITATION {"citationID":"26f8n8hf82","properties":{"formattedCitation":"(Oesterwind et al. 2016)","plainCitation":"(Oesterwind et al. 2016)"},"citationItems":[{"id":3173,"uris":["http://zotero.org/users/3119797/items/C53AD2WP"],"uri":["http://zotero.org/users/3119797/items/C53AD2WP"],"itemData":{"id":3173,"type":"article-journal","title":"Drivers and pressures – Untangling the terms commonly used in marine science and policy","container-title":"Journal of Environmental Management","page":"8-15","volume":"181","source":"CrossRef","DOI":"10.1016/j.jenvman.2016.05.058","ISSN":"03014797","language":"en","author":[{"family":"Oesterwind","given":"Daniel"},{"family":"Rau","given":"Andrea"},{"family":"Zaiko","given":"Anastasija"}],"issued":{"date-parts":[["2016",10]]}}}],"schema":"https://github.com/citation-style-language/schema/raw/master/csl-citation.json"} </w:instrText>
            </w:r>
            <w:r w:rsidRPr="004E7EB5">
              <w:rPr>
                <w:rFonts w:asciiTheme="minorHAnsi" w:hAnsiTheme="minorHAnsi" w:cstheme="minorHAnsi"/>
                <w:szCs w:val="20"/>
                <w:lang w:val="en-AU"/>
              </w:rPr>
              <w:fldChar w:fldCharType="separate"/>
            </w:r>
            <w:r w:rsidRPr="004E7EB5">
              <w:rPr>
                <w:rFonts w:asciiTheme="minorHAnsi" w:hAnsiTheme="minorHAnsi" w:cstheme="minorHAnsi"/>
                <w:szCs w:val="20"/>
                <w:lang w:val="en-AU"/>
              </w:rPr>
              <w:t>(Oesterwind et al. 2016)</w:t>
            </w:r>
            <w:r w:rsidRPr="004E7EB5">
              <w:rPr>
                <w:rFonts w:asciiTheme="minorHAnsi" w:hAnsiTheme="minorHAnsi" w:cstheme="minorHAnsi"/>
                <w:szCs w:val="20"/>
                <w:lang w:val="en-AU"/>
              </w:rPr>
              <w:fldChar w:fldCharType="end"/>
            </w:r>
            <w:r w:rsidRPr="004E7EB5">
              <w:rPr>
                <w:rFonts w:asciiTheme="minorHAnsi" w:hAnsiTheme="minorHAnsi" w:cstheme="minorHAnsi"/>
                <w:szCs w:val="20"/>
                <w:lang w:val="en-AU"/>
              </w:rPr>
              <w:t>.</w:t>
            </w:r>
          </w:p>
        </w:tc>
      </w:tr>
      <w:tr w:rsidR="00FE69A8" w:rsidRPr="004E7EB5" w14:paraId="6C9390C9"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529B06D5"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Effects</w:t>
            </w:r>
          </w:p>
        </w:tc>
        <w:tc>
          <w:tcPr>
            <w:tcW w:w="6948" w:type="dxa"/>
          </w:tcPr>
          <w:p w14:paraId="20620CD8"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The physical, chemical, and biological responses/impacts caused by stressors.</w:t>
            </w:r>
          </w:p>
        </w:tc>
      </w:tr>
      <w:tr w:rsidR="00FE69A8" w:rsidRPr="004E7EB5" w14:paraId="1709FF90"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74265272" w14:textId="77777777" w:rsidR="00FE69A8" w:rsidRPr="004E7EB5" w:rsidRDefault="00FE69A8" w:rsidP="003B32BD">
            <w:pPr>
              <w:pStyle w:val="Table"/>
              <w:rPr>
                <w:rFonts w:asciiTheme="minorHAnsi" w:hAnsiTheme="minorHAnsi" w:cstheme="minorHAnsi"/>
                <w:szCs w:val="20"/>
                <w:lang w:val="en-AU" w:eastAsia="en-AU"/>
              </w:rPr>
            </w:pPr>
            <w:r w:rsidRPr="004E7EB5">
              <w:rPr>
                <w:rFonts w:asciiTheme="minorHAnsi" w:hAnsiTheme="minorHAnsi" w:cstheme="minorHAnsi"/>
                <w:szCs w:val="20"/>
                <w:lang w:val="en-AU" w:eastAsia="en-AU"/>
              </w:rPr>
              <w:t>Ecological</w:t>
            </w:r>
          </w:p>
        </w:tc>
        <w:tc>
          <w:tcPr>
            <w:tcW w:w="6948" w:type="dxa"/>
          </w:tcPr>
          <w:p w14:paraId="7D35E11D" w14:textId="77777777"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Relating to or concerned with the relation of living organisms to one another and to their physical surroundings</w:t>
            </w:r>
          </w:p>
        </w:tc>
      </w:tr>
      <w:tr w:rsidR="00FE69A8" w:rsidRPr="00865CF9" w14:paraId="30ABF0EC" w14:textId="77777777" w:rsidTr="00FE69A8">
        <w:tc>
          <w:tcPr>
            <w:cnfStyle w:val="001000000000" w:firstRow="0" w:lastRow="0" w:firstColumn="1" w:lastColumn="0" w:oddVBand="0" w:evenVBand="0" w:oddHBand="0" w:evenHBand="0" w:firstRowFirstColumn="0" w:firstRowLastColumn="0" w:lastRowFirstColumn="0" w:lastRowLastColumn="0"/>
            <w:tcW w:w="1841" w:type="dxa"/>
          </w:tcPr>
          <w:p w14:paraId="0C7CA237" w14:textId="77777777" w:rsidR="00FE69A8" w:rsidRPr="00B27620" w:rsidRDefault="00FE69A8" w:rsidP="00FE69A8">
            <w:pPr>
              <w:pStyle w:val="Table"/>
              <w:rPr>
                <w:rFonts w:asciiTheme="minorHAnsi" w:hAnsiTheme="minorHAnsi" w:cstheme="minorHAnsi"/>
                <w:szCs w:val="20"/>
                <w:lang w:eastAsia="en-AU"/>
              </w:rPr>
            </w:pPr>
            <w:r>
              <w:rPr>
                <w:rFonts w:asciiTheme="minorHAnsi" w:hAnsiTheme="minorHAnsi" w:cstheme="minorHAnsi"/>
                <w:szCs w:val="20"/>
                <w:lang w:eastAsia="en-AU"/>
              </w:rPr>
              <w:t>Ecological connectivity</w:t>
            </w:r>
          </w:p>
        </w:tc>
        <w:tc>
          <w:tcPr>
            <w:tcW w:w="6948" w:type="dxa"/>
          </w:tcPr>
          <w:p w14:paraId="2467DA38" w14:textId="7E7FD774" w:rsidR="00FE69A8" w:rsidRDefault="00FE69A8" w:rsidP="00FE69A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n-AU"/>
              </w:rPr>
            </w:pPr>
            <w:r>
              <w:rPr>
                <w:rFonts w:asciiTheme="minorHAnsi" w:hAnsiTheme="minorHAnsi" w:cstheme="minorHAnsi"/>
                <w:szCs w:val="20"/>
                <w:lang w:eastAsia="en-AU"/>
              </w:rPr>
              <w:t xml:space="preserve">Physical or </w:t>
            </w:r>
            <w:r w:rsidRPr="00E8232F">
              <w:rPr>
                <w:rFonts w:asciiTheme="minorHAnsi" w:hAnsiTheme="minorHAnsi" w:cstheme="minorHAnsi"/>
                <w:szCs w:val="20"/>
                <w:lang w:eastAsia="en-AU"/>
              </w:rPr>
              <w:t xml:space="preserve">ecological events that allow materials or organisms to move between or influence habitats, populations or assemblages that are intermittently isolated in space or time </w:t>
            </w:r>
            <w:r>
              <w:rPr>
                <w:rFonts w:asciiTheme="minorHAnsi" w:hAnsiTheme="minorHAnsi" w:cstheme="minorHAnsi"/>
                <w:szCs w:val="20"/>
                <w:lang w:eastAsia="en-AU"/>
              </w:rPr>
              <w:fldChar w:fldCharType="begin"/>
            </w:r>
            <w:r w:rsidR="001F4582">
              <w:rPr>
                <w:rFonts w:asciiTheme="minorHAnsi" w:hAnsiTheme="minorHAnsi" w:cstheme="minorHAnsi"/>
                <w:szCs w:val="20"/>
                <w:lang w:eastAsia="en-AU"/>
              </w:rPr>
              <w:instrText xml:space="preserve"> ADDIN ZOTERO_ITEM CSL_CITATION {"citationID":"HIFPVGww","properties":{"formattedCitation":"(Sheaves 2009)","plainCitation":"(Sheaves 2009)"},"citationItems":[{"id":3434,"uris":["http://zotero.org/users/3119797/items/A35A4CVW"],"uri":["http://zotero.org/users/3119797/items/A35A4CVW"],"itemData":{"id":3434,"type":"article-journal","title":"Consequences of ecological connectivity: the coastal ecosystem mosaic","container-title":"Marine Ecology Progress Series","page":"107-115","volume":"391","source":"CrossRef","DOI":"10.3354/meps08121","ISSN":"0171-8630, 1616-1599","shortTitle":"Consequences of ecological connectivity","language":"en","author":[{"family":"Sheaves","given":"M"}],"issued":{"date-parts":[["2009",9,28]]}}}],"schema":"https://github.com/citation-style-language/schema/raw/master/csl-citation.json"} </w:instrText>
            </w:r>
            <w:r>
              <w:rPr>
                <w:rFonts w:asciiTheme="minorHAnsi" w:hAnsiTheme="minorHAnsi" w:cstheme="minorHAnsi"/>
                <w:szCs w:val="20"/>
                <w:lang w:eastAsia="en-AU"/>
              </w:rPr>
              <w:fldChar w:fldCharType="separate"/>
            </w:r>
            <w:r w:rsidRPr="00826F0B">
              <w:rPr>
                <w:rFonts w:ascii="Calibri" w:hAnsi="Calibri" w:cs="Calibri"/>
              </w:rPr>
              <w:t>(Sheaves 2009)</w:t>
            </w:r>
            <w:r>
              <w:rPr>
                <w:rFonts w:asciiTheme="minorHAnsi" w:hAnsiTheme="minorHAnsi" w:cstheme="minorHAnsi"/>
                <w:szCs w:val="20"/>
                <w:lang w:eastAsia="en-AU"/>
              </w:rPr>
              <w:fldChar w:fldCharType="end"/>
            </w:r>
            <w:r>
              <w:rPr>
                <w:rFonts w:asciiTheme="minorHAnsi" w:hAnsiTheme="minorHAnsi" w:cstheme="minorHAnsi"/>
                <w:szCs w:val="20"/>
                <w:lang w:eastAsia="en-AU"/>
              </w:rPr>
              <w:t>.</w:t>
            </w:r>
          </w:p>
          <w:p w14:paraId="3F2B6B33" w14:textId="77777777" w:rsidR="00FE69A8" w:rsidRDefault="00FE69A8" w:rsidP="00FE69A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n-AU"/>
              </w:rPr>
            </w:pPr>
          </w:p>
          <w:p w14:paraId="7FBC6558" w14:textId="6A572EF4" w:rsidR="00FE69A8" w:rsidRDefault="00FE69A8" w:rsidP="00FE69A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n-AU"/>
              </w:rPr>
            </w:pPr>
            <w:r>
              <w:rPr>
                <w:rFonts w:asciiTheme="minorHAnsi" w:hAnsiTheme="minorHAnsi" w:cstheme="minorHAnsi"/>
                <w:szCs w:val="20"/>
                <w:lang w:eastAsia="en-AU"/>
              </w:rPr>
              <w:t xml:space="preserve">Includes </w:t>
            </w:r>
            <w:r>
              <w:rPr>
                <w:rFonts w:asciiTheme="minorHAnsi" w:hAnsiTheme="minorHAnsi" w:cstheme="minorHAnsi"/>
                <w:i/>
                <w:szCs w:val="20"/>
                <w:lang w:eastAsia="en-AU"/>
              </w:rPr>
              <w:t>functional connectivity</w:t>
            </w:r>
            <w:r>
              <w:rPr>
                <w:rFonts w:asciiTheme="minorHAnsi" w:hAnsiTheme="minorHAnsi" w:cstheme="minorHAnsi"/>
                <w:szCs w:val="20"/>
                <w:lang w:eastAsia="en-AU"/>
              </w:rPr>
              <w:t xml:space="preserve"> – organisms behavioural responses to individual landscape elements and the spatial configuration of the entire landscape; and </w:t>
            </w:r>
            <w:r w:rsidRPr="00832905">
              <w:rPr>
                <w:rFonts w:asciiTheme="minorHAnsi" w:hAnsiTheme="minorHAnsi" w:cstheme="minorHAnsi"/>
                <w:i/>
                <w:szCs w:val="20"/>
                <w:lang w:eastAsia="en-AU"/>
              </w:rPr>
              <w:t>structural connectivity</w:t>
            </w:r>
            <w:r>
              <w:rPr>
                <w:rFonts w:asciiTheme="minorHAnsi" w:hAnsiTheme="minorHAnsi" w:cstheme="minorHAnsi"/>
                <w:szCs w:val="20"/>
                <w:lang w:eastAsia="en-AU"/>
              </w:rPr>
              <w:t xml:space="preserve"> - </w:t>
            </w:r>
            <w:r w:rsidRPr="00832905">
              <w:rPr>
                <w:rFonts w:asciiTheme="minorHAnsi" w:hAnsiTheme="minorHAnsi" w:cstheme="minorHAnsi"/>
                <w:szCs w:val="20"/>
                <w:lang w:eastAsia="en-AU"/>
              </w:rPr>
              <w:t>where connectivity</w:t>
            </w:r>
            <w:r>
              <w:rPr>
                <w:rFonts w:asciiTheme="minorHAnsi" w:hAnsiTheme="minorHAnsi" w:cstheme="minorHAnsi"/>
                <w:szCs w:val="20"/>
                <w:lang w:eastAsia="en-AU"/>
              </w:rPr>
              <w:t xml:space="preserve"> </w:t>
            </w:r>
            <w:r w:rsidRPr="00832905">
              <w:rPr>
                <w:rFonts w:asciiTheme="minorHAnsi" w:hAnsiTheme="minorHAnsi" w:cstheme="minorHAnsi"/>
                <w:szCs w:val="20"/>
                <w:lang w:eastAsia="en-AU"/>
              </w:rPr>
              <w:t xml:space="preserve">is based entirely on landscape structure with no direct link to any </w:t>
            </w:r>
            <w:r>
              <w:rPr>
                <w:rFonts w:asciiTheme="minorHAnsi" w:hAnsiTheme="minorHAnsi" w:cstheme="minorHAnsi"/>
                <w:szCs w:val="20"/>
                <w:lang w:eastAsia="en-AU"/>
              </w:rPr>
              <w:t xml:space="preserve">behavioural </w:t>
            </w:r>
            <w:r w:rsidRPr="00832905">
              <w:rPr>
                <w:rFonts w:asciiTheme="minorHAnsi" w:hAnsiTheme="minorHAnsi" w:cstheme="minorHAnsi"/>
                <w:szCs w:val="20"/>
                <w:lang w:eastAsia="en-AU"/>
              </w:rPr>
              <w:t>attributes of organisms</w:t>
            </w:r>
            <w:r>
              <w:rPr>
                <w:rFonts w:asciiTheme="minorHAnsi" w:hAnsiTheme="minorHAnsi" w:cstheme="minorHAnsi"/>
                <w:szCs w:val="20"/>
                <w:lang w:eastAsia="en-AU"/>
              </w:rPr>
              <w:t xml:space="preserve"> </w:t>
            </w:r>
            <w:r>
              <w:rPr>
                <w:rFonts w:asciiTheme="minorHAnsi" w:hAnsiTheme="minorHAnsi" w:cstheme="minorHAnsi"/>
                <w:szCs w:val="20"/>
                <w:lang w:eastAsia="en-AU"/>
              </w:rPr>
              <w:fldChar w:fldCharType="begin"/>
            </w:r>
            <w:r w:rsidR="00E8416D">
              <w:rPr>
                <w:rFonts w:asciiTheme="minorHAnsi" w:hAnsiTheme="minorHAnsi" w:cstheme="minorHAnsi"/>
                <w:szCs w:val="20"/>
                <w:lang w:eastAsia="en-AU"/>
              </w:rPr>
              <w:instrText xml:space="preserve"> ADDIN ZOTERO_ITEM CSL_CITATION {"citationID":"1h37l13prj","properties":{"formattedCitation":"(Kindlmann and Burel 2008)","plainCitation":"(Kindlmann and Burel 2008)"},"citationItems":[{"id":3435,"uris":["http://zotero.org/users/3119797/items/S2NPZCD9"],"uri":["http://zotero.org/users/3119797/items/S2NPZCD9"],"itemData":{"id":3435,"type":"article-journal","title":"Connectivity measures: a review","container-title":"Landscape Ecology","page":"879-890","volume":"23","source":"CrossRef","DOI":"10.1007/s10980-008-9245-4","ISSN":"0921-2973, 1572-9761","shortTitle":"Connectivity measures","language":"en","author":[{"family":"Kindlmann","given":"Pavel"},{"family":"Burel","given":"Francoise"}],"issued":{"date-parts":[["2008",7,31]]}}}],"schema":"https://github.com/citation-style-language/schema/raw/master/csl-citation.json"} </w:instrText>
            </w:r>
            <w:r>
              <w:rPr>
                <w:rFonts w:asciiTheme="minorHAnsi" w:hAnsiTheme="minorHAnsi" w:cstheme="minorHAnsi"/>
                <w:szCs w:val="20"/>
                <w:lang w:eastAsia="en-AU"/>
              </w:rPr>
              <w:fldChar w:fldCharType="separate"/>
            </w:r>
            <w:r w:rsidRPr="00832905">
              <w:rPr>
                <w:rFonts w:ascii="Calibri" w:hAnsi="Calibri" w:cs="Calibri"/>
              </w:rPr>
              <w:t>(Kindlmann and Burel 2008</w:t>
            </w:r>
            <w:r>
              <w:rPr>
                <w:rFonts w:ascii="Calibri" w:hAnsi="Calibri" w:cs="Calibri"/>
              </w:rPr>
              <w:t xml:space="preserve"> and references within</w:t>
            </w:r>
            <w:r w:rsidRPr="00832905">
              <w:rPr>
                <w:rFonts w:ascii="Calibri" w:hAnsi="Calibri" w:cs="Calibri"/>
              </w:rPr>
              <w:t>)</w:t>
            </w:r>
            <w:r>
              <w:rPr>
                <w:rFonts w:asciiTheme="minorHAnsi" w:hAnsiTheme="minorHAnsi" w:cstheme="minorHAnsi"/>
                <w:szCs w:val="20"/>
                <w:lang w:eastAsia="en-AU"/>
              </w:rPr>
              <w:fldChar w:fldCharType="end"/>
            </w:r>
            <w:r>
              <w:rPr>
                <w:rFonts w:asciiTheme="minorHAnsi" w:hAnsiTheme="minorHAnsi" w:cstheme="minorHAnsi"/>
                <w:szCs w:val="20"/>
                <w:lang w:eastAsia="en-AU"/>
              </w:rPr>
              <w:t xml:space="preserve"> .</w:t>
            </w:r>
          </w:p>
          <w:p w14:paraId="7988D315" w14:textId="77777777" w:rsidR="00FE69A8" w:rsidRDefault="00FE69A8" w:rsidP="00FE69A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n-AU"/>
              </w:rPr>
            </w:pPr>
          </w:p>
          <w:p w14:paraId="1116BF0C" w14:textId="77777777" w:rsidR="00FE69A8" w:rsidRPr="00B27620" w:rsidRDefault="00FE69A8" w:rsidP="00FE69A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n-AU"/>
              </w:rPr>
            </w:pPr>
            <w:r>
              <w:rPr>
                <w:rFonts w:asciiTheme="minorHAnsi" w:hAnsiTheme="minorHAnsi" w:cstheme="minorHAnsi"/>
                <w:szCs w:val="20"/>
                <w:lang w:eastAsia="en-AU"/>
              </w:rPr>
              <w:t>Ecological connectivity is a</w:t>
            </w:r>
            <w:r w:rsidRPr="00826F0B">
              <w:rPr>
                <w:rFonts w:asciiTheme="minorHAnsi" w:hAnsiTheme="minorHAnsi" w:cstheme="minorHAnsi"/>
                <w:szCs w:val="20"/>
                <w:lang w:eastAsia="en-AU"/>
              </w:rPr>
              <w:t xml:space="preserve"> </w:t>
            </w:r>
            <w:r w:rsidRPr="00B95C74">
              <w:rPr>
                <w:rFonts w:asciiTheme="minorHAnsi" w:hAnsiTheme="minorHAnsi" w:cstheme="minorHAnsi"/>
                <w:i/>
                <w:szCs w:val="20"/>
                <w:lang w:eastAsia="en-AU"/>
              </w:rPr>
              <w:t>multifaceted process affecting and enabling the lives of organisms over the full range of conceptual scales, with ecosystem components connected by a diversity of factors, including physical and biological translocation of nutrients, ontogenetic, life history, spawning and feeding migrations, food-web dynamics, predator–prey interactions, and many more. All of these play crucial roles in structuring biological populations, communities and assemblages, and in driving the biological processes that support them</w:t>
            </w:r>
            <w:r w:rsidRPr="00826F0B">
              <w:rPr>
                <w:rFonts w:asciiTheme="minorHAnsi" w:hAnsiTheme="minorHAnsi" w:cstheme="minorHAnsi"/>
                <w:szCs w:val="20"/>
                <w:lang w:eastAsia="en-AU"/>
              </w:rPr>
              <w:t xml:space="preserve">. </w:t>
            </w:r>
            <w:r>
              <w:rPr>
                <w:rFonts w:asciiTheme="minorHAnsi" w:hAnsiTheme="minorHAnsi" w:cstheme="minorHAnsi"/>
                <w:szCs w:val="20"/>
                <w:lang w:eastAsia="en-AU"/>
              </w:rPr>
              <w:fldChar w:fldCharType="begin"/>
            </w:r>
            <w:r>
              <w:rPr>
                <w:rFonts w:asciiTheme="minorHAnsi" w:hAnsiTheme="minorHAnsi" w:cstheme="minorHAnsi"/>
                <w:szCs w:val="20"/>
                <w:lang w:eastAsia="en-AU"/>
              </w:rPr>
              <w:instrText xml:space="preserve"> ADDIN ZOTERO_ITEM CSL_CITATION {"citationID":"2b5f7rhcc4","properties":{"formattedCitation":"(Sheaves 2009)","plainCitation":"(Sheaves 2009)"},"citationItems":[{"id":3434,"uris":["http://zotero.org/users/3119797/items/A35A4CVW"],"uri":["http://zotero.org/users/3119797/items/A35A4CVW"],"itemData":{"id":3434,"type":"article-journal","title":"Consequences of ecological connectivity: the coastal ecosystem mosaic","container-title":"Marine Ecology Progress Series","page":"107-115","volume":"391","source":"CrossRef","DOI":"10.3354/meps08121","ISSN":"0171-8630, 1616-1599","shortTitle":"Consequences of ecological connectivity","language":"en","author":[{"family":"Sheaves","given":"M"}],"issued":{"date-parts":[["2009",9,28]]}}}],"schema":"https://github.com/citation-style-language/schema/raw/master/csl-citation.json"} </w:instrText>
            </w:r>
            <w:r>
              <w:rPr>
                <w:rFonts w:asciiTheme="minorHAnsi" w:hAnsiTheme="minorHAnsi" w:cstheme="minorHAnsi"/>
                <w:szCs w:val="20"/>
                <w:lang w:eastAsia="en-AU"/>
              </w:rPr>
              <w:fldChar w:fldCharType="separate"/>
            </w:r>
            <w:r w:rsidRPr="00B95C74">
              <w:rPr>
                <w:rFonts w:ascii="Calibri" w:hAnsi="Calibri" w:cs="Calibri"/>
              </w:rPr>
              <w:t>(Sheaves 2009)</w:t>
            </w:r>
            <w:r>
              <w:rPr>
                <w:rFonts w:asciiTheme="minorHAnsi" w:hAnsiTheme="minorHAnsi" w:cstheme="minorHAnsi"/>
                <w:szCs w:val="20"/>
                <w:lang w:eastAsia="en-AU"/>
              </w:rPr>
              <w:fldChar w:fldCharType="end"/>
            </w:r>
            <w:r>
              <w:rPr>
                <w:rFonts w:asciiTheme="minorHAnsi" w:hAnsiTheme="minorHAnsi" w:cstheme="minorHAnsi"/>
                <w:szCs w:val="20"/>
                <w:lang w:eastAsia="en-AU"/>
              </w:rPr>
              <w:t>.</w:t>
            </w:r>
          </w:p>
        </w:tc>
      </w:tr>
      <w:tr w:rsidR="00FE69A8" w:rsidRPr="004E7EB5" w14:paraId="25C823B9" w14:textId="77777777" w:rsidTr="00827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759DEBAF"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Ecological value</w:t>
            </w:r>
          </w:p>
          <w:p w14:paraId="46679781" w14:textId="77777777" w:rsidR="00FE69A8" w:rsidRPr="004E7EB5" w:rsidRDefault="00FE69A8" w:rsidP="003B32BD">
            <w:pPr>
              <w:pStyle w:val="Table"/>
              <w:rPr>
                <w:rFonts w:asciiTheme="minorHAnsi" w:hAnsiTheme="minorHAnsi" w:cstheme="minorHAnsi"/>
                <w:b w:val="0"/>
                <w:szCs w:val="20"/>
                <w:lang w:val="en-AU" w:eastAsia="en-AU"/>
              </w:rPr>
            </w:pPr>
          </w:p>
        </w:tc>
        <w:tc>
          <w:tcPr>
            <w:tcW w:w="6948" w:type="dxa"/>
          </w:tcPr>
          <w:p w14:paraId="0F2BFE51" w14:textId="6FD738D3" w:rsidR="00FE69A8" w:rsidRPr="004E7EB5" w:rsidRDefault="00FE69A8" w:rsidP="00865CF9">
            <w:pPr>
              <w:shd w:val="clear" w:color="auto" w:fill="EBF2F1" w:themeFill="accent2" w:themeFillTint="33"/>
              <w:cnfStyle w:val="000000100000" w:firstRow="0" w:lastRow="0" w:firstColumn="0" w:lastColumn="0" w:oddVBand="0" w:evenVBand="0" w:oddHBand="1" w:evenHBand="0" w:firstRowFirstColumn="0" w:firstRowLastColumn="0" w:lastRowFirstColumn="0" w:lastRowLastColumn="0"/>
              <w:rPr>
                <w:lang w:eastAsia="en-AU"/>
              </w:rPr>
            </w:pPr>
            <w:r w:rsidRPr="004E7EB5">
              <w:rPr>
                <w:rFonts w:asciiTheme="minorHAnsi" w:hAnsiTheme="minorHAnsi" w:cstheme="minorHAnsi"/>
              </w:rPr>
              <w:t>Ecological value</w:t>
            </w:r>
            <w:r w:rsidRPr="00FE69A8">
              <w:rPr>
                <w:rStyle w:val="FootnoteReference"/>
              </w:rPr>
              <w:footnoteReference w:id="5"/>
            </w:r>
            <w:r w:rsidRPr="004E7EB5">
              <w:rPr>
                <w:rFonts w:asciiTheme="minorHAnsi" w:hAnsiTheme="minorHAnsi" w:cstheme="minorHAnsi"/>
              </w:rPr>
              <w:t xml:space="preserve"> is the perceived importance of an ecosystem, which is underpinned by the biotic and/or abiotic components, processes, functions and services that characterise that ecosystem. In the IECA Framework, ecological values are those identified as important through application of the criteria (HEVAE, Ramsar or other) and identification of critical components, processes, functions, and services in describing the ecological character of the ecosystem (or another comparable process).</w:t>
            </w:r>
          </w:p>
        </w:tc>
      </w:tr>
      <w:tr w:rsidR="00FE69A8" w:rsidRPr="004E7EB5" w14:paraId="55342358"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0A0F2FD3" w14:textId="1153B538" w:rsidR="00FE69A8" w:rsidRPr="004E7EB5" w:rsidRDefault="00FE69A8" w:rsidP="003B32BD">
            <w:pPr>
              <w:pStyle w:val="Table"/>
              <w:rPr>
                <w:rFonts w:asciiTheme="minorHAnsi" w:hAnsiTheme="minorHAnsi" w:cstheme="minorHAnsi"/>
                <w:szCs w:val="20"/>
                <w:lang w:val="en-AU" w:eastAsia="en-AU"/>
              </w:rPr>
            </w:pPr>
            <w:r w:rsidRPr="004E7EB5">
              <w:rPr>
                <w:rFonts w:asciiTheme="minorHAnsi" w:hAnsiTheme="minorHAnsi" w:cstheme="minorHAnsi"/>
                <w:szCs w:val="20"/>
                <w:lang w:val="en-AU" w:eastAsia="en-AU"/>
              </w:rPr>
              <w:t>Ecosystem approach</w:t>
            </w:r>
          </w:p>
        </w:tc>
        <w:tc>
          <w:tcPr>
            <w:tcW w:w="6948" w:type="dxa"/>
          </w:tcPr>
          <w:p w14:paraId="03AA6D4D"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 xml:space="preserve">The Ecosystem Approach defined in CBD (2000) is a management and resource planning procedure that integrates the management of human activities and their Institutions with the knowledge of the functioning of ecosystems. In the management of aquatic ecosystems and resources, it requires to “identify and take action on influences that are critical to the health of aquatic ecosystems, there by achieving sustainable use of ecosystem goods and services and maintenance of ecosystem integrity. </w:t>
            </w:r>
          </w:p>
          <w:p w14:paraId="3C2FC690"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p>
          <w:p w14:paraId="0FE166DF"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 xml:space="preserve">The Ecosystem Approach can be defined as the ability to fulfil the major aim of protecting and maintaining the natural structure and functioning while at the </w:t>
            </w:r>
            <w:r w:rsidRPr="004E7EB5">
              <w:rPr>
                <w:rFonts w:asciiTheme="minorHAnsi" w:hAnsiTheme="minorHAnsi" w:cstheme="minorHAnsi"/>
                <w:szCs w:val="20"/>
                <w:lang w:val="en-AU" w:eastAsia="en-AU"/>
              </w:rPr>
              <w:lastRenderedPageBreak/>
              <w:t xml:space="preserve">same time ensuring the creation of ecosystem services from which societal benefits can be obtained (Elliot 2011) (modified from </w:t>
            </w:r>
            <w:r w:rsidRPr="004E7EB5">
              <w:rPr>
                <w:rFonts w:asciiTheme="minorHAnsi" w:hAnsiTheme="minorHAnsi" w:cstheme="minorHAnsi"/>
                <w:szCs w:val="20"/>
                <w:lang w:val="en-AU" w:eastAsia="en-AU"/>
              </w:rPr>
              <w:fldChar w:fldCharType="begin"/>
            </w:r>
            <w:r w:rsidRPr="004E7EB5">
              <w:rPr>
                <w:rFonts w:asciiTheme="minorHAnsi" w:hAnsiTheme="minorHAnsi" w:cstheme="minorHAnsi"/>
                <w:szCs w:val="20"/>
                <w:lang w:val="en-AU" w:eastAsia="en-AU"/>
              </w:rPr>
              <w:instrText xml:space="preserve"> ADDIN ZOTERO_ITEM CSL_CITATION {"citationID":"2l4o32n7va","properties":{"formattedCitation":"(Borja et al. 2016)","plainCitation":"(Borja et al. 2016)"},"citationItems":[{"id":1412,"uris":["http://zotero.org/users/3119797/items/T95T62V5"],"uri":["http://zotero.org/users/3119797/items/T95T62V5"],"itemData":{"id":1412,"type":"article-journal","title":"Overview of Integrative Assessment of Marine Systems: The Ecosystem Approach in Practice","container-title":"Frontiers in Marine Science","volume":"3","source":"CrossRef","URL":"http://journal.frontiersin.org/article/10.3389/fmars.2016.00020","DOI":"10.3389/fmars.2016.00020","ISSN":"2296-7745","shortTitle":"Overview of Integrative Assessment of Marine Systems","author":[{"family":"Borja","given":"Angel"},{"family":"Elliott","given":"Michael"},{"family":"Andersen","given":"Jesper H."},{"family":"Berg","given":"Torsten"},{"family":"Carstensen","given":"Jacob"},{"family":"Halpern","given":"Benjamin S."},{"family":"Heiskanen","given":"Anna-Stiina"},{"family":"Korpinen","given":"Samuli"},{"family":"Lowndes","given":"Julia S. Stewart"},{"family":"Martin","given":"Georg"},{"family":"Rodriguez-Ezpeleta","given":"Naiara"}],"issued":{"date-parts":[["2016",3,1]]},"accessed":{"date-parts":[["2016",10,12]]}}}],"schema":"https://github.com/citation-style-language/schema/raw/master/csl-citation.json"} </w:instrText>
            </w:r>
            <w:r w:rsidRPr="004E7EB5">
              <w:rPr>
                <w:rFonts w:asciiTheme="minorHAnsi" w:hAnsiTheme="minorHAnsi" w:cstheme="minorHAnsi"/>
                <w:szCs w:val="20"/>
                <w:lang w:val="en-AU" w:eastAsia="en-AU"/>
              </w:rPr>
              <w:fldChar w:fldCharType="separate"/>
            </w:r>
            <w:r w:rsidRPr="004E7EB5">
              <w:rPr>
                <w:rFonts w:asciiTheme="minorHAnsi" w:hAnsiTheme="minorHAnsi" w:cstheme="minorHAnsi"/>
                <w:szCs w:val="20"/>
                <w:lang w:val="en-AU"/>
              </w:rPr>
              <w:t>Borja et al. 2016)</w:t>
            </w:r>
            <w:r w:rsidRPr="004E7EB5">
              <w:rPr>
                <w:rFonts w:asciiTheme="minorHAnsi" w:hAnsiTheme="minorHAnsi" w:cstheme="minorHAnsi"/>
                <w:szCs w:val="20"/>
                <w:lang w:val="en-AU" w:eastAsia="en-AU"/>
              </w:rPr>
              <w:fldChar w:fldCharType="end"/>
            </w:r>
            <w:r w:rsidRPr="004E7EB5">
              <w:rPr>
                <w:rFonts w:asciiTheme="minorHAnsi" w:hAnsiTheme="minorHAnsi" w:cstheme="minorHAnsi"/>
                <w:szCs w:val="20"/>
                <w:lang w:val="en-AU" w:eastAsia="en-AU"/>
              </w:rPr>
              <w:t>.</w:t>
            </w:r>
          </w:p>
        </w:tc>
      </w:tr>
      <w:tr w:rsidR="00FE69A8" w:rsidRPr="004E7EB5" w14:paraId="379C894E"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4C3CD8DC" w14:textId="77777777" w:rsidR="00FE69A8" w:rsidRPr="004E7EB5" w:rsidRDefault="00FE69A8" w:rsidP="003B32BD">
            <w:pPr>
              <w:pStyle w:val="Table"/>
              <w:rPr>
                <w:rFonts w:asciiTheme="minorHAnsi" w:hAnsiTheme="minorHAnsi" w:cstheme="minorHAnsi"/>
                <w:szCs w:val="20"/>
                <w:lang w:val="en-AU" w:eastAsia="en-AU"/>
              </w:rPr>
            </w:pPr>
            <w:r w:rsidRPr="004E7EB5">
              <w:rPr>
                <w:rFonts w:asciiTheme="minorHAnsi" w:hAnsiTheme="minorHAnsi" w:cstheme="minorHAnsi"/>
                <w:szCs w:val="20"/>
                <w:lang w:val="en-AU" w:eastAsia="en-AU"/>
              </w:rPr>
              <w:lastRenderedPageBreak/>
              <w:t>Ecosystem function</w:t>
            </w:r>
          </w:p>
        </w:tc>
        <w:tc>
          <w:tcPr>
            <w:tcW w:w="6948" w:type="dxa"/>
          </w:tcPr>
          <w:p w14:paraId="55584D5B" w14:textId="77777777"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Activities or actions which occur naturally in ecosystems as a product of the interactions between the ecosystem structure and processes e.g. floodwater control, nutrient, sediment and contaminant retention, food web support, shoreline stabilisation and erosion controls, storm protection, and stabilisation of local climatic conditions, particularly rainfall and temperature.</w:t>
            </w:r>
          </w:p>
        </w:tc>
      </w:tr>
      <w:tr w:rsidR="00FE69A8" w:rsidRPr="004E7EB5" w14:paraId="731E5D9B"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0B4C48BC" w14:textId="77777777" w:rsidR="00FE69A8" w:rsidRPr="004E7EB5" w:rsidRDefault="00FE69A8" w:rsidP="003B32BD">
            <w:pPr>
              <w:pStyle w:val="Table"/>
              <w:rPr>
                <w:rFonts w:asciiTheme="minorHAnsi" w:hAnsiTheme="minorHAnsi" w:cstheme="minorHAnsi"/>
                <w:szCs w:val="20"/>
                <w:lang w:val="en-AU" w:eastAsia="en-AU"/>
              </w:rPr>
            </w:pPr>
            <w:r w:rsidRPr="004E7EB5">
              <w:rPr>
                <w:rFonts w:asciiTheme="minorHAnsi" w:hAnsiTheme="minorHAnsi" w:cstheme="minorHAnsi"/>
                <w:szCs w:val="20"/>
                <w:lang w:val="en-AU" w:eastAsia="en-AU"/>
              </w:rPr>
              <w:t>Ecosystem process</w:t>
            </w:r>
          </w:p>
        </w:tc>
        <w:tc>
          <w:tcPr>
            <w:tcW w:w="6948" w:type="dxa"/>
          </w:tcPr>
          <w:p w14:paraId="352363F1" w14:textId="1FB9E600"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 xml:space="preserve">Any change or reaction which occurs within ecosystems, physical, chemical or biological. Ecosystem processes include decomposition, production, nutrient cycling, and fluxes of nutrients and energy (MA 2005 cited in </w:t>
            </w:r>
            <w:r w:rsidRPr="004E7EB5">
              <w:rPr>
                <w:rFonts w:asciiTheme="minorHAnsi" w:hAnsiTheme="minorHAnsi" w:cstheme="minorHAnsi"/>
                <w:szCs w:val="20"/>
                <w:lang w:val="en-AU" w:eastAsia="en-AU"/>
              </w:rPr>
              <w:fldChar w:fldCharType="begin"/>
            </w:r>
            <w:r w:rsidRPr="004E7EB5">
              <w:rPr>
                <w:rFonts w:asciiTheme="minorHAnsi" w:hAnsiTheme="minorHAnsi" w:cstheme="minorHAnsi"/>
                <w:szCs w:val="20"/>
                <w:lang w:val="en-AU" w:eastAsia="en-AU"/>
              </w:rPr>
              <w:instrText xml:space="preserve"> ADDIN ZOTERO_ITEM CSL_CITATION {"citationID":"on3aahhdr","properties":{"formattedCitation":"(European Union 2013)","plainCitation":"(European Union 2013)"},"citationItems":[{"id":3194,"uris":["http://zotero.org/users/3119797/items/WSZ6XIAJ"],"uri":["http://zotero.org/users/3119797/items/WSZ6XIAJ"],"itemData":{"id":3194,"type":"article","title":"Mapping and Assessment of Ecosystems and their Services An analytical framework for ecosystem assessments under Action 5 of the EU Biodiversity Strategy to 2020.","author":[{"family":"European Union","given":""}],"issued":{"date-parts":[["2013"]]}}}],"schema":"https://github.com/citation-style-language/schema/raw/master/csl-citation.json"} </w:instrText>
            </w:r>
            <w:r w:rsidRPr="004E7EB5">
              <w:rPr>
                <w:rFonts w:asciiTheme="minorHAnsi" w:hAnsiTheme="minorHAnsi" w:cstheme="minorHAnsi"/>
                <w:szCs w:val="20"/>
                <w:lang w:val="en-AU" w:eastAsia="en-AU"/>
              </w:rPr>
              <w:fldChar w:fldCharType="separate"/>
            </w:r>
            <w:r w:rsidRPr="004E7EB5">
              <w:rPr>
                <w:rFonts w:asciiTheme="minorHAnsi" w:hAnsiTheme="minorHAnsi" w:cstheme="minorHAnsi"/>
                <w:szCs w:val="20"/>
                <w:lang w:val="en-AU"/>
              </w:rPr>
              <w:t>European Union 2013</w:t>
            </w:r>
            <w:r w:rsidRPr="004E7EB5">
              <w:rPr>
                <w:rFonts w:asciiTheme="minorHAnsi" w:hAnsiTheme="minorHAnsi" w:cstheme="minorHAnsi"/>
                <w:szCs w:val="20"/>
                <w:lang w:val="en-AU" w:eastAsia="en-AU"/>
              </w:rPr>
              <w:fldChar w:fldCharType="end"/>
            </w:r>
            <w:r w:rsidRPr="004E7EB5">
              <w:rPr>
                <w:rFonts w:asciiTheme="minorHAnsi" w:hAnsiTheme="minorHAnsi" w:cstheme="minorHAnsi"/>
                <w:szCs w:val="20"/>
                <w:lang w:val="en-AU" w:eastAsia="en-AU"/>
              </w:rPr>
              <w:t>, Ramsar Convention, Resolution V1.1).</w:t>
            </w:r>
          </w:p>
          <w:p w14:paraId="5CA4842E"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p>
          <w:p w14:paraId="088F0E25" w14:textId="58F8D231"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Processes are the dynamic forces within an ecosystem. They include all processes that occur between organisms and within and between populations and communities, including interactions with the non-living environment that result in existing ecosystems and that bring about changes in ecosystems over time (from AETG 2012).</w:t>
            </w:r>
          </w:p>
        </w:tc>
      </w:tr>
      <w:tr w:rsidR="00FE69A8" w:rsidRPr="004E7EB5" w14:paraId="2F1F57FB"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6EF9FE0A"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Ecosystem services</w:t>
            </w:r>
          </w:p>
        </w:tc>
        <w:tc>
          <w:tcPr>
            <w:tcW w:w="6948" w:type="dxa"/>
          </w:tcPr>
          <w:p w14:paraId="5AA961F2" w14:textId="49375017"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rPr>
              <w:t>The contribution(s) that ecosystems make to human well-being.</w:t>
            </w:r>
            <w:r w:rsidR="00311811">
              <w:rPr>
                <w:rFonts w:asciiTheme="minorHAnsi" w:hAnsiTheme="minorHAnsi" w:cstheme="minorHAnsi"/>
                <w:szCs w:val="20"/>
                <w:lang w:val="en-AU"/>
              </w:rPr>
              <w:t xml:space="preserve"> Includes categories of provisioning, regulating, cultural and supporting services. </w:t>
            </w:r>
          </w:p>
        </w:tc>
      </w:tr>
      <w:tr w:rsidR="00FE69A8" w:rsidRPr="004E7EB5" w14:paraId="1FBC31DF"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607F1492" w14:textId="77777777" w:rsidR="00FE69A8" w:rsidRPr="004E7EB5" w:rsidRDefault="00FE69A8" w:rsidP="003B32BD">
            <w:pPr>
              <w:pStyle w:val="Table"/>
              <w:rPr>
                <w:rFonts w:asciiTheme="minorHAnsi" w:hAnsiTheme="minorHAnsi" w:cstheme="minorHAnsi"/>
                <w:szCs w:val="20"/>
                <w:lang w:val="en-AU" w:eastAsia="en-AU"/>
              </w:rPr>
            </w:pPr>
            <w:r w:rsidRPr="004E7EB5">
              <w:rPr>
                <w:rFonts w:asciiTheme="minorHAnsi" w:hAnsiTheme="minorHAnsi" w:cstheme="minorHAnsi"/>
                <w:szCs w:val="20"/>
                <w:lang w:val="en-AU" w:eastAsia="en-AU"/>
              </w:rPr>
              <w:t>Ecosystem state</w:t>
            </w:r>
          </w:p>
        </w:tc>
        <w:tc>
          <w:tcPr>
            <w:tcW w:w="6948" w:type="dxa"/>
          </w:tcPr>
          <w:p w14:paraId="0644FD75"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 xml:space="preserve">The physical, chemical and biological condition of an ecosystem at a particular point in time </w:t>
            </w:r>
            <w:r w:rsidRPr="004E7EB5">
              <w:rPr>
                <w:rFonts w:asciiTheme="minorHAnsi" w:hAnsiTheme="minorHAnsi" w:cstheme="minorHAnsi"/>
                <w:szCs w:val="20"/>
                <w:lang w:val="en-AU" w:eastAsia="en-AU"/>
              </w:rPr>
              <w:fldChar w:fldCharType="begin"/>
            </w:r>
            <w:r w:rsidRPr="004E7EB5">
              <w:rPr>
                <w:rFonts w:asciiTheme="minorHAnsi" w:hAnsiTheme="minorHAnsi" w:cstheme="minorHAnsi"/>
                <w:szCs w:val="20"/>
                <w:lang w:val="en-AU" w:eastAsia="en-AU"/>
              </w:rPr>
              <w:instrText xml:space="preserve"> ADDIN ZOTERO_ITEM CSL_CITATION {"citationID":"vcvtrn1cu","properties":{"formattedCitation":"(European Union 2013)","plainCitation":"(European Union 2013)"},"citationItems":[{"id":3194,"uris":["http://zotero.org/users/3119797/items/WSZ6XIAJ"],"uri":["http://zotero.org/users/3119797/items/WSZ6XIAJ"],"itemData":{"id":3194,"type":"article","title":"Mapping and Assessment of Ecosystems and their Services An analytical framework for ecosystem assessments under Action 5 of the EU Biodiversity Strategy to 2020.","author":[{"family":"European Union","given":""}],"issued":{"date-parts":[["2013"]]}}}],"schema":"https://github.com/citation-style-language/schema/raw/master/csl-citation.json"} </w:instrText>
            </w:r>
            <w:r w:rsidRPr="004E7EB5">
              <w:rPr>
                <w:rFonts w:asciiTheme="minorHAnsi" w:hAnsiTheme="minorHAnsi" w:cstheme="minorHAnsi"/>
                <w:szCs w:val="20"/>
                <w:lang w:val="en-AU" w:eastAsia="en-AU"/>
              </w:rPr>
              <w:fldChar w:fldCharType="separate"/>
            </w:r>
            <w:r w:rsidRPr="004E7EB5">
              <w:rPr>
                <w:rFonts w:asciiTheme="minorHAnsi" w:hAnsiTheme="minorHAnsi" w:cstheme="minorHAnsi"/>
                <w:szCs w:val="20"/>
                <w:lang w:val="en-AU"/>
              </w:rPr>
              <w:t>(European Union 2013)</w:t>
            </w:r>
            <w:r w:rsidRPr="004E7EB5">
              <w:rPr>
                <w:rFonts w:asciiTheme="minorHAnsi" w:hAnsiTheme="minorHAnsi" w:cstheme="minorHAnsi"/>
                <w:szCs w:val="20"/>
                <w:lang w:val="en-AU" w:eastAsia="en-AU"/>
              </w:rPr>
              <w:fldChar w:fldCharType="end"/>
            </w:r>
            <w:r w:rsidRPr="004E7EB5">
              <w:rPr>
                <w:rFonts w:asciiTheme="minorHAnsi" w:hAnsiTheme="minorHAnsi" w:cstheme="minorHAnsi"/>
                <w:szCs w:val="20"/>
                <w:lang w:val="en-AU" w:eastAsia="en-AU"/>
              </w:rPr>
              <w:t>.</w:t>
            </w:r>
          </w:p>
        </w:tc>
      </w:tr>
      <w:tr w:rsidR="00FE69A8" w:rsidRPr="004E7EB5" w14:paraId="67E4EF60"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11D1EC9D" w14:textId="77777777" w:rsidR="00FE69A8" w:rsidRPr="004E7EB5" w:rsidRDefault="00FE69A8" w:rsidP="003B32BD">
            <w:pPr>
              <w:pStyle w:val="Table"/>
              <w:rPr>
                <w:rFonts w:asciiTheme="minorHAnsi" w:hAnsiTheme="minorHAnsi" w:cstheme="minorHAnsi"/>
                <w:szCs w:val="20"/>
                <w:lang w:val="en-AU" w:eastAsia="en-AU"/>
              </w:rPr>
            </w:pPr>
            <w:r w:rsidRPr="004E7EB5">
              <w:rPr>
                <w:rFonts w:asciiTheme="minorHAnsi" w:hAnsiTheme="minorHAnsi" w:cstheme="minorHAnsi"/>
                <w:szCs w:val="20"/>
                <w:lang w:val="en-AU" w:eastAsia="en-AU"/>
              </w:rPr>
              <w:t>Ecosystem status</w:t>
            </w:r>
          </w:p>
        </w:tc>
        <w:tc>
          <w:tcPr>
            <w:tcW w:w="6948" w:type="dxa"/>
          </w:tcPr>
          <w:p w14:paraId="3D6F0A25" w14:textId="77777777"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 xml:space="preserve">A classification of ecosystem state among several well-defined categories. It is usually measured against time and compared to an agreed target (modified from </w:t>
            </w:r>
            <w:r w:rsidRPr="004E7EB5">
              <w:rPr>
                <w:rFonts w:asciiTheme="minorHAnsi" w:hAnsiTheme="minorHAnsi" w:cstheme="minorHAnsi"/>
                <w:szCs w:val="20"/>
                <w:lang w:val="en-AU" w:eastAsia="en-AU"/>
              </w:rPr>
              <w:fldChar w:fldCharType="begin"/>
            </w:r>
            <w:r w:rsidRPr="004E7EB5">
              <w:rPr>
                <w:rFonts w:asciiTheme="minorHAnsi" w:hAnsiTheme="minorHAnsi" w:cstheme="minorHAnsi"/>
                <w:szCs w:val="20"/>
                <w:lang w:val="en-AU" w:eastAsia="en-AU"/>
              </w:rPr>
              <w:instrText xml:space="preserve"> ADDIN ZOTERO_ITEM CSL_CITATION {"citationID":"21k5t93dga","properties":{"formattedCitation":"(European Union 2013)","plainCitation":"(European Union 2013)"},"citationItems":[{"id":3194,"uris":["http://zotero.org/users/3119797/items/WSZ6XIAJ"],"uri":["http://zotero.org/users/3119797/items/WSZ6XIAJ"],"itemData":{"id":3194,"type":"article","title":"Mapping and Assessment of Ecosystems and their Services An analytical framework for ecosystem assessments under Action 5 of the EU Biodiversity Strategy to 2020.","author":[{"family":"European Union","given":""}],"issued":{"date-parts":[["2013"]]}}}],"schema":"https://github.com/citation-style-language/schema/raw/master/csl-citation.json"} </w:instrText>
            </w:r>
            <w:r w:rsidRPr="004E7EB5">
              <w:rPr>
                <w:rFonts w:asciiTheme="minorHAnsi" w:hAnsiTheme="minorHAnsi" w:cstheme="minorHAnsi"/>
                <w:szCs w:val="20"/>
                <w:lang w:val="en-AU" w:eastAsia="en-AU"/>
              </w:rPr>
              <w:fldChar w:fldCharType="separate"/>
            </w:r>
            <w:r w:rsidRPr="004E7EB5">
              <w:rPr>
                <w:rFonts w:asciiTheme="minorHAnsi" w:hAnsiTheme="minorHAnsi" w:cstheme="minorHAnsi"/>
                <w:szCs w:val="20"/>
                <w:lang w:val="en-AU"/>
              </w:rPr>
              <w:t>European Union 2013)</w:t>
            </w:r>
            <w:r w:rsidRPr="004E7EB5">
              <w:rPr>
                <w:rFonts w:asciiTheme="minorHAnsi" w:hAnsiTheme="minorHAnsi" w:cstheme="minorHAnsi"/>
                <w:szCs w:val="20"/>
                <w:lang w:val="en-AU" w:eastAsia="en-AU"/>
              </w:rPr>
              <w:fldChar w:fldCharType="end"/>
            </w:r>
            <w:r w:rsidRPr="004E7EB5">
              <w:rPr>
                <w:rFonts w:asciiTheme="minorHAnsi" w:hAnsiTheme="minorHAnsi" w:cstheme="minorHAnsi"/>
                <w:szCs w:val="20"/>
                <w:lang w:val="en-AU" w:eastAsia="en-AU"/>
              </w:rPr>
              <w:t>.</w:t>
            </w:r>
          </w:p>
        </w:tc>
      </w:tr>
      <w:tr w:rsidR="00FE69A8" w:rsidRPr="004E7EB5" w14:paraId="0F96AF54"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54C03015" w14:textId="77777777" w:rsidR="00FE69A8" w:rsidRPr="004E7EB5" w:rsidRDefault="00FE69A8" w:rsidP="003B32BD">
            <w:pPr>
              <w:pStyle w:val="Table"/>
              <w:rPr>
                <w:rFonts w:asciiTheme="minorHAnsi" w:hAnsiTheme="minorHAnsi" w:cstheme="minorHAnsi"/>
                <w:szCs w:val="20"/>
                <w:lang w:val="en-AU" w:eastAsia="en-AU"/>
              </w:rPr>
            </w:pPr>
            <w:r w:rsidRPr="004E7EB5">
              <w:rPr>
                <w:rFonts w:asciiTheme="minorHAnsi" w:hAnsiTheme="minorHAnsi" w:cstheme="minorHAnsi"/>
                <w:szCs w:val="20"/>
                <w:lang w:val="en-AU" w:eastAsia="en-AU"/>
              </w:rPr>
              <w:t>Environmental</w:t>
            </w:r>
          </w:p>
        </w:tc>
        <w:tc>
          <w:tcPr>
            <w:tcW w:w="6948" w:type="dxa"/>
          </w:tcPr>
          <w:p w14:paraId="6C017948"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Relating to the natural world and the impact of human activity on its condition.</w:t>
            </w:r>
          </w:p>
        </w:tc>
      </w:tr>
      <w:tr w:rsidR="00FE69A8" w:rsidRPr="004E7EB5" w14:paraId="1EEE36E6"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22D0D9D9"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Groundwater-dependent ecosystem (GDE)</w:t>
            </w:r>
          </w:p>
        </w:tc>
        <w:tc>
          <w:tcPr>
            <w:tcW w:w="6948" w:type="dxa"/>
          </w:tcPr>
          <w:p w14:paraId="41421361" w14:textId="77777777"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Natural ecosystems that require access to groundwater to meet all or some of their water requirements on a permanent or intermittent basis so as to maintain their communities of plants and animals, ecological processes and ecosystem services.</w:t>
            </w:r>
          </w:p>
        </w:tc>
      </w:tr>
      <w:tr w:rsidR="00FE69A8" w:rsidRPr="004E7EB5" w14:paraId="4CE01A15"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33BCD40C"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Habitat</w:t>
            </w:r>
          </w:p>
        </w:tc>
        <w:tc>
          <w:tcPr>
            <w:tcW w:w="6948" w:type="dxa"/>
          </w:tcPr>
          <w:p w14:paraId="6E1F9691"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The environment where an organism or ecological community exist and grows for all or part of its life.</w:t>
            </w:r>
          </w:p>
        </w:tc>
      </w:tr>
      <w:tr w:rsidR="00FE69A8" w:rsidRPr="004E7EB5" w14:paraId="20993004"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479B707A" w14:textId="6A9BF205" w:rsidR="00FE69A8" w:rsidRPr="004E7EB5" w:rsidRDefault="00FE69A8" w:rsidP="003B32BD">
            <w:pPr>
              <w:pStyle w:val="Table"/>
              <w:rPr>
                <w:rFonts w:asciiTheme="minorHAnsi" w:hAnsiTheme="minorHAnsi" w:cstheme="minorHAnsi"/>
                <w:szCs w:val="20"/>
                <w:lang w:val="en-AU" w:eastAsia="en-AU"/>
              </w:rPr>
            </w:pPr>
            <w:r w:rsidRPr="004E7EB5">
              <w:rPr>
                <w:rFonts w:asciiTheme="minorHAnsi" w:hAnsiTheme="minorHAnsi" w:cstheme="minorHAnsi"/>
                <w:szCs w:val="20"/>
                <w:lang w:val="en-AU" w:eastAsia="en-AU"/>
              </w:rPr>
              <w:t xml:space="preserve">Harmonisation </w:t>
            </w:r>
          </w:p>
        </w:tc>
        <w:tc>
          <w:tcPr>
            <w:tcW w:w="6948" w:type="dxa"/>
          </w:tcPr>
          <w:p w14:paraId="3136DBC0" w14:textId="22ACA0A5"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rPr>
              <w:t xml:space="preserve">The process of harmonising the scoring procedure of ecological indicators or assessment units to a common scale (modified from </w:t>
            </w:r>
            <w:r w:rsidRPr="004E7EB5">
              <w:rPr>
                <w:rFonts w:asciiTheme="minorHAnsi" w:hAnsiTheme="minorHAnsi" w:cstheme="minorHAnsi"/>
                <w:szCs w:val="20"/>
                <w:lang w:val="en-AU"/>
              </w:rPr>
              <w:fldChar w:fldCharType="begin"/>
            </w:r>
            <w:r w:rsidRPr="004E7EB5">
              <w:rPr>
                <w:rFonts w:asciiTheme="minorHAnsi" w:hAnsiTheme="minorHAnsi" w:cstheme="minorHAnsi"/>
                <w:szCs w:val="20"/>
                <w:lang w:val="en-AU"/>
              </w:rPr>
              <w:instrText xml:space="preserve"> ADDIN ZOTERO_ITEM CSL_CITATION {"citationID":"4vh0bg7tk","properties":{"formattedCitation":"(Langhans et al. 2013)","plainCitation":"(Langhans et al. 2013)"},"citationItems":[{"id":3177,"uris":["http://zotero.org/users/3119797/items/NPRVX7EG"],"uri":["http://zotero.org/users/3119797/items/NPRVX7EG"],"itemData":{"id":3177,"type":"article-journal","title":"How to make river assessments comparable: A demonstration for hydromorphology","container-title":"Ecological Indicators","page":"264-275","volume":"32","source":"CrossRef","DOI":"10.1016/j.ecolind.2013.03.027","ISSN":"1470160X","shortTitle":"How to make river assessments comparable","language":"en","author":[{"family":"Langhans","given":"Simone D."},{"family":"Lienert","given":"Judit"},{"family":"Schuwirth","given":"Nele"},{"family":"Reichert","given":"Peter"}],"issued":{"date-parts":[["2013",9]]}}}],"schema":"https://github.com/citation-style-language/schema/raw/master/csl-citation.json"} </w:instrText>
            </w:r>
            <w:r w:rsidRPr="004E7EB5">
              <w:rPr>
                <w:rFonts w:asciiTheme="minorHAnsi" w:hAnsiTheme="minorHAnsi" w:cstheme="minorHAnsi"/>
                <w:szCs w:val="20"/>
                <w:lang w:val="en-AU"/>
              </w:rPr>
              <w:fldChar w:fldCharType="separate"/>
            </w:r>
            <w:r w:rsidRPr="004E7EB5">
              <w:rPr>
                <w:rFonts w:asciiTheme="minorHAnsi" w:hAnsiTheme="minorHAnsi" w:cstheme="minorHAnsi"/>
                <w:szCs w:val="20"/>
                <w:lang w:val="en-AU"/>
              </w:rPr>
              <w:t>Langhans et al. 2013)</w:t>
            </w:r>
            <w:r w:rsidRPr="004E7EB5">
              <w:rPr>
                <w:rFonts w:asciiTheme="minorHAnsi" w:hAnsiTheme="minorHAnsi" w:cstheme="minorHAnsi"/>
                <w:szCs w:val="20"/>
                <w:lang w:val="en-AU"/>
              </w:rPr>
              <w:fldChar w:fldCharType="end"/>
            </w:r>
          </w:p>
        </w:tc>
      </w:tr>
      <w:tr w:rsidR="00FE69A8" w:rsidRPr="004E7EB5" w14:paraId="24EC5CA9"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4C557690" w14:textId="77777777" w:rsidR="00FE69A8" w:rsidRPr="004E7EB5" w:rsidRDefault="00FE69A8" w:rsidP="003B32BD">
            <w:pPr>
              <w:pStyle w:val="Table"/>
              <w:rPr>
                <w:rFonts w:asciiTheme="minorHAnsi" w:hAnsiTheme="minorHAnsi" w:cstheme="minorHAnsi"/>
                <w:szCs w:val="20"/>
                <w:lang w:val="en-AU" w:eastAsia="en-AU"/>
              </w:rPr>
            </w:pPr>
            <w:r w:rsidRPr="004E7EB5">
              <w:rPr>
                <w:rFonts w:asciiTheme="minorHAnsi" w:hAnsiTheme="minorHAnsi" w:cstheme="minorHAnsi"/>
                <w:szCs w:val="20"/>
                <w:lang w:val="en-AU" w:eastAsia="en-AU"/>
              </w:rPr>
              <w:t>High Ecological Value Aquatic Ecosystems (HEVAE)</w:t>
            </w:r>
          </w:p>
        </w:tc>
        <w:tc>
          <w:tcPr>
            <w:tcW w:w="6948" w:type="dxa"/>
          </w:tcPr>
          <w:p w14:paraId="05B2517A" w14:textId="78890615"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 xml:space="preserve">For the purposes of the </w:t>
            </w:r>
            <w:r>
              <w:rPr>
                <w:rFonts w:asciiTheme="minorHAnsi" w:hAnsiTheme="minorHAnsi" w:cstheme="minorHAnsi"/>
                <w:szCs w:val="20"/>
                <w:lang w:val="en-AU" w:eastAsia="en-AU"/>
              </w:rPr>
              <w:t>Toolkit</w:t>
            </w:r>
            <w:r w:rsidRPr="004E7EB5">
              <w:rPr>
                <w:rFonts w:asciiTheme="minorHAnsi" w:hAnsiTheme="minorHAnsi" w:cstheme="minorHAnsi"/>
                <w:szCs w:val="20"/>
                <w:lang w:val="en-AU" w:eastAsia="en-AU"/>
              </w:rPr>
              <w:t xml:space="preserve">, HEVAE are assets, comprising one or more aquatic ecosystems, that are considered to be of high ecological value as determined by a consistent and objective process such as that provided by Module 3: </w:t>
            </w:r>
            <w:r w:rsidRPr="004E7EB5">
              <w:rPr>
                <w:rFonts w:asciiTheme="minorHAnsi" w:hAnsiTheme="minorHAnsi" w:cstheme="minorHAnsi"/>
                <w:i/>
                <w:szCs w:val="20"/>
                <w:lang w:val="en-AU" w:eastAsia="en-AU"/>
              </w:rPr>
              <w:t>Guidelines for Identifying High Ecological Value Aquatic Ecosystems (HEVAE).</w:t>
            </w:r>
          </w:p>
        </w:tc>
      </w:tr>
      <w:tr w:rsidR="00FE69A8" w:rsidRPr="004E7EB5" w14:paraId="1A83E6BD"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1AAB80BC" w14:textId="77777777" w:rsidR="00FE69A8" w:rsidRPr="004E7EB5" w:rsidRDefault="00FE69A8" w:rsidP="003B32BD">
            <w:pPr>
              <w:pStyle w:val="Table"/>
              <w:rPr>
                <w:rFonts w:asciiTheme="minorHAnsi" w:hAnsiTheme="minorHAnsi" w:cstheme="minorHAnsi"/>
                <w:szCs w:val="20"/>
                <w:lang w:val="en-AU" w:eastAsia="en-AU"/>
              </w:rPr>
            </w:pPr>
            <w:r w:rsidRPr="004E7EB5">
              <w:rPr>
                <w:rFonts w:asciiTheme="minorHAnsi" w:hAnsiTheme="minorHAnsi" w:cstheme="minorHAnsi"/>
                <w:szCs w:val="20"/>
                <w:lang w:val="en-AU" w:eastAsia="en-AU"/>
              </w:rPr>
              <w:t>Human well-being</w:t>
            </w:r>
          </w:p>
        </w:tc>
        <w:tc>
          <w:tcPr>
            <w:tcW w:w="6948" w:type="dxa"/>
          </w:tcPr>
          <w:p w14:paraId="40766EC2" w14:textId="77777777"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Broadly, is the condition of humans and society, defined in terms of the basic material and other natural resource needs for a good life, freedom and choice, health, wealth, social relations, and personal security (Munns et al. 2015).</w:t>
            </w:r>
          </w:p>
        </w:tc>
      </w:tr>
      <w:tr w:rsidR="00FE69A8" w:rsidRPr="004E7EB5" w14:paraId="2C76F726" w14:textId="77777777" w:rsidTr="00FE69A8">
        <w:tc>
          <w:tcPr>
            <w:cnfStyle w:val="001000000000" w:firstRow="0" w:lastRow="0" w:firstColumn="1" w:lastColumn="0" w:oddVBand="0" w:evenVBand="0" w:oddHBand="0" w:evenHBand="0" w:firstRowFirstColumn="0" w:firstRowLastColumn="0" w:lastRowFirstColumn="0" w:lastRowLastColumn="0"/>
            <w:tcW w:w="1841" w:type="dxa"/>
          </w:tcPr>
          <w:p w14:paraId="24755EAF" w14:textId="77777777" w:rsidR="00FE69A8" w:rsidRPr="004E7EB5" w:rsidRDefault="00FE69A8" w:rsidP="00FE69A8">
            <w:pPr>
              <w:pStyle w:val="Table"/>
              <w:rPr>
                <w:rFonts w:asciiTheme="minorHAnsi" w:hAnsiTheme="minorHAnsi" w:cstheme="minorHAnsi"/>
                <w:b w:val="0"/>
                <w:szCs w:val="20"/>
                <w:lang w:val="en-AU"/>
              </w:rPr>
            </w:pPr>
            <w:r>
              <w:rPr>
                <w:rFonts w:asciiTheme="minorHAnsi" w:hAnsiTheme="minorHAnsi" w:cstheme="minorHAnsi"/>
                <w:szCs w:val="20"/>
                <w:lang w:val="en-AU"/>
              </w:rPr>
              <w:t>Hydrological c</w:t>
            </w:r>
            <w:r w:rsidRPr="004E7EB5">
              <w:rPr>
                <w:rFonts w:asciiTheme="minorHAnsi" w:hAnsiTheme="minorHAnsi" w:cstheme="minorHAnsi"/>
                <w:szCs w:val="20"/>
                <w:lang w:val="en-AU"/>
              </w:rPr>
              <w:t>onnectivity</w:t>
            </w:r>
          </w:p>
        </w:tc>
        <w:tc>
          <w:tcPr>
            <w:tcW w:w="6948" w:type="dxa"/>
          </w:tcPr>
          <w:p w14:paraId="45BE3152" w14:textId="77777777" w:rsidR="00FE69A8" w:rsidRPr="004E7EB5" w:rsidRDefault="00FE69A8" w:rsidP="00FE69A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rPr>
            </w:pPr>
            <w:r w:rsidRPr="004E7EB5">
              <w:rPr>
                <w:rFonts w:asciiTheme="minorHAnsi" w:hAnsiTheme="minorHAnsi" w:cstheme="minorHAnsi"/>
                <w:szCs w:val="20"/>
                <w:lang w:val="en-AU"/>
              </w:rPr>
              <w:t xml:space="preserve">Hydrological connectivity is </w:t>
            </w:r>
            <w:r w:rsidRPr="004E7EB5">
              <w:rPr>
                <w:rFonts w:asciiTheme="minorHAnsi" w:hAnsiTheme="minorHAnsi" w:cstheme="minorHAnsi"/>
                <w:i/>
                <w:szCs w:val="20"/>
                <w:lang w:val="en-AU"/>
              </w:rPr>
              <w:t>the water-mediated transfer of matter, energy, and/or organisms within or between elements of the hydrologic cycle</w:t>
            </w:r>
            <w:r w:rsidRPr="004E7EB5">
              <w:rPr>
                <w:rFonts w:asciiTheme="minorHAnsi" w:hAnsiTheme="minorHAnsi" w:cstheme="minorHAnsi"/>
                <w:szCs w:val="20"/>
                <w:lang w:val="en-AU"/>
              </w:rPr>
              <w:t xml:space="preserve"> </w:t>
            </w:r>
            <w:r w:rsidRPr="004E7EB5">
              <w:rPr>
                <w:rFonts w:asciiTheme="minorHAnsi" w:hAnsiTheme="minorHAnsi" w:cstheme="minorHAnsi"/>
                <w:szCs w:val="20"/>
                <w:lang w:val="en-AU"/>
              </w:rPr>
              <w:fldChar w:fldCharType="begin"/>
            </w:r>
            <w:r w:rsidRPr="004E7EB5">
              <w:rPr>
                <w:rFonts w:asciiTheme="minorHAnsi" w:hAnsiTheme="minorHAnsi" w:cstheme="minorHAnsi"/>
                <w:szCs w:val="20"/>
                <w:lang w:val="en-AU"/>
              </w:rPr>
              <w:instrText xml:space="preserve"> ADDIN ZOTERO_ITEM CSL_CITATION {"citationID":"12itkur934","properties":{"formattedCitation":"(Pringle 2003)","plainCitation":"(Pringle 2003)"},"citationItems":[{"id":254,"uris":["http://zotero.org/users/3119797/items/85SUXHV6"],"uri":["http://zotero.org/users/3119797/items/85SUXHV6"],"itemData":{"id":254,"type":"article-journal","title":"What is hydrologic connectivity and why is it ecologically important?","container-title":"Hydrological Processes","page":"2685-2689","volume":"17","issue":"13","source":"CrossRef","DOI":"10.1002/hyp.5145","ISSN":"0885-6087, 1099-1085","language":"en","author":[{"family":"Pringle","given":"Catherine"}],"issued":{"date-parts":[["2003",9]]}}}],"schema":"https://github.com/citation-style-language/schema/raw/master/csl-citation.json"} </w:instrText>
            </w:r>
            <w:r w:rsidRPr="004E7EB5">
              <w:rPr>
                <w:rFonts w:asciiTheme="minorHAnsi" w:hAnsiTheme="minorHAnsi" w:cstheme="minorHAnsi"/>
                <w:szCs w:val="20"/>
                <w:lang w:val="en-AU"/>
              </w:rPr>
              <w:fldChar w:fldCharType="separate"/>
            </w:r>
            <w:r w:rsidRPr="004E7EB5">
              <w:rPr>
                <w:rFonts w:asciiTheme="minorHAnsi" w:hAnsiTheme="minorHAnsi" w:cstheme="minorHAnsi"/>
                <w:szCs w:val="20"/>
                <w:lang w:val="en-AU"/>
              </w:rPr>
              <w:t>(Pringle 2003)</w:t>
            </w:r>
            <w:r w:rsidRPr="004E7EB5">
              <w:rPr>
                <w:rFonts w:asciiTheme="minorHAnsi" w:hAnsiTheme="minorHAnsi" w:cstheme="minorHAnsi"/>
                <w:szCs w:val="20"/>
                <w:lang w:val="en-AU"/>
              </w:rPr>
              <w:fldChar w:fldCharType="end"/>
            </w:r>
            <w:r w:rsidRPr="004E7EB5">
              <w:rPr>
                <w:rFonts w:asciiTheme="minorHAnsi" w:hAnsiTheme="minorHAnsi" w:cstheme="minorHAnsi"/>
                <w:szCs w:val="20"/>
                <w:lang w:val="en-AU"/>
              </w:rPr>
              <w:t xml:space="preserve">.  Hydrological connectivity consists of links between water-dependent ecosystems that allow migration, colonisation and reproduction of species. These connections also enable nutrients and carbon to be transported throughout the system to support the healthy functioning and biodiversity of rivers, floodplains and </w:t>
            </w:r>
            <w:r w:rsidRPr="004E7EB5">
              <w:rPr>
                <w:rFonts w:asciiTheme="minorHAnsi" w:hAnsiTheme="minorHAnsi" w:cstheme="minorHAnsi"/>
                <w:szCs w:val="20"/>
                <w:lang w:val="en-AU"/>
              </w:rPr>
              <w:lastRenderedPageBreak/>
              <w:t>wetlands. Hydrologic and ecological links are between upstream and downstream sections of river (longitudinal connectivity), between rivers and their floodplains (lateral connectivity) and between surface and groundwater (vertical connectivity).</w:t>
            </w:r>
          </w:p>
        </w:tc>
      </w:tr>
      <w:tr w:rsidR="00FE69A8" w:rsidRPr="004E7EB5" w14:paraId="7AE96B24"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5137A777"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lastRenderedPageBreak/>
              <w:t>Impacts</w:t>
            </w:r>
          </w:p>
        </w:tc>
        <w:tc>
          <w:tcPr>
            <w:tcW w:w="6948" w:type="dxa"/>
          </w:tcPr>
          <w:p w14:paraId="63103651" w14:textId="6C270E51"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Ecological impact is the effect of human activities and natural events on living organisms and their non-living environment (OECD Glossary of statistical terms https://stats.oecd.org/glossary/detail.asp?ID=718).</w:t>
            </w:r>
          </w:p>
          <w:p w14:paraId="5F207305" w14:textId="69FBE479"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Environmental impact refers to the direct effect of socio-economic activities and natural events on the components of the environment (OECD Glossary of statistical terms  https://stats.oecd.org/glossary/detail.asp?ID=827).</w:t>
            </w:r>
          </w:p>
        </w:tc>
      </w:tr>
      <w:tr w:rsidR="00FE69A8" w:rsidRPr="004E7EB5" w14:paraId="6878FB02"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67C04C98"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Indicator</w:t>
            </w:r>
          </w:p>
        </w:tc>
        <w:tc>
          <w:tcPr>
            <w:tcW w:w="6948" w:type="dxa"/>
          </w:tcPr>
          <w:p w14:paraId="1355484C"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Refers to representative, measurable variable/s which conveys useful information concerning ecosystem condition. These can be physico-chemical and/or biological.</w:t>
            </w:r>
          </w:p>
          <w:p w14:paraId="4DE06654"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p>
          <w:p w14:paraId="27959FD0" w14:textId="7F183C29"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Biological indicator refers to organisms, species or community whose characteristics show the presence of specific environmental conditions. Other terms used are indicator organism, indicator plant and indicator species (OECD Glossary of statistical terms https://stats.oecd.org/glossary/detail.asp?ID=213).</w:t>
            </w:r>
          </w:p>
          <w:p w14:paraId="34C27F8E"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p>
          <w:p w14:paraId="5747619F" w14:textId="0D73F1D5"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An environmental indicator is a parameter, or a value derived from parameters, that points to, provides information about and/or describes the state of the environment, and has a significance extending beyond that directly associated with any given parametric value. The term may encompass indicators of environmental pressures, conditions and responses (OECD Glossary of statistical terms https://stats.oecd.org/glossary/detail.asp?ID=830).</w:t>
            </w:r>
          </w:p>
        </w:tc>
      </w:tr>
      <w:tr w:rsidR="00FE69A8" w:rsidRPr="004E7EB5" w14:paraId="3F08BD04" w14:textId="77777777" w:rsidTr="00426C7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841" w:type="dxa"/>
          </w:tcPr>
          <w:p w14:paraId="04426B4C" w14:textId="67CD9840"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Integration</w:t>
            </w:r>
          </w:p>
        </w:tc>
        <w:tc>
          <w:tcPr>
            <w:tcW w:w="6948" w:type="dxa"/>
          </w:tcPr>
          <w:p w14:paraId="031B07D9" w14:textId="04FA48BC" w:rsidR="00FE69A8" w:rsidRPr="004E7EB5" w:rsidRDefault="00FE69A8" w:rsidP="00CA5260">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rPr>
              <w:t xml:space="preserve">The process of combining scores from several indices, sub-indices or </w:t>
            </w:r>
            <w:r w:rsidR="00CA5260">
              <w:rPr>
                <w:rFonts w:asciiTheme="minorHAnsi" w:hAnsiTheme="minorHAnsi" w:cstheme="minorHAnsi"/>
                <w:szCs w:val="20"/>
                <w:lang w:val="en-AU"/>
              </w:rPr>
              <w:t>indicator</w:t>
            </w:r>
            <w:r w:rsidRPr="004E7EB5">
              <w:rPr>
                <w:rFonts w:asciiTheme="minorHAnsi" w:hAnsiTheme="minorHAnsi" w:cstheme="minorHAnsi"/>
                <w:szCs w:val="20"/>
                <w:lang w:val="en-AU"/>
              </w:rPr>
              <w:t>s to provide a single score at the same spatial scale (</w:t>
            </w:r>
            <w:r w:rsidR="00CA5260">
              <w:rPr>
                <w:rFonts w:asciiTheme="minorHAnsi" w:hAnsiTheme="minorHAnsi" w:cstheme="minorHAnsi"/>
                <w:szCs w:val="20"/>
                <w:lang w:val="en-AU"/>
              </w:rPr>
              <w:t xml:space="preserve">modified from </w:t>
            </w:r>
            <w:r w:rsidRPr="004E7EB5">
              <w:rPr>
                <w:rFonts w:asciiTheme="minorHAnsi" w:hAnsiTheme="minorHAnsi" w:cstheme="minorHAnsi"/>
                <w:szCs w:val="20"/>
                <w:lang w:val="en-AU"/>
              </w:rPr>
              <w:t>Alluvium 2011).</w:t>
            </w:r>
          </w:p>
        </w:tc>
      </w:tr>
      <w:tr w:rsidR="00FE69A8" w:rsidRPr="004E7EB5" w14:paraId="0673EB69"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4D480A3C" w14:textId="77777777" w:rsidR="00FE69A8" w:rsidRPr="004E7EB5" w:rsidRDefault="00FE69A8" w:rsidP="003B32BD">
            <w:pPr>
              <w:pStyle w:val="Table"/>
              <w:rPr>
                <w:rFonts w:asciiTheme="minorHAnsi" w:hAnsiTheme="minorHAnsi" w:cstheme="minorHAnsi"/>
                <w:szCs w:val="20"/>
                <w:lang w:val="en-AU" w:eastAsia="en-AU"/>
              </w:rPr>
            </w:pPr>
            <w:r w:rsidRPr="004E7EB5">
              <w:rPr>
                <w:rFonts w:asciiTheme="minorHAnsi" w:hAnsiTheme="minorHAnsi" w:cstheme="minorHAnsi"/>
                <w:szCs w:val="20"/>
                <w:lang w:val="en-AU" w:eastAsia="en-AU"/>
              </w:rPr>
              <w:t>Integrated Ecosystem Assessment(IEA)</w:t>
            </w:r>
          </w:p>
        </w:tc>
        <w:tc>
          <w:tcPr>
            <w:tcW w:w="6948" w:type="dxa"/>
          </w:tcPr>
          <w:p w14:paraId="5FBD9116"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 xml:space="preserve"> A formal synthesis and quantitative analysis of information on relevant natural and socioeconomic factors, in relation to specified ecosystem management objectives </w:t>
            </w:r>
            <w:r w:rsidRPr="004E7EB5">
              <w:rPr>
                <w:rFonts w:asciiTheme="minorHAnsi" w:hAnsiTheme="minorHAnsi" w:cstheme="minorHAnsi"/>
                <w:szCs w:val="20"/>
                <w:lang w:val="en-AU" w:eastAsia="en-AU"/>
              </w:rPr>
              <w:fldChar w:fldCharType="begin"/>
            </w:r>
            <w:r w:rsidRPr="004E7EB5">
              <w:rPr>
                <w:rFonts w:asciiTheme="minorHAnsi" w:hAnsiTheme="minorHAnsi" w:cstheme="minorHAnsi"/>
                <w:szCs w:val="20"/>
                <w:lang w:val="en-AU" w:eastAsia="en-AU"/>
              </w:rPr>
              <w:instrText xml:space="preserve"> ADDIN ZOTERO_ITEM CSL_CITATION {"citationID":"22nuoamkbs","properties":{"formattedCitation":"(Levin et al. 2014)","plainCitation":"(Levin et al. 2014)"},"citationItems":[{"id":3229,"uris":["http://zotero.org/users/3119797/items/2UD55SAP"],"uri":["http://zotero.org/users/3119797/items/2UD55SAP"],"itemData":{"id":3229,"type":"article-journal","title":"Guidance for implementation of integrated ecosystem assessments: a US perspective","container-title":"ICES Journal of Marine Science","page":"1198-1204","volume":"71","issue":"5","source":"CrossRef","DOI":"10.1093/icesjms/fst112","ISSN":"1054-3139, 1095-9289","shortTitle":"Guidance for implementation of integrated ecosystem assessments","language":"en","author":[{"family":"Levin","given":"P. S."},{"family":"Kelble","given":"C. R."},{"family":"Shuford","given":"R. L."},{"family":"Ainsworth","given":"C."},{"family":"deReynier","given":"Y."},{"family":"Dunsmore","given":"R."},{"family":"Fogarty","given":"M. J."},{"family":"Holsman","given":"K."},{"family":"Howell","given":"E. A."},{"family":"Monaco","given":"M. E."},{"family":"Oakes","given":"S. A."},{"family":"Werner","given":"F."}],"issued":{"date-parts":[["2014",8,1]]}}}],"schema":"https://github.com/citation-style-language/schema/raw/master/csl-citation.json"} </w:instrText>
            </w:r>
            <w:r w:rsidRPr="004E7EB5">
              <w:rPr>
                <w:rFonts w:asciiTheme="minorHAnsi" w:hAnsiTheme="minorHAnsi" w:cstheme="minorHAnsi"/>
                <w:szCs w:val="20"/>
                <w:lang w:val="en-AU" w:eastAsia="en-AU"/>
              </w:rPr>
              <w:fldChar w:fldCharType="separate"/>
            </w:r>
            <w:r w:rsidRPr="004E7EB5">
              <w:rPr>
                <w:rFonts w:asciiTheme="minorHAnsi" w:hAnsiTheme="minorHAnsi" w:cstheme="minorHAnsi"/>
                <w:szCs w:val="20"/>
                <w:lang w:val="en-AU"/>
              </w:rPr>
              <w:t>(Levin et al. 2014)</w:t>
            </w:r>
            <w:r w:rsidRPr="004E7EB5">
              <w:rPr>
                <w:rFonts w:asciiTheme="minorHAnsi" w:hAnsiTheme="minorHAnsi" w:cstheme="minorHAnsi"/>
                <w:szCs w:val="20"/>
                <w:lang w:val="en-AU" w:eastAsia="en-AU"/>
              </w:rPr>
              <w:fldChar w:fldCharType="end"/>
            </w:r>
            <w:r w:rsidRPr="004E7EB5">
              <w:rPr>
                <w:rFonts w:asciiTheme="minorHAnsi" w:hAnsiTheme="minorHAnsi" w:cstheme="minorHAnsi"/>
                <w:szCs w:val="20"/>
                <w:lang w:val="en-AU" w:eastAsia="en-AU"/>
              </w:rPr>
              <w:t>.</w:t>
            </w:r>
          </w:p>
        </w:tc>
      </w:tr>
      <w:tr w:rsidR="00FE69A8" w:rsidRPr="004E7EB5" w14:paraId="6E7C8444"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281ADCA2"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Intervention</w:t>
            </w:r>
          </w:p>
        </w:tc>
        <w:tc>
          <w:tcPr>
            <w:tcW w:w="6948" w:type="dxa"/>
          </w:tcPr>
          <w:p w14:paraId="298F0340" w14:textId="77777777"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A management activity that seeks to change an ecosystem’s state or condition and achieve a management objective.</w:t>
            </w:r>
          </w:p>
        </w:tc>
      </w:tr>
      <w:tr w:rsidR="00FE69A8" w:rsidRPr="004E7EB5" w14:paraId="5FB1C194"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39EB12A0"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Intervention monitoring</w:t>
            </w:r>
          </w:p>
        </w:tc>
        <w:tc>
          <w:tcPr>
            <w:tcW w:w="6948" w:type="dxa"/>
          </w:tcPr>
          <w:p w14:paraId="0A364996" w14:textId="20F1AA62" w:rsidR="00FE69A8" w:rsidRPr="004E7EB5" w:rsidRDefault="00FE69A8" w:rsidP="004637B3">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rPr>
              <w:t>Intervention monitoring is where the primary aim is to monitor one or more indicators of interest in response to one or more specific interventions, usually for a single asset/ecosystem. It aims to report on the influence of an intervention, often operates under an experimental framework that focusses on the response to the intervention</w:t>
            </w:r>
            <w:r w:rsidR="004637B3">
              <w:rPr>
                <w:rFonts w:asciiTheme="minorHAnsi" w:hAnsiTheme="minorHAnsi" w:cstheme="minorHAnsi"/>
                <w:szCs w:val="20"/>
                <w:lang w:val="en-AU"/>
              </w:rPr>
              <w:t xml:space="preserve">, which may or may not be accompanied by </w:t>
            </w:r>
            <w:r w:rsidRPr="004E7EB5">
              <w:rPr>
                <w:rFonts w:asciiTheme="minorHAnsi" w:hAnsiTheme="minorHAnsi" w:cstheme="minorHAnsi"/>
                <w:szCs w:val="20"/>
                <w:lang w:val="en-AU"/>
              </w:rPr>
              <w:t>reporting on condition.</w:t>
            </w:r>
          </w:p>
        </w:tc>
      </w:tr>
      <w:tr w:rsidR="00FE69A8" w:rsidRPr="004E7EB5" w14:paraId="3DA3B02F"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1F07ECE4" w14:textId="0C4F4A47" w:rsidR="00FE69A8" w:rsidRPr="004E7EB5" w:rsidRDefault="00FE69A8" w:rsidP="003B32BD">
            <w:pPr>
              <w:pStyle w:val="Table"/>
              <w:rPr>
                <w:rFonts w:asciiTheme="minorHAnsi" w:hAnsiTheme="minorHAnsi" w:cstheme="minorHAnsi"/>
                <w:szCs w:val="20"/>
                <w:highlight w:val="yellow"/>
                <w:lang w:val="en-AU" w:eastAsia="en-AU"/>
              </w:rPr>
            </w:pPr>
            <w:r w:rsidRPr="004E7EB5">
              <w:rPr>
                <w:rFonts w:asciiTheme="minorHAnsi" w:hAnsiTheme="minorHAnsi" w:cstheme="minorHAnsi"/>
                <w:szCs w:val="20"/>
                <w:lang w:val="en-AU" w:eastAsia="en-AU"/>
              </w:rPr>
              <w:t>Intrinsic value</w:t>
            </w:r>
          </w:p>
        </w:tc>
        <w:tc>
          <w:tcPr>
            <w:tcW w:w="6948" w:type="dxa"/>
          </w:tcPr>
          <w:p w14:paraId="0E17AF10" w14:textId="43A0D66F"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The value of something in and for itself, independent of any use or function it may have in relation to someone or something else; a non-utilitarian value (Freeman 2003 cited in Munns et al. 2015).</w:t>
            </w:r>
          </w:p>
        </w:tc>
      </w:tr>
      <w:tr w:rsidR="00FE69A8" w:rsidRPr="004E7EB5" w14:paraId="413D6095"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415C2C8C" w14:textId="5DCE5186"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Objective(s)</w:t>
            </w:r>
          </w:p>
        </w:tc>
        <w:tc>
          <w:tcPr>
            <w:tcW w:w="6948" w:type="dxa"/>
          </w:tcPr>
          <w:p w14:paraId="36C1BB5B" w14:textId="5C152AEA"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Objectives are the purposes for which information is required, stated within the context of the program, research problem or hypotheses that gave rise to the need for information.</w:t>
            </w:r>
          </w:p>
        </w:tc>
      </w:tr>
      <w:tr w:rsidR="00FE69A8" w:rsidRPr="004E7EB5" w14:paraId="3870725C" w14:textId="77777777" w:rsidTr="00CD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0CE3A47F" w14:textId="77777777" w:rsidR="00FE69A8" w:rsidRPr="004E7EB5" w:rsidRDefault="00FE69A8" w:rsidP="00CD70C3">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Pressures</w:t>
            </w:r>
          </w:p>
        </w:tc>
        <w:tc>
          <w:tcPr>
            <w:tcW w:w="6948" w:type="dxa"/>
          </w:tcPr>
          <w:p w14:paraId="142A5E4D" w14:textId="77777777" w:rsidR="00FE69A8" w:rsidRPr="004E7EB5" w:rsidRDefault="00FE69A8" w:rsidP="00CD70C3">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rPr>
              <w:t>Human activities and natural processes (i.e. drivers) that have the potential to impact the natural environment.</w:t>
            </w:r>
          </w:p>
        </w:tc>
      </w:tr>
      <w:tr w:rsidR="00FE69A8" w:rsidRPr="004E7EB5" w14:paraId="40A8B649"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51BA118E" w14:textId="1FBF400A" w:rsidR="00FE69A8" w:rsidRPr="004E7EB5" w:rsidRDefault="0058600C" w:rsidP="003B32BD">
            <w:pPr>
              <w:pStyle w:val="Table"/>
              <w:rPr>
                <w:rFonts w:asciiTheme="minorHAnsi" w:hAnsiTheme="minorHAnsi" w:cstheme="minorHAnsi"/>
                <w:szCs w:val="20"/>
                <w:lang w:val="en-AU" w:eastAsia="en-AU"/>
              </w:rPr>
            </w:pPr>
            <w:r>
              <w:rPr>
                <w:rFonts w:asciiTheme="minorHAnsi" w:hAnsiTheme="minorHAnsi" w:cstheme="minorHAnsi"/>
                <w:szCs w:val="20"/>
                <w:lang w:val="en-AU" w:eastAsia="en-AU"/>
              </w:rPr>
              <w:lastRenderedPageBreak/>
              <w:t>Pressure indicators</w:t>
            </w:r>
          </w:p>
        </w:tc>
        <w:tc>
          <w:tcPr>
            <w:tcW w:w="6948" w:type="dxa"/>
          </w:tcPr>
          <w:p w14:paraId="6A405278" w14:textId="332E7D1A" w:rsidR="00FE69A8" w:rsidRPr="004E7EB5" w:rsidRDefault="0058600C"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rPr>
            </w:pPr>
            <w:r>
              <w:rPr>
                <w:rFonts w:asciiTheme="minorHAnsi" w:hAnsiTheme="minorHAnsi" w:cstheme="minorHAnsi"/>
                <w:szCs w:val="20"/>
                <w:lang w:val="en-AU"/>
              </w:rPr>
              <w:t xml:space="preserve">Indicators which </w:t>
            </w:r>
            <w:r w:rsidRPr="0058600C">
              <w:rPr>
                <w:rFonts w:asciiTheme="minorHAnsi" w:hAnsiTheme="minorHAnsi" w:cstheme="minorHAnsi"/>
                <w:szCs w:val="20"/>
                <w:lang w:val="en-AU"/>
              </w:rPr>
              <w:t>assess the magnitude of pressures within</w:t>
            </w:r>
            <w:r>
              <w:rPr>
                <w:rFonts w:asciiTheme="minorHAnsi" w:hAnsiTheme="minorHAnsi" w:cstheme="minorHAnsi"/>
                <w:szCs w:val="20"/>
                <w:lang w:val="en-AU"/>
              </w:rPr>
              <w:t>,</w:t>
            </w:r>
            <w:r w:rsidRPr="0058600C">
              <w:rPr>
                <w:rFonts w:asciiTheme="minorHAnsi" w:hAnsiTheme="minorHAnsi" w:cstheme="minorHAnsi"/>
                <w:szCs w:val="20"/>
                <w:lang w:val="en-AU"/>
              </w:rPr>
              <w:t xml:space="preserve"> and acting on</w:t>
            </w:r>
            <w:r>
              <w:rPr>
                <w:rFonts w:asciiTheme="minorHAnsi" w:hAnsiTheme="minorHAnsi" w:cstheme="minorHAnsi"/>
                <w:szCs w:val="20"/>
                <w:lang w:val="en-AU"/>
              </w:rPr>
              <w:t>,</w:t>
            </w:r>
            <w:r w:rsidRPr="0058600C">
              <w:rPr>
                <w:rFonts w:asciiTheme="minorHAnsi" w:hAnsiTheme="minorHAnsi" w:cstheme="minorHAnsi"/>
                <w:szCs w:val="20"/>
                <w:lang w:val="en-AU"/>
              </w:rPr>
              <w:t xml:space="preserve"> the assessment unit</w:t>
            </w:r>
            <w:r>
              <w:rPr>
                <w:rFonts w:asciiTheme="minorHAnsi" w:hAnsiTheme="minorHAnsi" w:cstheme="minorHAnsi"/>
                <w:szCs w:val="20"/>
                <w:lang w:val="en-AU"/>
              </w:rPr>
              <w:t>,</w:t>
            </w:r>
            <w:r w:rsidRPr="0058600C">
              <w:rPr>
                <w:rFonts w:asciiTheme="minorHAnsi" w:hAnsiTheme="minorHAnsi" w:cstheme="minorHAnsi"/>
                <w:szCs w:val="20"/>
                <w:lang w:val="en-AU"/>
              </w:rPr>
              <w:t xml:space="preserve"> and priority values</w:t>
            </w:r>
            <w:r>
              <w:rPr>
                <w:rFonts w:asciiTheme="minorHAnsi" w:hAnsiTheme="minorHAnsi" w:cstheme="minorHAnsi"/>
                <w:szCs w:val="20"/>
                <w:lang w:val="en-AU"/>
              </w:rPr>
              <w:t>.</w:t>
            </w:r>
          </w:p>
        </w:tc>
      </w:tr>
      <w:tr w:rsidR="00FE69A8" w:rsidRPr="004E7EB5" w14:paraId="3DA23293"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47865E3F"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Response</w:t>
            </w:r>
          </w:p>
        </w:tc>
        <w:tc>
          <w:tcPr>
            <w:tcW w:w="6948" w:type="dxa"/>
          </w:tcPr>
          <w:p w14:paraId="08DA66B0" w14:textId="77777777"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The changes in state or condition caused by management activities, or interventions.</w:t>
            </w:r>
          </w:p>
        </w:tc>
      </w:tr>
      <w:tr w:rsidR="001874B6" w:rsidRPr="004E7EB5" w14:paraId="14B94BD9"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68A0F341" w14:textId="239F8626" w:rsidR="001874B6" w:rsidRPr="004E7EB5" w:rsidRDefault="001874B6" w:rsidP="003B32BD">
            <w:pPr>
              <w:pStyle w:val="Table"/>
              <w:rPr>
                <w:rFonts w:asciiTheme="minorHAnsi" w:hAnsiTheme="minorHAnsi" w:cstheme="minorHAnsi"/>
                <w:szCs w:val="20"/>
                <w:lang w:val="en-AU" w:eastAsia="en-AU"/>
              </w:rPr>
            </w:pPr>
            <w:r>
              <w:rPr>
                <w:rFonts w:asciiTheme="minorHAnsi" w:hAnsiTheme="minorHAnsi" w:cstheme="minorHAnsi"/>
                <w:szCs w:val="20"/>
                <w:lang w:val="en-AU" w:eastAsia="en-AU"/>
              </w:rPr>
              <w:t>Response indicators</w:t>
            </w:r>
          </w:p>
        </w:tc>
        <w:tc>
          <w:tcPr>
            <w:tcW w:w="6948" w:type="dxa"/>
          </w:tcPr>
          <w:p w14:paraId="01A0E68C" w14:textId="282EBE46" w:rsidR="001874B6" w:rsidRPr="004E7EB5" w:rsidRDefault="001874B6" w:rsidP="00DB395E">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DB395E">
              <w:rPr>
                <w:rFonts w:asciiTheme="minorHAnsi" w:hAnsiTheme="minorHAnsi" w:cstheme="minorHAnsi"/>
                <w:sz w:val="22"/>
                <w:szCs w:val="20"/>
                <w:lang w:val="en-AU" w:eastAsia="en-AU"/>
              </w:rPr>
              <w:t>Indicators</w:t>
            </w:r>
            <w:r>
              <w:rPr>
                <w:rFonts w:asciiTheme="minorHAnsi" w:hAnsiTheme="minorHAnsi" w:cstheme="minorHAnsi"/>
                <w:szCs w:val="20"/>
                <w:lang w:val="en-AU" w:eastAsia="en-AU"/>
              </w:rPr>
              <w:t xml:space="preserve"> which </w:t>
            </w:r>
            <w:r w:rsidRPr="001874B6">
              <w:rPr>
                <w:rFonts w:asciiTheme="minorHAnsi" w:hAnsiTheme="minorHAnsi" w:cstheme="minorHAnsi"/>
                <w:szCs w:val="20"/>
                <w:lang w:val="en-AU" w:eastAsia="en-AU"/>
              </w:rPr>
              <w:t>assess the either the impact of pressures and stressors or the effect of management modifiers on the assessment unit and priority values.</w:t>
            </w:r>
          </w:p>
        </w:tc>
      </w:tr>
      <w:tr w:rsidR="00FE69A8" w:rsidRPr="004E7EB5" w14:paraId="2A14711B"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127AF391"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Risk</w:t>
            </w:r>
          </w:p>
        </w:tc>
        <w:tc>
          <w:tcPr>
            <w:tcW w:w="6948" w:type="dxa"/>
          </w:tcPr>
          <w:p w14:paraId="11DEC411" w14:textId="77777777"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 xml:space="preserve">The probability that an adverse ecological effect (impact) will occur as a result of ecosystem exposure to a particular pressure/stressor and is determined by measuring ecological consequence of a Stressor/stressor and the likelihood of it occurring. </w:t>
            </w:r>
          </w:p>
        </w:tc>
      </w:tr>
      <w:tr w:rsidR="00FE69A8" w:rsidRPr="004E7EB5" w14:paraId="59704F0B"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6D43E3BC"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Services</w:t>
            </w:r>
          </w:p>
        </w:tc>
        <w:tc>
          <w:tcPr>
            <w:tcW w:w="6948" w:type="dxa"/>
          </w:tcPr>
          <w:p w14:paraId="608495B6"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Abbreviation for ecosystem services and benefits, see definition of ecosystem services.</w:t>
            </w:r>
          </w:p>
        </w:tc>
      </w:tr>
      <w:tr w:rsidR="00FE69A8" w:rsidRPr="004E7EB5" w14:paraId="3A17CE82"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4495305D" w14:textId="77777777" w:rsidR="00FE69A8" w:rsidRPr="004E7EB5" w:rsidRDefault="00FE69A8" w:rsidP="003B32BD">
            <w:pPr>
              <w:pStyle w:val="Table"/>
              <w:rPr>
                <w:rFonts w:asciiTheme="minorHAnsi" w:hAnsiTheme="minorHAnsi" w:cstheme="minorHAnsi"/>
                <w:szCs w:val="20"/>
                <w:lang w:val="en-AU" w:eastAsia="en-AU"/>
              </w:rPr>
            </w:pPr>
            <w:r w:rsidRPr="004E7EB5">
              <w:rPr>
                <w:rFonts w:asciiTheme="minorHAnsi" w:hAnsiTheme="minorHAnsi" w:cstheme="minorHAnsi"/>
                <w:szCs w:val="20"/>
                <w:lang w:val="en-AU" w:eastAsia="en-AU"/>
              </w:rPr>
              <w:t>Spatial extent</w:t>
            </w:r>
          </w:p>
        </w:tc>
        <w:tc>
          <w:tcPr>
            <w:tcW w:w="6948" w:type="dxa"/>
          </w:tcPr>
          <w:p w14:paraId="2A6D31AF" w14:textId="77777777" w:rsidR="00FE69A8" w:rsidRPr="004E7EB5" w:rsidRDefault="00FE69A8"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 xml:space="preserve">The total area of the geographic distribution of an ecosystem type, asset or assessment unit estimated with a specified metric (modified from </w:t>
            </w:r>
            <w:r w:rsidRPr="004E7EB5">
              <w:rPr>
                <w:rFonts w:asciiTheme="minorHAnsi" w:hAnsiTheme="minorHAnsi" w:cstheme="minorHAnsi"/>
                <w:szCs w:val="20"/>
                <w:lang w:val="en-AU" w:eastAsia="en-AU"/>
              </w:rPr>
              <w:fldChar w:fldCharType="begin"/>
            </w:r>
            <w:r w:rsidRPr="004E7EB5">
              <w:rPr>
                <w:rFonts w:asciiTheme="minorHAnsi" w:hAnsiTheme="minorHAnsi" w:cstheme="minorHAnsi"/>
                <w:szCs w:val="20"/>
                <w:lang w:val="en-AU" w:eastAsia="en-AU"/>
              </w:rPr>
              <w:instrText xml:space="preserve"> ADDIN ZOTERO_ITEM CSL_CITATION {"citationID":"n5venvebq","properties":{"formattedCitation":"(Bland et al. 2016)","plainCitation":"(Bland et al. 2016)"},"citationItems":[{"id":3228,"uris":["http://zotero.org/users/3119797/items/W9C9FTFS"],"uri":["http://zotero.org/users/3119797/items/W9C9FTFS"],"itemData":{"id":3228,"type":"article","title":"Guidelines for the application of IUCN Red List of Ecosystems Categories and Criteria, Version 1.0. Gland, Switzerland: IUCN. ix + 94pp.","editor":[{"family":"Bland","given":"L. M."},{"family":"Keith","given":"D. A."},{"family":"MIller","given":"R.M."},{"family":"Rodriguez","given":"J. P."}],"issued":{"date-parts":[["2016"]]}}}],"schema":"https://github.com/citation-style-language/schema/raw/master/csl-citation.json"} </w:instrText>
            </w:r>
            <w:r w:rsidRPr="004E7EB5">
              <w:rPr>
                <w:rFonts w:asciiTheme="minorHAnsi" w:hAnsiTheme="minorHAnsi" w:cstheme="minorHAnsi"/>
                <w:szCs w:val="20"/>
                <w:lang w:val="en-AU" w:eastAsia="en-AU"/>
              </w:rPr>
              <w:fldChar w:fldCharType="separate"/>
            </w:r>
            <w:r w:rsidRPr="004E7EB5">
              <w:rPr>
                <w:rFonts w:asciiTheme="minorHAnsi" w:hAnsiTheme="minorHAnsi" w:cstheme="minorHAnsi"/>
                <w:szCs w:val="20"/>
                <w:lang w:val="en-AU"/>
              </w:rPr>
              <w:t>Bland et al. 2016)</w:t>
            </w:r>
            <w:r w:rsidRPr="004E7EB5">
              <w:rPr>
                <w:rFonts w:asciiTheme="minorHAnsi" w:hAnsiTheme="minorHAnsi" w:cstheme="minorHAnsi"/>
                <w:szCs w:val="20"/>
                <w:lang w:val="en-AU" w:eastAsia="en-AU"/>
              </w:rPr>
              <w:fldChar w:fldCharType="end"/>
            </w:r>
            <w:r w:rsidRPr="004E7EB5">
              <w:rPr>
                <w:rFonts w:asciiTheme="minorHAnsi" w:hAnsiTheme="minorHAnsi" w:cstheme="minorHAnsi"/>
                <w:szCs w:val="20"/>
                <w:lang w:val="en-AU" w:eastAsia="en-AU"/>
              </w:rPr>
              <w:t>.</w:t>
            </w:r>
          </w:p>
        </w:tc>
      </w:tr>
      <w:tr w:rsidR="00FE69A8" w:rsidRPr="004E7EB5" w14:paraId="7B168D35"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3E5A1317"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Stressors</w:t>
            </w:r>
          </w:p>
        </w:tc>
        <w:tc>
          <w:tcPr>
            <w:tcW w:w="6948" w:type="dxa"/>
          </w:tcPr>
          <w:p w14:paraId="209B263C" w14:textId="4E6DE09B" w:rsidR="00FE69A8" w:rsidRPr="004E7EB5" w:rsidRDefault="001874B6" w:rsidP="00384B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1874B6">
              <w:rPr>
                <w:rFonts w:asciiTheme="minorHAnsi" w:hAnsiTheme="minorHAnsi" w:cstheme="minorHAnsi"/>
                <w:szCs w:val="20"/>
                <w:lang w:val="en-AU"/>
              </w:rPr>
              <w:t>The altered physical, chemical, or biological agents or processes arising from a pressure(s), or activities, which can induce an adverse environmental response.</w:t>
            </w:r>
          </w:p>
        </w:tc>
      </w:tr>
      <w:tr w:rsidR="00F4362A" w:rsidRPr="004E7EB5" w14:paraId="0B3AC275"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36AD93F3" w14:textId="7F09BAEB" w:rsidR="00F4362A" w:rsidRPr="004E7EB5" w:rsidRDefault="00F4362A" w:rsidP="003B32BD">
            <w:pPr>
              <w:pStyle w:val="Table"/>
              <w:rPr>
                <w:rFonts w:asciiTheme="minorHAnsi" w:hAnsiTheme="minorHAnsi" w:cstheme="minorHAnsi"/>
                <w:szCs w:val="20"/>
                <w:lang w:val="en-AU" w:eastAsia="en-AU"/>
              </w:rPr>
            </w:pPr>
            <w:r w:rsidRPr="00F4362A">
              <w:rPr>
                <w:rFonts w:asciiTheme="minorHAnsi" w:hAnsiTheme="minorHAnsi" w:cstheme="minorHAnsi"/>
                <w:szCs w:val="20"/>
                <w:lang w:val="en-AU" w:eastAsia="en-AU"/>
              </w:rPr>
              <w:t>Surveillance monitoring</w:t>
            </w:r>
          </w:p>
        </w:tc>
        <w:tc>
          <w:tcPr>
            <w:tcW w:w="6948" w:type="dxa"/>
          </w:tcPr>
          <w:p w14:paraId="3C11A02D" w14:textId="5658A310" w:rsidR="00F4362A" w:rsidRPr="004E7EB5" w:rsidRDefault="00F4362A"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Pr>
                <w:rFonts w:asciiTheme="minorHAnsi" w:hAnsiTheme="minorHAnsi" w:cstheme="minorHAnsi"/>
                <w:szCs w:val="20"/>
                <w:lang w:val="en-AU" w:eastAsia="en-AU"/>
              </w:rPr>
              <w:t>A</w:t>
            </w:r>
            <w:r w:rsidRPr="00F4362A">
              <w:rPr>
                <w:rFonts w:asciiTheme="minorHAnsi" w:hAnsiTheme="minorHAnsi" w:cstheme="minorHAnsi"/>
                <w:szCs w:val="20"/>
                <w:lang w:val="en-AU" w:eastAsia="en-AU"/>
              </w:rPr>
              <w:t xml:space="preserve"> program to monitor trends in ecological condition, often over large spatial scales (e.g. regions/catchments) and over long time periods (years to decades), generally without detailed assessments of management interventions.</w:t>
            </w:r>
          </w:p>
        </w:tc>
      </w:tr>
      <w:tr w:rsidR="00FE69A8" w:rsidRPr="004E7EB5" w14:paraId="6530ADAE"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2B341A0C"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Target</w:t>
            </w:r>
          </w:p>
        </w:tc>
        <w:tc>
          <w:tcPr>
            <w:tcW w:w="6948" w:type="dxa"/>
          </w:tcPr>
          <w:p w14:paraId="08D81880" w14:textId="77777777"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 xml:space="preserve">The value an indicator is expected to achieve if management objectives have been met. </w:t>
            </w:r>
          </w:p>
        </w:tc>
      </w:tr>
      <w:tr w:rsidR="00FE69A8" w:rsidRPr="004E7EB5" w14:paraId="4672DBD8"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1783DB7B" w14:textId="7CA89512"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Theme</w:t>
            </w:r>
          </w:p>
        </w:tc>
        <w:tc>
          <w:tcPr>
            <w:tcW w:w="6948" w:type="dxa"/>
          </w:tcPr>
          <w:p w14:paraId="4CDFF2CF" w14:textId="17E30DD5" w:rsidR="00FE69A8" w:rsidRPr="004E7EB5" w:rsidRDefault="00FE69A8" w:rsidP="00865CF9">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rPr>
            </w:pPr>
            <w:r w:rsidRPr="004E7EB5">
              <w:rPr>
                <w:rFonts w:asciiTheme="minorHAnsi" w:hAnsiTheme="minorHAnsi" w:cstheme="minorHAnsi"/>
                <w:szCs w:val="20"/>
                <w:lang w:val="en-AU" w:eastAsia="en-AU"/>
              </w:rPr>
              <w:t xml:space="preserve">The broad grouping of ecological values used to structure the IECA Framework. </w:t>
            </w:r>
          </w:p>
        </w:tc>
      </w:tr>
      <w:tr w:rsidR="00FE69A8" w:rsidRPr="004E7EB5" w14:paraId="4A8B9BB1"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3F68D5D8" w14:textId="4A07D969"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Threats</w:t>
            </w:r>
            <w:r>
              <w:rPr>
                <w:rFonts w:asciiTheme="minorHAnsi" w:hAnsiTheme="minorHAnsi" w:cstheme="minorHAnsi"/>
                <w:szCs w:val="20"/>
                <w:lang w:val="en-AU" w:eastAsia="en-AU"/>
              </w:rPr>
              <w:t>/ threatening processes</w:t>
            </w:r>
          </w:p>
        </w:tc>
        <w:tc>
          <w:tcPr>
            <w:tcW w:w="6948" w:type="dxa"/>
          </w:tcPr>
          <w:p w14:paraId="33E09A48" w14:textId="2AE0CEEC"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rPr>
              <w:t>A generic term that includes the combination of a pressure and all its associated stressors</w:t>
            </w:r>
            <w:r w:rsidRPr="004E7EB5">
              <w:rPr>
                <w:rFonts w:asciiTheme="minorHAnsi" w:hAnsiTheme="minorHAnsi" w:cstheme="minorHAnsi"/>
                <w:szCs w:val="20"/>
                <w:lang w:val="en-AU" w:eastAsia="en-AU"/>
              </w:rPr>
              <w:t>.</w:t>
            </w:r>
          </w:p>
        </w:tc>
      </w:tr>
      <w:tr w:rsidR="00FE69A8" w:rsidRPr="004E7EB5" w14:paraId="67EB30FD" w14:textId="77777777" w:rsidTr="00426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68E09F7A"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Trigger</w:t>
            </w:r>
          </w:p>
        </w:tc>
        <w:tc>
          <w:tcPr>
            <w:tcW w:w="6948" w:type="dxa"/>
          </w:tcPr>
          <w:p w14:paraId="0C5304C8" w14:textId="3D95F791" w:rsidR="00FE69A8" w:rsidRPr="004E7EB5" w:rsidRDefault="007A1FFF" w:rsidP="003B32BD">
            <w:pPr>
              <w:pStyle w:val="Tab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AU" w:eastAsia="en-AU"/>
              </w:rPr>
            </w:pPr>
            <w:r w:rsidRPr="007A1FFF">
              <w:rPr>
                <w:rFonts w:asciiTheme="minorHAnsi" w:hAnsiTheme="minorHAnsi" w:cstheme="minorHAnsi"/>
                <w:szCs w:val="20"/>
                <w:lang w:val="en-AU" w:eastAsia="en-AU"/>
              </w:rPr>
              <w:t xml:space="preserve">The value of an indicator that, if it were to be exceeded, would signal to managers that intervention is required to avoid further degradation or a major change in state. </w:t>
            </w:r>
            <w:r>
              <w:rPr>
                <w:rFonts w:asciiTheme="minorHAnsi" w:hAnsiTheme="minorHAnsi" w:cstheme="minorHAnsi"/>
                <w:szCs w:val="20"/>
                <w:lang w:val="en-AU" w:eastAsia="en-AU"/>
              </w:rPr>
              <w:t xml:space="preserve"> </w:t>
            </w:r>
            <w:r w:rsidRPr="007A1FFF">
              <w:rPr>
                <w:rFonts w:asciiTheme="minorHAnsi" w:hAnsiTheme="minorHAnsi" w:cstheme="minorHAnsi"/>
                <w:szCs w:val="20"/>
                <w:lang w:val="en-AU" w:eastAsia="en-AU"/>
              </w:rPr>
              <w:t>An ‘early warning’ indicator can be monitored through time and is known to herald predictable changes in advance of an event (i.e., threshold/tipping point) or provide a cue to an increased probability of it occurring.</w:t>
            </w:r>
          </w:p>
        </w:tc>
      </w:tr>
      <w:tr w:rsidR="00FE69A8" w:rsidRPr="004E7EB5" w14:paraId="08F7E9E4" w14:textId="77777777" w:rsidTr="00426C71">
        <w:tc>
          <w:tcPr>
            <w:cnfStyle w:val="001000000000" w:firstRow="0" w:lastRow="0" w:firstColumn="1" w:lastColumn="0" w:oddVBand="0" w:evenVBand="0" w:oddHBand="0" w:evenHBand="0" w:firstRowFirstColumn="0" w:firstRowLastColumn="0" w:lastRowFirstColumn="0" w:lastRowLastColumn="0"/>
            <w:tcW w:w="1841" w:type="dxa"/>
          </w:tcPr>
          <w:p w14:paraId="44C34CED" w14:textId="77777777" w:rsidR="00FE69A8" w:rsidRPr="004E7EB5" w:rsidRDefault="00FE69A8" w:rsidP="003B32BD">
            <w:pPr>
              <w:pStyle w:val="Table"/>
              <w:rPr>
                <w:rFonts w:asciiTheme="minorHAnsi" w:hAnsiTheme="minorHAnsi" w:cstheme="minorHAnsi"/>
                <w:b w:val="0"/>
                <w:szCs w:val="20"/>
                <w:lang w:val="en-AU" w:eastAsia="en-AU"/>
              </w:rPr>
            </w:pPr>
            <w:r w:rsidRPr="004E7EB5">
              <w:rPr>
                <w:rFonts w:asciiTheme="minorHAnsi" w:hAnsiTheme="minorHAnsi" w:cstheme="minorHAnsi"/>
                <w:szCs w:val="20"/>
                <w:lang w:val="en-AU" w:eastAsia="en-AU"/>
              </w:rPr>
              <w:t>Threshold</w:t>
            </w:r>
          </w:p>
        </w:tc>
        <w:tc>
          <w:tcPr>
            <w:tcW w:w="6948" w:type="dxa"/>
          </w:tcPr>
          <w:p w14:paraId="136AF2F9" w14:textId="618E87BE" w:rsidR="00FE69A8" w:rsidRPr="004E7EB5" w:rsidRDefault="00FE69A8" w:rsidP="003B32BD">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AU" w:eastAsia="en-AU"/>
              </w:rPr>
            </w:pPr>
            <w:r w:rsidRPr="004E7EB5">
              <w:rPr>
                <w:rFonts w:asciiTheme="minorHAnsi" w:hAnsiTheme="minorHAnsi" w:cstheme="minorHAnsi"/>
                <w:szCs w:val="20"/>
                <w:lang w:val="en-AU" w:eastAsia="en-AU"/>
              </w:rPr>
              <w:t>A tipping point where a relatively rapid change from one ecological condition to another occurs. When a system is close to an ecological threshold, a large ecological response results from a relatively small change in a driver (Huggett 2005, Groffman et al. 2006, Suding and Hobbs 2009, Selkoe et al. 2015).</w:t>
            </w:r>
          </w:p>
        </w:tc>
      </w:tr>
    </w:tbl>
    <w:p w14:paraId="29D4827B" w14:textId="744FB8BC" w:rsidR="00DC70B2" w:rsidRPr="004E7EB5" w:rsidRDefault="00DC70B2" w:rsidP="00077782"/>
    <w:p w14:paraId="316F05D9" w14:textId="77777777" w:rsidR="00DC70B2" w:rsidRPr="004E7EB5" w:rsidRDefault="00DC70B2">
      <w:r w:rsidRPr="004E7EB5">
        <w:br w:type="page"/>
      </w:r>
    </w:p>
    <w:p w14:paraId="703675BD" w14:textId="77777777" w:rsidR="00077782" w:rsidRPr="004E7EB5" w:rsidRDefault="00077782" w:rsidP="00077782"/>
    <w:p w14:paraId="52CBAE51" w14:textId="2F700D30" w:rsidR="005E4821" w:rsidRPr="004E7EB5" w:rsidRDefault="005E4821" w:rsidP="00DC70B2">
      <w:pPr>
        <w:pStyle w:val="Heading1"/>
        <w:numPr>
          <w:ilvl w:val="0"/>
          <w:numId w:val="0"/>
        </w:numPr>
        <w:ind w:left="432" w:hanging="432"/>
      </w:pPr>
      <w:bookmarkStart w:id="112" w:name="_Toc493774228"/>
      <w:bookmarkEnd w:id="110"/>
      <w:r w:rsidRPr="004E7EB5">
        <w:t xml:space="preserve">Appendix </w:t>
      </w:r>
      <w:r w:rsidR="00066A10">
        <w:t>A</w:t>
      </w:r>
      <w:r w:rsidRPr="004E7EB5">
        <w:t xml:space="preserve">: </w:t>
      </w:r>
      <w:r w:rsidR="00987890">
        <w:t>Comparison of existing Australian condition assessment methods with the IECA Framework</w:t>
      </w:r>
      <w:bookmarkEnd w:id="112"/>
    </w:p>
    <w:p w14:paraId="3759574E" w14:textId="061ABDFA" w:rsidR="00987890" w:rsidRDefault="00821E89" w:rsidP="005E4821">
      <w:r w:rsidRPr="00821E89">
        <w:t>The second objective for</w:t>
      </w:r>
      <w:r>
        <w:t xml:space="preserve"> </w:t>
      </w:r>
      <w:r w:rsidRPr="00821E89">
        <w:t>IECA requires that the Framework can build on existing condition assessment methods, including both broad-scale and asset-based condition assessments, and introduce new capabilities to meet evolving management needs.</w:t>
      </w:r>
      <w:r>
        <w:t xml:space="preserve"> </w:t>
      </w:r>
      <w:r w:rsidRPr="00821E89">
        <w:t>To provide guidance on the requirements of an aquatic ecosystem condition assessment, a high level review of existing aquatic ecosystems condition assessment methods, with some indication of if they meet the brief and if not, what modifications / additions would be required</w:t>
      </w:r>
      <w:r>
        <w:t xml:space="preserve"> was undertaken</w:t>
      </w:r>
      <w:r w:rsidRPr="00821E89">
        <w:t>.</w:t>
      </w:r>
      <w:r>
        <w:t xml:space="preserve"> </w:t>
      </w:r>
      <w:r w:rsidR="00053BFA" w:rsidRPr="00053BFA">
        <w:t xml:space="preserve">There are many tools and programs that are relevant to the management of aquatic ecosystems and may be useful resources in the early stages of an IECA assessment (e.g. GDE Atlas, Atlas of Living Australia, OzCoasts). The review, however, is restricted to methods that are directly related in some way to the assessment of condition of aquatic ecosystems in Australia. </w:t>
      </w:r>
      <w:r w:rsidR="00053BFA">
        <w:t xml:space="preserve">The key characteristics of the methods reviewed are presented in </w:t>
      </w:r>
      <w:r w:rsidR="00053BFA">
        <w:fldChar w:fldCharType="begin"/>
      </w:r>
      <w:r w:rsidR="00053BFA">
        <w:instrText xml:space="preserve"> REF _Ref493589874 \h </w:instrText>
      </w:r>
      <w:r w:rsidR="00053BFA">
        <w:fldChar w:fldCharType="separate"/>
      </w:r>
      <w:r w:rsidR="00053BFA" w:rsidRPr="00D87458">
        <w:t>Table A</w:t>
      </w:r>
      <w:r w:rsidR="00053BFA">
        <w:rPr>
          <w:noProof/>
        </w:rPr>
        <w:t>1</w:t>
      </w:r>
      <w:r w:rsidR="00053BFA">
        <w:fldChar w:fldCharType="end"/>
      </w:r>
      <w:r w:rsidR="00053BFA">
        <w:t xml:space="preserve">. </w:t>
      </w:r>
    </w:p>
    <w:p w14:paraId="120A233E" w14:textId="77777777" w:rsidR="00987890" w:rsidRPr="00DC407E" w:rsidRDefault="00987890" w:rsidP="00DC407E">
      <w:pPr>
        <w:rPr>
          <w:color w:val="848057" w:themeColor="accent1" w:themeShade="BF"/>
          <w:sz w:val="32"/>
          <w:szCs w:val="32"/>
        </w:rPr>
      </w:pPr>
      <w:bookmarkStart w:id="113" w:name="_Toc470080562"/>
      <w:r w:rsidRPr="00DC407E">
        <w:rPr>
          <w:color w:val="848057" w:themeColor="accent1" w:themeShade="BF"/>
          <w:sz w:val="32"/>
          <w:szCs w:val="32"/>
        </w:rPr>
        <w:t>Criteria for assessment of integration with IECA</w:t>
      </w:r>
      <w:bookmarkEnd w:id="113"/>
      <w:r w:rsidRPr="00DC407E">
        <w:rPr>
          <w:color w:val="848057" w:themeColor="accent1" w:themeShade="BF"/>
          <w:sz w:val="32"/>
          <w:szCs w:val="32"/>
        </w:rPr>
        <w:t xml:space="preserve">  </w:t>
      </w:r>
    </w:p>
    <w:p w14:paraId="29F6BCF1" w14:textId="77777777" w:rsidR="00987890" w:rsidRPr="00987890" w:rsidRDefault="00987890" w:rsidP="00F4328F">
      <w:pPr>
        <w:numPr>
          <w:ilvl w:val="0"/>
          <w:numId w:val="8"/>
        </w:numPr>
        <w:contextualSpacing/>
      </w:pPr>
      <w:r w:rsidRPr="00987890">
        <w:rPr>
          <w:b/>
        </w:rPr>
        <w:t>Objective driven</w:t>
      </w:r>
      <w:r w:rsidRPr="00987890">
        <w:t xml:space="preserve"> - the assessment method must have a clearly stated objective that forms the basis of all other aspects of design.  The objective must be compatible with that for an IECA (i.e. be related to aquatic ecosystem condition)</w:t>
      </w:r>
    </w:p>
    <w:p w14:paraId="79BB44F6" w14:textId="77777777" w:rsidR="00987890" w:rsidRPr="00987890" w:rsidRDefault="00987890" w:rsidP="00F4328F">
      <w:pPr>
        <w:numPr>
          <w:ilvl w:val="0"/>
          <w:numId w:val="8"/>
        </w:numPr>
        <w:contextualSpacing/>
      </w:pPr>
      <w:r w:rsidRPr="00987890">
        <w:rPr>
          <w:b/>
        </w:rPr>
        <w:t>Sampling design</w:t>
      </w:r>
      <w:r w:rsidRPr="00987890">
        <w:t xml:space="preserve"> - Assessment method must currently have, or be conducive to the development of, a clearly justified and documented sampling design that includes:  </w:t>
      </w:r>
    </w:p>
    <w:p w14:paraId="20518249" w14:textId="77777777" w:rsidR="00987890" w:rsidRPr="00987890" w:rsidRDefault="00987890" w:rsidP="00F4328F">
      <w:pPr>
        <w:numPr>
          <w:ilvl w:val="0"/>
          <w:numId w:val="9"/>
        </w:numPr>
        <w:contextualSpacing/>
      </w:pPr>
      <w:r w:rsidRPr="00987890">
        <w:t xml:space="preserve">Distribution of sampling sites </w:t>
      </w:r>
    </w:p>
    <w:p w14:paraId="71FFFA2A" w14:textId="77777777" w:rsidR="00987890" w:rsidRPr="00987890" w:rsidRDefault="00987890" w:rsidP="00F4328F">
      <w:pPr>
        <w:numPr>
          <w:ilvl w:val="0"/>
          <w:numId w:val="9"/>
        </w:numPr>
        <w:contextualSpacing/>
      </w:pPr>
      <w:r w:rsidRPr="00987890">
        <w:t xml:space="preserve">Size and location of assessment unit </w:t>
      </w:r>
    </w:p>
    <w:p w14:paraId="042D20B0" w14:textId="77777777" w:rsidR="00987890" w:rsidRPr="00987890" w:rsidRDefault="00987890" w:rsidP="00F4328F">
      <w:pPr>
        <w:numPr>
          <w:ilvl w:val="0"/>
          <w:numId w:val="9"/>
        </w:numPr>
        <w:contextualSpacing/>
      </w:pPr>
      <w:r w:rsidRPr="00987890">
        <w:t>Nested hierarchical design that allows for reporting at different scales: site, ecosystem, assessment unit, catchment or State.</w:t>
      </w:r>
    </w:p>
    <w:p w14:paraId="524BA421" w14:textId="77777777" w:rsidR="00987890" w:rsidRPr="00987890" w:rsidRDefault="00987890" w:rsidP="00F4328F">
      <w:pPr>
        <w:numPr>
          <w:ilvl w:val="0"/>
          <w:numId w:val="9"/>
        </w:numPr>
        <w:contextualSpacing/>
      </w:pPr>
      <w:r w:rsidRPr="00987890">
        <w:t>Statistical basis for the design, with implications for analysis, integration and aggregation.</w:t>
      </w:r>
    </w:p>
    <w:p w14:paraId="3AE45590" w14:textId="77777777" w:rsidR="00987890" w:rsidRPr="00987890" w:rsidRDefault="00987890" w:rsidP="00F4328F">
      <w:pPr>
        <w:numPr>
          <w:ilvl w:val="0"/>
          <w:numId w:val="8"/>
        </w:numPr>
        <w:contextualSpacing/>
      </w:pPr>
      <w:r w:rsidRPr="00987890">
        <w:rPr>
          <w:b/>
        </w:rPr>
        <w:t>Choice of indicators</w:t>
      </w:r>
      <w:r w:rsidRPr="00987890">
        <w:t xml:space="preserve"> - Indicators must be linked to the objective. Indicators and their metrics must be relevant to the condition assessment and either IECA value or threat relevant to the ecosystem/assessment unit.</w:t>
      </w:r>
    </w:p>
    <w:p w14:paraId="64B34B67" w14:textId="77777777" w:rsidR="00987890" w:rsidRPr="00987890" w:rsidRDefault="00987890" w:rsidP="00F4328F">
      <w:pPr>
        <w:numPr>
          <w:ilvl w:val="0"/>
          <w:numId w:val="8"/>
        </w:numPr>
        <w:contextualSpacing/>
      </w:pPr>
      <w:r w:rsidRPr="00987890">
        <w:rPr>
          <w:b/>
        </w:rPr>
        <w:t>Tested</w:t>
      </w:r>
      <w:r w:rsidRPr="00987890">
        <w:t xml:space="preserve"> - Assessment method has been applied and undergone evaluation and review prior to full-scale implementation.</w:t>
      </w:r>
    </w:p>
    <w:p w14:paraId="4D60A34E" w14:textId="77777777" w:rsidR="00987890" w:rsidRPr="00987890" w:rsidRDefault="00987890" w:rsidP="00F4328F">
      <w:pPr>
        <w:numPr>
          <w:ilvl w:val="0"/>
          <w:numId w:val="8"/>
        </w:numPr>
        <w:contextualSpacing/>
      </w:pPr>
      <w:r w:rsidRPr="00987890">
        <w:rPr>
          <w:b/>
        </w:rPr>
        <w:t>Reporting</w:t>
      </w:r>
      <w:r w:rsidRPr="00987890">
        <w:t xml:space="preserve"> - outputs are or could be reported in condition bands to be consistent across different scales and harmonised with IECA grading system.</w:t>
      </w:r>
    </w:p>
    <w:p w14:paraId="0F65CEF7" w14:textId="77777777" w:rsidR="00987890" w:rsidRPr="00987890" w:rsidRDefault="00987890" w:rsidP="00F4328F">
      <w:pPr>
        <w:numPr>
          <w:ilvl w:val="0"/>
          <w:numId w:val="8"/>
        </w:numPr>
        <w:contextualSpacing/>
      </w:pPr>
      <w:r w:rsidRPr="00987890">
        <w:rPr>
          <w:b/>
        </w:rPr>
        <w:t>Referential</w:t>
      </w:r>
      <w:r w:rsidRPr="00987890">
        <w:t xml:space="preserve"> – is there a clear benchmark defined for assessing condition against (e.g. natural, pre-European, control site, modelled counterfactual, etc.).</w:t>
      </w:r>
    </w:p>
    <w:p w14:paraId="4FC19539" w14:textId="77777777" w:rsidR="00987890" w:rsidRPr="00987890" w:rsidRDefault="00987890" w:rsidP="00987890">
      <w:pPr>
        <w:sectPr w:rsidR="00987890" w:rsidRPr="00987890" w:rsidSect="00CA2773">
          <w:headerReference w:type="even" r:id="rId95"/>
          <w:headerReference w:type="default" r:id="rId96"/>
          <w:headerReference w:type="first" r:id="rId97"/>
          <w:pgSz w:w="11906" w:h="16838"/>
          <w:pgMar w:top="1440" w:right="1440" w:bottom="1440" w:left="1440" w:header="708" w:footer="708" w:gutter="0"/>
          <w:cols w:space="708"/>
          <w:docGrid w:linePitch="360"/>
        </w:sectPr>
      </w:pPr>
    </w:p>
    <w:p w14:paraId="50868E16" w14:textId="47C1B208" w:rsidR="00987890" w:rsidRPr="00D87458" w:rsidRDefault="00D87458" w:rsidP="00D87458">
      <w:pPr>
        <w:pStyle w:val="Caption"/>
      </w:pPr>
      <w:bookmarkStart w:id="114" w:name="_Ref493589874"/>
      <w:r w:rsidRPr="00D87458">
        <w:lastRenderedPageBreak/>
        <w:t>Table A</w:t>
      </w:r>
      <w:fldSimple w:instr=" SEQ Table_A \* ARABIC ">
        <w:r w:rsidR="005F359C">
          <w:rPr>
            <w:noProof/>
          </w:rPr>
          <w:t>1</w:t>
        </w:r>
      </w:fldSimple>
      <w:bookmarkEnd w:id="114"/>
      <w:r w:rsidR="00FD50A9">
        <w:rPr>
          <w:noProof/>
        </w:rPr>
        <w:t>:</w:t>
      </w:r>
      <w:r w:rsidRPr="00D87458">
        <w:t xml:space="preserve"> </w:t>
      </w:r>
      <w:r w:rsidR="00987890" w:rsidRPr="00D87458">
        <w:t xml:space="preserve">Characteristics of Key condition assessment programs </w:t>
      </w:r>
      <w:r w:rsidR="000F1364" w:rsidRPr="00D87458">
        <w:t xml:space="preserve">with reference to criteria FOR ASSESSMENT OF INTEGRATION WITH IECA </w:t>
      </w:r>
      <w:r w:rsidR="00987890" w:rsidRPr="00D87458">
        <w:rPr>
          <w:rStyle w:val="FootnoteReference"/>
        </w:rPr>
        <w:footnoteReference w:id="6"/>
      </w:r>
      <w:r w:rsidR="00987890" w:rsidRPr="00D87458">
        <w:t>.</w:t>
      </w:r>
    </w:p>
    <w:tbl>
      <w:tblPr>
        <w:tblStyle w:val="LightList-Accent2"/>
        <w:tblW w:w="14425" w:type="dxa"/>
        <w:tblBorders>
          <w:top w:val="single" w:sz="4" w:space="0" w:color="9CBEBD" w:themeColor="accent2"/>
          <w:left w:val="single" w:sz="4" w:space="0" w:color="9CBEBD" w:themeColor="accent2"/>
          <w:bottom w:val="single" w:sz="4" w:space="0" w:color="9CBEBD" w:themeColor="accent2"/>
          <w:right w:val="single" w:sz="4" w:space="0" w:color="9CBEBD" w:themeColor="accent2"/>
          <w:insideH w:val="single" w:sz="4" w:space="0" w:color="9CBEBD" w:themeColor="accent2"/>
          <w:insideV w:val="single" w:sz="4" w:space="0" w:color="9CBEBD" w:themeColor="accent2"/>
        </w:tblBorders>
        <w:tblLook w:val="04A0" w:firstRow="1" w:lastRow="0" w:firstColumn="1" w:lastColumn="0" w:noHBand="0" w:noVBand="1"/>
      </w:tblPr>
      <w:tblGrid>
        <w:gridCol w:w="2002"/>
        <w:gridCol w:w="1645"/>
        <w:gridCol w:w="1645"/>
        <w:gridCol w:w="1646"/>
        <w:gridCol w:w="1645"/>
        <w:gridCol w:w="1645"/>
        <w:gridCol w:w="1646"/>
        <w:gridCol w:w="2551"/>
      </w:tblGrid>
      <w:tr w:rsidR="00987890" w:rsidRPr="00D87458" w14:paraId="68FDB83B" w14:textId="77777777" w:rsidTr="00D8745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02" w:type="dxa"/>
          </w:tcPr>
          <w:p w14:paraId="5505CEC9" w14:textId="77777777" w:rsidR="00987890" w:rsidRPr="00D87458" w:rsidRDefault="00987890" w:rsidP="00987890">
            <w:pPr>
              <w:jc w:val="left"/>
              <w:rPr>
                <w:rFonts w:asciiTheme="minorHAnsi" w:hAnsiTheme="minorHAnsi" w:cstheme="minorHAnsi"/>
              </w:rPr>
            </w:pPr>
            <w:r w:rsidRPr="00D87458">
              <w:rPr>
                <w:rFonts w:asciiTheme="minorHAnsi" w:hAnsiTheme="minorHAnsi" w:cstheme="minorHAnsi"/>
              </w:rPr>
              <w:t>Reference/Name of assessment program</w:t>
            </w:r>
          </w:p>
        </w:tc>
        <w:tc>
          <w:tcPr>
            <w:tcW w:w="1645" w:type="dxa"/>
          </w:tcPr>
          <w:p w14:paraId="5ADAEB54" w14:textId="77777777" w:rsidR="00987890" w:rsidRPr="00D87458" w:rsidRDefault="00987890" w:rsidP="0098789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87458">
              <w:rPr>
                <w:rFonts w:asciiTheme="minorHAnsi" w:hAnsiTheme="minorHAnsi" w:cstheme="minorHAnsi"/>
              </w:rPr>
              <w:t>C1</w:t>
            </w:r>
          </w:p>
        </w:tc>
        <w:tc>
          <w:tcPr>
            <w:tcW w:w="1645" w:type="dxa"/>
          </w:tcPr>
          <w:p w14:paraId="1B82EE74" w14:textId="77777777" w:rsidR="00987890" w:rsidRPr="00D87458" w:rsidRDefault="00987890" w:rsidP="0098789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87458">
              <w:rPr>
                <w:rFonts w:asciiTheme="minorHAnsi" w:hAnsiTheme="minorHAnsi" w:cstheme="minorHAnsi"/>
              </w:rPr>
              <w:t>C2</w:t>
            </w:r>
          </w:p>
        </w:tc>
        <w:tc>
          <w:tcPr>
            <w:tcW w:w="1646" w:type="dxa"/>
          </w:tcPr>
          <w:p w14:paraId="09029210" w14:textId="77777777" w:rsidR="00987890" w:rsidRPr="00D87458" w:rsidRDefault="00987890" w:rsidP="0098789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87458">
              <w:rPr>
                <w:rFonts w:asciiTheme="minorHAnsi" w:hAnsiTheme="minorHAnsi" w:cstheme="minorHAnsi"/>
              </w:rPr>
              <w:t>C3</w:t>
            </w:r>
          </w:p>
        </w:tc>
        <w:tc>
          <w:tcPr>
            <w:tcW w:w="1645" w:type="dxa"/>
          </w:tcPr>
          <w:p w14:paraId="42AA32F3" w14:textId="77777777" w:rsidR="00987890" w:rsidRPr="00D87458" w:rsidRDefault="00987890" w:rsidP="0098789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87458">
              <w:rPr>
                <w:rFonts w:asciiTheme="minorHAnsi" w:hAnsiTheme="minorHAnsi" w:cstheme="minorHAnsi"/>
              </w:rPr>
              <w:t>C4</w:t>
            </w:r>
          </w:p>
        </w:tc>
        <w:tc>
          <w:tcPr>
            <w:tcW w:w="1645" w:type="dxa"/>
          </w:tcPr>
          <w:p w14:paraId="16716487" w14:textId="77777777" w:rsidR="00987890" w:rsidRPr="00D87458" w:rsidRDefault="00987890" w:rsidP="0098789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87458">
              <w:rPr>
                <w:rFonts w:asciiTheme="minorHAnsi" w:hAnsiTheme="minorHAnsi" w:cstheme="minorHAnsi"/>
              </w:rPr>
              <w:t>C5</w:t>
            </w:r>
          </w:p>
        </w:tc>
        <w:tc>
          <w:tcPr>
            <w:tcW w:w="1646" w:type="dxa"/>
          </w:tcPr>
          <w:p w14:paraId="172A5720" w14:textId="77777777" w:rsidR="00987890" w:rsidRPr="00D87458" w:rsidRDefault="00987890" w:rsidP="0098789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87458">
              <w:rPr>
                <w:rFonts w:asciiTheme="minorHAnsi" w:hAnsiTheme="minorHAnsi" w:cstheme="minorHAnsi"/>
              </w:rPr>
              <w:t>C6</w:t>
            </w:r>
          </w:p>
        </w:tc>
        <w:tc>
          <w:tcPr>
            <w:tcW w:w="2551" w:type="dxa"/>
          </w:tcPr>
          <w:p w14:paraId="4E5D366C" w14:textId="77777777" w:rsidR="00987890" w:rsidRPr="00D87458" w:rsidRDefault="00987890" w:rsidP="0098789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87458">
              <w:rPr>
                <w:rFonts w:asciiTheme="minorHAnsi" w:hAnsiTheme="minorHAnsi" w:cstheme="minorHAnsi"/>
              </w:rPr>
              <w:t>Comment</w:t>
            </w:r>
          </w:p>
        </w:tc>
      </w:tr>
      <w:tr w:rsidR="00987890" w:rsidRPr="00987890" w14:paraId="3467EDC1" w14:textId="77777777" w:rsidTr="00D8745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2" w:type="dxa"/>
            <w:tcBorders>
              <w:top w:val="none" w:sz="0" w:space="0" w:color="auto"/>
              <w:left w:val="none" w:sz="0" w:space="0" w:color="auto"/>
              <w:bottom w:val="none" w:sz="0" w:space="0" w:color="auto"/>
            </w:tcBorders>
          </w:tcPr>
          <w:p w14:paraId="689197F5" w14:textId="77777777" w:rsidR="00987890" w:rsidRPr="00987890" w:rsidRDefault="00987890" w:rsidP="00987890">
            <w:pPr>
              <w:jc w:val="left"/>
              <w:rPr>
                <w:rFonts w:asciiTheme="minorHAnsi" w:hAnsiTheme="minorHAnsi" w:cstheme="minorHAnsi"/>
              </w:rPr>
            </w:pPr>
            <w:r w:rsidRPr="00987890">
              <w:rPr>
                <w:rFonts w:asciiTheme="minorHAnsi" w:hAnsiTheme="minorHAnsi" w:cstheme="minorHAnsi"/>
              </w:rPr>
              <w:t>AECRs (SA)</w:t>
            </w:r>
          </w:p>
        </w:tc>
        <w:tc>
          <w:tcPr>
            <w:tcW w:w="1645" w:type="dxa"/>
            <w:tcBorders>
              <w:top w:val="none" w:sz="0" w:space="0" w:color="auto"/>
              <w:bottom w:val="none" w:sz="0" w:space="0" w:color="auto"/>
            </w:tcBorders>
          </w:tcPr>
          <w:p w14:paraId="347F7AC1"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primary objective is condition</w:t>
            </w:r>
          </w:p>
        </w:tc>
        <w:tc>
          <w:tcPr>
            <w:tcW w:w="1645" w:type="dxa"/>
            <w:tcBorders>
              <w:top w:val="none" w:sz="0" w:space="0" w:color="auto"/>
              <w:bottom w:val="none" w:sz="0" w:space="0" w:color="auto"/>
            </w:tcBorders>
          </w:tcPr>
          <w:p w14:paraId="19951568"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nested hierarchical design</w:t>
            </w:r>
          </w:p>
        </w:tc>
        <w:tc>
          <w:tcPr>
            <w:tcW w:w="1646" w:type="dxa"/>
            <w:tcBorders>
              <w:top w:val="none" w:sz="0" w:space="0" w:color="auto"/>
              <w:bottom w:val="none" w:sz="0" w:space="0" w:color="auto"/>
            </w:tcBorders>
          </w:tcPr>
          <w:p w14:paraId="076301B7"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indicators are for condition but vary between assessments</w:t>
            </w:r>
          </w:p>
        </w:tc>
        <w:tc>
          <w:tcPr>
            <w:tcW w:w="1645" w:type="dxa"/>
            <w:tcBorders>
              <w:top w:val="none" w:sz="0" w:space="0" w:color="auto"/>
              <w:bottom w:val="none" w:sz="0" w:space="0" w:color="auto"/>
            </w:tcBorders>
          </w:tcPr>
          <w:p w14:paraId="7C456F2B"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method has been implemented</w:t>
            </w:r>
          </w:p>
        </w:tc>
        <w:tc>
          <w:tcPr>
            <w:tcW w:w="1645" w:type="dxa"/>
            <w:tcBorders>
              <w:top w:val="none" w:sz="0" w:space="0" w:color="auto"/>
              <w:bottom w:val="none" w:sz="0" w:space="0" w:color="auto"/>
            </w:tcBorders>
          </w:tcPr>
          <w:p w14:paraId="0EC6AC7A"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–report cards are produced</w:t>
            </w:r>
          </w:p>
        </w:tc>
        <w:tc>
          <w:tcPr>
            <w:tcW w:w="1646" w:type="dxa"/>
            <w:tcBorders>
              <w:top w:val="none" w:sz="0" w:space="0" w:color="auto"/>
              <w:bottom w:val="none" w:sz="0" w:space="0" w:color="auto"/>
            </w:tcBorders>
          </w:tcPr>
          <w:p w14:paraId="76D36E80"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least impacted</w:t>
            </w:r>
          </w:p>
        </w:tc>
        <w:tc>
          <w:tcPr>
            <w:tcW w:w="2551" w:type="dxa"/>
            <w:tcBorders>
              <w:top w:val="none" w:sz="0" w:space="0" w:color="auto"/>
              <w:bottom w:val="none" w:sz="0" w:space="0" w:color="auto"/>
              <w:right w:val="none" w:sz="0" w:space="0" w:color="auto"/>
            </w:tcBorders>
          </w:tcPr>
          <w:p w14:paraId="28432ED2"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Good fit with IECA.</w:t>
            </w:r>
          </w:p>
        </w:tc>
      </w:tr>
      <w:tr w:rsidR="00987890" w:rsidRPr="00987890" w14:paraId="06AFBD73" w14:textId="77777777" w:rsidTr="00D87458">
        <w:trPr>
          <w:cantSplit/>
        </w:trPr>
        <w:tc>
          <w:tcPr>
            <w:cnfStyle w:val="001000000000" w:firstRow="0" w:lastRow="0" w:firstColumn="1" w:lastColumn="0" w:oddVBand="0" w:evenVBand="0" w:oddHBand="0" w:evenHBand="0" w:firstRowFirstColumn="0" w:firstRowLastColumn="0" w:lastRowFirstColumn="0" w:lastRowLastColumn="0"/>
            <w:tcW w:w="2002" w:type="dxa"/>
          </w:tcPr>
          <w:p w14:paraId="1218D930" w14:textId="77777777" w:rsidR="00987890" w:rsidRPr="00987890" w:rsidRDefault="00987890" w:rsidP="00987890">
            <w:pPr>
              <w:jc w:val="left"/>
              <w:rPr>
                <w:rFonts w:asciiTheme="minorHAnsi" w:hAnsiTheme="minorHAnsi" w:cstheme="minorHAnsi"/>
              </w:rPr>
            </w:pPr>
            <w:r w:rsidRPr="00987890">
              <w:rPr>
                <w:rFonts w:asciiTheme="minorHAnsi" w:hAnsiTheme="minorHAnsi" w:cstheme="minorHAnsi"/>
              </w:rPr>
              <w:t>EHMP / Healthy Waterways (QLD)</w:t>
            </w:r>
          </w:p>
        </w:tc>
        <w:tc>
          <w:tcPr>
            <w:tcW w:w="1645" w:type="dxa"/>
          </w:tcPr>
          <w:p w14:paraId="5E50B245"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primary objective is “health” or condition</w:t>
            </w:r>
          </w:p>
        </w:tc>
        <w:tc>
          <w:tcPr>
            <w:tcW w:w="1645" w:type="dxa"/>
          </w:tcPr>
          <w:p w14:paraId="58D3E4DF"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nested hierarchical design</w:t>
            </w:r>
          </w:p>
        </w:tc>
        <w:tc>
          <w:tcPr>
            <w:tcW w:w="1646" w:type="dxa"/>
          </w:tcPr>
          <w:p w14:paraId="540016C0"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indicators for values and threats</w:t>
            </w:r>
          </w:p>
        </w:tc>
        <w:tc>
          <w:tcPr>
            <w:tcW w:w="1645" w:type="dxa"/>
          </w:tcPr>
          <w:p w14:paraId="2275B87E"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tested and formally reviewed</w:t>
            </w:r>
          </w:p>
        </w:tc>
        <w:tc>
          <w:tcPr>
            <w:tcW w:w="1645" w:type="dxa"/>
          </w:tcPr>
          <w:p w14:paraId="19336D1A"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reporting and report cards</w:t>
            </w:r>
          </w:p>
        </w:tc>
        <w:tc>
          <w:tcPr>
            <w:tcW w:w="1646" w:type="dxa"/>
          </w:tcPr>
          <w:p w14:paraId="64ED422E"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natural conditions identified by ecosystem type</w:t>
            </w:r>
          </w:p>
        </w:tc>
        <w:tc>
          <w:tcPr>
            <w:tcW w:w="2551" w:type="dxa"/>
          </w:tcPr>
          <w:p w14:paraId="7D10C057"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Very good fit with IECA.</w:t>
            </w:r>
          </w:p>
        </w:tc>
      </w:tr>
      <w:tr w:rsidR="00987890" w:rsidRPr="00987890" w14:paraId="03FAC7E8" w14:textId="77777777" w:rsidTr="00D8745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2" w:type="dxa"/>
            <w:tcBorders>
              <w:top w:val="none" w:sz="0" w:space="0" w:color="auto"/>
              <w:left w:val="none" w:sz="0" w:space="0" w:color="auto"/>
              <w:bottom w:val="none" w:sz="0" w:space="0" w:color="auto"/>
            </w:tcBorders>
          </w:tcPr>
          <w:p w14:paraId="1F03915D" w14:textId="77777777" w:rsidR="00987890" w:rsidRPr="00987890" w:rsidRDefault="00987890" w:rsidP="00987890">
            <w:pPr>
              <w:jc w:val="left"/>
              <w:rPr>
                <w:rFonts w:asciiTheme="minorHAnsi" w:hAnsiTheme="minorHAnsi" w:cstheme="minorHAnsi"/>
              </w:rPr>
            </w:pPr>
            <w:r w:rsidRPr="00987890">
              <w:rPr>
                <w:rFonts w:asciiTheme="minorHAnsi" w:hAnsiTheme="minorHAnsi" w:cstheme="minorHAnsi"/>
              </w:rPr>
              <w:t>FARWAH (National)</w:t>
            </w:r>
          </w:p>
        </w:tc>
        <w:tc>
          <w:tcPr>
            <w:tcW w:w="1645" w:type="dxa"/>
            <w:tcBorders>
              <w:top w:val="none" w:sz="0" w:space="0" w:color="auto"/>
              <w:bottom w:val="none" w:sz="0" w:space="0" w:color="auto"/>
            </w:tcBorders>
          </w:tcPr>
          <w:p w14:paraId="66EC532E"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condition is primary purpose</w:t>
            </w:r>
          </w:p>
        </w:tc>
        <w:tc>
          <w:tcPr>
            <w:tcW w:w="1645" w:type="dxa"/>
            <w:tcBorders>
              <w:top w:val="none" w:sz="0" w:space="0" w:color="auto"/>
              <w:bottom w:val="none" w:sz="0" w:space="0" w:color="auto"/>
            </w:tcBorders>
          </w:tcPr>
          <w:p w14:paraId="134006F9"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nested hierarchical design</w:t>
            </w:r>
          </w:p>
        </w:tc>
        <w:tc>
          <w:tcPr>
            <w:tcW w:w="1646" w:type="dxa"/>
            <w:tcBorders>
              <w:top w:val="none" w:sz="0" w:space="0" w:color="auto"/>
              <w:bottom w:val="none" w:sz="0" w:space="0" w:color="auto"/>
            </w:tcBorders>
          </w:tcPr>
          <w:p w14:paraId="1A582A38"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indicators for values and threats</w:t>
            </w:r>
          </w:p>
        </w:tc>
        <w:tc>
          <w:tcPr>
            <w:tcW w:w="1645" w:type="dxa"/>
            <w:tcBorders>
              <w:top w:val="none" w:sz="0" w:space="0" w:color="auto"/>
              <w:bottom w:val="none" w:sz="0" w:space="0" w:color="auto"/>
            </w:tcBorders>
          </w:tcPr>
          <w:p w14:paraId="43585CD1"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extensively tested across different states and territories and updated to reflect outcomes</w:t>
            </w:r>
          </w:p>
        </w:tc>
        <w:tc>
          <w:tcPr>
            <w:tcW w:w="1645" w:type="dxa"/>
            <w:tcBorders>
              <w:top w:val="none" w:sz="0" w:space="0" w:color="auto"/>
              <w:bottom w:val="none" w:sz="0" w:space="0" w:color="auto"/>
            </w:tcBorders>
          </w:tcPr>
          <w:p w14:paraId="2FED99CA"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five condition bands</w:t>
            </w:r>
          </w:p>
        </w:tc>
        <w:tc>
          <w:tcPr>
            <w:tcW w:w="1646" w:type="dxa"/>
            <w:tcBorders>
              <w:top w:val="none" w:sz="0" w:space="0" w:color="auto"/>
              <w:bottom w:val="none" w:sz="0" w:space="0" w:color="auto"/>
            </w:tcBorders>
          </w:tcPr>
          <w:p w14:paraId="4931A862"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referential to natural</w:t>
            </w:r>
          </w:p>
        </w:tc>
        <w:tc>
          <w:tcPr>
            <w:tcW w:w="2551" w:type="dxa"/>
            <w:tcBorders>
              <w:top w:val="none" w:sz="0" w:space="0" w:color="auto"/>
              <w:bottom w:val="none" w:sz="0" w:space="0" w:color="auto"/>
              <w:right w:val="none" w:sz="0" w:space="0" w:color="auto"/>
            </w:tcBorders>
          </w:tcPr>
          <w:p w14:paraId="111594D1"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 xml:space="preserve">In many respects FARWH is very similar to IECA in that it is a flexible framework designed to integrate across scales and different methods for condition of aquatic ecosystems. It doesn’t however, include all ecosystem types, nor does it provide a means of harmonising scores across indices. The main difference is FARWH assesses against pre-European condition whereas IECA is against ecological values at a set point in time, not necessarily pre-European. </w:t>
            </w:r>
          </w:p>
        </w:tc>
      </w:tr>
      <w:tr w:rsidR="00987890" w:rsidRPr="00987890" w14:paraId="5DA8DA76" w14:textId="77777777" w:rsidTr="00D87458">
        <w:trPr>
          <w:cantSplit/>
        </w:trPr>
        <w:tc>
          <w:tcPr>
            <w:cnfStyle w:val="001000000000" w:firstRow="0" w:lastRow="0" w:firstColumn="1" w:lastColumn="0" w:oddVBand="0" w:evenVBand="0" w:oddHBand="0" w:evenHBand="0" w:firstRowFirstColumn="0" w:firstRowLastColumn="0" w:lastRowFirstColumn="0" w:lastRowLastColumn="0"/>
            <w:tcW w:w="2002" w:type="dxa"/>
          </w:tcPr>
          <w:p w14:paraId="46D3C8AD" w14:textId="77777777" w:rsidR="00987890" w:rsidRPr="00987890" w:rsidRDefault="00987890" w:rsidP="00987890">
            <w:pPr>
              <w:jc w:val="left"/>
              <w:rPr>
                <w:rFonts w:asciiTheme="minorHAnsi" w:hAnsiTheme="minorHAnsi" w:cstheme="minorHAnsi"/>
              </w:rPr>
            </w:pPr>
            <w:r w:rsidRPr="00987890">
              <w:rPr>
                <w:rFonts w:asciiTheme="minorHAnsi" w:hAnsiTheme="minorHAnsi" w:cstheme="minorHAnsi"/>
              </w:rPr>
              <w:lastRenderedPageBreak/>
              <w:t>ISC (Vic)</w:t>
            </w:r>
          </w:p>
        </w:tc>
        <w:tc>
          <w:tcPr>
            <w:tcW w:w="1645" w:type="dxa"/>
          </w:tcPr>
          <w:p w14:paraId="45C673EE"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primary purpose is condition</w:t>
            </w:r>
          </w:p>
        </w:tc>
        <w:tc>
          <w:tcPr>
            <w:tcW w:w="1645" w:type="dxa"/>
          </w:tcPr>
          <w:p w14:paraId="695A5E8E"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nested hierarchical design</w:t>
            </w:r>
          </w:p>
        </w:tc>
        <w:tc>
          <w:tcPr>
            <w:tcW w:w="1646" w:type="dxa"/>
          </w:tcPr>
          <w:p w14:paraId="4AEA5968"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indicators for values and threats</w:t>
            </w:r>
          </w:p>
        </w:tc>
        <w:tc>
          <w:tcPr>
            <w:tcW w:w="1645" w:type="dxa"/>
          </w:tcPr>
          <w:p w14:paraId="1B74D33C"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extensively tested throughout Victoria</w:t>
            </w:r>
          </w:p>
        </w:tc>
        <w:tc>
          <w:tcPr>
            <w:tcW w:w="1645" w:type="dxa"/>
          </w:tcPr>
          <w:p w14:paraId="6BD86036"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five condition bands</w:t>
            </w:r>
          </w:p>
        </w:tc>
        <w:tc>
          <w:tcPr>
            <w:tcW w:w="1646" w:type="dxa"/>
          </w:tcPr>
          <w:p w14:paraId="66EFF964"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referential to natural / pre-European</w:t>
            </w:r>
          </w:p>
        </w:tc>
        <w:tc>
          <w:tcPr>
            <w:tcW w:w="2551" w:type="dxa"/>
          </w:tcPr>
          <w:p w14:paraId="1F3F623F"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Only covers rivers and streams, but data could be used from this method.</w:t>
            </w:r>
          </w:p>
        </w:tc>
      </w:tr>
      <w:tr w:rsidR="00987890" w:rsidRPr="00987890" w14:paraId="4A42065D" w14:textId="77777777" w:rsidTr="00D8745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2" w:type="dxa"/>
            <w:tcBorders>
              <w:top w:val="none" w:sz="0" w:space="0" w:color="auto"/>
              <w:left w:val="none" w:sz="0" w:space="0" w:color="auto"/>
              <w:bottom w:val="none" w:sz="0" w:space="0" w:color="auto"/>
            </w:tcBorders>
          </w:tcPr>
          <w:p w14:paraId="31D1B6F6" w14:textId="77777777" w:rsidR="00987890" w:rsidRPr="00987890" w:rsidRDefault="00987890" w:rsidP="00987890">
            <w:pPr>
              <w:jc w:val="left"/>
              <w:rPr>
                <w:rFonts w:asciiTheme="minorHAnsi" w:hAnsiTheme="minorHAnsi" w:cstheme="minorHAnsi"/>
              </w:rPr>
            </w:pPr>
            <w:r w:rsidRPr="00987890">
              <w:rPr>
                <w:rFonts w:asciiTheme="minorHAnsi" w:hAnsiTheme="minorHAnsi" w:cstheme="minorHAnsi"/>
              </w:rPr>
              <w:t>IWC (Vic)</w:t>
            </w:r>
          </w:p>
        </w:tc>
        <w:tc>
          <w:tcPr>
            <w:tcW w:w="1645" w:type="dxa"/>
            <w:tcBorders>
              <w:top w:val="none" w:sz="0" w:space="0" w:color="auto"/>
              <w:bottom w:val="none" w:sz="0" w:space="0" w:color="auto"/>
            </w:tcBorders>
          </w:tcPr>
          <w:p w14:paraId="5564C9E4"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primary purpose is condition</w:t>
            </w:r>
          </w:p>
        </w:tc>
        <w:tc>
          <w:tcPr>
            <w:tcW w:w="1645" w:type="dxa"/>
            <w:tcBorders>
              <w:top w:val="none" w:sz="0" w:space="0" w:color="auto"/>
              <w:bottom w:val="none" w:sz="0" w:space="0" w:color="auto"/>
            </w:tcBorders>
          </w:tcPr>
          <w:p w14:paraId="16A21775"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No – applied at individual wetlands only; no guidance for scaling up</w:t>
            </w:r>
          </w:p>
        </w:tc>
        <w:tc>
          <w:tcPr>
            <w:tcW w:w="1646" w:type="dxa"/>
            <w:tcBorders>
              <w:top w:val="none" w:sz="0" w:space="0" w:color="auto"/>
              <w:bottom w:val="none" w:sz="0" w:space="0" w:color="auto"/>
            </w:tcBorders>
          </w:tcPr>
          <w:p w14:paraId="636A9EFF"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Partial – indicators for vegetation and threats, but not for other biota</w:t>
            </w:r>
          </w:p>
        </w:tc>
        <w:tc>
          <w:tcPr>
            <w:tcW w:w="1645" w:type="dxa"/>
            <w:tcBorders>
              <w:top w:val="none" w:sz="0" w:space="0" w:color="auto"/>
              <w:bottom w:val="none" w:sz="0" w:space="0" w:color="auto"/>
            </w:tcBorders>
          </w:tcPr>
          <w:p w14:paraId="0C627F05"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extensively tested throughout Victoria</w:t>
            </w:r>
          </w:p>
        </w:tc>
        <w:tc>
          <w:tcPr>
            <w:tcW w:w="1645" w:type="dxa"/>
            <w:tcBorders>
              <w:top w:val="none" w:sz="0" w:space="0" w:color="auto"/>
              <w:bottom w:val="none" w:sz="0" w:space="0" w:color="auto"/>
            </w:tcBorders>
          </w:tcPr>
          <w:p w14:paraId="39AFA940"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condition bands are provided</w:t>
            </w:r>
          </w:p>
        </w:tc>
        <w:tc>
          <w:tcPr>
            <w:tcW w:w="1646" w:type="dxa"/>
            <w:tcBorders>
              <w:top w:val="none" w:sz="0" w:space="0" w:color="auto"/>
              <w:bottom w:val="none" w:sz="0" w:space="0" w:color="auto"/>
            </w:tcBorders>
          </w:tcPr>
          <w:p w14:paraId="22FCCC33"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referential to natural / pre-European</w:t>
            </w:r>
          </w:p>
        </w:tc>
        <w:tc>
          <w:tcPr>
            <w:tcW w:w="2551" w:type="dxa"/>
            <w:tcBorders>
              <w:top w:val="none" w:sz="0" w:space="0" w:color="auto"/>
              <w:bottom w:val="none" w:sz="0" w:space="0" w:color="auto"/>
              <w:right w:val="none" w:sz="0" w:space="0" w:color="auto"/>
            </w:tcBorders>
          </w:tcPr>
          <w:p w14:paraId="57329319"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Could be used in an IECA with some additions, including a process for scaling up from individual wetlands and some other biotic indicators.</w:t>
            </w:r>
          </w:p>
        </w:tc>
      </w:tr>
      <w:tr w:rsidR="00987890" w:rsidRPr="00987890" w14:paraId="3FB478FA" w14:textId="77777777" w:rsidTr="00D87458">
        <w:trPr>
          <w:cantSplit/>
        </w:trPr>
        <w:tc>
          <w:tcPr>
            <w:cnfStyle w:val="001000000000" w:firstRow="0" w:lastRow="0" w:firstColumn="1" w:lastColumn="0" w:oddVBand="0" w:evenVBand="0" w:oddHBand="0" w:evenHBand="0" w:firstRowFirstColumn="0" w:firstRowLastColumn="0" w:lastRowFirstColumn="0" w:lastRowLastColumn="0"/>
            <w:tcW w:w="2002" w:type="dxa"/>
          </w:tcPr>
          <w:p w14:paraId="61FB0748" w14:textId="77777777" w:rsidR="00987890" w:rsidRPr="00987890" w:rsidRDefault="00987890" w:rsidP="00987890">
            <w:pPr>
              <w:jc w:val="left"/>
              <w:rPr>
                <w:rFonts w:asciiTheme="minorHAnsi" w:hAnsiTheme="minorHAnsi" w:cstheme="minorHAnsi"/>
              </w:rPr>
            </w:pPr>
            <w:r w:rsidRPr="00987890">
              <w:rPr>
                <w:rFonts w:asciiTheme="minorHAnsi" w:hAnsiTheme="minorHAnsi" w:cstheme="minorHAnsi"/>
              </w:rPr>
              <w:t>Lake Eyre Basin Rivers Assessment - LEBRA (Lake Eyre Basin)</w:t>
            </w:r>
          </w:p>
        </w:tc>
        <w:tc>
          <w:tcPr>
            <w:tcW w:w="1645" w:type="dxa"/>
          </w:tcPr>
          <w:p w14:paraId="76534BC4"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primary purpose is condition</w:t>
            </w:r>
          </w:p>
        </w:tc>
        <w:tc>
          <w:tcPr>
            <w:tcW w:w="1645" w:type="dxa"/>
          </w:tcPr>
          <w:p w14:paraId="748E8CA5"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 xml:space="preserve">Yes – sites selected to be representative of catchments and the Basin </w:t>
            </w:r>
          </w:p>
        </w:tc>
        <w:tc>
          <w:tcPr>
            <w:tcW w:w="1646" w:type="dxa"/>
          </w:tcPr>
          <w:p w14:paraId="1BB68C41"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Partial – indicators for hydrology and water quality, fish the only biota.</w:t>
            </w:r>
          </w:p>
        </w:tc>
        <w:tc>
          <w:tcPr>
            <w:tcW w:w="1645" w:type="dxa"/>
          </w:tcPr>
          <w:p w14:paraId="452F6C42"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adaptively managed</w:t>
            </w:r>
          </w:p>
        </w:tc>
        <w:tc>
          <w:tcPr>
            <w:tcW w:w="1645" w:type="dxa"/>
          </w:tcPr>
          <w:p w14:paraId="4759073A"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Partial –condition scores fish communities based on data collected under LEBRA.</w:t>
            </w:r>
          </w:p>
        </w:tc>
        <w:tc>
          <w:tcPr>
            <w:tcW w:w="1646" w:type="dxa"/>
          </w:tcPr>
          <w:p w14:paraId="3D772173"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Partial against Biological Condition Gradient and thresholds of potential concern</w:t>
            </w:r>
          </w:p>
        </w:tc>
        <w:tc>
          <w:tcPr>
            <w:tcW w:w="2551" w:type="dxa"/>
          </w:tcPr>
          <w:p w14:paraId="1E4B0967"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Assessment is primarily based on data collected under the Lake Eyre Basin Rivers Assessment monitoring programme. Data could be used to inform an IECA of river systems if a method was applied for integration and scaling.</w:t>
            </w:r>
          </w:p>
        </w:tc>
      </w:tr>
      <w:tr w:rsidR="00987890" w:rsidRPr="00987890" w14:paraId="363E23E3" w14:textId="77777777" w:rsidTr="00D8745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2" w:type="dxa"/>
            <w:tcBorders>
              <w:top w:val="none" w:sz="0" w:space="0" w:color="auto"/>
              <w:left w:val="none" w:sz="0" w:space="0" w:color="auto"/>
              <w:bottom w:val="none" w:sz="0" w:space="0" w:color="auto"/>
            </w:tcBorders>
          </w:tcPr>
          <w:p w14:paraId="0991F061" w14:textId="5FD89C79" w:rsidR="00987890" w:rsidRPr="00987890" w:rsidRDefault="00987890" w:rsidP="000F1364">
            <w:pPr>
              <w:jc w:val="left"/>
              <w:rPr>
                <w:rFonts w:asciiTheme="minorHAnsi" w:hAnsiTheme="minorHAnsi" w:cstheme="minorHAnsi"/>
              </w:rPr>
            </w:pPr>
            <w:r w:rsidRPr="00987890">
              <w:rPr>
                <w:rFonts w:asciiTheme="minorHAnsi" w:hAnsiTheme="minorHAnsi" w:cstheme="minorHAnsi"/>
              </w:rPr>
              <w:t>LTIM (</w:t>
            </w:r>
            <w:r w:rsidR="000F1364">
              <w:rPr>
                <w:rFonts w:asciiTheme="minorHAnsi" w:hAnsiTheme="minorHAnsi" w:cstheme="minorHAnsi"/>
              </w:rPr>
              <w:t>Murray-</w:t>
            </w:r>
            <w:r w:rsidRPr="00987890">
              <w:rPr>
                <w:rFonts w:asciiTheme="minorHAnsi" w:hAnsiTheme="minorHAnsi" w:cstheme="minorHAnsi"/>
              </w:rPr>
              <w:t>Darling Basin)</w:t>
            </w:r>
          </w:p>
        </w:tc>
        <w:tc>
          <w:tcPr>
            <w:tcW w:w="1645" w:type="dxa"/>
            <w:tcBorders>
              <w:top w:val="none" w:sz="0" w:space="0" w:color="auto"/>
              <w:bottom w:val="none" w:sz="0" w:space="0" w:color="auto"/>
            </w:tcBorders>
          </w:tcPr>
          <w:p w14:paraId="3EBF7FBF"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No – primary purpose is effects of e-water</w:t>
            </w:r>
          </w:p>
        </w:tc>
        <w:tc>
          <w:tcPr>
            <w:tcW w:w="1645" w:type="dxa"/>
            <w:tcBorders>
              <w:top w:val="none" w:sz="0" w:space="0" w:color="auto"/>
              <w:bottom w:val="none" w:sz="0" w:space="0" w:color="auto"/>
            </w:tcBorders>
          </w:tcPr>
          <w:p w14:paraId="5394994D"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Some scaling from site to whole of Basin, but sample design varies across Areas and indicators</w:t>
            </w:r>
          </w:p>
        </w:tc>
        <w:tc>
          <w:tcPr>
            <w:tcW w:w="1646" w:type="dxa"/>
            <w:tcBorders>
              <w:top w:val="none" w:sz="0" w:space="0" w:color="auto"/>
              <w:bottom w:val="none" w:sz="0" w:space="0" w:color="auto"/>
            </w:tcBorders>
          </w:tcPr>
          <w:p w14:paraId="06CA13CA"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No - Indicators linked to responses to water regime, not condition</w:t>
            </w:r>
          </w:p>
        </w:tc>
        <w:tc>
          <w:tcPr>
            <w:tcW w:w="1645" w:type="dxa"/>
            <w:tcBorders>
              <w:top w:val="none" w:sz="0" w:space="0" w:color="auto"/>
              <w:bottom w:val="none" w:sz="0" w:space="0" w:color="auto"/>
            </w:tcBorders>
          </w:tcPr>
          <w:p w14:paraId="1165E6AE"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No – an adaptive management approach is adopted with potential improvements to methods over time.</w:t>
            </w:r>
          </w:p>
        </w:tc>
        <w:tc>
          <w:tcPr>
            <w:tcW w:w="1645" w:type="dxa"/>
            <w:tcBorders>
              <w:top w:val="none" w:sz="0" w:space="0" w:color="auto"/>
              <w:bottom w:val="none" w:sz="0" w:space="0" w:color="auto"/>
            </w:tcBorders>
          </w:tcPr>
          <w:p w14:paraId="0D4F60D4"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No – no condition scores of bands</w:t>
            </w:r>
          </w:p>
        </w:tc>
        <w:tc>
          <w:tcPr>
            <w:tcW w:w="1646" w:type="dxa"/>
            <w:tcBorders>
              <w:top w:val="none" w:sz="0" w:space="0" w:color="auto"/>
              <w:bottom w:val="none" w:sz="0" w:space="0" w:color="auto"/>
            </w:tcBorders>
          </w:tcPr>
          <w:p w14:paraId="394260A9"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Not consistently – the idealized reference is “in the absence of environmental water”.</w:t>
            </w:r>
          </w:p>
        </w:tc>
        <w:tc>
          <w:tcPr>
            <w:tcW w:w="2551" w:type="dxa"/>
            <w:tcBorders>
              <w:top w:val="none" w:sz="0" w:space="0" w:color="auto"/>
              <w:bottom w:val="none" w:sz="0" w:space="0" w:color="auto"/>
              <w:right w:val="none" w:sz="0" w:space="0" w:color="auto"/>
            </w:tcBorders>
          </w:tcPr>
          <w:p w14:paraId="4282FD59"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 xml:space="preserve">This is not a condition assessment and does not provide any condition scores The purpose is intervention monitoring and is probably of limited use to an IECA assessment. </w:t>
            </w:r>
          </w:p>
        </w:tc>
      </w:tr>
      <w:tr w:rsidR="00987890" w:rsidRPr="00987890" w14:paraId="45F03D6D" w14:textId="77777777" w:rsidTr="00D87458">
        <w:trPr>
          <w:cantSplit/>
        </w:trPr>
        <w:tc>
          <w:tcPr>
            <w:cnfStyle w:val="001000000000" w:firstRow="0" w:lastRow="0" w:firstColumn="1" w:lastColumn="0" w:oddVBand="0" w:evenVBand="0" w:oddHBand="0" w:evenHBand="0" w:firstRowFirstColumn="0" w:firstRowLastColumn="0" w:lastRowFirstColumn="0" w:lastRowLastColumn="0"/>
            <w:tcW w:w="2002" w:type="dxa"/>
          </w:tcPr>
          <w:p w14:paraId="08F38C2B" w14:textId="77777777" w:rsidR="00987890" w:rsidRPr="00987890" w:rsidRDefault="00987890" w:rsidP="00987890">
            <w:pPr>
              <w:jc w:val="left"/>
              <w:rPr>
                <w:rFonts w:asciiTheme="minorHAnsi" w:hAnsiTheme="minorHAnsi" w:cstheme="minorHAnsi"/>
              </w:rPr>
            </w:pPr>
            <w:r w:rsidRPr="00987890">
              <w:rPr>
                <w:rFonts w:asciiTheme="minorHAnsi" w:hAnsiTheme="minorHAnsi" w:cstheme="minorHAnsi"/>
              </w:rPr>
              <w:t>NSW Estuary Ecosystem Health</w:t>
            </w:r>
          </w:p>
        </w:tc>
        <w:tc>
          <w:tcPr>
            <w:tcW w:w="1645" w:type="dxa"/>
          </w:tcPr>
          <w:p w14:paraId="0254F2CA"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health / condition is primary purpose</w:t>
            </w:r>
          </w:p>
        </w:tc>
        <w:tc>
          <w:tcPr>
            <w:tcW w:w="1645" w:type="dxa"/>
          </w:tcPr>
          <w:p w14:paraId="0FF2E675"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Partial – currently reports at the whole of asset scale, but mention of future scaling up.</w:t>
            </w:r>
          </w:p>
        </w:tc>
        <w:tc>
          <w:tcPr>
            <w:tcW w:w="1646" w:type="dxa"/>
          </w:tcPr>
          <w:p w14:paraId="747FDD63"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indicators of values and threats</w:t>
            </w:r>
          </w:p>
        </w:tc>
        <w:tc>
          <w:tcPr>
            <w:tcW w:w="1645" w:type="dxa"/>
          </w:tcPr>
          <w:p w14:paraId="685D095C"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Unknown – is a new protocol recently implemented.</w:t>
            </w:r>
          </w:p>
        </w:tc>
        <w:tc>
          <w:tcPr>
            <w:tcW w:w="1645" w:type="dxa"/>
          </w:tcPr>
          <w:p w14:paraId="543D0BED"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condition scores in five bands, with some guide on integration of sub-indices.</w:t>
            </w:r>
          </w:p>
        </w:tc>
        <w:tc>
          <w:tcPr>
            <w:tcW w:w="1646" w:type="dxa"/>
          </w:tcPr>
          <w:p w14:paraId="44FF6674"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against trigger values from “reference” sites.</w:t>
            </w:r>
          </w:p>
        </w:tc>
        <w:tc>
          <w:tcPr>
            <w:tcW w:w="2551" w:type="dxa"/>
          </w:tcPr>
          <w:p w14:paraId="150A4470"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This is a new method that could easily be adapted into an IECA assessment.</w:t>
            </w:r>
          </w:p>
        </w:tc>
      </w:tr>
      <w:tr w:rsidR="00987890" w:rsidRPr="00987890" w14:paraId="38D7E36D" w14:textId="77777777" w:rsidTr="00D8745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2" w:type="dxa"/>
            <w:tcBorders>
              <w:top w:val="none" w:sz="0" w:space="0" w:color="auto"/>
              <w:left w:val="none" w:sz="0" w:space="0" w:color="auto"/>
              <w:bottom w:val="none" w:sz="0" w:space="0" w:color="auto"/>
            </w:tcBorders>
          </w:tcPr>
          <w:p w14:paraId="2C71560A" w14:textId="77777777" w:rsidR="00987890" w:rsidRPr="00987890" w:rsidRDefault="00987890" w:rsidP="00987890">
            <w:pPr>
              <w:jc w:val="left"/>
              <w:rPr>
                <w:rFonts w:asciiTheme="minorHAnsi" w:hAnsiTheme="minorHAnsi" w:cstheme="minorHAnsi"/>
              </w:rPr>
            </w:pPr>
            <w:r w:rsidRPr="00987890">
              <w:rPr>
                <w:rFonts w:asciiTheme="minorHAnsi" w:hAnsiTheme="minorHAnsi" w:cstheme="minorHAnsi"/>
              </w:rPr>
              <w:lastRenderedPageBreak/>
              <w:t>Q-catchments (QLD)</w:t>
            </w:r>
          </w:p>
        </w:tc>
        <w:tc>
          <w:tcPr>
            <w:tcW w:w="1645" w:type="dxa"/>
            <w:tcBorders>
              <w:top w:val="none" w:sz="0" w:space="0" w:color="auto"/>
              <w:bottom w:val="none" w:sz="0" w:space="0" w:color="auto"/>
            </w:tcBorders>
          </w:tcPr>
          <w:p w14:paraId="12FE9680"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primary purpose is condition</w:t>
            </w:r>
          </w:p>
        </w:tc>
        <w:tc>
          <w:tcPr>
            <w:tcW w:w="1645" w:type="dxa"/>
            <w:tcBorders>
              <w:top w:val="none" w:sz="0" w:space="0" w:color="auto"/>
              <w:bottom w:val="none" w:sz="0" w:space="0" w:color="auto"/>
            </w:tcBorders>
          </w:tcPr>
          <w:p w14:paraId="4BE0704F"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method dictates the selection of representative sites</w:t>
            </w:r>
          </w:p>
        </w:tc>
        <w:tc>
          <w:tcPr>
            <w:tcW w:w="1646" w:type="dxa"/>
            <w:tcBorders>
              <w:top w:val="none" w:sz="0" w:space="0" w:color="auto"/>
              <w:bottom w:val="none" w:sz="0" w:space="0" w:color="auto"/>
            </w:tcBorders>
          </w:tcPr>
          <w:p w14:paraId="7C416F4C"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Partial – indicators are of threat / risk</w:t>
            </w:r>
          </w:p>
        </w:tc>
        <w:tc>
          <w:tcPr>
            <w:tcW w:w="1645" w:type="dxa"/>
            <w:tcBorders>
              <w:top w:val="none" w:sz="0" w:space="0" w:color="auto"/>
              <w:bottom w:val="none" w:sz="0" w:space="0" w:color="auto"/>
            </w:tcBorders>
          </w:tcPr>
          <w:p w14:paraId="7557A653" w14:textId="6F2B1DD0"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implemented as S</w:t>
            </w:r>
            <w:r w:rsidR="003128AC">
              <w:rPr>
                <w:rFonts w:asciiTheme="minorHAnsi" w:hAnsiTheme="minorHAnsi" w:cstheme="minorHAnsi"/>
              </w:rPr>
              <w:t xml:space="preserve">tream and </w:t>
            </w:r>
            <w:r w:rsidRPr="00987890">
              <w:rPr>
                <w:rFonts w:asciiTheme="minorHAnsi" w:hAnsiTheme="minorHAnsi" w:cstheme="minorHAnsi"/>
              </w:rPr>
              <w:t>E</w:t>
            </w:r>
            <w:r w:rsidR="003128AC">
              <w:rPr>
                <w:rFonts w:asciiTheme="minorHAnsi" w:hAnsiTheme="minorHAnsi" w:cstheme="minorHAnsi"/>
              </w:rPr>
              <w:t>stuary Assessment Program (SE</w:t>
            </w:r>
            <w:r w:rsidRPr="00987890">
              <w:rPr>
                <w:rFonts w:asciiTheme="minorHAnsi" w:hAnsiTheme="minorHAnsi" w:cstheme="minorHAnsi"/>
              </w:rPr>
              <w:t>AP</w:t>
            </w:r>
            <w:r w:rsidR="003128AC">
              <w:rPr>
                <w:rFonts w:asciiTheme="minorHAnsi" w:hAnsiTheme="minorHAnsi" w:cstheme="minorHAnsi"/>
              </w:rPr>
              <w:t>)</w:t>
            </w:r>
            <w:r w:rsidRPr="00987890">
              <w:rPr>
                <w:rFonts w:asciiTheme="minorHAnsi" w:hAnsiTheme="minorHAnsi" w:cstheme="minorHAnsi"/>
              </w:rPr>
              <w:t xml:space="preserve"> and in a number of catchments</w:t>
            </w:r>
          </w:p>
        </w:tc>
        <w:tc>
          <w:tcPr>
            <w:tcW w:w="1645" w:type="dxa"/>
            <w:tcBorders>
              <w:top w:val="none" w:sz="0" w:space="0" w:color="auto"/>
              <w:bottom w:val="none" w:sz="0" w:space="0" w:color="auto"/>
            </w:tcBorders>
          </w:tcPr>
          <w:p w14:paraId="3E94B7C3"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condition bands and scores</w:t>
            </w:r>
          </w:p>
        </w:tc>
        <w:tc>
          <w:tcPr>
            <w:tcW w:w="1646" w:type="dxa"/>
            <w:tcBorders>
              <w:top w:val="none" w:sz="0" w:space="0" w:color="auto"/>
              <w:bottom w:val="none" w:sz="0" w:space="0" w:color="auto"/>
            </w:tcBorders>
          </w:tcPr>
          <w:p w14:paraId="6A5A862F"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referential</w:t>
            </w:r>
          </w:p>
        </w:tc>
        <w:tc>
          <w:tcPr>
            <w:tcW w:w="2551" w:type="dxa"/>
            <w:tcBorders>
              <w:top w:val="none" w:sz="0" w:space="0" w:color="auto"/>
              <w:bottom w:val="none" w:sz="0" w:space="0" w:color="auto"/>
              <w:right w:val="none" w:sz="0" w:space="0" w:color="auto"/>
            </w:tcBorders>
          </w:tcPr>
          <w:p w14:paraId="2DDAAAD1"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 xml:space="preserve">This is a framework that provides excellent guides for monitoring design and risk assessment.  Riverine focus. </w:t>
            </w:r>
          </w:p>
        </w:tc>
      </w:tr>
      <w:tr w:rsidR="00987890" w:rsidRPr="00987890" w14:paraId="7EA993D8" w14:textId="77777777" w:rsidTr="00D87458">
        <w:trPr>
          <w:cantSplit/>
        </w:trPr>
        <w:tc>
          <w:tcPr>
            <w:cnfStyle w:val="001000000000" w:firstRow="0" w:lastRow="0" w:firstColumn="1" w:lastColumn="0" w:oddVBand="0" w:evenVBand="0" w:oddHBand="0" w:evenHBand="0" w:firstRowFirstColumn="0" w:firstRowLastColumn="0" w:lastRowFirstColumn="0" w:lastRowLastColumn="0"/>
            <w:tcW w:w="2002" w:type="dxa"/>
          </w:tcPr>
          <w:p w14:paraId="4D3C9BB9" w14:textId="77777777" w:rsidR="00987890" w:rsidRPr="00987890" w:rsidRDefault="00987890" w:rsidP="00987890">
            <w:pPr>
              <w:jc w:val="left"/>
              <w:rPr>
                <w:rFonts w:asciiTheme="minorHAnsi" w:hAnsiTheme="minorHAnsi" w:cstheme="minorHAnsi"/>
              </w:rPr>
            </w:pPr>
            <w:r w:rsidRPr="00987890">
              <w:rPr>
                <w:rFonts w:asciiTheme="minorHAnsi" w:hAnsiTheme="minorHAnsi" w:cstheme="minorHAnsi"/>
              </w:rPr>
              <w:t>RARC / TRARC (National)</w:t>
            </w:r>
          </w:p>
        </w:tc>
        <w:tc>
          <w:tcPr>
            <w:tcW w:w="1645" w:type="dxa"/>
          </w:tcPr>
          <w:p w14:paraId="292EDADB"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primary purpose is condition</w:t>
            </w:r>
          </w:p>
        </w:tc>
        <w:tc>
          <w:tcPr>
            <w:tcW w:w="1645" w:type="dxa"/>
          </w:tcPr>
          <w:p w14:paraId="058EC473"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Partial – advises to select representative sites; but no mechanisms to scale up from site to larger scale</w:t>
            </w:r>
          </w:p>
        </w:tc>
        <w:tc>
          <w:tcPr>
            <w:tcW w:w="1646" w:type="dxa"/>
          </w:tcPr>
          <w:p w14:paraId="51132ECB"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Partial – indicators for values and threats but vegetation is the only biotic measure.</w:t>
            </w:r>
          </w:p>
        </w:tc>
        <w:tc>
          <w:tcPr>
            <w:tcW w:w="1645" w:type="dxa"/>
          </w:tcPr>
          <w:p w14:paraId="67F6F25E"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extensively tested and refined for different areas of Australia.</w:t>
            </w:r>
          </w:p>
        </w:tc>
        <w:tc>
          <w:tcPr>
            <w:tcW w:w="1645" w:type="dxa"/>
          </w:tcPr>
          <w:p w14:paraId="07BCEB13"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condition bands and scores</w:t>
            </w:r>
          </w:p>
        </w:tc>
        <w:tc>
          <w:tcPr>
            <w:tcW w:w="1646" w:type="dxa"/>
          </w:tcPr>
          <w:p w14:paraId="7592F318"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referential</w:t>
            </w:r>
          </w:p>
        </w:tc>
        <w:tc>
          <w:tcPr>
            <w:tcW w:w="2551" w:type="dxa"/>
          </w:tcPr>
          <w:p w14:paraId="2184CC97"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Limited to riparian zones only and no method for scaling up from site scale.</w:t>
            </w:r>
          </w:p>
        </w:tc>
      </w:tr>
      <w:tr w:rsidR="00987890" w:rsidRPr="00987890" w14:paraId="06EC3F87" w14:textId="77777777" w:rsidTr="00D8745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2" w:type="dxa"/>
            <w:tcBorders>
              <w:top w:val="none" w:sz="0" w:space="0" w:color="auto"/>
              <w:left w:val="none" w:sz="0" w:space="0" w:color="auto"/>
              <w:bottom w:val="none" w:sz="0" w:space="0" w:color="auto"/>
            </w:tcBorders>
          </w:tcPr>
          <w:p w14:paraId="4A99C140" w14:textId="77777777" w:rsidR="00987890" w:rsidRPr="00987890" w:rsidRDefault="00987890" w:rsidP="00987890">
            <w:pPr>
              <w:jc w:val="left"/>
              <w:rPr>
                <w:rFonts w:asciiTheme="minorHAnsi" w:hAnsiTheme="minorHAnsi" w:cstheme="minorHAnsi"/>
              </w:rPr>
            </w:pPr>
            <w:r w:rsidRPr="00987890">
              <w:rPr>
                <w:rFonts w:asciiTheme="minorHAnsi" w:hAnsiTheme="minorHAnsi" w:cstheme="minorHAnsi"/>
              </w:rPr>
              <w:t>RCI (NSW)</w:t>
            </w:r>
          </w:p>
        </w:tc>
        <w:tc>
          <w:tcPr>
            <w:tcW w:w="1645" w:type="dxa"/>
            <w:tcBorders>
              <w:top w:val="none" w:sz="0" w:space="0" w:color="auto"/>
              <w:bottom w:val="none" w:sz="0" w:space="0" w:color="auto"/>
            </w:tcBorders>
          </w:tcPr>
          <w:p w14:paraId="079790CA"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primary purpose is condition</w:t>
            </w:r>
          </w:p>
        </w:tc>
        <w:tc>
          <w:tcPr>
            <w:tcW w:w="1645" w:type="dxa"/>
            <w:tcBorders>
              <w:top w:val="none" w:sz="0" w:space="0" w:color="auto"/>
              <w:bottom w:val="none" w:sz="0" w:space="0" w:color="auto"/>
            </w:tcBorders>
          </w:tcPr>
          <w:p w14:paraId="5C9A555F"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reports at reach and sub-catchment scales</w:t>
            </w:r>
          </w:p>
        </w:tc>
        <w:tc>
          <w:tcPr>
            <w:tcW w:w="1646" w:type="dxa"/>
            <w:tcBorders>
              <w:top w:val="none" w:sz="0" w:space="0" w:color="auto"/>
              <w:bottom w:val="none" w:sz="0" w:space="0" w:color="auto"/>
            </w:tcBorders>
          </w:tcPr>
          <w:p w14:paraId="27C9FC00"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Partial – almost exclusively based on existing data and remote sensing</w:t>
            </w:r>
          </w:p>
        </w:tc>
        <w:tc>
          <w:tcPr>
            <w:tcW w:w="1645" w:type="dxa"/>
            <w:tcBorders>
              <w:top w:val="none" w:sz="0" w:space="0" w:color="auto"/>
              <w:bottom w:val="none" w:sz="0" w:space="0" w:color="auto"/>
            </w:tcBorders>
          </w:tcPr>
          <w:p w14:paraId="0AD5415A"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tested in NSW catchments, but no field validation</w:t>
            </w:r>
          </w:p>
        </w:tc>
        <w:tc>
          <w:tcPr>
            <w:tcW w:w="1645" w:type="dxa"/>
            <w:tcBorders>
              <w:top w:val="none" w:sz="0" w:space="0" w:color="auto"/>
              <w:bottom w:val="none" w:sz="0" w:space="0" w:color="auto"/>
            </w:tcBorders>
          </w:tcPr>
          <w:p w14:paraId="3238D9C3"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condition bands and scores</w:t>
            </w:r>
          </w:p>
        </w:tc>
        <w:tc>
          <w:tcPr>
            <w:tcW w:w="1646" w:type="dxa"/>
            <w:tcBorders>
              <w:top w:val="none" w:sz="0" w:space="0" w:color="auto"/>
              <w:bottom w:val="none" w:sz="0" w:space="0" w:color="auto"/>
            </w:tcBorders>
          </w:tcPr>
          <w:p w14:paraId="4A06CCEE"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referential</w:t>
            </w:r>
          </w:p>
        </w:tc>
        <w:tc>
          <w:tcPr>
            <w:tcW w:w="2551" w:type="dxa"/>
            <w:tcBorders>
              <w:top w:val="none" w:sz="0" w:space="0" w:color="auto"/>
              <w:bottom w:val="none" w:sz="0" w:space="0" w:color="auto"/>
              <w:right w:val="none" w:sz="0" w:space="0" w:color="auto"/>
            </w:tcBorders>
          </w:tcPr>
          <w:p w14:paraId="01F09E0E"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 xml:space="preserve">A tool that integrates existing data into a condition score. Riverine focus. </w:t>
            </w:r>
          </w:p>
        </w:tc>
      </w:tr>
      <w:tr w:rsidR="00987890" w:rsidRPr="00987890" w14:paraId="2F31D67C" w14:textId="77777777" w:rsidTr="00D87458">
        <w:trPr>
          <w:cantSplit/>
        </w:trPr>
        <w:tc>
          <w:tcPr>
            <w:cnfStyle w:val="001000000000" w:firstRow="0" w:lastRow="0" w:firstColumn="1" w:lastColumn="0" w:oddVBand="0" w:evenVBand="0" w:oddHBand="0" w:evenHBand="0" w:firstRowFirstColumn="0" w:firstRowLastColumn="0" w:lastRowFirstColumn="0" w:lastRowLastColumn="0"/>
            <w:tcW w:w="2002" w:type="dxa"/>
          </w:tcPr>
          <w:p w14:paraId="304DD99D" w14:textId="77777777" w:rsidR="00987890" w:rsidRPr="00987890" w:rsidRDefault="00987890" w:rsidP="00987890">
            <w:pPr>
              <w:jc w:val="left"/>
              <w:rPr>
                <w:rFonts w:asciiTheme="minorHAnsi" w:hAnsiTheme="minorHAnsi" w:cstheme="minorHAnsi"/>
              </w:rPr>
            </w:pPr>
            <w:r w:rsidRPr="00987890">
              <w:rPr>
                <w:rFonts w:asciiTheme="minorHAnsi" w:hAnsiTheme="minorHAnsi" w:cstheme="minorHAnsi"/>
              </w:rPr>
              <w:t>SOC Wetlands (NSW)</w:t>
            </w:r>
          </w:p>
        </w:tc>
        <w:tc>
          <w:tcPr>
            <w:tcW w:w="1645" w:type="dxa"/>
          </w:tcPr>
          <w:p w14:paraId="35A23604"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primary purpose is condition</w:t>
            </w:r>
          </w:p>
        </w:tc>
        <w:tc>
          <w:tcPr>
            <w:tcW w:w="1645" w:type="dxa"/>
          </w:tcPr>
          <w:p w14:paraId="2AFF07D1"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reporting at site and catchment scales</w:t>
            </w:r>
          </w:p>
        </w:tc>
        <w:tc>
          <w:tcPr>
            <w:tcW w:w="1646" w:type="dxa"/>
          </w:tcPr>
          <w:p w14:paraId="14DB9C51"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Partial - exclusively based on existing data</w:t>
            </w:r>
          </w:p>
        </w:tc>
        <w:tc>
          <w:tcPr>
            <w:tcW w:w="1645" w:type="dxa"/>
          </w:tcPr>
          <w:p w14:paraId="48089C87"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tested in NSW catchments, but no field validation</w:t>
            </w:r>
          </w:p>
        </w:tc>
        <w:tc>
          <w:tcPr>
            <w:tcW w:w="1645" w:type="dxa"/>
          </w:tcPr>
          <w:p w14:paraId="0D69BD5D"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condition bands and scores</w:t>
            </w:r>
          </w:p>
        </w:tc>
        <w:tc>
          <w:tcPr>
            <w:tcW w:w="1646" w:type="dxa"/>
          </w:tcPr>
          <w:p w14:paraId="2C9255DA"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Unknown – the basis for each score is not defined</w:t>
            </w:r>
          </w:p>
        </w:tc>
        <w:tc>
          <w:tcPr>
            <w:tcW w:w="2551" w:type="dxa"/>
          </w:tcPr>
          <w:p w14:paraId="04F46776"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 xml:space="preserve">A tool that integrates existing data into a condition score. </w:t>
            </w:r>
          </w:p>
        </w:tc>
      </w:tr>
      <w:tr w:rsidR="00987890" w:rsidRPr="00987890" w14:paraId="4EE34AA5" w14:textId="77777777" w:rsidTr="00D8745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2" w:type="dxa"/>
            <w:tcBorders>
              <w:top w:val="none" w:sz="0" w:space="0" w:color="auto"/>
              <w:left w:val="none" w:sz="0" w:space="0" w:color="auto"/>
              <w:bottom w:val="none" w:sz="0" w:space="0" w:color="auto"/>
            </w:tcBorders>
          </w:tcPr>
          <w:p w14:paraId="25FE2ADD" w14:textId="2CEB2ACA" w:rsidR="00987890" w:rsidRPr="00987890" w:rsidRDefault="00987890" w:rsidP="000F1364">
            <w:pPr>
              <w:jc w:val="left"/>
              <w:rPr>
                <w:rFonts w:asciiTheme="minorHAnsi" w:hAnsiTheme="minorHAnsi" w:cstheme="minorHAnsi"/>
              </w:rPr>
            </w:pPr>
            <w:r w:rsidRPr="00987890">
              <w:rPr>
                <w:rFonts w:asciiTheme="minorHAnsi" w:hAnsiTheme="minorHAnsi" w:cstheme="minorHAnsi"/>
              </w:rPr>
              <w:t>SRA (</w:t>
            </w:r>
            <w:r w:rsidR="000F1364">
              <w:rPr>
                <w:rFonts w:asciiTheme="minorHAnsi" w:hAnsiTheme="minorHAnsi" w:cstheme="minorHAnsi"/>
              </w:rPr>
              <w:t>Murray-</w:t>
            </w:r>
            <w:r w:rsidRPr="00987890">
              <w:rPr>
                <w:rFonts w:asciiTheme="minorHAnsi" w:hAnsiTheme="minorHAnsi" w:cstheme="minorHAnsi"/>
              </w:rPr>
              <w:t>Darling Basin)</w:t>
            </w:r>
          </w:p>
        </w:tc>
        <w:tc>
          <w:tcPr>
            <w:tcW w:w="1645" w:type="dxa"/>
            <w:tcBorders>
              <w:top w:val="none" w:sz="0" w:space="0" w:color="auto"/>
              <w:bottom w:val="none" w:sz="0" w:space="0" w:color="auto"/>
            </w:tcBorders>
          </w:tcPr>
          <w:p w14:paraId="22BF35A1"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primary purpose is condition</w:t>
            </w:r>
          </w:p>
        </w:tc>
        <w:tc>
          <w:tcPr>
            <w:tcW w:w="1645" w:type="dxa"/>
            <w:tcBorders>
              <w:top w:val="none" w:sz="0" w:space="0" w:color="auto"/>
              <w:bottom w:val="none" w:sz="0" w:space="0" w:color="auto"/>
            </w:tcBorders>
          </w:tcPr>
          <w:p w14:paraId="1C79370F"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reporting at site and catchment scales</w:t>
            </w:r>
          </w:p>
        </w:tc>
        <w:tc>
          <w:tcPr>
            <w:tcW w:w="1646" w:type="dxa"/>
            <w:tcBorders>
              <w:top w:val="none" w:sz="0" w:space="0" w:color="auto"/>
              <w:bottom w:val="none" w:sz="0" w:space="0" w:color="auto"/>
            </w:tcBorders>
          </w:tcPr>
          <w:p w14:paraId="7141FE8E"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indicators in five themes, related mostly to condition rather than threat.</w:t>
            </w:r>
          </w:p>
        </w:tc>
        <w:tc>
          <w:tcPr>
            <w:tcW w:w="1645" w:type="dxa"/>
            <w:tcBorders>
              <w:top w:val="none" w:sz="0" w:space="0" w:color="auto"/>
              <w:bottom w:val="none" w:sz="0" w:space="0" w:color="auto"/>
            </w:tcBorders>
          </w:tcPr>
          <w:p w14:paraId="0BCF9210"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extensive validation and audit process</w:t>
            </w:r>
          </w:p>
        </w:tc>
        <w:tc>
          <w:tcPr>
            <w:tcW w:w="1645" w:type="dxa"/>
            <w:tcBorders>
              <w:top w:val="none" w:sz="0" w:space="0" w:color="auto"/>
              <w:bottom w:val="none" w:sz="0" w:space="0" w:color="auto"/>
            </w:tcBorders>
          </w:tcPr>
          <w:p w14:paraId="352328AF"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condition bands and scores</w:t>
            </w:r>
          </w:p>
        </w:tc>
        <w:tc>
          <w:tcPr>
            <w:tcW w:w="1646" w:type="dxa"/>
            <w:tcBorders>
              <w:top w:val="none" w:sz="0" w:space="0" w:color="auto"/>
              <w:bottom w:val="none" w:sz="0" w:space="0" w:color="auto"/>
            </w:tcBorders>
          </w:tcPr>
          <w:p w14:paraId="20DC963F"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referential</w:t>
            </w:r>
          </w:p>
        </w:tc>
        <w:tc>
          <w:tcPr>
            <w:tcW w:w="2551" w:type="dxa"/>
            <w:tcBorders>
              <w:top w:val="none" w:sz="0" w:space="0" w:color="auto"/>
              <w:bottom w:val="none" w:sz="0" w:space="0" w:color="auto"/>
              <w:right w:val="none" w:sz="0" w:space="0" w:color="auto"/>
            </w:tcBorders>
          </w:tcPr>
          <w:p w14:paraId="497CAC1A"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A good match to IECA, but riverine focus.</w:t>
            </w:r>
          </w:p>
        </w:tc>
      </w:tr>
      <w:tr w:rsidR="00987890" w:rsidRPr="00987890" w14:paraId="6F15DF46" w14:textId="77777777" w:rsidTr="00D87458">
        <w:trPr>
          <w:cantSplit/>
        </w:trPr>
        <w:tc>
          <w:tcPr>
            <w:cnfStyle w:val="001000000000" w:firstRow="0" w:lastRow="0" w:firstColumn="1" w:lastColumn="0" w:oddVBand="0" w:evenVBand="0" w:oddHBand="0" w:evenHBand="0" w:firstRowFirstColumn="0" w:firstRowLastColumn="0" w:lastRowFirstColumn="0" w:lastRowLastColumn="0"/>
            <w:tcW w:w="2002" w:type="dxa"/>
          </w:tcPr>
          <w:p w14:paraId="00B376AF" w14:textId="77777777" w:rsidR="00987890" w:rsidRPr="00987890" w:rsidRDefault="00987890" w:rsidP="00987890">
            <w:pPr>
              <w:jc w:val="left"/>
              <w:rPr>
                <w:rFonts w:asciiTheme="minorHAnsi" w:hAnsiTheme="minorHAnsi" w:cstheme="minorHAnsi"/>
              </w:rPr>
            </w:pPr>
            <w:r w:rsidRPr="00987890">
              <w:rPr>
                <w:rFonts w:asciiTheme="minorHAnsi" w:hAnsiTheme="minorHAnsi" w:cstheme="minorHAnsi"/>
              </w:rPr>
              <w:lastRenderedPageBreak/>
              <w:t>SWIRC (WA)</w:t>
            </w:r>
          </w:p>
        </w:tc>
        <w:tc>
          <w:tcPr>
            <w:tcW w:w="1645" w:type="dxa"/>
          </w:tcPr>
          <w:p w14:paraId="7FDCC9C6"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primary purpose is condition</w:t>
            </w:r>
          </w:p>
        </w:tc>
        <w:tc>
          <w:tcPr>
            <w:tcW w:w="1645" w:type="dxa"/>
          </w:tcPr>
          <w:p w14:paraId="5435A598"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reporting at site and catchment scales</w:t>
            </w:r>
          </w:p>
        </w:tc>
        <w:tc>
          <w:tcPr>
            <w:tcW w:w="1646" w:type="dxa"/>
          </w:tcPr>
          <w:p w14:paraId="291E968E"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indicators in five themes, covering both values and threats.</w:t>
            </w:r>
          </w:p>
        </w:tc>
        <w:tc>
          <w:tcPr>
            <w:tcW w:w="1645" w:type="dxa"/>
          </w:tcPr>
          <w:p w14:paraId="1582935D"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tested and adaptively managed</w:t>
            </w:r>
          </w:p>
        </w:tc>
        <w:tc>
          <w:tcPr>
            <w:tcW w:w="1645" w:type="dxa"/>
          </w:tcPr>
          <w:p w14:paraId="4D5C1F17"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condition bands and scores</w:t>
            </w:r>
          </w:p>
        </w:tc>
        <w:tc>
          <w:tcPr>
            <w:tcW w:w="1646" w:type="dxa"/>
          </w:tcPr>
          <w:p w14:paraId="62219A0F"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referential</w:t>
            </w:r>
          </w:p>
        </w:tc>
        <w:tc>
          <w:tcPr>
            <w:tcW w:w="2551" w:type="dxa"/>
          </w:tcPr>
          <w:p w14:paraId="3E201016"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Follows FARWH principles, so aligned with IECA, but only for rivers.</w:t>
            </w:r>
          </w:p>
        </w:tc>
      </w:tr>
      <w:tr w:rsidR="00987890" w:rsidRPr="00987890" w14:paraId="74551780" w14:textId="77777777" w:rsidTr="00D8745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2" w:type="dxa"/>
            <w:tcBorders>
              <w:top w:val="none" w:sz="0" w:space="0" w:color="auto"/>
              <w:left w:val="none" w:sz="0" w:space="0" w:color="auto"/>
              <w:bottom w:val="none" w:sz="0" w:space="0" w:color="auto"/>
            </w:tcBorders>
          </w:tcPr>
          <w:p w14:paraId="352384FB" w14:textId="77777777" w:rsidR="00987890" w:rsidRPr="00987890" w:rsidRDefault="00987890" w:rsidP="00987890">
            <w:pPr>
              <w:jc w:val="left"/>
              <w:rPr>
                <w:rFonts w:asciiTheme="minorHAnsi" w:hAnsiTheme="minorHAnsi" w:cstheme="minorHAnsi"/>
              </w:rPr>
            </w:pPr>
            <w:r w:rsidRPr="00987890">
              <w:rPr>
                <w:rFonts w:asciiTheme="minorHAnsi" w:hAnsiTheme="minorHAnsi" w:cstheme="minorHAnsi"/>
              </w:rPr>
              <w:t>TLM (MDBA)</w:t>
            </w:r>
          </w:p>
        </w:tc>
        <w:tc>
          <w:tcPr>
            <w:tcW w:w="1645" w:type="dxa"/>
            <w:tcBorders>
              <w:top w:val="none" w:sz="0" w:space="0" w:color="auto"/>
              <w:bottom w:val="none" w:sz="0" w:space="0" w:color="auto"/>
            </w:tcBorders>
          </w:tcPr>
          <w:p w14:paraId="2EB15119"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Partial – is a secondary objective</w:t>
            </w:r>
          </w:p>
        </w:tc>
        <w:tc>
          <w:tcPr>
            <w:tcW w:w="1645" w:type="dxa"/>
            <w:tcBorders>
              <w:top w:val="none" w:sz="0" w:space="0" w:color="auto"/>
              <w:bottom w:val="none" w:sz="0" w:space="0" w:color="auto"/>
            </w:tcBorders>
          </w:tcPr>
          <w:p w14:paraId="63810399"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No – reporting is only at six sites and no trend is reported</w:t>
            </w:r>
          </w:p>
        </w:tc>
        <w:tc>
          <w:tcPr>
            <w:tcW w:w="1646" w:type="dxa"/>
            <w:tcBorders>
              <w:top w:val="none" w:sz="0" w:space="0" w:color="auto"/>
              <w:bottom w:val="none" w:sz="0" w:space="0" w:color="auto"/>
            </w:tcBorders>
          </w:tcPr>
          <w:p w14:paraId="6773E46A"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No – no defined indicators of condition</w:t>
            </w:r>
          </w:p>
        </w:tc>
        <w:tc>
          <w:tcPr>
            <w:tcW w:w="1645" w:type="dxa"/>
            <w:tcBorders>
              <w:top w:val="none" w:sz="0" w:space="0" w:color="auto"/>
              <w:bottom w:val="none" w:sz="0" w:space="0" w:color="auto"/>
            </w:tcBorders>
          </w:tcPr>
          <w:p w14:paraId="640E9C8F"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methods have been tested</w:t>
            </w:r>
          </w:p>
        </w:tc>
        <w:tc>
          <w:tcPr>
            <w:tcW w:w="1645" w:type="dxa"/>
            <w:tcBorders>
              <w:top w:val="none" w:sz="0" w:space="0" w:color="auto"/>
              <w:bottom w:val="none" w:sz="0" w:space="0" w:color="auto"/>
            </w:tcBorders>
          </w:tcPr>
          <w:p w14:paraId="1F9902ED"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No – no scores or condition grades</w:t>
            </w:r>
          </w:p>
        </w:tc>
        <w:tc>
          <w:tcPr>
            <w:tcW w:w="1646" w:type="dxa"/>
            <w:tcBorders>
              <w:top w:val="none" w:sz="0" w:space="0" w:color="auto"/>
              <w:bottom w:val="none" w:sz="0" w:space="0" w:color="auto"/>
            </w:tcBorders>
          </w:tcPr>
          <w:p w14:paraId="4C1203EE"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No - reference condition is not consistently defined</w:t>
            </w:r>
          </w:p>
        </w:tc>
        <w:tc>
          <w:tcPr>
            <w:tcW w:w="2551" w:type="dxa"/>
            <w:tcBorders>
              <w:top w:val="none" w:sz="0" w:space="0" w:color="auto"/>
              <w:bottom w:val="none" w:sz="0" w:space="0" w:color="auto"/>
              <w:right w:val="none" w:sz="0" w:space="0" w:color="auto"/>
            </w:tcBorders>
          </w:tcPr>
          <w:p w14:paraId="6A2DA663"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TLM is not directly aligned with IECA. Perhaps data from some of the indicators could be adapted as it was in the Victorian proof of concept.</w:t>
            </w:r>
          </w:p>
        </w:tc>
      </w:tr>
      <w:tr w:rsidR="00987890" w:rsidRPr="00987890" w14:paraId="644DF667" w14:textId="77777777" w:rsidTr="00D87458">
        <w:trPr>
          <w:cantSplit/>
        </w:trPr>
        <w:tc>
          <w:tcPr>
            <w:cnfStyle w:val="001000000000" w:firstRow="0" w:lastRow="0" w:firstColumn="1" w:lastColumn="0" w:oddVBand="0" w:evenVBand="0" w:oddHBand="0" w:evenHBand="0" w:firstRowFirstColumn="0" w:firstRowLastColumn="0" w:lastRowFirstColumn="0" w:lastRowLastColumn="0"/>
            <w:tcW w:w="2002" w:type="dxa"/>
          </w:tcPr>
          <w:p w14:paraId="7F738D25" w14:textId="3912BA6F" w:rsidR="00987890" w:rsidRPr="00987890" w:rsidRDefault="00987890" w:rsidP="005C349F">
            <w:pPr>
              <w:jc w:val="left"/>
              <w:rPr>
                <w:rFonts w:asciiTheme="minorHAnsi" w:hAnsiTheme="minorHAnsi" w:cstheme="minorHAnsi"/>
              </w:rPr>
            </w:pPr>
            <w:r w:rsidRPr="00987890">
              <w:rPr>
                <w:rFonts w:asciiTheme="minorHAnsi" w:hAnsiTheme="minorHAnsi" w:cstheme="minorHAnsi"/>
              </w:rPr>
              <w:t>TRCI (T</w:t>
            </w:r>
            <w:r w:rsidR="005C349F">
              <w:rPr>
                <w:rFonts w:asciiTheme="minorHAnsi" w:hAnsiTheme="minorHAnsi" w:cstheme="minorHAnsi"/>
              </w:rPr>
              <w:t>AS</w:t>
            </w:r>
            <w:r w:rsidRPr="00987890">
              <w:rPr>
                <w:rFonts w:asciiTheme="minorHAnsi" w:hAnsiTheme="minorHAnsi" w:cstheme="minorHAnsi"/>
              </w:rPr>
              <w:t>)</w:t>
            </w:r>
          </w:p>
        </w:tc>
        <w:tc>
          <w:tcPr>
            <w:tcW w:w="1645" w:type="dxa"/>
          </w:tcPr>
          <w:p w14:paraId="0EFACA31"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primary purpose is condition</w:t>
            </w:r>
          </w:p>
        </w:tc>
        <w:tc>
          <w:tcPr>
            <w:tcW w:w="1645" w:type="dxa"/>
          </w:tcPr>
          <w:p w14:paraId="462B761E"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reporting at site and catchment scales</w:t>
            </w:r>
          </w:p>
        </w:tc>
        <w:tc>
          <w:tcPr>
            <w:tcW w:w="1646" w:type="dxa"/>
          </w:tcPr>
          <w:p w14:paraId="0C5F3F35"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Partial – indicators in five themes covering values but not threats.</w:t>
            </w:r>
          </w:p>
        </w:tc>
        <w:tc>
          <w:tcPr>
            <w:tcW w:w="1645" w:type="dxa"/>
          </w:tcPr>
          <w:p w14:paraId="3D0893B8"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tested and adaptively managed</w:t>
            </w:r>
          </w:p>
        </w:tc>
        <w:tc>
          <w:tcPr>
            <w:tcW w:w="1645" w:type="dxa"/>
          </w:tcPr>
          <w:p w14:paraId="0D17CDEB"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condition bands and scores</w:t>
            </w:r>
          </w:p>
        </w:tc>
        <w:tc>
          <w:tcPr>
            <w:tcW w:w="1646" w:type="dxa"/>
          </w:tcPr>
          <w:p w14:paraId="65435C34"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referential</w:t>
            </w:r>
          </w:p>
        </w:tc>
        <w:tc>
          <w:tcPr>
            <w:tcW w:w="2551" w:type="dxa"/>
          </w:tcPr>
          <w:p w14:paraId="64351AB1" w14:textId="77777777" w:rsidR="00987890" w:rsidRPr="00987890" w:rsidRDefault="00987890" w:rsidP="009878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Follows FARWH principles, so similar to IECA, but only for rivers and no threat indicators.</w:t>
            </w:r>
          </w:p>
        </w:tc>
      </w:tr>
      <w:tr w:rsidR="00987890" w:rsidRPr="00987890" w14:paraId="4EFDE65A" w14:textId="77777777" w:rsidTr="00D8745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2" w:type="dxa"/>
            <w:tcBorders>
              <w:top w:val="none" w:sz="0" w:space="0" w:color="auto"/>
              <w:left w:val="none" w:sz="0" w:space="0" w:color="auto"/>
              <w:bottom w:val="none" w:sz="0" w:space="0" w:color="auto"/>
            </w:tcBorders>
          </w:tcPr>
          <w:p w14:paraId="1DF2C229" w14:textId="77777777" w:rsidR="00987890" w:rsidRPr="00987890" w:rsidRDefault="00987890" w:rsidP="00987890">
            <w:pPr>
              <w:jc w:val="left"/>
              <w:rPr>
                <w:rFonts w:asciiTheme="minorHAnsi" w:hAnsiTheme="minorHAnsi" w:cstheme="minorHAnsi"/>
              </w:rPr>
            </w:pPr>
            <w:r w:rsidRPr="00987890">
              <w:rPr>
                <w:rFonts w:asciiTheme="minorHAnsi" w:hAnsiTheme="minorHAnsi" w:cstheme="minorHAnsi"/>
              </w:rPr>
              <w:t>WFAT-M (QLD)</w:t>
            </w:r>
          </w:p>
        </w:tc>
        <w:tc>
          <w:tcPr>
            <w:tcW w:w="1645" w:type="dxa"/>
            <w:tcBorders>
              <w:top w:val="none" w:sz="0" w:space="0" w:color="auto"/>
              <w:bottom w:val="none" w:sz="0" w:space="0" w:color="auto"/>
            </w:tcBorders>
          </w:tcPr>
          <w:p w14:paraId="050F5239"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 xml:space="preserve">Yes – pressures and state (condition) </w:t>
            </w:r>
          </w:p>
        </w:tc>
        <w:tc>
          <w:tcPr>
            <w:tcW w:w="1645" w:type="dxa"/>
            <w:tcBorders>
              <w:top w:val="none" w:sz="0" w:space="0" w:color="auto"/>
              <w:bottom w:val="none" w:sz="0" w:space="0" w:color="auto"/>
            </w:tcBorders>
          </w:tcPr>
          <w:p w14:paraId="37D21871"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reporting at site and catchment scales</w:t>
            </w:r>
          </w:p>
        </w:tc>
        <w:tc>
          <w:tcPr>
            <w:tcW w:w="1646" w:type="dxa"/>
            <w:tcBorders>
              <w:top w:val="none" w:sz="0" w:space="0" w:color="auto"/>
              <w:bottom w:val="none" w:sz="0" w:space="0" w:color="auto"/>
            </w:tcBorders>
          </w:tcPr>
          <w:p w14:paraId="120088AF"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indicators of value and threat</w:t>
            </w:r>
          </w:p>
        </w:tc>
        <w:tc>
          <w:tcPr>
            <w:tcW w:w="1645" w:type="dxa"/>
            <w:tcBorders>
              <w:top w:val="none" w:sz="0" w:space="0" w:color="auto"/>
              <w:bottom w:val="none" w:sz="0" w:space="0" w:color="auto"/>
            </w:tcBorders>
          </w:tcPr>
          <w:p w14:paraId="39886F0D"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pilot tested and method being written</w:t>
            </w:r>
          </w:p>
        </w:tc>
        <w:tc>
          <w:tcPr>
            <w:tcW w:w="1645" w:type="dxa"/>
            <w:tcBorders>
              <w:top w:val="none" w:sz="0" w:space="0" w:color="auto"/>
              <w:bottom w:val="none" w:sz="0" w:space="0" w:color="auto"/>
            </w:tcBorders>
          </w:tcPr>
          <w:p w14:paraId="42191885"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Yes - condition bands and scores</w:t>
            </w:r>
          </w:p>
        </w:tc>
        <w:tc>
          <w:tcPr>
            <w:tcW w:w="1646" w:type="dxa"/>
            <w:tcBorders>
              <w:top w:val="none" w:sz="0" w:space="0" w:color="auto"/>
              <w:bottom w:val="none" w:sz="0" w:space="0" w:color="auto"/>
            </w:tcBorders>
          </w:tcPr>
          <w:p w14:paraId="57CE7524" w14:textId="54D555C2"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Unknown – may</w:t>
            </w:r>
            <w:r w:rsidR="000F1364">
              <w:rPr>
                <w:rFonts w:asciiTheme="minorHAnsi" w:hAnsiTheme="minorHAnsi" w:cstheme="minorHAnsi"/>
              </w:rPr>
              <w:t xml:space="preserve"> </w:t>
            </w:r>
            <w:r w:rsidRPr="00987890">
              <w:rPr>
                <w:rFonts w:asciiTheme="minorHAnsi" w:hAnsiTheme="minorHAnsi" w:cstheme="minorHAnsi"/>
              </w:rPr>
              <w:t>be clear in the method</w:t>
            </w:r>
          </w:p>
        </w:tc>
        <w:tc>
          <w:tcPr>
            <w:tcW w:w="2551" w:type="dxa"/>
            <w:tcBorders>
              <w:top w:val="none" w:sz="0" w:space="0" w:color="auto"/>
              <w:bottom w:val="none" w:sz="0" w:space="0" w:color="auto"/>
              <w:right w:val="none" w:sz="0" w:space="0" w:color="auto"/>
            </w:tcBorders>
          </w:tcPr>
          <w:p w14:paraId="2670C337" w14:textId="77777777" w:rsidR="00987890" w:rsidRPr="00987890" w:rsidRDefault="00987890" w:rsidP="009878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7890">
              <w:rPr>
                <w:rFonts w:asciiTheme="minorHAnsi" w:hAnsiTheme="minorHAnsi" w:cstheme="minorHAnsi"/>
              </w:rPr>
              <w:t>The method for WFAT-M is not yet available and this review is based on limited information from a pilot test. Currently only lacustrine and palustrine systems included in the approach.</w:t>
            </w:r>
          </w:p>
        </w:tc>
      </w:tr>
    </w:tbl>
    <w:p w14:paraId="7D7AEE92" w14:textId="77777777" w:rsidR="00987890" w:rsidRPr="00987890" w:rsidRDefault="00987890" w:rsidP="00987890">
      <w:pPr>
        <w:sectPr w:rsidR="00987890" w:rsidRPr="00987890" w:rsidSect="00AA303E">
          <w:pgSz w:w="16838" w:h="11906" w:orient="landscape"/>
          <w:pgMar w:top="1440" w:right="1440" w:bottom="1440" w:left="1440" w:header="708" w:footer="708" w:gutter="0"/>
          <w:cols w:space="708"/>
          <w:docGrid w:linePitch="360"/>
        </w:sectPr>
      </w:pPr>
    </w:p>
    <w:p w14:paraId="02B91122" w14:textId="77777777" w:rsidR="0072297A" w:rsidRDefault="0072297A" w:rsidP="0072297A">
      <w:pPr>
        <w:pStyle w:val="Heading1"/>
        <w:numPr>
          <w:ilvl w:val="0"/>
          <w:numId w:val="0"/>
        </w:numPr>
      </w:pPr>
      <w:bookmarkStart w:id="115" w:name="_Toc493774229"/>
      <w:r>
        <w:lastRenderedPageBreak/>
        <w:t>Appendix B: Peel-Yalgorup Case Study</w:t>
      </w:r>
      <w:bookmarkEnd w:id="115"/>
    </w:p>
    <w:p w14:paraId="211A6F50" w14:textId="77777777" w:rsidR="001B1863" w:rsidRPr="009B6364" w:rsidRDefault="001B1863" w:rsidP="001B1863">
      <w:pPr>
        <w:pStyle w:val="Heading2"/>
        <w:numPr>
          <w:ilvl w:val="0"/>
          <w:numId w:val="0"/>
        </w:numPr>
      </w:pPr>
      <w:bookmarkStart w:id="116" w:name="_Toc479342234"/>
      <w:bookmarkStart w:id="117" w:name="_Toc493774230"/>
      <w:r w:rsidRPr="009B6364">
        <w:t>Introduction</w:t>
      </w:r>
      <w:bookmarkEnd w:id="116"/>
      <w:bookmarkEnd w:id="117"/>
    </w:p>
    <w:p w14:paraId="0FB5608E" w14:textId="77777777" w:rsidR="00D85B77" w:rsidRDefault="001B1863" w:rsidP="00987A14">
      <w:pPr>
        <w:shd w:val="clear" w:color="auto" w:fill="EBF2F1" w:themeFill="accent2" w:themeFillTint="33"/>
        <w:rPr>
          <w:b/>
          <w:u w:val="single"/>
        </w:rPr>
      </w:pPr>
      <w:r w:rsidRPr="009B6364">
        <w:t xml:space="preserve">This case study represents an application of the steps in the IECA Framework to </w:t>
      </w:r>
      <w:r w:rsidR="0004476C">
        <w:t>t</w:t>
      </w:r>
      <w:r w:rsidRPr="009B6364">
        <w:t>he Peel-Yalgorup Ramsar Site. The case study uses real data provided by organisations with a responsibility for and an interest in the management of the Peel-Yalgorup System including: The Department of Water, the Peel</w:t>
      </w:r>
      <w:r w:rsidR="0004476C">
        <w:t>-</w:t>
      </w:r>
      <w:r w:rsidRPr="009B6364">
        <w:t xml:space="preserve">Harvey Catchment Council, BirdLife WA and the Department </w:t>
      </w:r>
      <w:r w:rsidR="00987A14">
        <w:t>o</w:t>
      </w:r>
      <w:r w:rsidRPr="009B6364">
        <w:t xml:space="preserve">f Parks and Wildlife. While we have drawn on existing management plans, monitoring and data provided, it should be recognised that this case study is simply an illustration of how the steps of the IECA </w:t>
      </w:r>
      <w:r w:rsidR="003A47AE">
        <w:t>F</w:t>
      </w:r>
      <w:r w:rsidRPr="009B6364">
        <w:t>ramework could be applied with exi</w:t>
      </w:r>
      <w:r w:rsidR="0004476C">
        <w:t>s</w:t>
      </w:r>
      <w:r w:rsidRPr="009B6364">
        <w:t xml:space="preserve">ting data on a wetland system. </w:t>
      </w:r>
      <w:r w:rsidRPr="00962E2D">
        <w:rPr>
          <w:b/>
          <w:u w:val="single"/>
        </w:rPr>
        <w:t xml:space="preserve">It does not represent a full assessment of the site and does not necessarily reflect the current condition of the </w:t>
      </w:r>
      <w:r w:rsidR="00D85B77">
        <w:rPr>
          <w:b/>
          <w:u w:val="single"/>
        </w:rPr>
        <w:t xml:space="preserve">Peel-Yalgorup </w:t>
      </w:r>
      <w:r w:rsidRPr="00962E2D">
        <w:rPr>
          <w:b/>
          <w:u w:val="single"/>
        </w:rPr>
        <w:t xml:space="preserve">Ramsar site or its ecological character. </w:t>
      </w:r>
    </w:p>
    <w:p w14:paraId="0E2D124D" w14:textId="00AC54F6" w:rsidR="001B1863" w:rsidRPr="00962E2D" w:rsidRDefault="00D85B77" w:rsidP="00987A14">
      <w:pPr>
        <w:shd w:val="clear" w:color="auto" w:fill="EBF2F1" w:themeFill="accent2" w:themeFillTint="33"/>
        <w:rPr>
          <w:b/>
          <w:u w:val="single"/>
        </w:rPr>
      </w:pPr>
      <w:r>
        <w:rPr>
          <w:b/>
          <w:u w:val="single"/>
        </w:rPr>
        <w:t xml:space="preserve">Management of Ramsar sites typically involves assessment of trend in condition of critical components, processes and services (CPS) in relation to a benchmark (usually time of listing) and thresholds which represent a potential change in character (Limits of Acceptable Change) – trends are not presented in this example. </w:t>
      </w:r>
    </w:p>
    <w:p w14:paraId="7223DD53" w14:textId="31FE59EA" w:rsidR="001B1863" w:rsidRPr="009B6364" w:rsidRDefault="001B1863" w:rsidP="001B1863">
      <w:r w:rsidRPr="009B6364">
        <w:t xml:space="preserve">The Peel-Yalgorup Ramsar </w:t>
      </w:r>
      <w:r w:rsidR="0004476C">
        <w:t>S</w:t>
      </w:r>
      <w:r w:rsidRPr="009B6364">
        <w:t xml:space="preserve">ite is an example of a site with multiple </w:t>
      </w:r>
      <w:r w:rsidR="008F4D83">
        <w:t>aquatic ecosystem types</w:t>
      </w:r>
      <w:r w:rsidRPr="009B6364">
        <w:t xml:space="preserve"> within an assessment unit. For illustrative purposes, the steps of the IECA </w:t>
      </w:r>
      <w:r w:rsidR="003A47AE">
        <w:t>F</w:t>
      </w:r>
      <w:r w:rsidRPr="009B6364">
        <w:t xml:space="preserve">ramework have been applied at different spatial scales (individual </w:t>
      </w:r>
      <w:r w:rsidR="008F4D83">
        <w:t>ecosystem types</w:t>
      </w:r>
      <w:r w:rsidR="00D85B77">
        <w:t>, whole of assessment unit</w:t>
      </w:r>
      <w:r w:rsidRPr="009B6364">
        <w:t xml:space="preserve">) and to different locations within the Ramsar site. </w:t>
      </w:r>
    </w:p>
    <w:p w14:paraId="64EEB2AF" w14:textId="77777777" w:rsidR="001B1863" w:rsidRPr="009B6364" w:rsidRDefault="001B1863" w:rsidP="001B1863">
      <w:pPr>
        <w:pStyle w:val="Heading1"/>
        <w:numPr>
          <w:ilvl w:val="0"/>
          <w:numId w:val="0"/>
        </w:numPr>
      </w:pPr>
      <w:bookmarkStart w:id="118" w:name="_Toc479342235"/>
      <w:bookmarkStart w:id="119" w:name="_Toc493774231"/>
      <w:r w:rsidRPr="009B6364">
        <w:t>Part A: Context and Current Understanding</w:t>
      </w:r>
      <w:bookmarkEnd w:id="118"/>
      <w:bookmarkEnd w:id="119"/>
    </w:p>
    <w:p w14:paraId="3449D53E" w14:textId="77777777" w:rsidR="001B1863" w:rsidRPr="009B6364" w:rsidRDefault="001B1863" w:rsidP="001B1863">
      <w:pPr>
        <w:pStyle w:val="Heading3"/>
        <w:numPr>
          <w:ilvl w:val="0"/>
          <w:numId w:val="0"/>
        </w:numPr>
      </w:pPr>
      <w:bookmarkStart w:id="120" w:name="_Toc493774232"/>
      <w:r w:rsidRPr="009B6364">
        <w:t>Defining the management context</w:t>
      </w:r>
      <w:bookmarkEnd w:id="120"/>
    </w:p>
    <w:p w14:paraId="0F86740F" w14:textId="0859D377" w:rsidR="001B1863" w:rsidRPr="009B6364" w:rsidRDefault="001B1863" w:rsidP="001B1863">
      <w:r w:rsidRPr="009B6364">
        <w:t>The Peel-Yalgorup</w:t>
      </w:r>
      <w:r w:rsidR="00DE4A60">
        <w:t xml:space="preserve"> System</w:t>
      </w:r>
      <w:r w:rsidRPr="009B6364">
        <w:t xml:space="preserve"> is a Ramsar site and the management plan </w:t>
      </w:r>
      <w:r w:rsidR="00DE4A60">
        <w:t>lists</w:t>
      </w:r>
      <w:r w:rsidRPr="009B6364">
        <w:t xml:space="preserve"> </w:t>
      </w:r>
      <w:r w:rsidR="0004476C">
        <w:t>three</w:t>
      </w:r>
      <w:r w:rsidRPr="009B6364">
        <w:t xml:space="preserve"> objectives (Peel</w:t>
      </w:r>
      <w:r w:rsidR="0004476C">
        <w:t>-</w:t>
      </w:r>
      <w:r w:rsidRPr="009B6364">
        <w:t>Harvey Catchment Council 2009):</w:t>
      </w:r>
    </w:p>
    <w:p w14:paraId="341F1055" w14:textId="43AF1E19" w:rsidR="001B1863" w:rsidRPr="009B6364" w:rsidRDefault="00DE4A60" w:rsidP="00DE4A60">
      <w:pPr>
        <w:pStyle w:val="ListParagraph"/>
        <w:numPr>
          <w:ilvl w:val="0"/>
          <w:numId w:val="62"/>
        </w:numPr>
      </w:pPr>
      <w:r w:rsidRPr="00DE4A60">
        <w:t>The Peel-Yalgorup System will be managed in accordance with the principle of wise use, that is, the conservation of the wetlands, and human uses that are compatible with maintenance of the natural properties of the ecosystem</w:t>
      </w:r>
      <w:r w:rsidR="001B1863" w:rsidRPr="009B6364">
        <w:t xml:space="preserve">, </w:t>
      </w:r>
    </w:p>
    <w:p w14:paraId="32FD859E" w14:textId="57714BD3" w:rsidR="00DE4A60" w:rsidRDefault="00DE4A60" w:rsidP="00DE4A60">
      <w:pPr>
        <w:pStyle w:val="ListParagraph"/>
        <w:numPr>
          <w:ilvl w:val="0"/>
          <w:numId w:val="62"/>
        </w:numPr>
      </w:pPr>
      <w:r w:rsidRPr="00DE4A60">
        <w:t>Community stakeholders will be engaged and supported in active environmental stewardship</w:t>
      </w:r>
      <w:r>
        <w:t>; and</w:t>
      </w:r>
    </w:p>
    <w:p w14:paraId="26C25F27" w14:textId="0A52051B" w:rsidR="001B1863" w:rsidRPr="009B6364" w:rsidRDefault="00DE4A60" w:rsidP="00DE4A60">
      <w:pPr>
        <w:pStyle w:val="ListParagraph"/>
        <w:numPr>
          <w:ilvl w:val="0"/>
          <w:numId w:val="62"/>
        </w:numPr>
      </w:pPr>
      <w:r>
        <w:t>The ecological character of the Peel-Yalgorup System, including services and values, will be maintained or enhanced to achieve long-term positive outcomes</w:t>
      </w:r>
      <w:r w:rsidR="001B1863" w:rsidRPr="009B6364">
        <w:t xml:space="preserve">. </w:t>
      </w:r>
    </w:p>
    <w:p w14:paraId="09C91F95" w14:textId="77777777" w:rsidR="001B1863" w:rsidRPr="009B6364" w:rsidRDefault="001B1863" w:rsidP="001B1863">
      <w:pPr>
        <w:pStyle w:val="Heading2"/>
        <w:numPr>
          <w:ilvl w:val="0"/>
          <w:numId w:val="0"/>
        </w:numPr>
      </w:pPr>
      <w:bookmarkStart w:id="121" w:name="_Toc493774233"/>
      <w:r w:rsidRPr="009B6364">
        <w:t>Framing the question and purpose</w:t>
      </w:r>
      <w:bookmarkEnd w:id="121"/>
    </w:p>
    <w:p w14:paraId="03CD4464" w14:textId="77777777" w:rsidR="001B1863" w:rsidRPr="009B6364" w:rsidRDefault="001B1863" w:rsidP="001B1863">
      <w:pPr>
        <w:pStyle w:val="Heading3"/>
        <w:keepNext/>
        <w:numPr>
          <w:ilvl w:val="0"/>
          <w:numId w:val="0"/>
        </w:numPr>
      </w:pPr>
      <w:bookmarkStart w:id="122" w:name="_Toc493774234"/>
      <w:r w:rsidRPr="009B6364">
        <w:t>Stakeholder engagement</w:t>
      </w:r>
      <w:bookmarkEnd w:id="122"/>
    </w:p>
    <w:p w14:paraId="74C558B6" w14:textId="0E2A3E39" w:rsidR="001B1863" w:rsidRPr="009B6364" w:rsidRDefault="001B1863" w:rsidP="001B1863">
      <w:r w:rsidRPr="009B6364">
        <w:t>Collaborative management is a key focus for the Peel-Yalgorup Ramsar Site</w:t>
      </w:r>
      <w:r w:rsidR="00DE4A60">
        <w:t>. In</w:t>
      </w:r>
      <w:r w:rsidRPr="009B6364">
        <w:t xml:space="preserve"> 2007 a technical advisory group (TAG) was established</w:t>
      </w:r>
      <w:r w:rsidR="00DE4A60">
        <w:t xml:space="preserve"> to guide development of the ECD (2007) and management plan (2009) and over time their priority became collaborative management</w:t>
      </w:r>
      <w:r w:rsidRPr="009B6364">
        <w:t xml:space="preserve">. The TAG comprises representatives from 27 stakeholder groups including government agencies, non-government organisations, local community groups and traditional custodians. The primary objectives of the TAG are </w:t>
      </w:r>
      <w:r w:rsidR="00DC6A1F">
        <w:t>(Peel-</w:t>
      </w:r>
      <w:r w:rsidRPr="009B6364">
        <w:t>Harvey Catchment Council 2017):</w:t>
      </w:r>
    </w:p>
    <w:p w14:paraId="51E93AA6" w14:textId="1113D8EF" w:rsidR="001B1863" w:rsidRPr="009B6364" w:rsidRDefault="00DE4A60" w:rsidP="00F4328F">
      <w:pPr>
        <w:pStyle w:val="ListParagraph"/>
        <w:numPr>
          <w:ilvl w:val="0"/>
          <w:numId w:val="60"/>
        </w:numPr>
      </w:pPr>
      <w:r>
        <w:t>C</w:t>
      </w:r>
      <w:r w:rsidR="001B1863" w:rsidRPr="009B6364">
        <w:t>ollaborative management of the Peel-Yalgorup Ramsar Site</w:t>
      </w:r>
      <w:r>
        <w:t>;</w:t>
      </w:r>
    </w:p>
    <w:p w14:paraId="7B7BC7CB" w14:textId="363BDE1E" w:rsidR="001B1863" w:rsidRPr="009B6364" w:rsidRDefault="00DE4A60" w:rsidP="00F4328F">
      <w:pPr>
        <w:pStyle w:val="ListParagraph"/>
        <w:numPr>
          <w:ilvl w:val="0"/>
          <w:numId w:val="60"/>
        </w:numPr>
      </w:pPr>
      <w:r>
        <w:t>R</w:t>
      </w:r>
      <w:r w:rsidR="001B1863" w:rsidRPr="009B6364">
        <w:t>eporting their activities against the Management Plan’s Strategies and Actions</w:t>
      </w:r>
      <w:r>
        <w:t>;</w:t>
      </w:r>
      <w:r w:rsidR="001B1863" w:rsidRPr="009B6364">
        <w:t xml:space="preserve"> and</w:t>
      </w:r>
    </w:p>
    <w:p w14:paraId="56ACC09D" w14:textId="6EE31984" w:rsidR="001B1863" w:rsidRPr="009B6364" w:rsidRDefault="00DE4A60" w:rsidP="00F4328F">
      <w:pPr>
        <w:pStyle w:val="ListParagraph"/>
        <w:numPr>
          <w:ilvl w:val="0"/>
          <w:numId w:val="60"/>
        </w:numPr>
      </w:pPr>
      <w:r>
        <w:t>R</w:t>
      </w:r>
      <w:r w:rsidR="001B1863" w:rsidRPr="009B6364">
        <w:t>eporting monitoring results against the Limits of Acceptable Change (Management Triggers) and assessing, as far as data allows, ecological health of the system.</w:t>
      </w:r>
    </w:p>
    <w:p w14:paraId="3C662944" w14:textId="5A140FF4" w:rsidR="001B1863" w:rsidRDefault="001B1863" w:rsidP="001B1863">
      <w:r w:rsidRPr="009B6364">
        <w:lastRenderedPageBreak/>
        <w:t xml:space="preserve">The Peel-Yalgorup Ramsar Site TAG is an established, inclusive, stakeholder group that would be ideal to guide the application of the IECA </w:t>
      </w:r>
      <w:r w:rsidR="00987A14">
        <w:t>F</w:t>
      </w:r>
      <w:r w:rsidRPr="009B6364">
        <w:t>ramework to the site.</w:t>
      </w:r>
    </w:p>
    <w:p w14:paraId="3649F490" w14:textId="5B8D456E" w:rsidR="001B1863" w:rsidRPr="009B6364" w:rsidRDefault="003A47AE" w:rsidP="001B1863">
      <w:pPr>
        <w:pStyle w:val="Heading3"/>
        <w:numPr>
          <w:ilvl w:val="0"/>
          <w:numId w:val="0"/>
        </w:numPr>
      </w:pPr>
      <w:bookmarkStart w:id="123" w:name="_Toc493774235"/>
      <w:r>
        <w:t xml:space="preserve">Identify Triggers, </w:t>
      </w:r>
      <w:r w:rsidR="001B1863" w:rsidRPr="009B6364">
        <w:t xml:space="preserve">targets and </w:t>
      </w:r>
      <w:r>
        <w:t>Thresholds</w:t>
      </w:r>
      <w:bookmarkEnd w:id="123"/>
      <w:r w:rsidR="001B1863" w:rsidRPr="009B6364">
        <w:t xml:space="preserve">  </w:t>
      </w:r>
    </w:p>
    <w:p w14:paraId="4E381081" w14:textId="2D36F54C" w:rsidR="001B1863" w:rsidRPr="009B6364" w:rsidRDefault="001B1863" w:rsidP="001B1863">
      <w:r w:rsidRPr="009B6364">
        <w:t xml:space="preserve">There are Limits of Acceptable Change (LAC) established for the Peel Yalgorup Ramsar site. LAC are synonymous with thresholds within the IECA </w:t>
      </w:r>
      <w:r w:rsidR="003A47AE">
        <w:t>F</w:t>
      </w:r>
      <w:r w:rsidRPr="009B6364">
        <w:t>ramework and are defined as (Department of Sustainability, Environment, Water, Population and Communities, 2012):</w:t>
      </w:r>
    </w:p>
    <w:p w14:paraId="57DDF6AF" w14:textId="77777777" w:rsidR="001B1863" w:rsidRPr="009B6364" w:rsidRDefault="001B1863" w:rsidP="001B1863">
      <w:r w:rsidRPr="009B6364">
        <w:t>“</w:t>
      </w:r>
      <w:r w:rsidRPr="009B6364">
        <w:rPr>
          <w:i/>
        </w:rPr>
        <w:t>the variation that is considered acceptable in a particular component or process of the ecological character of the wetland, without indicating change in ecological character that may lead to a reduction or loss of the criteria for which the site was Ramsar listed.</w:t>
      </w:r>
      <w:r w:rsidRPr="009B6364">
        <w:t xml:space="preserve">” </w:t>
      </w:r>
    </w:p>
    <w:p w14:paraId="19450514" w14:textId="5994E5EF" w:rsidR="00E209C0" w:rsidRDefault="001B1863" w:rsidP="001B1863">
      <w:r w:rsidRPr="009B6364">
        <w:t>The LAC</w:t>
      </w:r>
      <w:r w:rsidR="00791116">
        <w:t xml:space="preserve"> </w:t>
      </w:r>
      <w:r w:rsidRPr="009B6364">
        <w:t xml:space="preserve">for the Peel-Yalgorup Ramsar site </w:t>
      </w:r>
      <w:r w:rsidR="00791116">
        <w:t>presented in Hale and Butcher (200</w:t>
      </w:r>
      <w:r w:rsidR="00E209C0">
        <w:t>7</w:t>
      </w:r>
      <w:r w:rsidR="00791116">
        <w:t>)</w:t>
      </w:r>
      <w:r w:rsidR="00791116" w:rsidRPr="009B6364">
        <w:t xml:space="preserve"> </w:t>
      </w:r>
      <w:r w:rsidRPr="009B6364">
        <w:t xml:space="preserve">were developed prior to the release of the national guidelines for developing ecological character descriptions </w:t>
      </w:r>
      <w:r w:rsidRPr="009B6364">
        <w:fldChar w:fldCharType="begin"/>
      </w:r>
      <w:r w:rsidRPr="009B6364">
        <w:instrText xml:space="preserve"> ADDIN ZOTERO_ITEM CSL_CITATION {"citationID":"4gmce4btb","properties":{"formattedCitation":"(Department of the Environment, Water, Heritage and the Arts 2008)","plainCitation":"(Department of the Environment, Water, Heritage and the Arts 2008)"},"citationItems":[{"id":1093,"uris":["http://zotero.org/users/2336876/items/JBWI4BUW"],"uri":["http://zotero.org/users/2336876/items/JBWI4BUW"],"itemData":{"id":1093,"type":"book","title":"National framework and guidance for describing the ecological character of Australian Ramsar Wetlands: module 2 of the National Guidelines for Ramsar Wetlands - implementing the Ramsar Convention in Australia","publisher":"Dept. of the Environment, Water, Heritage and the Arts","publisher-place":"Canberra","source":"Open WorldCat","event-place":"Canberra","URL":"http://www.environment.gov.au/water/publications/environmental/wetlands/pubs/module-2-framework.pdf","ISBN":"978-0-642-55409-3","shortTitle":"National framework and guidance for describing the ecological character of Australian Ramsar Wetlands","language":"English","author":[{"family":"Department of the Environment, Water, Heritage and the Arts","given":""}],"issued":{"date-parts":[["2008"]]},"accessed":{"date-parts":[["2013",6,30]]}}}],"schema":"https://github.com/citation-style-language/schema/raw/master/csl-citation.json"} </w:instrText>
      </w:r>
      <w:r w:rsidRPr="009B6364">
        <w:fldChar w:fldCharType="separate"/>
      </w:r>
      <w:r w:rsidRPr="009B6364">
        <w:t>(Department of the Environment, Water, Heritage and the Arts 2008)</w:t>
      </w:r>
      <w:r w:rsidRPr="009B6364">
        <w:fldChar w:fldCharType="end"/>
      </w:r>
      <w:r w:rsidRPr="009B6364">
        <w:t xml:space="preserve">, and by and large represent </w:t>
      </w:r>
      <w:r w:rsidR="00957B0C">
        <w:t xml:space="preserve">management </w:t>
      </w:r>
      <w:r w:rsidRPr="009B6364">
        <w:t xml:space="preserve">triggers rather than </w:t>
      </w:r>
      <w:r w:rsidR="00E209C0">
        <w:t>thresholds relating to a potential change in ecological character (i.e. LAC)</w:t>
      </w:r>
      <w:r w:rsidRPr="009B6364">
        <w:t xml:space="preserve">. </w:t>
      </w:r>
      <w:r w:rsidR="00B55E3E">
        <w:t>Within the context of maintaining ecological character</w:t>
      </w:r>
      <w:r w:rsidR="00AB7E8B">
        <w:t>,</w:t>
      </w:r>
      <w:r w:rsidR="00B55E3E">
        <w:t xml:space="preserve"> m</w:t>
      </w:r>
      <w:r w:rsidR="00AC341B" w:rsidRPr="00AC341B">
        <w:t xml:space="preserve">anagement triggers are set as early warnings for </w:t>
      </w:r>
      <w:r w:rsidR="00AB7E8B" w:rsidRPr="00AC341B">
        <w:t>trends</w:t>
      </w:r>
      <w:r w:rsidR="00AB7E8B">
        <w:t>,</w:t>
      </w:r>
      <w:r w:rsidR="00AB7E8B" w:rsidRPr="00AC341B">
        <w:t xml:space="preserve"> which</w:t>
      </w:r>
      <w:r w:rsidR="00AC341B" w:rsidRPr="00AC341B">
        <w:t xml:space="preserve"> if left unabated have potential to exceed LAC</w:t>
      </w:r>
      <w:r w:rsidR="00AB7E8B">
        <w:t>,</w:t>
      </w:r>
      <w:r w:rsidR="00AC341B" w:rsidRPr="00AC341B">
        <w:t xml:space="preserve"> and potentially alter the ecological character of the site.  </w:t>
      </w:r>
    </w:p>
    <w:p w14:paraId="78D7D7B3" w14:textId="4FFD4691" w:rsidR="00E209C0" w:rsidRDefault="001B1863" w:rsidP="001B1863">
      <w:r w:rsidRPr="009B6364">
        <w:t xml:space="preserve">For the purposes of illustrating the steps of the IECA </w:t>
      </w:r>
      <w:r w:rsidR="000C410F">
        <w:t>F</w:t>
      </w:r>
      <w:r w:rsidRPr="009B6364">
        <w:t>ramework, the</w:t>
      </w:r>
      <w:r w:rsidR="00B55E3E">
        <w:t xml:space="preserve"> LAC from Hale and Butcher (2007)</w:t>
      </w:r>
      <w:r w:rsidRPr="009B6364">
        <w:t xml:space="preserve"> have </w:t>
      </w:r>
      <w:r w:rsidR="003A0D76">
        <w:t>are</w:t>
      </w:r>
      <w:r w:rsidRPr="009B6364">
        <w:t xml:space="preserve"> considered as triggers. These are provided in Table B1.</w:t>
      </w:r>
      <w:r w:rsidR="00791116">
        <w:t xml:space="preserve"> </w:t>
      </w:r>
    </w:p>
    <w:p w14:paraId="794D7EE6" w14:textId="6168CB6B" w:rsidR="001B1863" w:rsidRPr="009B6364" w:rsidRDefault="00791116" w:rsidP="001B1863">
      <w:r w:rsidRPr="00261787">
        <w:rPr>
          <w:b/>
        </w:rPr>
        <w:t>Note</w:t>
      </w:r>
      <w:r>
        <w:t xml:space="preserve">: other components were identified as critical in the ECD but had insufficient data </w:t>
      </w:r>
      <w:r w:rsidR="003A0D76">
        <w:t xml:space="preserve">at the time of writing </w:t>
      </w:r>
      <w:r>
        <w:t xml:space="preserve">to develop and assess LAC and thus are not included in </w:t>
      </w:r>
      <w:r w:rsidR="00957B0C">
        <w:fldChar w:fldCharType="begin"/>
      </w:r>
      <w:r w:rsidR="00957B0C">
        <w:instrText xml:space="preserve"> REF _Ref486363429 \h </w:instrText>
      </w:r>
      <w:r w:rsidR="00957B0C">
        <w:fldChar w:fldCharType="separate"/>
      </w:r>
      <w:r w:rsidR="00957B0C" w:rsidRPr="009B6364">
        <w:t xml:space="preserve">Table B </w:t>
      </w:r>
      <w:r w:rsidR="00957B0C">
        <w:rPr>
          <w:noProof/>
        </w:rPr>
        <w:t>1</w:t>
      </w:r>
      <w:r w:rsidR="00957B0C">
        <w:fldChar w:fldCharType="end"/>
      </w:r>
      <w:r>
        <w:t>.</w:t>
      </w:r>
      <w:r w:rsidR="00E209C0">
        <w:t xml:space="preserve"> In a full application of the IECA Framework these components </w:t>
      </w:r>
      <w:r w:rsidR="00261787">
        <w:t xml:space="preserve">would be identified as </w:t>
      </w:r>
      <w:r w:rsidR="00E209C0">
        <w:t>requir</w:t>
      </w:r>
      <w:r w:rsidR="00261787">
        <w:t>ing</w:t>
      </w:r>
      <w:r w:rsidR="00E209C0">
        <w:t xml:space="preserve"> additional data collection to be included in a complete assessment. </w:t>
      </w:r>
    </w:p>
    <w:p w14:paraId="2D0A29E7" w14:textId="4045F2BE" w:rsidR="001B1863" w:rsidRPr="009B6364" w:rsidRDefault="001B1863" w:rsidP="001B1863">
      <w:pPr>
        <w:pStyle w:val="Caption"/>
        <w:keepNext/>
      </w:pPr>
      <w:bookmarkStart w:id="124" w:name="_Ref486363429"/>
      <w:r w:rsidRPr="009B6364">
        <w:t xml:space="preserve">Table B </w:t>
      </w:r>
      <w:fldSimple w:instr=" SEQ Table_B \* ARABIC ">
        <w:r w:rsidR="00FD50A9">
          <w:rPr>
            <w:noProof/>
          </w:rPr>
          <w:t>1</w:t>
        </w:r>
      </w:fldSimple>
      <w:bookmarkEnd w:id="124"/>
      <w:r w:rsidR="003E5078">
        <w:t>:</w:t>
      </w:r>
      <w:r w:rsidRPr="009B6364">
        <w:t xml:space="preserve"> </w:t>
      </w:r>
      <w:r w:rsidR="00E209C0">
        <w:t>Triggers</w:t>
      </w:r>
      <w:r w:rsidR="00957B0C">
        <w:t xml:space="preserve"> (LAC)</w:t>
      </w:r>
      <w:r w:rsidR="00E209C0">
        <w:t xml:space="preserve"> </w:t>
      </w:r>
      <w:r w:rsidRPr="009B6364">
        <w:t>for the Peel Yalgorup Ramsar Site (</w:t>
      </w:r>
      <w:r w:rsidR="003A0D76">
        <w:t xml:space="preserve">from </w:t>
      </w:r>
      <w:r w:rsidRPr="009B6364">
        <w:t xml:space="preserve">Hale and Butcher 2007). </w:t>
      </w:r>
    </w:p>
    <w:tbl>
      <w:tblPr>
        <w:tblStyle w:val="LightList-Accent2"/>
        <w:tblW w:w="0" w:type="auto"/>
        <w:tblLook w:val="04A0" w:firstRow="1" w:lastRow="0" w:firstColumn="1" w:lastColumn="0" w:noHBand="0" w:noVBand="1"/>
      </w:tblPr>
      <w:tblGrid>
        <w:gridCol w:w="1091"/>
        <w:gridCol w:w="1684"/>
        <w:gridCol w:w="6231"/>
      </w:tblGrid>
      <w:tr w:rsidR="001B1863" w:rsidRPr="009B6364" w14:paraId="714AD75E" w14:textId="77777777" w:rsidTr="005548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1" w:type="dxa"/>
          </w:tcPr>
          <w:p w14:paraId="79F64F6B" w14:textId="77777777" w:rsidR="001B1863" w:rsidRPr="009B6364" w:rsidRDefault="001B1863" w:rsidP="00554832">
            <w:pPr>
              <w:rPr>
                <w:sz w:val="18"/>
                <w:szCs w:val="18"/>
              </w:rPr>
            </w:pPr>
            <w:r w:rsidRPr="009B6364">
              <w:rPr>
                <w:sz w:val="18"/>
                <w:szCs w:val="18"/>
              </w:rPr>
              <w:t>Location</w:t>
            </w:r>
          </w:p>
        </w:tc>
        <w:tc>
          <w:tcPr>
            <w:tcW w:w="1701" w:type="dxa"/>
          </w:tcPr>
          <w:p w14:paraId="7951A72A" w14:textId="55CF7525" w:rsidR="001B1863" w:rsidRPr="009B6364" w:rsidRDefault="001B1863" w:rsidP="00426E46">
            <w:pPr>
              <w:cnfStyle w:val="100000000000" w:firstRow="1" w:lastRow="0" w:firstColumn="0" w:lastColumn="0" w:oddVBand="0" w:evenVBand="0" w:oddHBand="0" w:evenHBand="0" w:firstRowFirstColumn="0" w:firstRowLastColumn="0" w:lastRowFirstColumn="0" w:lastRowLastColumn="0"/>
              <w:rPr>
                <w:sz w:val="18"/>
                <w:szCs w:val="18"/>
              </w:rPr>
            </w:pPr>
            <w:r w:rsidRPr="009B6364">
              <w:rPr>
                <w:sz w:val="18"/>
                <w:szCs w:val="18"/>
              </w:rPr>
              <w:t>Component, process, service</w:t>
            </w:r>
          </w:p>
        </w:tc>
        <w:tc>
          <w:tcPr>
            <w:tcW w:w="6440" w:type="dxa"/>
          </w:tcPr>
          <w:p w14:paraId="4C86FAA8" w14:textId="43F029DB" w:rsidR="001B1863" w:rsidRPr="009B6364" w:rsidRDefault="00E209C0" w:rsidP="00554832">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Triggers (LAC)</w:t>
            </w:r>
          </w:p>
        </w:tc>
      </w:tr>
      <w:tr w:rsidR="001B1863" w:rsidRPr="009B6364" w14:paraId="157F4567"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5F353745" w14:textId="77777777" w:rsidR="001B1863" w:rsidRPr="009B6364" w:rsidRDefault="001B1863" w:rsidP="00554832">
            <w:pPr>
              <w:rPr>
                <w:sz w:val="18"/>
                <w:szCs w:val="18"/>
              </w:rPr>
            </w:pPr>
            <w:r w:rsidRPr="009B6364">
              <w:rPr>
                <w:sz w:val="18"/>
                <w:szCs w:val="18"/>
              </w:rPr>
              <w:t>Peel-Harvey Estuary</w:t>
            </w:r>
          </w:p>
        </w:tc>
        <w:tc>
          <w:tcPr>
            <w:tcW w:w="1701" w:type="dxa"/>
          </w:tcPr>
          <w:p w14:paraId="17963127" w14:textId="77777777" w:rsidR="001B1863" w:rsidRPr="009B6364" w:rsidRDefault="001B1863" w:rsidP="00554832">
            <w:pPr>
              <w:cnfStyle w:val="000000100000" w:firstRow="0" w:lastRow="0" w:firstColumn="0" w:lastColumn="0" w:oddVBand="0" w:evenVBand="0" w:oddHBand="1" w:evenHBand="0" w:firstRowFirstColumn="0" w:firstRowLastColumn="0" w:lastRowFirstColumn="0" w:lastRowLastColumn="0"/>
              <w:rPr>
                <w:sz w:val="18"/>
                <w:szCs w:val="18"/>
              </w:rPr>
            </w:pPr>
            <w:r w:rsidRPr="009B6364">
              <w:rPr>
                <w:sz w:val="18"/>
                <w:szCs w:val="18"/>
                <w:lang w:bidi="x-none"/>
              </w:rPr>
              <w:t>Nutrients</w:t>
            </w:r>
          </w:p>
        </w:tc>
        <w:tc>
          <w:tcPr>
            <w:tcW w:w="6440" w:type="dxa"/>
          </w:tcPr>
          <w:p w14:paraId="77E86BE6" w14:textId="77777777" w:rsidR="001B1863" w:rsidRPr="009B6364" w:rsidRDefault="001B1863" w:rsidP="00554832">
            <w:pPr>
              <w:jc w:val="left"/>
              <w:cnfStyle w:val="000000100000" w:firstRow="0" w:lastRow="0" w:firstColumn="0" w:lastColumn="0" w:oddVBand="0" w:evenVBand="0" w:oddHBand="1" w:evenHBand="0" w:firstRowFirstColumn="0" w:firstRowLastColumn="0" w:lastRowFirstColumn="0" w:lastRowLastColumn="0"/>
              <w:rPr>
                <w:sz w:val="18"/>
                <w:szCs w:val="18"/>
              </w:rPr>
            </w:pPr>
            <w:r w:rsidRPr="009B6364">
              <w:rPr>
                <w:sz w:val="18"/>
                <w:szCs w:val="18"/>
              </w:rPr>
              <w:t xml:space="preserve">Total phosphorus &lt; 30 </w:t>
            </w:r>
            <w:r w:rsidRPr="009B6364">
              <w:rPr>
                <w:sz w:val="18"/>
                <w:szCs w:val="18"/>
              </w:rPr>
              <w:sym w:font="Symbol" w:char="F06D"/>
            </w:r>
            <w:r w:rsidRPr="009B6364">
              <w:rPr>
                <w:sz w:val="18"/>
                <w:szCs w:val="18"/>
              </w:rPr>
              <w:t>g/L (maximum)</w:t>
            </w:r>
          </w:p>
          <w:p w14:paraId="2A804261" w14:textId="77777777" w:rsidR="001B1863" w:rsidRPr="009B6364" w:rsidRDefault="001B1863" w:rsidP="00554832">
            <w:pPr>
              <w:jc w:val="left"/>
              <w:cnfStyle w:val="000000100000" w:firstRow="0" w:lastRow="0" w:firstColumn="0" w:lastColumn="0" w:oddVBand="0" w:evenVBand="0" w:oddHBand="1" w:evenHBand="0" w:firstRowFirstColumn="0" w:firstRowLastColumn="0" w:lastRowFirstColumn="0" w:lastRowLastColumn="0"/>
              <w:rPr>
                <w:sz w:val="18"/>
                <w:szCs w:val="18"/>
              </w:rPr>
            </w:pPr>
            <w:r w:rsidRPr="009B6364">
              <w:rPr>
                <w:sz w:val="18"/>
                <w:szCs w:val="18"/>
              </w:rPr>
              <w:t xml:space="preserve">Orthophosphate, Ammonium, nitrate-nitrite - median concentrations &lt; 10 </w:t>
            </w:r>
            <w:r w:rsidRPr="009B6364">
              <w:rPr>
                <w:sz w:val="18"/>
                <w:szCs w:val="18"/>
              </w:rPr>
              <w:sym w:font="Symbol" w:char="F06D"/>
            </w:r>
            <w:r w:rsidRPr="009B6364">
              <w:rPr>
                <w:sz w:val="18"/>
                <w:szCs w:val="18"/>
              </w:rPr>
              <w:t>g/L</w:t>
            </w:r>
          </w:p>
        </w:tc>
      </w:tr>
      <w:tr w:rsidR="001B1863" w:rsidRPr="009B6364" w14:paraId="49B87F6C" w14:textId="77777777" w:rsidTr="00554832">
        <w:tc>
          <w:tcPr>
            <w:cnfStyle w:val="001000000000" w:firstRow="0" w:lastRow="0" w:firstColumn="1" w:lastColumn="0" w:oddVBand="0" w:evenVBand="0" w:oddHBand="0" w:evenHBand="0" w:firstRowFirstColumn="0" w:firstRowLastColumn="0" w:lastRowFirstColumn="0" w:lastRowLastColumn="0"/>
            <w:tcW w:w="1101" w:type="dxa"/>
            <w:vMerge/>
          </w:tcPr>
          <w:p w14:paraId="4E9642CE" w14:textId="77777777" w:rsidR="001B1863" w:rsidRPr="009B6364" w:rsidRDefault="001B1863" w:rsidP="00554832">
            <w:pPr>
              <w:rPr>
                <w:b w:val="0"/>
                <w:sz w:val="18"/>
                <w:szCs w:val="18"/>
              </w:rPr>
            </w:pPr>
          </w:p>
        </w:tc>
        <w:tc>
          <w:tcPr>
            <w:tcW w:w="1701" w:type="dxa"/>
          </w:tcPr>
          <w:p w14:paraId="758DB020" w14:textId="77777777" w:rsidR="001B1863" w:rsidRPr="009B6364" w:rsidRDefault="001B1863" w:rsidP="00554832">
            <w:pPr>
              <w:cnfStyle w:val="000000000000" w:firstRow="0" w:lastRow="0" w:firstColumn="0" w:lastColumn="0" w:oddVBand="0" w:evenVBand="0" w:oddHBand="0" w:evenHBand="0" w:firstRowFirstColumn="0" w:firstRowLastColumn="0" w:lastRowFirstColumn="0" w:lastRowLastColumn="0"/>
              <w:rPr>
                <w:sz w:val="18"/>
                <w:szCs w:val="18"/>
              </w:rPr>
            </w:pPr>
            <w:r w:rsidRPr="009B6364">
              <w:rPr>
                <w:sz w:val="18"/>
                <w:szCs w:val="18"/>
                <w:lang w:bidi="x-none"/>
              </w:rPr>
              <w:t>Dissolved oxygen</w:t>
            </w:r>
          </w:p>
        </w:tc>
        <w:tc>
          <w:tcPr>
            <w:tcW w:w="6440" w:type="dxa"/>
          </w:tcPr>
          <w:p w14:paraId="57AAACEA" w14:textId="77777777" w:rsidR="001B1863" w:rsidRPr="009B6364" w:rsidRDefault="001B1863" w:rsidP="00554832">
            <w:pPr>
              <w:jc w:val="left"/>
              <w:cnfStyle w:val="000000000000" w:firstRow="0" w:lastRow="0" w:firstColumn="0" w:lastColumn="0" w:oddVBand="0" w:evenVBand="0" w:oddHBand="0" w:evenHBand="0" w:firstRowFirstColumn="0" w:firstRowLastColumn="0" w:lastRowFirstColumn="0" w:lastRowLastColumn="0"/>
              <w:rPr>
                <w:sz w:val="18"/>
                <w:szCs w:val="18"/>
              </w:rPr>
            </w:pPr>
            <w:r w:rsidRPr="009B6364">
              <w:rPr>
                <w:sz w:val="18"/>
                <w:szCs w:val="18"/>
                <w:lang w:bidi="x-none"/>
              </w:rPr>
              <w:t>70 – 80 % saturation</w:t>
            </w:r>
          </w:p>
        </w:tc>
      </w:tr>
      <w:tr w:rsidR="001B1863" w:rsidRPr="009B6364" w14:paraId="1EF585E4"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45FD3A16" w14:textId="77777777" w:rsidR="001B1863" w:rsidRPr="009B6364" w:rsidRDefault="001B1863" w:rsidP="00554832">
            <w:pPr>
              <w:rPr>
                <w:b w:val="0"/>
                <w:sz w:val="18"/>
                <w:szCs w:val="18"/>
              </w:rPr>
            </w:pPr>
          </w:p>
        </w:tc>
        <w:tc>
          <w:tcPr>
            <w:tcW w:w="1701" w:type="dxa"/>
          </w:tcPr>
          <w:p w14:paraId="1EAA2E65" w14:textId="77777777" w:rsidR="001B1863" w:rsidRPr="009B6364" w:rsidRDefault="001B1863" w:rsidP="00554832">
            <w:pPr>
              <w:cnfStyle w:val="000000100000" w:firstRow="0" w:lastRow="0" w:firstColumn="0" w:lastColumn="0" w:oddVBand="0" w:evenVBand="0" w:oddHBand="1" w:evenHBand="0" w:firstRowFirstColumn="0" w:firstRowLastColumn="0" w:lastRowFirstColumn="0" w:lastRowLastColumn="0"/>
              <w:rPr>
                <w:sz w:val="18"/>
                <w:szCs w:val="18"/>
              </w:rPr>
            </w:pPr>
            <w:r w:rsidRPr="009B6364">
              <w:rPr>
                <w:sz w:val="18"/>
                <w:szCs w:val="18"/>
                <w:lang w:bidi="x-none"/>
              </w:rPr>
              <w:t>pH</w:t>
            </w:r>
          </w:p>
        </w:tc>
        <w:tc>
          <w:tcPr>
            <w:tcW w:w="6440" w:type="dxa"/>
          </w:tcPr>
          <w:p w14:paraId="01C2885A" w14:textId="77777777" w:rsidR="001B1863" w:rsidRPr="009B6364" w:rsidRDefault="001B1863" w:rsidP="00554832">
            <w:pPr>
              <w:jc w:val="left"/>
              <w:cnfStyle w:val="000000100000" w:firstRow="0" w:lastRow="0" w:firstColumn="0" w:lastColumn="0" w:oddVBand="0" w:evenVBand="0" w:oddHBand="1" w:evenHBand="0" w:firstRowFirstColumn="0" w:firstRowLastColumn="0" w:lastRowFirstColumn="0" w:lastRowLastColumn="0"/>
              <w:rPr>
                <w:sz w:val="18"/>
                <w:szCs w:val="18"/>
              </w:rPr>
            </w:pPr>
            <w:r w:rsidRPr="009B6364">
              <w:rPr>
                <w:sz w:val="18"/>
                <w:szCs w:val="18"/>
                <w:lang w:bidi="x-none"/>
              </w:rPr>
              <w:t>pH &gt; 7 at all times</w:t>
            </w:r>
          </w:p>
        </w:tc>
      </w:tr>
      <w:tr w:rsidR="001B1863" w:rsidRPr="009B6364" w14:paraId="6F6E8ED0" w14:textId="77777777" w:rsidTr="00554832">
        <w:tc>
          <w:tcPr>
            <w:cnfStyle w:val="001000000000" w:firstRow="0" w:lastRow="0" w:firstColumn="1" w:lastColumn="0" w:oddVBand="0" w:evenVBand="0" w:oddHBand="0" w:evenHBand="0" w:firstRowFirstColumn="0" w:firstRowLastColumn="0" w:lastRowFirstColumn="0" w:lastRowLastColumn="0"/>
            <w:tcW w:w="1101" w:type="dxa"/>
            <w:vMerge/>
          </w:tcPr>
          <w:p w14:paraId="4C1E4137" w14:textId="77777777" w:rsidR="001B1863" w:rsidRPr="009B6364" w:rsidRDefault="001B1863" w:rsidP="00554832">
            <w:pPr>
              <w:rPr>
                <w:sz w:val="18"/>
                <w:szCs w:val="18"/>
              </w:rPr>
            </w:pPr>
          </w:p>
        </w:tc>
        <w:tc>
          <w:tcPr>
            <w:tcW w:w="1701" w:type="dxa"/>
          </w:tcPr>
          <w:p w14:paraId="3FB8AD1A" w14:textId="77777777" w:rsidR="001B1863" w:rsidRPr="009B6364" w:rsidRDefault="001B1863" w:rsidP="00554832">
            <w:pPr>
              <w:cnfStyle w:val="000000000000" w:firstRow="0" w:lastRow="0" w:firstColumn="0" w:lastColumn="0" w:oddVBand="0" w:evenVBand="0" w:oddHBand="0" w:evenHBand="0" w:firstRowFirstColumn="0" w:firstRowLastColumn="0" w:lastRowFirstColumn="0" w:lastRowLastColumn="0"/>
              <w:rPr>
                <w:sz w:val="18"/>
                <w:szCs w:val="18"/>
              </w:rPr>
            </w:pPr>
            <w:r w:rsidRPr="009B6364">
              <w:rPr>
                <w:sz w:val="18"/>
                <w:szCs w:val="18"/>
                <w:lang w:bidi="x-none"/>
              </w:rPr>
              <w:t>Salinity</w:t>
            </w:r>
          </w:p>
        </w:tc>
        <w:tc>
          <w:tcPr>
            <w:tcW w:w="6440" w:type="dxa"/>
          </w:tcPr>
          <w:p w14:paraId="2AD59B48" w14:textId="77777777" w:rsidR="001B1863" w:rsidRPr="009B6364" w:rsidRDefault="001B1863" w:rsidP="00554832">
            <w:pPr>
              <w:jc w:val="left"/>
              <w:cnfStyle w:val="000000000000" w:firstRow="0" w:lastRow="0" w:firstColumn="0" w:lastColumn="0" w:oddVBand="0" w:evenVBand="0" w:oddHBand="0" w:evenHBand="0" w:firstRowFirstColumn="0" w:firstRowLastColumn="0" w:lastRowFirstColumn="0" w:lastRowLastColumn="0"/>
              <w:rPr>
                <w:sz w:val="18"/>
                <w:szCs w:val="18"/>
                <w:lang w:bidi="x-none"/>
              </w:rPr>
            </w:pPr>
            <w:r w:rsidRPr="009B6364">
              <w:rPr>
                <w:sz w:val="18"/>
                <w:szCs w:val="18"/>
                <w:lang w:bidi="x-none"/>
              </w:rPr>
              <w:t>Winter salinity in the centre of the Peel Inlet and Harvey Estuary &lt; 30 ppt for a minimum of 3 months.</w:t>
            </w:r>
          </w:p>
          <w:p w14:paraId="5FB2F504" w14:textId="77777777" w:rsidR="001B1863" w:rsidRPr="009B6364" w:rsidRDefault="001B1863" w:rsidP="00554832">
            <w:pPr>
              <w:jc w:val="left"/>
              <w:cnfStyle w:val="000000000000" w:firstRow="0" w:lastRow="0" w:firstColumn="0" w:lastColumn="0" w:oddVBand="0" w:evenVBand="0" w:oddHBand="0" w:evenHBand="0" w:firstRowFirstColumn="0" w:firstRowLastColumn="0" w:lastRowFirstColumn="0" w:lastRowLastColumn="0"/>
              <w:rPr>
                <w:sz w:val="18"/>
                <w:szCs w:val="18"/>
              </w:rPr>
            </w:pPr>
            <w:r w:rsidRPr="009B6364">
              <w:rPr>
                <w:sz w:val="18"/>
                <w:szCs w:val="18"/>
                <w:lang w:bidi="x-none"/>
              </w:rPr>
              <w:t>Water in the Harvey River mouth over winter &lt; 3 ppt</w:t>
            </w:r>
          </w:p>
        </w:tc>
      </w:tr>
      <w:tr w:rsidR="001B1863" w:rsidRPr="009B6364" w14:paraId="6B981D6C"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7F69C522" w14:textId="77777777" w:rsidR="001B1863" w:rsidRPr="009B6364" w:rsidRDefault="001B1863" w:rsidP="00554832">
            <w:pPr>
              <w:rPr>
                <w:sz w:val="18"/>
                <w:szCs w:val="18"/>
              </w:rPr>
            </w:pPr>
          </w:p>
        </w:tc>
        <w:tc>
          <w:tcPr>
            <w:tcW w:w="1701" w:type="dxa"/>
          </w:tcPr>
          <w:p w14:paraId="17BCA80F" w14:textId="77777777" w:rsidR="001B1863" w:rsidRPr="009B6364" w:rsidRDefault="001B1863" w:rsidP="00554832">
            <w:pPr>
              <w:cnfStyle w:val="000000100000" w:firstRow="0" w:lastRow="0" w:firstColumn="0" w:lastColumn="0" w:oddVBand="0" w:evenVBand="0" w:oddHBand="1" w:evenHBand="0" w:firstRowFirstColumn="0" w:firstRowLastColumn="0" w:lastRowFirstColumn="0" w:lastRowLastColumn="0"/>
              <w:rPr>
                <w:sz w:val="18"/>
                <w:szCs w:val="18"/>
              </w:rPr>
            </w:pPr>
            <w:r w:rsidRPr="009B6364">
              <w:rPr>
                <w:sz w:val="18"/>
                <w:szCs w:val="18"/>
                <w:lang w:bidi="x-none"/>
              </w:rPr>
              <w:t>Phytoplankton</w:t>
            </w:r>
          </w:p>
        </w:tc>
        <w:tc>
          <w:tcPr>
            <w:tcW w:w="6440" w:type="dxa"/>
          </w:tcPr>
          <w:p w14:paraId="3B8800EB" w14:textId="77777777" w:rsidR="001B1863" w:rsidRPr="009B6364" w:rsidRDefault="001B1863" w:rsidP="00554832">
            <w:pPr>
              <w:jc w:val="left"/>
              <w:cnfStyle w:val="000000100000" w:firstRow="0" w:lastRow="0" w:firstColumn="0" w:lastColumn="0" w:oddVBand="0" w:evenVBand="0" w:oddHBand="1" w:evenHBand="0" w:firstRowFirstColumn="0" w:firstRowLastColumn="0" w:lastRowFirstColumn="0" w:lastRowLastColumn="0"/>
              <w:rPr>
                <w:sz w:val="18"/>
                <w:szCs w:val="18"/>
              </w:rPr>
            </w:pPr>
            <w:r w:rsidRPr="009B6364">
              <w:rPr>
                <w:sz w:val="18"/>
                <w:szCs w:val="18"/>
                <w:lang w:bidi="x-none"/>
              </w:rPr>
              <w:t xml:space="preserve">Chlorophyll a – median concentrations &lt; 10 </w:t>
            </w:r>
            <w:r w:rsidRPr="009B6364">
              <w:rPr>
                <w:sz w:val="18"/>
                <w:szCs w:val="18"/>
                <w:lang w:bidi="x-none"/>
              </w:rPr>
              <w:sym w:font="Symbol" w:char="F06D"/>
            </w:r>
            <w:r w:rsidRPr="009B6364">
              <w:rPr>
                <w:sz w:val="18"/>
                <w:szCs w:val="18"/>
                <w:lang w:bidi="x-none"/>
              </w:rPr>
              <w:t>g/L</w:t>
            </w:r>
          </w:p>
        </w:tc>
      </w:tr>
      <w:tr w:rsidR="001B1863" w:rsidRPr="009B6364" w14:paraId="1ED6A0D3" w14:textId="77777777" w:rsidTr="00554832">
        <w:tc>
          <w:tcPr>
            <w:cnfStyle w:val="001000000000" w:firstRow="0" w:lastRow="0" w:firstColumn="1" w:lastColumn="0" w:oddVBand="0" w:evenVBand="0" w:oddHBand="0" w:evenHBand="0" w:firstRowFirstColumn="0" w:firstRowLastColumn="0" w:lastRowFirstColumn="0" w:lastRowLastColumn="0"/>
            <w:tcW w:w="1101" w:type="dxa"/>
            <w:vMerge/>
          </w:tcPr>
          <w:p w14:paraId="45ADA135" w14:textId="77777777" w:rsidR="001B1863" w:rsidRPr="009B6364" w:rsidRDefault="001B1863" w:rsidP="00554832">
            <w:pPr>
              <w:rPr>
                <w:sz w:val="18"/>
                <w:szCs w:val="18"/>
              </w:rPr>
            </w:pPr>
          </w:p>
        </w:tc>
        <w:tc>
          <w:tcPr>
            <w:tcW w:w="1701" w:type="dxa"/>
          </w:tcPr>
          <w:p w14:paraId="310E5A87" w14:textId="77777777" w:rsidR="001B1863" w:rsidRPr="009B6364" w:rsidRDefault="001B1863" w:rsidP="00554832">
            <w:pPr>
              <w:cnfStyle w:val="000000000000" w:firstRow="0" w:lastRow="0" w:firstColumn="0" w:lastColumn="0" w:oddVBand="0" w:evenVBand="0" w:oddHBand="0" w:evenHBand="0" w:firstRowFirstColumn="0" w:firstRowLastColumn="0" w:lastRowFirstColumn="0" w:lastRowLastColumn="0"/>
              <w:rPr>
                <w:sz w:val="18"/>
                <w:szCs w:val="18"/>
              </w:rPr>
            </w:pPr>
            <w:r w:rsidRPr="009B6364">
              <w:rPr>
                <w:sz w:val="18"/>
                <w:szCs w:val="18"/>
                <w:lang w:bidi="x-none"/>
              </w:rPr>
              <w:t>Invertebrates</w:t>
            </w:r>
          </w:p>
        </w:tc>
        <w:tc>
          <w:tcPr>
            <w:tcW w:w="6440" w:type="dxa"/>
          </w:tcPr>
          <w:p w14:paraId="0EB3B294" w14:textId="77777777" w:rsidR="001B1863" w:rsidRPr="009B6364" w:rsidRDefault="001B1863" w:rsidP="00554832">
            <w:pPr>
              <w:jc w:val="left"/>
              <w:cnfStyle w:val="000000000000" w:firstRow="0" w:lastRow="0" w:firstColumn="0" w:lastColumn="0" w:oddVBand="0" w:evenVBand="0" w:oddHBand="0" w:evenHBand="0" w:firstRowFirstColumn="0" w:firstRowLastColumn="0" w:lastRowFirstColumn="0" w:lastRowLastColumn="0"/>
              <w:rPr>
                <w:sz w:val="18"/>
                <w:szCs w:val="18"/>
              </w:rPr>
            </w:pPr>
            <w:r w:rsidRPr="009B6364">
              <w:rPr>
                <w:sz w:val="18"/>
                <w:szCs w:val="18"/>
                <w:lang w:bidi="x-none"/>
              </w:rPr>
              <w:t>Median CPUE for blue swimmer crabs should not drop below 1.0 kg/trap lift per annum (based on commercial fishing).</w:t>
            </w:r>
          </w:p>
        </w:tc>
      </w:tr>
      <w:tr w:rsidR="001B1863" w:rsidRPr="009B6364" w14:paraId="036D8F1C"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2AE475F3" w14:textId="77777777" w:rsidR="001B1863" w:rsidRPr="009B6364" w:rsidRDefault="001B1863" w:rsidP="00554832">
            <w:pPr>
              <w:rPr>
                <w:sz w:val="18"/>
                <w:szCs w:val="18"/>
              </w:rPr>
            </w:pPr>
          </w:p>
        </w:tc>
        <w:tc>
          <w:tcPr>
            <w:tcW w:w="1701" w:type="dxa"/>
          </w:tcPr>
          <w:p w14:paraId="198DC711" w14:textId="77777777" w:rsidR="001B1863" w:rsidRPr="009B6364" w:rsidRDefault="001B1863" w:rsidP="00554832">
            <w:pPr>
              <w:cnfStyle w:val="000000100000" w:firstRow="0" w:lastRow="0" w:firstColumn="0" w:lastColumn="0" w:oddVBand="0" w:evenVBand="0" w:oddHBand="1" w:evenHBand="0" w:firstRowFirstColumn="0" w:firstRowLastColumn="0" w:lastRowFirstColumn="0" w:lastRowLastColumn="0"/>
              <w:rPr>
                <w:sz w:val="18"/>
                <w:szCs w:val="18"/>
              </w:rPr>
            </w:pPr>
            <w:r w:rsidRPr="009B6364">
              <w:rPr>
                <w:sz w:val="18"/>
                <w:szCs w:val="18"/>
              </w:rPr>
              <w:t>Waterbirds</w:t>
            </w:r>
          </w:p>
        </w:tc>
        <w:tc>
          <w:tcPr>
            <w:tcW w:w="6440" w:type="dxa"/>
          </w:tcPr>
          <w:p w14:paraId="6F1A9E35" w14:textId="77777777" w:rsidR="001B1863" w:rsidRPr="009B6364" w:rsidRDefault="001B1863" w:rsidP="00554832">
            <w:pPr>
              <w:jc w:val="left"/>
              <w:cnfStyle w:val="000000100000" w:firstRow="0" w:lastRow="0" w:firstColumn="0" w:lastColumn="0" w:oddVBand="0" w:evenVBand="0" w:oddHBand="1" w:evenHBand="0" w:firstRowFirstColumn="0" w:firstRowLastColumn="0" w:lastRowFirstColumn="0" w:lastRowLastColumn="0"/>
              <w:rPr>
                <w:sz w:val="18"/>
                <w:szCs w:val="18"/>
                <w:lang w:bidi="x-none"/>
              </w:rPr>
            </w:pPr>
            <w:r w:rsidRPr="009B6364">
              <w:rPr>
                <w:sz w:val="18"/>
                <w:szCs w:val="18"/>
                <w:lang w:bidi="x-none"/>
              </w:rPr>
              <w:t>Support &gt; 20,000 total waterbirds in 4 out of 5 years</w:t>
            </w:r>
          </w:p>
          <w:p w14:paraId="6B343895" w14:textId="77777777" w:rsidR="001B1863" w:rsidRPr="009B6364" w:rsidRDefault="001B1863" w:rsidP="00554832">
            <w:pPr>
              <w:jc w:val="left"/>
              <w:cnfStyle w:val="000000100000" w:firstRow="0" w:lastRow="0" w:firstColumn="0" w:lastColumn="0" w:oddVBand="0" w:evenVBand="0" w:oddHBand="1" w:evenHBand="0" w:firstRowFirstColumn="0" w:firstRowLastColumn="0" w:lastRowFirstColumn="0" w:lastRowLastColumn="0"/>
              <w:rPr>
                <w:sz w:val="18"/>
                <w:szCs w:val="18"/>
                <w:lang w:bidi="x-none"/>
              </w:rPr>
            </w:pPr>
            <w:r w:rsidRPr="009B6364">
              <w:rPr>
                <w:sz w:val="18"/>
                <w:szCs w:val="18"/>
                <w:lang w:bidi="x-none"/>
              </w:rPr>
              <w:t>Support &gt; 1 % of the population of the following birds 3 out of 5 years: Banded Stilt (3000) Red-necked Stint (3200) Red-capped Plover (950) Red-necked Avocet (1100) Fairy Tern (60) Curlew Sandpiper (1800) Sharp-tailed Sandpiper (1600) Musk Duck (250)</w:t>
            </w:r>
          </w:p>
          <w:p w14:paraId="4D6BAA88" w14:textId="77777777" w:rsidR="001B1863" w:rsidRPr="009B6364" w:rsidRDefault="001B1863" w:rsidP="00554832">
            <w:pPr>
              <w:jc w:val="left"/>
              <w:cnfStyle w:val="000000100000" w:firstRow="0" w:lastRow="0" w:firstColumn="0" w:lastColumn="0" w:oddVBand="0" w:evenVBand="0" w:oddHBand="1" w:evenHBand="0" w:firstRowFirstColumn="0" w:firstRowLastColumn="0" w:lastRowFirstColumn="0" w:lastRowLastColumn="0"/>
              <w:rPr>
                <w:sz w:val="18"/>
                <w:szCs w:val="18"/>
                <w:lang w:bidi="x-none"/>
              </w:rPr>
            </w:pPr>
            <w:r w:rsidRPr="009B6364">
              <w:rPr>
                <w:sz w:val="18"/>
                <w:szCs w:val="18"/>
                <w:lang w:bidi="x-none"/>
              </w:rPr>
              <w:t>Australasian Shoveler (120) Eurasian Coot (10,000) Grey Teal (20,000)</w:t>
            </w:r>
          </w:p>
          <w:p w14:paraId="367A0DBB" w14:textId="77777777" w:rsidR="001B1863" w:rsidRPr="009B6364" w:rsidRDefault="001B1863" w:rsidP="00554832">
            <w:pPr>
              <w:jc w:val="left"/>
              <w:cnfStyle w:val="000000100000" w:firstRow="0" w:lastRow="0" w:firstColumn="0" w:lastColumn="0" w:oddVBand="0" w:evenVBand="0" w:oddHBand="1" w:evenHBand="0" w:firstRowFirstColumn="0" w:firstRowLastColumn="0" w:lastRowFirstColumn="0" w:lastRowLastColumn="0"/>
              <w:rPr>
                <w:sz w:val="18"/>
                <w:szCs w:val="18"/>
              </w:rPr>
            </w:pPr>
            <w:r w:rsidRPr="009B6364">
              <w:rPr>
                <w:sz w:val="18"/>
                <w:szCs w:val="18"/>
                <w:lang w:bidi="x-none"/>
              </w:rPr>
              <w:t>Breeding recorded for waterbird species (Pelicans, Little Pied Cormorants, Little Black Cormorants, Black Swan, Grey Teal, Darter and Black-winged Stilt) a minimum of once every three years.</w:t>
            </w:r>
          </w:p>
        </w:tc>
      </w:tr>
      <w:tr w:rsidR="001B1863" w:rsidRPr="009B6364" w14:paraId="39F92BBF" w14:textId="77777777" w:rsidTr="00554832">
        <w:tc>
          <w:tcPr>
            <w:cnfStyle w:val="001000000000" w:firstRow="0" w:lastRow="0" w:firstColumn="1" w:lastColumn="0" w:oddVBand="0" w:evenVBand="0" w:oddHBand="0" w:evenHBand="0" w:firstRowFirstColumn="0" w:firstRowLastColumn="0" w:lastRowFirstColumn="0" w:lastRowLastColumn="0"/>
            <w:tcW w:w="1101" w:type="dxa"/>
            <w:vMerge w:val="restart"/>
          </w:tcPr>
          <w:p w14:paraId="1D17E649" w14:textId="77777777" w:rsidR="001B1863" w:rsidRPr="009B6364" w:rsidRDefault="001B1863" w:rsidP="00554832">
            <w:pPr>
              <w:rPr>
                <w:sz w:val="18"/>
                <w:szCs w:val="18"/>
              </w:rPr>
            </w:pPr>
            <w:r w:rsidRPr="009B6364">
              <w:rPr>
                <w:sz w:val="18"/>
                <w:szCs w:val="18"/>
              </w:rPr>
              <w:t>Yalgorup Lakes</w:t>
            </w:r>
          </w:p>
        </w:tc>
        <w:tc>
          <w:tcPr>
            <w:tcW w:w="1701" w:type="dxa"/>
          </w:tcPr>
          <w:p w14:paraId="38EA5271" w14:textId="77777777" w:rsidR="001B1863" w:rsidRPr="009B6364" w:rsidRDefault="001B1863" w:rsidP="00554832">
            <w:pPr>
              <w:cnfStyle w:val="000000000000" w:firstRow="0" w:lastRow="0" w:firstColumn="0" w:lastColumn="0" w:oddVBand="0" w:evenVBand="0" w:oddHBand="0" w:evenHBand="0" w:firstRowFirstColumn="0" w:firstRowLastColumn="0" w:lastRowFirstColumn="0" w:lastRowLastColumn="0"/>
              <w:rPr>
                <w:b/>
                <w:sz w:val="18"/>
                <w:szCs w:val="18"/>
              </w:rPr>
            </w:pPr>
            <w:r w:rsidRPr="009B6364">
              <w:rPr>
                <w:sz w:val="18"/>
                <w:szCs w:val="18"/>
                <w:lang w:bidi="x-none"/>
              </w:rPr>
              <w:t>Nutrients</w:t>
            </w:r>
          </w:p>
        </w:tc>
        <w:tc>
          <w:tcPr>
            <w:tcW w:w="6440" w:type="dxa"/>
          </w:tcPr>
          <w:p w14:paraId="10697D50" w14:textId="77777777" w:rsidR="001B1863" w:rsidRPr="009B6364" w:rsidRDefault="001B1863" w:rsidP="00554832">
            <w:pPr>
              <w:jc w:val="left"/>
              <w:cnfStyle w:val="000000000000" w:firstRow="0" w:lastRow="0" w:firstColumn="0" w:lastColumn="0" w:oddVBand="0" w:evenVBand="0" w:oddHBand="0" w:evenHBand="0" w:firstRowFirstColumn="0" w:firstRowLastColumn="0" w:lastRowFirstColumn="0" w:lastRowLastColumn="0"/>
              <w:rPr>
                <w:b/>
                <w:sz w:val="18"/>
                <w:szCs w:val="18"/>
              </w:rPr>
            </w:pPr>
            <w:r w:rsidRPr="009B6364">
              <w:rPr>
                <w:sz w:val="18"/>
                <w:szCs w:val="18"/>
              </w:rPr>
              <w:t xml:space="preserve">Orthophosphate, ammonium, nitrate-nitrite - median &lt; 10 </w:t>
            </w:r>
            <w:r w:rsidRPr="009B6364">
              <w:rPr>
                <w:sz w:val="18"/>
                <w:szCs w:val="18"/>
              </w:rPr>
              <w:sym w:font="Symbol" w:char="F06D"/>
            </w:r>
            <w:r w:rsidRPr="009B6364">
              <w:rPr>
                <w:sz w:val="18"/>
                <w:szCs w:val="18"/>
              </w:rPr>
              <w:t>g/L</w:t>
            </w:r>
          </w:p>
        </w:tc>
      </w:tr>
      <w:tr w:rsidR="001B1863" w:rsidRPr="009B6364" w14:paraId="5EE51D07"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27101561" w14:textId="77777777" w:rsidR="001B1863" w:rsidRPr="009B6364" w:rsidRDefault="001B1863" w:rsidP="00554832">
            <w:pPr>
              <w:rPr>
                <w:sz w:val="18"/>
                <w:szCs w:val="18"/>
              </w:rPr>
            </w:pPr>
          </w:p>
        </w:tc>
        <w:tc>
          <w:tcPr>
            <w:tcW w:w="1701" w:type="dxa"/>
          </w:tcPr>
          <w:p w14:paraId="2F10FFA8" w14:textId="77777777" w:rsidR="001B1863" w:rsidRPr="009B6364" w:rsidRDefault="001B1863" w:rsidP="00554832">
            <w:pPr>
              <w:cnfStyle w:val="000000100000" w:firstRow="0" w:lastRow="0" w:firstColumn="0" w:lastColumn="0" w:oddVBand="0" w:evenVBand="0" w:oddHBand="1" w:evenHBand="0" w:firstRowFirstColumn="0" w:firstRowLastColumn="0" w:lastRowFirstColumn="0" w:lastRowLastColumn="0"/>
              <w:rPr>
                <w:b/>
                <w:sz w:val="18"/>
                <w:szCs w:val="18"/>
              </w:rPr>
            </w:pPr>
            <w:r w:rsidRPr="009B6364">
              <w:rPr>
                <w:sz w:val="18"/>
                <w:szCs w:val="18"/>
                <w:lang w:bidi="x-none"/>
              </w:rPr>
              <w:t>Salinity</w:t>
            </w:r>
          </w:p>
        </w:tc>
        <w:tc>
          <w:tcPr>
            <w:tcW w:w="6440" w:type="dxa"/>
          </w:tcPr>
          <w:p w14:paraId="3A2CAC92" w14:textId="77777777" w:rsidR="001B1863" w:rsidRPr="009B6364" w:rsidRDefault="001B1863" w:rsidP="00554832">
            <w:pPr>
              <w:jc w:val="left"/>
              <w:cnfStyle w:val="000000100000" w:firstRow="0" w:lastRow="0" w:firstColumn="0" w:lastColumn="0" w:oddVBand="0" w:evenVBand="0" w:oddHBand="1" w:evenHBand="0" w:firstRowFirstColumn="0" w:firstRowLastColumn="0" w:lastRowFirstColumn="0" w:lastRowLastColumn="0"/>
              <w:rPr>
                <w:b/>
                <w:sz w:val="18"/>
                <w:szCs w:val="18"/>
              </w:rPr>
            </w:pPr>
            <w:r w:rsidRPr="009B6364">
              <w:rPr>
                <w:sz w:val="18"/>
                <w:szCs w:val="18"/>
                <w:lang w:bidi="x-none"/>
              </w:rPr>
              <w:t>Lake Clifton salinity &lt; 35 ppt maximum and &lt; 25 ppt during winter and spring.</w:t>
            </w:r>
          </w:p>
        </w:tc>
      </w:tr>
      <w:tr w:rsidR="001B1863" w:rsidRPr="009B6364" w14:paraId="48686516" w14:textId="77777777" w:rsidTr="00554832">
        <w:tc>
          <w:tcPr>
            <w:cnfStyle w:val="001000000000" w:firstRow="0" w:lastRow="0" w:firstColumn="1" w:lastColumn="0" w:oddVBand="0" w:evenVBand="0" w:oddHBand="0" w:evenHBand="0" w:firstRowFirstColumn="0" w:firstRowLastColumn="0" w:lastRowFirstColumn="0" w:lastRowLastColumn="0"/>
            <w:tcW w:w="1101" w:type="dxa"/>
            <w:vMerge/>
          </w:tcPr>
          <w:p w14:paraId="16977408" w14:textId="77777777" w:rsidR="001B1863" w:rsidRPr="009B6364" w:rsidRDefault="001B1863" w:rsidP="00554832">
            <w:pPr>
              <w:rPr>
                <w:sz w:val="18"/>
                <w:szCs w:val="18"/>
              </w:rPr>
            </w:pPr>
          </w:p>
        </w:tc>
        <w:tc>
          <w:tcPr>
            <w:tcW w:w="1701" w:type="dxa"/>
          </w:tcPr>
          <w:p w14:paraId="4B4B0C41" w14:textId="77777777" w:rsidR="001B1863" w:rsidRPr="009B6364" w:rsidRDefault="001B1863" w:rsidP="00554832">
            <w:pPr>
              <w:cnfStyle w:val="000000000000" w:firstRow="0" w:lastRow="0" w:firstColumn="0" w:lastColumn="0" w:oddVBand="0" w:evenVBand="0" w:oddHBand="0" w:evenHBand="0" w:firstRowFirstColumn="0" w:firstRowLastColumn="0" w:lastRowFirstColumn="0" w:lastRowLastColumn="0"/>
              <w:rPr>
                <w:b/>
                <w:sz w:val="18"/>
                <w:szCs w:val="18"/>
              </w:rPr>
            </w:pPr>
            <w:r w:rsidRPr="009B6364">
              <w:rPr>
                <w:sz w:val="18"/>
                <w:szCs w:val="18"/>
                <w:lang w:bidi="x-none"/>
              </w:rPr>
              <w:t>pH</w:t>
            </w:r>
          </w:p>
        </w:tc>
        <w:tc>
          <w:tcPr>
            <w:tcW w:w="6440" w:type="dxa"/>
          </w:tcPr>
          <w:p w14:paraId="1922000B" w14:textId="77777777" w:rsidR="001B1863" w:rsidRPr="009B6364" w:rsidRDefault="001B1863" w:rsidP="00554832">
            <w:pPr>
              <w:jc w:val="left"/>
              <w:cnfStyle w:val="000000000000" w:firstRow="0" w:lastRow="0" w:firstColumn="0" w:lastColumn="0" w:oddVBand="0" w:evenVBand="0" w:oddHBand="0" w:evenHBand="0" w:firstRowFirstColumn="0" w:firstRowLastColumn="0" w:lastRowFirstColumn="0" w:lastRowLastColumn="0"/>
              <w:rPr>
                <w:b/>
                <w:sz w:val="18"/>
                <w:szCs w:val="18"/>
              </w:rPr>
            </w:pPr>
            <w:r w:rsidRPr="009B6364">
              <w:rPr>
                <w:sz w:val="18"/>
                <w:szCs w:val="18"/>
                <w:lang w:bidi="x-none"/>
              </w:rPr>
              <w:t>pH &gt; 7 at all times</w:t>
            </w:r>
          </w:p>
        </w:tc>
      </w:tr>
      <w:tr w:rsidR="001B1863" w:rsidRPr="009B6364" w14:paraId="00876FAE"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67FAD495" w14:textId="77777777" w:rsidR="001B1863" w:rsidRPr="009B6364" w:rsidRDefault="001B1863" w:rsidP="00554832">
            <w:pPr>
              <w:rPr>
                <w:sz w:val="18"/>
                <w:szCs w:val="18"/>
              </w:rPr>
            </w:pPr>
          </w:p>
        </w:tc>
        <w:tc>
          <w:tcPr>
            <w:tcW w:w="1701" w:type="dxa"/>
          </w:tcPr>
          <w:p w14:paraId="1CBA3EEF" w14:textId="77777777" w:rsidR="001B1863" w:rsidRPr="009B6364" w:rsidRDefault="001B1863" w:rsidP="00554832">
            <w:pPr>
              <w:cnfStyle w:val="000000100000" w:firstRow="0" w:lastRow="0" w:firstColumn="0" w:lastColumn="0" w:oddVBand="0" w:evenVBand="0" w:oddHBand="1" w:evenHBand="0" w:firstRowFirstColumn="0" w:firstRowLastColumn="0" w:lastRowFirstColumn="0" w:lastRowLastColumn="0"/>
              <w:rPr>
                <w:b/>
                <w:sz w:val="18"/>
                <w:szCs w:val="18"/>
              </w:rPr>
            </w:pPr>
            <w:r w:rsidRPr="009B6364">
              <w:rPr>
                <w:sz w:val="18"/>
                <w:szCs w:val="18"/>
                <w:lang w:bidi="x-none"/>
              </w:rPr>
              <w:t>Macroalgae</w:t>
            </w:r>
          </w:p>
        </w:tc>
        <w:tc>
          <w:tcPr>
            <w:tcW w:w="6440" w:type="dxa"/>
          </w:tcPr>
          <w:p w14:paraId="300D1265" w14:textId="77777777" w:rsidR="001B1863" w:rsidRPr="009B6364" w:rsidRDefault="001B1863" w:rsidP="00554832">
            <w:pPr>
              <w:jc w:val="left"/>
              <w:cnfStyle w:val="000000100000" w:firstRow="0" w:lastRow="0" w:firstColumn="0" w:lastColumn="0" w:oddVBand="0" w:evenVBand="0" w:oddHBand="1" w:evenHBand="0" w:firstRowFirstColumn="0" w:firstRowLastColumn="0" w:lastRowFirstColumn="0" w:lastRowLastColumn="0"/>
              <w:rPr>
                <w:b/>
                <w:sz w:val="18"/>
                <w:szCs w:val="18"/>
              </w:rPr>
            </w:pPr>
            <w:r w:rsidRPr="009B6364">
              <w:rPr>
                <w:sz w:val="18"/>
                <w:szCs w:val="18"/>
                <w:lang w:bidi="x-none"/>
              </w:rPr>
              <w:t>No sustained epiphytic macroalgal growth on thrombolites at Lake Clifton</w:t>
            </w:r>
          </w:p>
        </w:tc>
      </w:tr>
      <w:tr w:rsidR="001B1863" w:rsidRPr="009B6364" w14:paraId="004EF3B9" w14:textId="77777777" w:rsidTr="00554832">
        <w:tc>
          <w:tcPr>
            <w:cnfStyle w:val="001000000000" w:firstRow="0" w:lastRow="0" w:firstColumn="1" w:lastColumn="0" w:oddVBand="0" w:evenVBand="0" w:oddHBand="0" w:evenHBand="0" w:firstRowFirstColumn="0" w:firstRowLastColumn="0" w:lastRowFirstColumn="0" w:lastRowLastColumn="0"/>
            <w:tcW w:w="1101" w:type="dxa"/>
            <w:vMerge/>
          </w:tcPr>
          <w:p w14:paraId="66D42885" w14:textId="77777777" w:rsidR="001B1863" w:rsidRPr="009B6364" w:rsidRDefault="001B1863" w:rsidP="00554832">
            <w:pPr>
              <w:rPr>
                <w:sz w:val="18"/>
                <w:szCs w:val="18"/>
              </w:rPr>
            </w:pPr>
          </w:p>
        </w:tc>
        <w:tc>
          <w:tcPr>
            <w:tcW w:w="1701" w:type="dxa"/>
          </w:tcPr>
          <w:p w14:paraId="74236D00" w14:textId="77777777" w:rsidR="001B1863" w:rsidRPr="009B6364" w:rsidRDefault="001B1863" w:rsidP="00554832">
            <w:pPr>
              <w:cnfStyle w:val="000000000000" w:firstRow="0" w:lastRow="0" w:firstColumn="0" w:lastColumn="0" w:oddVBand="0" w:evenVBand="0" w:oddHBand="0" w:evenHBand="0" w:firstRowFirstColumn="0" w:firstRowLastColumn="0" w:lastRowFirstColumn="0" w:lastRowLastColumn="0"/>
              <w:rPr>
                <w:b/>
                <w:sz w:val="18"/>
                <w:szCs w:val="18"/>
              </w:rPr>
            </w:pPr>
            <w:r w:rsidRPr="009B6364">
              <w:rPr>
                <w:sz w:val="18"/>
                <w:szCs w:val="18"/>
                <w:lang w:bidi="x-none"/>
              </w:rPr>
              <w:t>Waterbirds</w:t>
            </w:r>
          </w:p>
        </w:tc>
        <w:tc>
          <w:tcPr>
            <w:tcW w:w="6440" w:type="dxa"/>
          </w:tcPr>
          <w:p w14:paraId="0E1999E1" w14:textId="77777777" w:rsidR="001B1863" w:rsidRPr="009B6364" w:rsidRDefault="001B1863" w:rsidP="00554832">
            <w:pPr>
              <w:jc w:val="left"/>
              <w:cnfStyle w:val="000000000000" w:firstRow="0" w:lastRow="0" w:firstColumn="0" w:lastColumn="0" w:oddVBand="0" w:evenVBand="0" w:oddHBand="0" w:evenHBand="0" w:firstRowFirstColumn="0" w:firstRowLastColumn="0" w:lastRowFirstColumn="0" w:lastRowLastColumn="0"/>
              <w:rPr>
                <w:sz w:val="18"/>
                <w:szCs w:val="18"/>
                <w:lang w:bidi="x-none"/>
              </w:rPr>
            </w:pPr>
            <w:r w:rsidRPr="009B6364">
              <w:rPr>
                <w:sz w:val="18"/>
                <w:szCs w:val="18"/>
                <w:lang w:bidi="x-none"/>
              </w:rPr>
              <w:t>Support &gt; 1 % of the population of the following birds 3 out of 5 years: Banded Stilt (3000) Red-necked Stint (3200) Hooded Plover (60) Musk Duck (250) Shelduck (2400)</w:t>
            </w:r>
          </w:p>
          <w:p w14:paraId="07311067" w14:textId="77777777" w:rsidR="001B1863" w:rsidRPr="009B6364" w:rsidRDefault="001B1863" w:rsidP="00554832">
            <w:pPr>
              <w:jc w:val="left"/>
              <w:cnfStyle w:val="000000000000" w:firstRow="0" w:lastRow="0" w:firstColumn="0" w:lastColumn="0" w:oddVBand="0" w:evenVBand="0" w:oddHBand="0" w:evenHBand="0" w:firstRowFirstColumn="0" w:firstRowLastColumn="0" w:lastRowFirstColumn="0" w:lastRowLastColumn="0"/>
              <w:rPr>
                <w:b/>
                <w:sz w:val="18"/>
                <w:szCs w:val="18"/>
              </w:rPr>
            </w:pPr>
            <w:r w:rsidRPr="009B6364">
              <w:rPr>
                <w:sz w:val="18"/>
                <w:szCs w:val="18"/>
                <w:lang w:bidi="x-none"/>
              </w:rPr>
              <w:lastRenderedPageBreak/>
              <w:t>Successful breeding recorded for waterbird species (Black Swans, Hooded Plover, Red-capped Plover, Banded Lapwing and Great Crested Grebe).</w:t>
            </w:r>
          </w:p>
        </w:tc>
      </w:tr>
      <w:tr w:rsidR="001B1863" w:rsidRPr="009B6364" w14:paraId="36B3E6E2"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6FE8AB70" w14:textId="77777777" w:rsidR="001B1863" w:rsidRPr="009B6364" w:rsidRDefault="001B1863" w:rsidP="00554832">
            <w:pPr>
              <w:rPr>
                <w:sz w:val="18"/>
                <w:szCs w:val="18"/>
              </w:rPr>
            </w:pPr>
          </w:p>
        </w:tc>
        <w:tc>
          <w:tcPr>
            <w:tcW w:w="1701" w:type="dxa"/>
          </w:tcPr>
          <w:p w14:paraId="4C05E079" w14:textId="77777777" w:rsidR="001B1863" w:rsidRPr="009B6364" w:rsidRDefault="001B1863" w:rsidP="00554832">
            <w:pPr>
              <w:cnfStyle w:val="000000100000" w:firstRow="0" w:lastRow="0" w:firstColumn="0" w:lastColumn="0" w:oddVBand="0" w:evenVBand="0" w:oddHBand="1" w:evenHBand="0" w:firstRowFirstColumn="0" w:firstRowLastColumn="0" w:lastRowFirstColumn="0" w:lastRowLastColumn="0"/>
              <w:rPr>
                <w:b/>
                <w:sz w:val="18"/>
                <w:szCs w:val="18"/>
              </w:rPr>
            </w:pPr>
            <w:r w:rsidRPr="009B6364">
              <w:rPr>
                <w:sz w:val="18"/>
                <w:szCs w:val="18"/>
                <w:lang w:bidi="x-none"/>
              </w:rPr>
              <w:t>Thrombolites</w:t>
            </w:r>
          </w:p>
        </w:tc>
        <w:tc>
          <w:tcPr>
            <w:tcW w:w="6440" w:type="dxa"/>
          </w:tcPr>
          <w:p w14:paraId="188162B1" w14:textId="77777777" w:rsidR="001B1863" w:rsidRPr="009B6364" w:rsidRDefault="001B1863" w:rsidP="00554832">
            <w:pPr>
              <w:jc w:val="left"/>
              <w:cnfStyle w:val="000000100000" w:firstRow="0" w:lastRow="0" w:firstColumn="0" w:lastColumn="0" w:oddVBand="0" w:evenVBand="0" w:oddHBand="1" w:evenHBand="0" w:firstRowFirstColumn="0" w:firstRowLastColumn="0" w:lastRowFirstColumn="0" w:lastRowLastColumn="0"/>
              <w:rPr>
                <w:b/>
                <w:sz w:val="18"/>
                <w:szCs w:val="18"/>
              </w:rPr>
            </w:pPr>
            <w:r w:rsidRPr="009B6364">
              <w:rPr>
                <w:sz w:val="18"/>
                <w:szCs w:val="18"/>
                <w:lang w:bidi="x-none"/>
              </w:rPr>
              <w:t>No loss of thrombolites at Lake Clifton.</w:t>
            </w:r>
          </w:p>
        </w:tc>
      </w:tr>
      <w:tr w:rsidR="001B1863" w:rsidRPr="009B6364" w14:paraId="41EFCC42" w14:textId="77777777" w:rsidTr="00554832">
        <w:tc>
          <w:tcPr>
            <w:cnfStyle w:val="001000000000" w:firstRow="0" w:lastRow="0" w:firstColumn="1" w:lastColumn="0" w:oddVBand="0" w:evenVBand="0" w:oddHBand="0" w:evenHBand="0" w:firstRowFirstColumn="0" w:firstRowLastColumn="0" w:lastRowFirstColumn="0" w:lastRowLastColumn="0"/>
            <w:tcW w:w="1101" w:type="dxa"/>
            <w:vMerge w:val="restart"/>
          </w:tcPr>
          <w:p w14:paraId="2EAD49FD" w14:textId="77777777" w:rsidR="001B1863" w:rsidRPr="009B6364" w:rsidRDefault="001B1863" w:rsidP="00554832">
            <w:pPr>
              <w:rPr>
                <w:sz w:val="18"/>
                <w:szCs w:val="18"/>
              </w:rPr>
            </w:pPr>
            <w:r w:rsidRPr="009B6364">
              <w:rPr>
                <w:sz w:val="18"/>
                <w:szCs w:val="18"/>
              </w:rPr>
              <w:t>Lakes McLarty and Mealup</w:t>
            </w:r>
          </w:p>
        </w:tc>
        <w:tc>
          <w:tcPr>
            <w:tcW w:w="1701" w:type="dxa"/>
          </w:tcPr>
          <w:p w14:paraId="48FC393D" w14:textId="77777777" w:rsidR="001B1863" w:rsidRPr="009B6364" w:rsidRDefault="001B1863" w:rsidP="00554832">
            <w:pPr>
              <w:cnfStyle w:val="000000000000" w:firstRow="0" w:lastRow="0" w:firstColumn="0" w:lastColumn="0" w:oddVBand="0" w:evenVBand="0" w:oddHBand="0" w:evenHBand="0" w:firstRowFirstColumn="0" w:firstRowLastColumn="0" w:lastRowFirstColumn="0" w:lastRowLastColumn="0"/>
              <w:rPr>
                <w:b/>
                <w:sz w:val="18"/>
                <w:szCs w:val="18"/>
              </w:rPr>
            </w:pPr>
            <w:r w:rsidRPr="009B6364">
              <w:rPr>
                <w:sz w:val="18"/>
                <w:szCs w:val="18"/>
                <w:lang w:bidi="x-none"/>
              </w:rPr>
              <w:t>Nutrients</w:t>
            </w:r>
          </w:p>
        </w:tc>
        <w:tc>
          <w:tcPr>
            <w:tcW w:w="6440" w:type="dxa"/>
          </w:tcPr>
          <w:p w14:paraId="0F2CBA32" w14:textId="77777777" w:rsidR="001B1863" w:rsidRPr="009B6364" w:rsidRDefault="001B1863" w:rsidP="00554832">
            <w:pPr>
              <w:jc w:val="left"/>
              <w:cnfStyle w:val="000000000000" w:firstRow="0" w:lastRow="0" w:firstColumn="0" w:lastColumn="0" w:oddVBand="0" w:evenVBand="0" w:oddHBand="0" w:evenHBand="0" w:firstRowFirstColumn="0" w:firstRowLastColumn="0" w:lastRowFirstColumn="0" w:lastRowLastColumn="0"/>
              <w:rPr>
                <w:sz w:val="18"/>
                <w:szCs w:val="18"/>
                <w:lang w:bidi="x-none"/>
              </w:rPr>
            </w:pPr>
            <w:r w:rsidRPr="009B6364">
              <w:rPr>
                <w:sz w:val="18"/>
                <w:szCs w:val="18"/>
              </w:rPr>
              <w:t>Orthophosphate</w:t>
            </w:r>
            <w:r w:rsidRPr="009B6364">
              <w:rPr>
                <w:sz w:val="18"/>
                <w:szCs w:val="18"/>
                <w:lang w:bidi="x-none"/>
              </w:rPr>
              <w:t xml:space="preserve"> &lt; 30&lt; </w:t>
            </w:r>
            <w:r w:rsidRPr="009B6364">
              <w:rPr>
                <w:sz w:val="18"/>
                <w:szCs w:val="18"/>
                <w:lang w:bidi="x-none"/>
              </w:rPr>
              <w:sym w:font="Symbol" w:char="F06D"/>
            </w:r>
            <w:r w:rsidRPr="009B6364">
              <w:rPr>
                <w:sz w:val="18"/>
                <w:szCs w:val="18"/>
                <w:lang w:bidi="x-none"/>
              </w:rPr>
              <w:t>g/L; a</w:t>
            </w:r>
            <w:r w:rsidRPr="009B6364">
              <w:rPr>
                <w:sz w:val="18"/>
                <w:szCs w:val="18"/>
              </w:rPr>
              <w:t>mmonium</w:t>
            </w:r>
            <w:r w:rsidRPr="009B6364">
              <w:rPr>
                <w:sz w:val="18"/>
                <w:szCs w:val="18"/>
                <w:lang w:bidi="x-none"/>
              </w:rPr>
              <w:t xml:space="preserve"> &lt; 40 </w:t>
            </w:r>
            <w:r w:rsidRPr="009B6364">
              <w:rPr>
                <w:sz w:val="18"/>
                <w:szCs w:val="18"/>
                <w:lang w:bidi="x-none"/>
              </w:rPr>
              <w:sym w:font="Symbol" w:char="F06D"/>
            </w:r>
            <w:r w:rsidRPr="009B6364">
              <w:rPr>
                <w:sz w:val="18"/>
                <w:szCs w:val="18"/>
                <w:lang w:bidi="x-none"/>
              </w:rPr>
              <w:t>g/L; ni</w:t>
            </w:r>
            <w:r w:rsidRPr="009B6364">
              <w:rPr>
                <w:sz w:val="18"/>
                <w:szCs w:val="18"/>
              </w:rPr>
              <w:t>trate-nitrite</w:t>
            </w:r>
            <w:r w:rsidRPr="009B6364">
              <w:rPr>
                <w:sz w:val="18"/>
                <w:szCs w:val="18"/>
                <w:lang w:bidi="x-none"/>
              </w:rPr>
              <w:t xml:space="preserve"> &lt; 100 </w:t>
            </w:r>
            <w:r w:rsidRPr="009B6364">
              <w:rPr>
                <w:sz w:val="18"/>
                <w:szCs w:val="18"/>
                <w:lang w:bidi="x-none"/>
              </w:rPr>
              <w:sym w:font="Symbol" w:char="F06D"/>
            </w:r>
            <w:r w:rsidRPr="009B6364">
              <w:rPr>
                <w:sz w:val="18"/>
                <w:szCs w:val="18"/>
                <w:lang w:bidi="x-none"/>
              </w:rPr>
              <w:t>g/L when water levels &gt; 500 mm</w:t>
            </w:r>
          </w:p>
        </w:tc>
      </w:tr>
      <w:tr w:rsidR="001B1863" w:rsidRPr="009B6364" w14:paraId="0D8AC307"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277BCD61" w14:textId="77777777" w:rsidR="001B1863" w:rsidRPr="009B6364" w:rsidRDefault="001B1863" w:rsidP="00554832">
            <w:pPr>
              <w:rPr>
                <w:sz w:val="18"/>
                <w:szCs w:val="18"/>
              </w:rPr>
            </w:pPr>
          </w:p>
        </w:tc>
        <w:tc>
          <w:tcPr>
            <w:tcW w:w="1701" w:type="dxa"/>
          </w:tcPr>
          <w:p w14:paraId="5382CE11" w14:textId="77777777" w:rsidR="001B1863" w:rsidRPr="009B6364" w:rsidRDefault="001B1863" w:rsidP="00554832">
            <w:pPr>
              <w:cnfStyle w:val="000000100000" w:firstRow="0" w:lastRow="0" w:firstColumn="0" w:lastColumn="0" w:oddVBand="0" w:evenVBand="0" w:oddHBand="1" w:evenHBand="0" w:firstRowFirstColumn="0" w:firstRowLastColumn="0" w:lastRowFirstColumn="0" w:lastRowLastColumn="0"/>
              <w:rPr>
                <w:b/>
                <w:sz w:val="18"/>
                <w:szCs w:val="18"/>
              </w:rPr>
            </w:pPr>
            <w:r w:rsidRPr="009B6364">
              <w:rPr>
                <w:sz w:val="18"/>
                <w:szCs w:val="18"/>
                <w:lang w:bidi="x-none"/>
              </w:rPr>
              <w:t>Salinity</w:t>
            </w:r>
          </w:p>
        </w:tc>
        <w:tc>
          <w:tcPr>
            <w:tcW w:w="6440" w:type="dxa"/>
          </w:tcPr>
          <w:p w14:paraId="5C28351F" w14:textId="77777777" w:rsidR="001B1863" w:rsidRPr="009B6364" w:rsidRDefault="001B1863" w:rsidP="00554832">
            <w:pPr>
              <w:jc w:val="left"/>
              <w:cnfStyle w:val="000000100000" w:firstRow="0" w:lastRow="0" w:firstColumn="0" w:lastColumn="0" w:oddVBand="0" w:evenVBand="0" w:oddHBand="1" w:evenHBand="0" w:firstRowFirstColumn="0" w:firstRowLastColumn="0" w:lastRowFirstColumn="0" w:lastRowLastColumn="0"/>
              <w:rPr>
                <w:sz w:val="18"/>
                <w:szCs w:val="18"/>
                <w:lang w:bidi="x-none"/>
              </w:rPr>
            </w:pPr>
            <w:r w:rsidRPr="009B6364">
              <w:rPr>
                <w:sz w:val="18"/>
                <w:szCs w:val="18"/>
                <w:lang w:bidi="x-none"/>
              </w:rPr>
              <w:t>Salinity under rush and sedge communities &lt; 1 ppt</w:t>
            </w:r>
          </w:p>
        </w:tc>
      </w:tr>
      <w:tr w:rsidR="001B1863" w:rsidRPr="009B6364" w14:paraId="04A66952" w14:textId="77777777" w:rsidTr="00554832">
        <w:tc>
          <w:tcPr>
            <w:cnfStyle w:val="001000000000" w:firstRow="0" w:lastRow="0" w:firstColumn="1" w:lastColumn="0" w:oddVBand="0" w:evenVBand="0" w:oddHBand="0" w:evenHBand="0" w:firstRowFirstColumn="0" w:firstRowLastColumn="0" w:lastRowFirstColumn="0" w:lastRowLastColumn="0"/>
            <w:tcW w:w="1101" w:type="dxa"/>
            <w:vMerge/>
          </w:tcPr>
          <w:p w14:paraId="1F689213" w14:textId="77777777" w:rsidR="001B1863" w:rsidRPr="009B6364" w:rsidRDefault="001B1863" w:rsidP="00554832">
            <w:pPr>
              <w:rPr>
                <w:sz w:val="18"/>
                <w:szCs w:val="18"/>
              </w:rPr>
            </w:pPr>
          </w:p>
        </w:tc>
        <w:tc>
          <w:tcPr>
            <w:tcW w:w="1701" w:type="dxa"/>
          </w:tcPr>
          <w:p w14:paraId="09B8B507" w14:textId="77777777" w:rsidR="001B1863" w:rsidRPr="009B6364" w:rsidRDefault="001B1863" w:rsidP="00554832">
            <w:pPr>
              <w:cnfStyle w:val="000000000000" w:firstRow="0" w:lastRow="0" w:firstColumn="0" w:lastColumn="0" w:oddVBand="0" w:evenVBand="0" w:oddHBand="0" w:evenHBand="0" w:firstRowFirstColumn="0" w:firstRowLastColumn="0" w:lastRowFirstColumn="0" w:lastRowLastColumn="0"/>
              <w:rPr>
                <w:b/>
                <w:sz w:val="18"/>
                <w:szCs w:val="18"/>
              </w:rPr>
            </w:pPr>
            <w:r w:rsidRPr="009B6364">
              <w:rPr>
                <w:sz w:val="18"/>
                <w:szCs w:val="18"/>
                <w:lang w:bidi="x-none"/>
              </w:rPr>
              <w:t>pH</w:t>
            </w:r>
          </w:p>
        </w:tc>
        <w:tc>
          <w:tcPr>
            <w:tcW w:w="6440" w:type="dxa"/>
          </w:tcPr>
          <w:p w14:paraId="0E058405" w14:textId="77777777" w:rsidR="001B1863" w:rsidRPr="009B6364" w:rsidRDefault="001B1863" w:rsidP="00554832">
            <w:pPr>
              <w:jc w:val="left"/>
              <w:cnfStyle w:val="000000000000" w:firstRow="0" w:lastRow="0" w:firstColumn="0" w:lastColumn="0" w:oddVBand="0" w:evenVBand="0" w:oddHBand="0" w:evenHBand="0" w:firstRowFirstColumn="0" w:firstRowLastColumn="0" w:lastRowFirstColumn="0" w:lastRowLastColumn="0"/>
              <w:rPr>
                <w:b/>
                <w:sz w:val="18"/>
                <w:szCs w:val="18"/>
              </w:rPr>
            </w:pPr>
            <w:r w:rsidRPr="009B6364">
              <w:rPr>
                <w:sz w:val="18"/>
                <w:szCs w:val="18"/>
                <w:lang w:bidi="x-none"/>
              </w:rPr>
              <w:t>pH &gt; 7 at all times in Lake McLarty</w:t>
            </w:r>
          </w:p>
        </w:tc>
      </w:tr>
      <w:tr w:rsidR="001B1863" w:rsidRPr="009B6364" w14:paraId="299486E5"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7F23166C" w14:textId="77777777" w:rsidR="001B1863" w:rsidRPr="009B6364" w:rsidRDefault="001B1863" w:rsidP="00554832">
            <w:pPr>
              <w:rPr>
                <w:sz w:val="18"/>
                <w:szCs w:val="18"/>
              </w:rPr>
            </w:pPr>
          </w:p>
        </w:tc>
        <w:tc>
          <w:tcPr>
            <w:tcW w:w="1701" w:type="dxa"/>
          </w:tcPr>
          <w:p w14:paraId="002030D0" w14:textId="77777777" w:rsidR="001B1863" w:rsidRPr="009B6364" w:rsidRDefault="001B1863" w:rsidP="00554832">
            <w:pPr>
              <w:cnfStyle w:val="000000100000" w:firstRow="0" w:lastRow="0" w:firstColumn="0" w:lastColumn="0" w:oddVBand="0" w:evenVBand="0" w:oddHBand="1" w:evenHBand="0" w:firstRowFirstColumn="0" w:firstRowLastColumn="0" w:lastRowFirstColumn="0" w:lastRowLastColumn="0"/>
              <w:rPr>
                <w:b/>
                <w:sz w:val="18"/>
                <w:szCs w:val="18"/>
              </w:rPr>
            </w:pPr>
            <w:r w:rsidRPr="009B6364">
              <w:rPr>
                <w:sz w:val="18"/>
                <w:szCs w:val="18"/>
                <w:lang w:bidi="x-none"/>
              </w:rPr>
              <w:t>Aquatic plants</w:t>
            </w:r>
          </w:p>
        </w:tc>
        <w:tc>
          <w:tcPr>
            <w:tcW w:w="6440" w:type="dxa"/>
          </w:tcPr>
          <w:p w14:paraId="6DFD4D8A" w14:textId="77777777" w:rsidR="001B1863" w:rsidRPr="009B6364" w:rsidRDefault="001B1863" w:rsidP="00554832">
            <w:pPr>
              <w:jc w:val="left"/>
              <w:cnfStyle w:val="000000100000" w:firstRow="0" w:lastRow="0" w:firstColumn="0" w:lastColumn="0" w:oddVBand="0" w:evenVBand="0" w:oddHBand="1" w:evenHBand="0" w:firstRowFirstColumn="0" w:firstRowLastColumn="0" w:lastRowFirstColumn="0" w:lastRowLastColumn="0"/>
              <w:rPr>
                <w:b/>
                <w:sz w:val="18"/>
                <w:szCs w:val="18"/>
              </w:rPr>
            </w:pPr>
            <w:r w:rsidRPr="009B6364">
              <w:rPr>
                <w:sz w:val="18"/>
                <w:szCs w:val="18"/>
                <w:lang w:bidi="x-none"/>
              </w:rPr>
              <w:t>Greater than 50% of open water not covered in floating aquatic plants.</w:t>
            </w:r>
          </w:p>
        </w:tc>
      </w:tr>
      <w:tr w:rsidR="001B1863" w:rsidRPr="009B6364" w14:paraId="1CFC63FC" w14:textId="77777777" w:rsidTr="00554832">
        <w:tc>
          <w:tcPr>
            <w:cnfStyle w:val="001000000000" w:firstRow="0" w:lastRow="0" w:firstColumn="1" w:lastColumn="0" w:oddVBand="0" w:evenVBand="0" w:oddHBand="0" w:evenHBand="0" w:firstRowFirstColumn="0" w:firstRowLastColumn="0" w:lastRowFirstColumn="0" w:lastRowLastColumn="0"/>
            <w:tcW w:w="1101" w:type="dxa"/>
            <w:vMerge/>
          </w:tcPr>
          <w:p w14:paraId="4207C64C" w14:textId="77777777" w:rsidR="001B1863" w:rsidRPr="009B6364" w:rsidRDefault="001B1863" w:rsidP="00554832">
            <w:pPr>
              <w:rPr>
                <w:sz w:val="18"/>
                <w:szCs w:val="18"/>
              </w:rPr>
            </w:pPr>
          </w:p>
        </w:tc>
        <w:tc>
          <w:tcPr>
            <w:tcW w:w="1701" w:type="dxa"/>
          </w:tcPr>
          <w:p w14:paraId="3F4F39E9" w14:textId="77777777" w:rsidR="001B1863" w:rsidRPr="009B6364" w:rsidRDefault="001B1863" w:rsidP="00554832">
            <w:pPr>
              <w:cnfStyle w:val="000000000000" w:firstRow="0" w:lastRow="0" w:firstColumn="0" w:lastColumn="0" w:oddVBand="0" w:evenVBand="0" w:oddHBand="0" w:evenHBand="0" w:firstRowFirstColumn="0" w:firstRowLastColumn="0" w:lastRowFirstColumn="0" w:lastRowLastColumn="0"/>
              <w:rPr>
                <w:b/>
                <w:sz w:val="18"/>
                <w:szCs w:val="18"/>
              </w:rPr>
            </w:pPr>
            <w:r w:rsidRPr="009B6364">
              <w:rPr>
                <w:sz w:val="18"/>
                <w:szCs w:val="18"/>
                <w:lang w:bidi="x-none"/>
              </w:rPr>
              <w:t>Littoral vegetation</w:t>
            </w:r>
          </w:p>
        </w:tc>
        <w:tc>
          <w:tcPr>
            <w:tcW w:w="6440" w:type="dxa"/>
          </w:tcPr>
          <w:p w14:paraId="5D6D737D" w14:textId="77777777" w:rsidR="001B1863" w:rsidRPr="009B6364" w:rsidRDefault="001B1863" w:rsidP="00554832">
            <w:pPr>
              <w:jc w:val="left"/>
              <w:cnfStyle w:val="000000000000" w:firstRow="0" w:lastRow="0" w:firstColumn="0" w:lastColumn="0" w:oddVBand="0" w:evenVBand="0" w:oddHBand="0" w:evenHBand="0" w:firstRowFirstColumn="0" w:firstRowLastColumn="0" w:lastRowFirstColumn="0" w:lastRowLastColumn="0"/>
              <w:rPr>
                <w:sz w:val="18"/>
                <w:szCs w:val="18"/>
                <w:lang w:bidi="x-none"/>
              </w:rPr>
            </w:pPr>
            <w:r w:rsidRPr="009B6364">
              <w:rPr>
                <w:i/>
                <w:sz w:val="18"/>
                <w:szCs w:val="18"/>
                <w:lang w:bidi="x-none"/>
              </w:rPr>
              <w:t>Typha</w:t>
            </w:r>
            <w:r w:rsidRPr="009B6364">
              <w:rPr>
                <w:sz w:val="18"/>
                <w:szCs w:val="18"/>
                <w:lang w:bidi="x-none"/>
              </w:rPr>
              <w:t xml:space="preserve"> limited to &lt; 20 % of the wetland area </w:t>
            </w:r>
          </w:p>
          <w:p w14:paraId="4AF46610" w14:textId="77777777" w:rsidR="001B1863" w:rsidRPr="009B6364" w:rsidRDefault="001B1863" w:rsidP="00554832">
            <w:pPr>
              <w:jc w:val="left"/>
              <w:cnfStyle w:val="000000000000" w:firstRow="0" w:lastRow="0" w:firstColumn="0" w:lastColumn="0" w:oddVBand="0" w:evenVBand="0" w:oddHBand="0" w:evenHBand="0" w:firstRowFirstColumn="0" w:firstRowLastColumn="0" w:lastRowFirstColumn="0" w:lastRowLastColumn="0"/>
              <w:rPr>
                <w:b/>
                <w:sz w:val="18"/>
                <w:szCs w:val="18"/>
              </w:rPr>
            </w:pPr>
            <w:r w:rsidRPr="009B6364">
              <w:rPr>
                <w:sz w:val="18"/>
                <w:szCs w:val="18"/>
                <w:lang w:bidi="x-none"/>
              </w:rPr>
              <w:t>Freshwater sedges covering a minimum of 20% of the wetland area</w:t>
            </w:r>
          </w:p>
        </w:tc>
      </w:tr>
      <w:tr w:rsidR="001B1863" w:rsidRPr="009B6364" w14:paraId="35289900"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19946ACE" w14:textId="77777777" w:rsidR="001B1863" w:rsidRPr="009B6364" w:rsidRDefault="001B1863" w:rsidP="00554832">
            <w:pPr>
              <w:rPr>
                <w:sz w:val="18"/>
                <w:szCs w:val="18"/>
              </w:rPr>
            </w:pPr>
          </w:p>
        </w:tc>
        <w:tc>
          <w:tcPr>
            <w:tcW w:w="1701" w:type="dxa"/>
          </w:tcPr>
          <w:p w14:paraId="6DD21369" w14:textId="77777777" w:rsidR="001B1863" w:rsidRPr="009B6364" w:rsidRDefault="001B1863" w:rsidP="00554832">
            <w:pPr>
              <w:cnfStyle w:val="000000100000" w:firstRow="0" w:lastRow="0" w:firstColumn="0" w:lastColumn="0" w:oddVBand="0" w:evenVBand="0" w:oddHBand="1" w:evenHBand="0" w:firstRowFirstColumn="0" w:firstRowLastColumn="0" w:lastRowFirstColumn="0" w:lastRowLastColumn="0"/>
              <w:rPr>
                <w:b/>
                <w:sz w:val="18"/>
                <w:szCs w:val="18"/>
              </w:rPr>
            </w:pPr>
            <w:r w:rsidRPr="009B6364">
              <w:rPr>
                <w:sz w:val="18"/>
                <w:szCs w:val="18"/>
                <w:lang w:bidi="x-none"/>
              </w:rPr>
              <w:t>Paperbarks</w:t>
            </w:r>
          </w:p>
        </w:tc>
        <w:tc>
          <w:tcPr>
            <w:tcW w:w="6440" w:type="dxa"/>
          </w:tcPr>
          <w:p w14:paraId="2F3F944A" w14:textId="77777777" w:rsidR="001B1863" w:rsidRPr="009B6364" w:rsidRDefault="001B1863" w:rsidP="00554832">
            <w:pPr>
              <w:jc w:val="left"/>
              <w:cnfStyle w:val="000000100000" w:firstRow="0" w:lastRow="0" w:firstColumn="0" w:lastColumn="0" w:oddVBand="0" w:evenVBand="0" w:oddHBand="1" w:evenHBand="0" w:firstRowFirstColumn="0" w:firstRowLastColumn="0" w:lastRowFirstColumn="0" w:lastRowLastColumn="0"/>
              <w:rPr>
                <w:b/>
                <w:sz w:val="18"/>
                <w:szCs w:val="18"/>
              </w:rPr>
            </w:pPr>
            <w:r w:rsidRPr="009B6364">
              <w:rPr>
                <w:sz w:val="18"/>
                <w:szCs w:val="18"/>
                <w:lang w:bidi="x-none"/>
              </w:rPr>
              <w:t>No decline in health or net loss in extent of paperbark community.</w:t>
            </w:r>
          </w:p>
        </w:tc>
      </w:tr>
      <w:tr w:rsidR="001B1863" w:rsidRPr="009B6364" w14:paraId="11FAD6C9" w14:textId="77777777" w:rsidTr="00554832">
        <w:tc>
          <w:tcPr>
            <w:cnfStyle w:val="001000000000" w:firstRow="0" w:lastRow="0" w:firstColumn="1" w:lastColumn="0" w:oddVBand="0" w:evenVBand="0" w:oddHBand="0" w:evenHBand="0" w:firstRowFirstColumn="0" w:firstRowLastColumn="0" w:lastRowFirstColumn="0" w:lastRowLastColumn="0"/>
            <w:tcW w:w="1101" w:type="dxa"/>
            <w:vMerge/>
          </w:tcPr>
          <w:p w14:paraId="71825EBA" w14:textId="77777777" w:rsidR="001B1863" w:rsidRPr="009B6364" w:rsidRDefault="001B1863" w:rsidP="00554832">
            <w:pPr>
              <w:rPr>
                <w:sz w:val="18"/>
                <w:szCs w:val="18"/>
              </w:rPr>
            </w:pPr>
          </w:p>
        </w:tc>
        <w:tc>
          <w:tcPr>
            <w:tcW w:w="1701" w:type="dxa"/>
          </w:tcPr>
          <w:p w14:paraId="3178FB95" w14:textId="77777777" w:rsidR="001B1863" w:rsidRPr="009B6364" w:rsidRDefault="001B1863" w:rsidP="00554832">
            <w:pPr>
              <w:cnfStyle w:val="000000000000" w:firstRow="0" w:lastRow="0" w:firstColumn="0" w:lastColumn="0" w:oddVBand="0" w:evenVBand="0" w:oddHBand="0" w:evenHBand="0" w:firstRowFirstColumn="0" w:firstRowLastColumn="0" w:lastRowFirstColumn="0" w:lastRowLastColumn="0"/>
              <w:rPr>
                <w:b/>
                <w:sz w:val="18"/>
                <w:szCs w:val="18"/>
              </w:rPr>
            </w:pPr>
            <w:r w:rsidRPr="009B6364">
              <w:rPr>
                <w:sz w:val="18"/>
                <w:szCs w:val="18"/>
                <w:lang w:bidi="x-none"/>
              </w:rPr>
              <w:t>Waterbirds</w:t>
            </w:r>
          </w:p>
        </w:tc>
        <w:tc>
          <w:tcPr>
            <w:tcW w:w="6440" w:type="dxa"/>
          </w:tcPr>
          <w:p w14:paraId="09586045" w14:textId="77777777" w:rsidR="001B1863" w:rsidRPr="009B6364" w:rsidRDefault="001B1863" w:rsidP="00554832">
            <w:pPr>
              <w:jc w:val="left"/>
              <w:cnfStyle w:val="000000000000" w:firstRow="0" w:lastRow="0" w:firstColumn="0" w:lastColumn="0" w:oddVBand="0" w:evenVBand="0" w:oddHBand="0" w:evenHBand="0" w:firstRowFirstColumn="0" w:firstRowLastColumn="0" w:lastRowFirstColumn="0" w:lastRowLastColumn="0"/>
              <w:rPr>
                <w:sz w:val="18"/>
                <w:szCs w:val="18"/>
                <w:lang w:bidi="x-none"/>
              </w:rPr>
            </w:pPr>
            <w:r w:rsidRPr="009B6364">
              <w:rPr>
                <w:sz w:val="18"/>
                <w:szCs w:val="18"/>
                <w:lang w:bidi="x-none"/>
              </w:rPr>
              <w:t>Support &gt; 20,000 total waterbirds in 4 out of 5 years</w:t>
            </w:r>
          </w:p>
          <w:p w14:paraId="1E71E214" w14:textId="77777777" w:rsidR="001B1863" w:rsidRPr="009B6364" w:rsidRDefault="001B1863" w:rsidP="00554832">
            <w:pPr>
              <w:jc w:val="left"/>
              <w:cnfStyle w:val="000000000000" w:firstRow="0" w:lastRow="0" w:firstColumn="0" w:lastColumn="0" w:oddVBand="0" w:evenVBand="0" w:oddHBand="0" w:evenHBand="0" w:firstRowFirstColumn="0" w:firstRowLastColumn="0" w:lastRowFirstColumn="0" w:lastRowLastColumn="0"/>
              <w:rPr>
                <w:sz w:val="18"/>
                <w:szCs w:val="18"/>
                <w:lang w:bidi="x-none"/>
              </w:rPr>
            </w:pPr>
            <w:r w:rsidRPr="009B6364">
              <w:rPr>
                <w:sz w:val="18"/>
                <w:szCs w:val="18"/>
                <w:lang w:bidi="x-none"/>
              </w:rPr>
              <w:t>Support &gt; 1 % of the population of the following birds 3 out of 5 years: Banded Stilt (2100) Red-necked Stint (3200) Red-capped Plover (950) Red-necked Avocet (1100) Curlew Sandpiper (1800) Black-winged Stilt (3000) Sharp-tailed Sandpiper (1600) Australian Shelduck (2400) Eurasian Coot (10,000)</w:t>
            </w:r>
          </w:p>
        </w:tc>
      </w:tr>
    </w:tbl>
    <w:p w14:paraId="5F0E955D" w14:textId="77777777" w:rsidR="001B1863" w:rsidRPr="009B6364" w:rsidRDefault="001B1863" w:rsidP="001B1863"/>
    <w:p w14:paraId="4D850167" w14:textId="77777777" w:rsidR="001B1863" w:rsidRPr="009B6364" w:rsidRDefault="001B1863" w:rsidP="001B1863">
      <w:pPr>
        <w:pStyle w:val="Heading3"/>
        <w:numPr>
          <w:ilvl w:val="0"/>
          <w:numId w:val="0"/>
        </w:numPr>
      </w:pPr>
      <w:bookmarkStart w:id="125" w:name="_Toc493774236"/>
      <w:r w:rsidRPr="009B6364">
        <w:t>Establish the spatial boundaries of the assessment unit</w:t>
      </w:r>
      <w:bookmarkEnd w:id="125"/>
    </w:p>
    <w:p w14:paraId="00E7544C" w14:textId="3326F26A" w:rsidR="003A0D76" w:rsidRDefault="001B1863" w:rsidP="001B1863">
      <w:r w:rsidRPr="009B6364">
        <w:t xml:space="preserve">This application of the IECA </w:t>
      </w:r>
      <w:r w:rsidR="003A47AE">
        <w:t>F</w:t>
      </w:r>
      <w:r w:rsidRPr="009B6364">
        <w:t>ramework is to the Peel-Yalgorup Ramsar site as defined by the boundary description and illustrated in Figure B1. Note that it does not extend to Lakes Goegrup and Black, which are not official</w:t>
      </w:r>
      <w:r w:rsidR="00791116">
        <w:t>ly part of the Ramsar</w:t>
      </w:r>
      <w:r w:rsidRPr="009B6364">
        <w:t xml:space="preserve"> site.</w:t>
      </w:r>
      <w:r w:rsidR="00791116">
        <w:t xml:space="preserve"> </w:t>
      </w:r>
      <w:r w:rsidR="00791116" w:rsidRPr="009B6364">
        <w:t>Lakes Goegrup and Black</w:t>
      </w:r>
      <w:r w:rsidR="00791116" w:rsidRPr="00791116">
        <w:t xml:space="preserve"> </w:t>
      </w:r>
      <w:r w:rsidR="00E209C0">
        <w:t>are</w:t>
      </w:r>
      <w:r w:rsidR="00E209C0" w:rsidRPr="00791116">
        <w:t xml:space="preserve"> </w:t>
      </w:r>
      <w:r w:rsidR="00E209C0">
        <w:t xml:space="preserve">proposed extensions for the Site which </w:t>
      </w:r>
      <w:r w:rsidR="00791116">
        <w:t>contribute</w:t>
      </w:r>
      <w:r w:rsidR="00E209C0">
        <w:t xml:space="preserve"> to meeting several of the</w:t>
      </w:r>
      <w:r w:rsidR="00791116" w:rsidRPr="00791116">
        <w:t xml:space="preserve"> Ramsar criteria </w:t>
      </w:r>
      <w:r w:rsidR="00E209C0">
        <w:t>and are</w:t>
      </w:r>
      <w:r w:rsidR="00791116" w:rsidRPr="00791116">
        <w:t xml:space="preserve"> included in the ECD and Management Plan</w:t>
      </w:r>
      <w:r w:rsidR="00E209C0">
        <w:t>. They are managed as part of the Ramsar site by the TAG</w:t>
      </w:r>
      <w:r w:rsidR="00791116" w:rsidRPr="00791116">
        <w:t xml:space="preserve">, but have not been officially included </w:t>
      </w:r>
      <w:r w:rsidR="00E209C0">
        <w:t xml:space="preserve">as part of the formally listed site. </w:t>
      </w:r>
      <w:r w:rsidRPr="009B6364">
        <w:t xml:space="preserve"> </w:t>
      </w:r>
      <w:r w:rsidR="003A0D76">
        <w:t>In a full application of the Framework a decision by the TAG would be required as to include these lakes in the assessment unit or not.</w:t>
      </w:r>
    </w:p>
    <w:p w14:paraId="5196435F" w14:textId="0928D6BE" w:rsidR="00187F2A" w:rsidRPr="009B6364" w:rsidRDefault="00187F2A" w:rsidP="003A0D76"/>
    <w:p w14:paraId="5355B730" w14:textId="77777777" w:rsidR="001B1863" w:rsidRPr="009B6364" w:rsidRDefault="001B1863" w:rsidP="001B1863">
      <w:pPr>
        <w:jc w:val="center"/>
      </w:pPr>
      <w:r w:rsidRPr="009B6364">
        <w:rPr>
          <w:noProof/>
          <w:lang w:eastAsia="en-AU"/>
        </w:rPr>
        <w:lastRenderedPageBreak/>
        <w:drawing>
          <wp:inline distT="0" distB="0" distL="0" distR="0" wp14:anchorId="32827071" wp14:editId="66008079">
            <wp:extent cx="3810518" cy="5391150"/>
            <wp:effectExtent l="0" t="0" r="0" b="0"/>
            <wp:docPr id="7" name="Picture 7" descr="Fig4_P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4_Peel"/>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1858" cy="5393045"/>
                    </a:xfrm>
                    <a:prstGeom prst="rect">
                      <a:avLst/>
                    </a:prstGeom>
                    <a:noFill/>
                    <a:ln>
                      <a:noFill/>
                    </a:ln>
                  </pic:spPr>
                </pic:pic>
              </a:graphicData>
            </a:graphic>
          </wp:inline>
        </w:drawing>
      </w:r>
    </w:p>
    <w:p w14:paraId="1A61933E" w14:textId="4E6E5EDA" w:rsidR="001B1863" w:rsidRDefault="001B1863" w:rsidP="001B1863">
      <w:pPr>
        <w:pStyle w:val="Caption"/>
      </w:pPr>
      <w:bookmarkStart w:id="126" w:name="_Ref486363552"/>
      <w:r w:rsidRPr="009B6364">
        <w:t xml:space="preserve">Figure B </w:t>
      </w:r>
      <w:fldSimple w:instr=" SEQ Figure_B \* ARABIC ">
        <w:r w:rsidR="00CB6D08">
          <w:rPr>
            <w:noProof/>
          </w:rPr>
          <w:t>1</w:t>
        </w:r>
      </w:fldSimple>
      <w:bookmarkEnd w:id="126"/>
      <w:r w:rsidR="00FD50A9">
        <w:rPr>
          <w:noProof/>
        </w:rPr>
        <w:t>:</w:t>
      </w:r>
      <w:r w:rsidRPr="009B6364">
        <w:t xml:space="preserve"> Peel Yalgorup Ramsar site as indicated by the yellow boundary (Hale and BUTcher 2007).</w:t>
      </w:r>
    </w:p>
    <w:p w14:paraId="0978FF18" w14:textId="77777777" w:rsidR="00261787" w:rsidRPr="009B6364" w:rsidRDefault="00261787" w:rsidP="00261787">
      <w:r w:rsidRPr="00962E2D">
        <w:t>The wetland types within the site hav</w:t>
      </w:r>
      <w:r>
        <w:t>e been assigned Ramsar wetland type</w:t>
      </w:r>
      <w:r w:rsidRPr="00962E2D">
        <w:t>s as follows (Hale and Butcher 2007):</w:t>
      </w:r>
    </w:p>
    <w:p w14:paraId="01DEE54F" w14:textId="77777777" w:rsidR="00261787" w:rsidRPr="009B6364" w:rsidRDefault="00261787" w:rsidP="00261787">
      <w:pPr>
        <w:pStyle w:val="ListParagraph"/>
        <w:numPr>
          <w:ilvl w:val="0"/>
          <w:numId w:val="61"/>
        </w:numPr>
      </w:pPr>
      <w:r w:rsidRPr="009B6364">
        <w:rPr>
          <w:i/>
        </w:rPr>
        <w:t>Peel Inlet and Harvey Estuary</w:t>
      </w:r>
      <w:r w:rsidRPr="009B6364">
        <w:t xml:space="preserve"> – Marine/Coastal, dominated by “Estuarine Waters” with areas of “Intertidal mud and sand flats” and “Intertidal marshes”</w:t>
      </w:r>
    </w:p>
    <w:p w14:paraId="5F0FB3E8" w14:textId="77777777" w:rsidR="00261787" w:rsidRPr="009B6364" w:rsidRDefault="00261787" w:rsidP="00261787">
      <w:pPr>
        <w:pStyle w:val="ListParagraph"/>
        <w:numPr>
          <w:ilvl w:val="0"/>
          <w:numId w:val="61"/>
        </w:numPr>
      </w:pPr>
      <w:r w:rsidRPr="009B6364">
        <w:rPr>
          <w:i/>
        </w:rPr>
        <w:t>Yalgorup Lake System</w:t>
      </w:r>
      <w:r w:rsidRPr="009B6364">
        <w:t xml:space="preserve"> – Inland, dominated by “Permanent saline/brackish lake”</w:t>
      </w:r>
    </w:p>
    <w:p w14:paraId="7875AB90" w14:textId="77777777" w:rsidR="00261787" w:rsidRDefault="00261787" w:rsidP="00261787">
      <w:pPr>
        <w:pStyle w:val="ListParagraph"/>
        <w:numPr>
          <w:ilvl w:val="0"/>
          <w:numId w:val="61"/>
        </w:numPr>
      </w:pPr>
      <w:r w:rsidRPr="009B6364">
        <w:rPr>
          <w:i/>
        </w:rPr>
        <w:t>McLarty Lake System</w:t>
      </w:r>
      <w:r w:rsidRPr="009B6364">
        <w:t xml:space="preserve"> – Inland, dominated by “Permanent and seasonal freshwater lakes over 8 ha”</w:t>
      </w:r>
    </w:p>
    <w:p w14:paraId="5543B3D0" w14:textId="77777777" w:rsidR="00261787" w:rsidRDefault="00261787" w:rsidP="00261787">
      <w:r>
        <w:t xml:space="preserve">Brooks et al. (2013) developed a typology for the application of the ANAE in the Murray Darling Basin. Possible ANAE types that could be present at the site which would fall under the Ramsar types present at site are presented in </w:t>
      </w:r>
      <w:r>
        <w:fldChar w:fldCharType="begin"/>
      </w:r>
      <w:r>
        <w:instrText xml:space="preserve"> REF _Ref486343160 \h </w:instrText>
      </w:r>
      <w:r>
        <w:fldChar w:fldCharType="separate"/>
      </w:r>
      <w:r>
        <w:t xml:space="preserve">Table B </w:t>
      </w:r>
      <w:r>
        <w:rPr>
          <w:noProof/>
        </w:rPr>
        <w:t>2</w:t>
      </w:r>
      <w:r>
        <w:fldChar w:fldCharType="end"/>
      </w:r>
      <w:r>
        <w:t xml:space="preserve">. Mapping and or ground trothing would be required to confirm the type and extent of the ANAE types if a full application of the Framework was to be applied. It is important to note is that the Ramsar classification is a global system and therefore is more coarse that the ANAE. </w:t>
      </w:r>
    </w:p>
    <w:p w14:paraId="388BD2C7" w14:textId="77777777" w:rsidR="00261787" w:rsidRDefault="00261787" w:rsidP="00261787"/>
    <w:p w14:paraId="6721F60E" w14:textId="77777777" w:rsidR="00261787" w:rsidRDefault="00261787" w:rsidP="00261787"/>
    <w:p w14:paraId="2156202F" w14:textId="2A7F0F94" w:rsidR="00261787" w:rsidRDefault="00261787" w:rsidP="00261787">
      <w:pPr>
        <w:pStyle w:val="Caption"/>
      </w:pPr>
      <w:bookmarkStart w:id="127" w:name="_Ref486343160"/>
      <w:r>
        <w:lastRenderedPageBreak/>
        <w:t xml:space="preserve">Table B </w:t>
      </w:r>
      <w:fldSimple w:instr=" SEQ Table_B \* ARABIC ">
        <w:r w:rsidR="00FD50A9">
          <w:rPr>
            <w:noProof/>
          </w:rPr>
          <w:t>2</w:t>
        </w:r>
      </w:fldSimple>
      <w:bookmarkEnd w:id="127"/>
      <w:r w:rsidR="00FD50A9">
        <w:rPr>
          <w:noProof/>
        </w:rPr>
        <w:t>:</w:t>
      </w:r>
      <w:r>
        <w:t xml:space="preserve"> Ramsar and possible ANAE wetland types. Ramsar types are presented in order of dominance (extent in hectares) (as per RIS 2003).</w:t>
      </w:r>
    </w:p>
    <w:tbl>
      <w:tblPr>
        <w:tblStyle w:val="LightList-Accent2"/>
        <w:tblW w:w="0" w:type="auto"/>
        <w:tblBorders>
          <w:insideH w:val="single" w:sz="4" w:space="0" w:color="9CBEBD" w:themeColor="accent2"/>
          <w:insideV w:val="single" w:sz="4" w:space="0" w:color="9CBEBD" w:themeColor="accent2"/>
        </w:tblBorders>
        <w:tblLook w:val="04A0" w:firstRow="1" w:lastRow="0" w:firstColumn="1" w:lastColumn="0" w:noHBand="0" w:noVBand="1"/>
      </w:tblPr>
      <w:tblGrid>
        <w:gridCol w:w="840"/>
        <w:gridCol w:w="5423"/>
        <w:gridCol w:w="2743"/>
      </w:tblGrid>
      <w:tr w:rsidR="00261787" w14:paraId="34D00793" w14:textId="77777777" w:rsidTr="00230F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01D7AF4" w14:textId="77777777" w:rsidR="00261787" w:rsidRDefault="00261787" w:rsidP="00230FDF">
            <w:pPr>
              <w:jc w:val="left"/>
            </w:pPr>
            <w:r>
              <w:t>Ramsar code</w:t>
            </w:r>
          </w:p>
        </w:tc>
        <w:tc>
          <w:tcPr>
            <w:tcW w:w="5458" w:type="dxa"/>
          </w:tcPr>
          <w:p w14:paraId="060287E2" w14:textId="77777777" w:rsidR="00261787" w:rsidRDefault="00261787" w:rsidP="00230FDF">
            <w:pPr>
              <w:jc w:val="left"/>
              <w:cnfStyle w:val="100000000000" w:firstRow="1" w:lastRow="0" w:firstColumn="0" w:lastColumn="0" w:oddVBand="0" w:evenVBand="0" w:oddHBand="0" w:evenHBand="0" w:firstRowFirstColumn="0" w:firstRowLastColumn="0" w:lastRowFirstColumn="0" w:lastRowLastColumn="0"/>
            </w:pPr>
            <w:r>
              <w:t>Ramsar type</w:t>
            </w:r>
          </w:p>
        </w:tc>
        <w:tc>
          <w:tcPr>
            <w:tcW w:w="2755" w:type="dxa"/>
          </w:tcPr>
          <w:p w14:paraId="2A23A725" w14:textId="77777777" w:rsidR="00261787" w:rsidRDefault="00261787" w:rsidP="00230FDF">
            <w:pPr>
              <w:jc w:val="left"/>
              <w:cnfStyle w:val="100000000000" w:firstRow="1" w:lastRow="0" w:firstColumn="0" w:lastColumn="0" w:oddVBand="0" w:evenVBand="0" w:oddHBand="0" w:evenHBand="0" w:firstRowFirstColumn="0" w:firstRowLastColumn="0" w:lastRowFirstColumn="0" w:lastRowLastColumn="0"/>
            </w:pPr>
            <w:r>
              <w:t>Possible ANAE type(s)</w:t>
            </w:r>
          </w:p>
        </w:tc>
      </w:tr>
      <w:tr w:rsidR="00261787" w:rsidRPr="00D4651E" w14:paraId="676A0D51" w14:textId="77777777" w:rsidTr="00230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BBF70DA" w14:textId="77777777" w:rsidR="00261787" w:rsidRPr="00D4651E" w:rsidRDefault="00261787" w:rsidP="00230FDF">
            <w:pPr>
              <w:jc w:val="left"/>
              <w:rPr>
                <w:b w:val="0"/>
              </w:rPr>
            </w:pPr>
            <w:r w:rsidRPr="00D4651E">
              <w:rPr>
                <w:b w:val="0"/>
              </w:rPr>
              <w:t>F</w:t>
            </w:r>
          </w:p>
        </w:tc>
        <w:tc>
          <w:tcPr>
            <w:tcW w:w="5458" w:type="dxa"/>
            <w:vMerge w:val="restart"/>
          </w:tcPr>
          <w:p w14:paraId="6A59203D" w14:textId="77777777" w:rsidR="00261787" w:rsidRPr="00D4651E" w:rsidRDefault="00261787" w:rsidP="00230FDF">
            <w:pPr>
              <w:jc w:val="left"/>
              <w:cnfStyle w:val="000000100000" w:firstRow="0" w:lastRow="0" w:firstColumn="0" w:lastColumn="0" w:oddVBand="0" w:evenVBand="0" w:oddHBand="1" w:evenHBand="0" w:firstRowFirstColumn="0" w:firstRowLastColumn="0" w:lastRowFirstColumn="0" w:lastRowLastColumn="0"/>
            </w:pPr>
            <w:r w:rsidRPr="00D4651E">
              <w:t>Estuarine waters</w:t>
            </w:r>
          </w:p>
        </w:tc>
        <w:tc>
          <w:tcPr>
            <w:tcW w:w="2755" w:type="dxa"/>
          </w:tcPr>
          <w:p w14:paraId="7836BFD4" w14:textId="77777777" w:rsidR="00261787" w:rsidRPr="00D4651E" w:rsidRDefault="00261787" w:rsidP="00230FDF">
            <w:pPr>
              <w:jc w:val="left"/>
              <w:cnfStyle w:val="000000100000" w:firstRow="0" w:lastRow="0" w:firstColumn="0" w:lastColumn="0" w:oddVBand="0" w:evenVBand="0" w:oddHBand="1" w:evenHBand="0" w:firstRowFirstColumn="0" w:firstRowLastColumn="0" w:lastRowFirstColumn="0" w:lastRowLastColumn="0"/>
            </w:pPr>
            <w:r>
              <w:t>Tide dominated estuary</w:t>
            </w:r>
          </w:p>
        </w:tc>
      </w:tr>
      <w:tr w:rsidR="00261787" w:rsidRPr="00D4651E" w14:paraId="5B9FA6F2" w14:textId="77777777" w:rsidTr="00230FDF">
        <w:tc>
          <w:tcPr>
            <w:cnfStyle w:val="001000000000" w:firstRow="0" w:lastRow="0" w:firstColumn="1" w:lastColumn="0" w:oddVBand="0" w:evenVBand="0" w:oddHBand="0" w:evenHBand="0" w:firstRowFirstColumn="0" w:firstRowLastColumn="0" w:lastRowFirstColumn="0" w:lastRowLastColumn="0"/>
            <w:tcW w:w="0" w:type="auto"/>
            <w:vMerge/>
          </w:tcPr>
          <w:p w14:paraId="6A8DCC71" w14:textId="77777777" w:rsidR="00261787" w:rsidRPr="00D4651E" w:rsidRDefault="00261787" w:rsidP="00230FDF">
            <w:pPr>
              <w:jc w:val="left"/>
            </w:pPr>
          </w:p>
        </w:tc>
        <w:tc>
          <w:tcPr>
            <w:tcW w:w="5458" w:type="dxa"/>
            <w:vMerge/>
          </w:tcPr>
          <w:p w14:paraId="5CE8FA18" w14:textId="77777777" w:rsidR="00261787" w:rsidRPr="00D4651E" w:rsidRDefault="00261787" w:rsidP="00230FDF">
            <w:pPr>
              <w:jc w:val="left"/>
              <w:cnfStyle w:val="000000000000" w:firstRow="0" w:lastRow="0" w:firstColumn="0" w:lastColumn="0" w:oddVBand="0" w:evenVBand="0" w:oddHBand="0" w:evenHBand="0" w:firstRowFirstColumn="0" w:firstRowLastColumn="0" w:lastRowFirstColumn="0" w:lastRowLastColumn="0"/>
            </w:pPr>
          </w:p>
        </w:tc>
        <w:tc>
          <w:tcPr>
            <w:tcW w:w="2755" w:type="dxa"/>
          </w:tcPr>
          <w:p w14:paraId="70CF4BE6" w14:textId="77777777" w:rsidR="00261787" w:rsidRDefault="00261787" w:rsidP="00230FDF">
            <w:pPr>
              <w:jc w:val="left"/>
              <w:cnfStyle w:val="000000000000" w:firstRow="0" w:lastRow="0" w:firstColumn="0" w:lastColumn="0" w:oddVBand="0" w:evenVBand="0" w:oddHBand="0" w:evenHBand="0" w:firstRowFirstColumn="0" w:firstRowLastColumn="0" w:lastRowFirstColumn="0" w:lastRowLastColumn="0"/>
            </w:pPr>
            <w:r>
              <w:t>Tide dominated seagrass beds</w:t>
            </w:r>
          </w:p>
        </w:tc>
      </w:tr>
      <w:tr w:rsidR="00261787" w:rsidRPr="00D4651E" w14:paraId="22EF0E4D" w14:textId="77777777" w:rsidTr="00230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6D47D70" w14:textId="77777777" w:rsidR="00261787" w:rsidRPr="00D4651E" w:rsidRDefault="00261787" w:rsidP="00230FDF">
            <w:pPr>
              <w:jc w:val="left"/>
            </w:pPr>
          </w:p>
        </w:tc>
        <w:tc>
          <w:tcPr>
            <w:tcW w:w="5458" w:type="dxa"/>
            <w:vMerge/>
          </w:tcPr>
          <w:p w14:paraId="70DCFE43" w14:textId="77777777" w:rsidR="00261787" w:rsidRPr="00D4651E" w:rsidRDefault="00261787" w:rsidP="00230FDF">
            <w:pPr>
              <w:jc w:val="left"/>
              <w:cnfStyle w:val="000000100000" w:firstRow="0" w:lastRow="0" w:firstColumn="0" w:lastColumn="0" w:oddVBand="0" w:evenVBand="0" w:oddHBand="1" w:evenHBand="0" w:firstRowFirstColumn="0" w:firstRowLastColumn="0" w:lastRowFirstColumn="0" w:lastRowLastColumn="0"/>
            </w:pPr>
          </w:p>
        </w:tc>
        <w:tc>
          <w:tcPr>
            <w:tcW w:w="2755" w:type="dxa"/>
          </w:tcPr>
          <w:p w14:paraId="6913429A" w14:textId="77777777" w:rsidR="00261787" w:rsidRDefault="00261787" w:rsidP="00230FDF">
            <w:pPr>
              <w:jc w:val="left"/>
              <w:cnfStyle w:val="000000100000" w:firstRow="0" w:lastRow="0" w:firstColumn="0" w:lastColumn="0" w:oddVBand="0" w:evenVBand="0" w:oddHBand="1" w:evenHBand="0" w:firstRowFirstColumn="0" w:firstRowLastColumn="0" w:lastRowFirstColumn="0" w:lastRowLastColumn="0"/>
            </w:pPr>
            <w:r>
              <w:t>Tide dominated subtidal seaweed beds</w:t>
            </w:r>
          </w:p>
        </w:tc>
      </w:tr>
      <w:tr w:rsidR="00261787" w:rsidRPr="00D4651E" w14:paraId="4931D476" w14:textId="77777777" w:rsidTr="00230FDF">
        <w:tc>
          <w:tcPr>
            <w:cnfStyle w:val="001000000000" w:firstRow="0" w:lastRow="0" w:firstColumn="1" w:lastColumn="0" w:oddVBand="0" w:evenVBand="0" w:oddHBand="0" w:evenHBand="0" w:firstRowFirstColumn="0" w:firstRowLastColumn="0" w:lastRowFirstColumn="0" w:lastRowLastColumn="0"/>
            <w:tcW w:w="0" w:type="auto"/>
            <w:vMerge w:val="restart"/>
          </w:tcPr>
          <w:p w14:paraId="48045938" w14:textId="77777777" w:rsidR="00261787" w:rsidRPr="00D4651E" w:rsidRDefault="00261787" w:rsidP="00230FDF">
            <w:pPr>
              <w:jc w:val="left"/>
              <w:rPr>
                <w:b w:val="0"/>
              </w:rPr>
            </w:pPr>
            <w:r w:rsidRPr="00D4651E">
              <w:rPr>
                <w:b w:val="0"/>
              </w:rPr>
              <w:t>Q</w:t>
            </w:r>
          </w:p>
        </w:tc>
        <w:tc>
          <w:tcPr>
            <w:tcW w:w="5458" w:type="dxa"/>
            <w:vMerge w:val="restart"/>
          </w:tcPr>
          <w:p w14:paraId="69DF8A7D" w14:textId="77777777" w:rsidR="00261787" w:rsidRPr="00D4651E" w:rsidRDefault="00261787" w:rsidP="00230FDF">
            <w:pPr>
              <w:jc w:val="left"/>
              <w:cnfStyle w:val="000000000000" w:firstRow="0" w:lastRow="0" w:firstColumn="0" w:lastColumn="0" w:oddVBand="0" w:evenVBand="0" w:oddHBand="0" w:evenHBand="0" w:firstRowFirstColumn="0" w:firstRowLastColumn="0" w:lastRowFirstColumn="0" w:lastRowLastColumn="0"/>
            </w:pPr>
            <w:r w:rsidRPr="00D4651E">
              <w:t>Permanent saline/brackish/</w:t>
            </w:r>
            <w:r>
              <w:t xml:space="preserve"> </w:t>
            </w:r>
            <w:r w:rsidRPr="00D4651E">
              <w:t>alkaline lakes</w:t>
            </w:r>
          </w:p>
        </w:tc>
        <w:tc>
          <w:tcPr>
            <w:tcW w:w="2755" w:type="dxa"/>
          </w:tcPr>
          <w:p w14:paraId="3FD0D2C0" w14:textId="77777777" w:rsidR="00261787" w:rsidRPr="00D4651E" w:rsidRDefault="00261787" w:rsidP="00230FDF">
            <w:pPr>
              <w:jc w:val="left"/>
              <w:cnfStyle w:val="000000000000" w:firstRow="0" w:lastRow="0" w:firstColumn="0" w:lastColumn="0" w:oddVBand="0" w:evenVBand="0" w:oddHBand="0" w:evenHBand="0" w:firstRowFirstColumn="0" w:firstRowLastColumn="0" w:lastRowFirstColumn="0" w:lastRowLastColumn="0"/>
            </w:pPr>
            <w:r w:rsidRPr="003D27FB">
              <w:t>Permanent saline lakes</w:t>
            </w:r>
          </w:p>
        </w:tc>
      </w:tr>
      <w:tr w:rsidR="00261787" w:rsidRPr="00D4651E" w14:paraId="504285EB" w14:textId="77777777" w:rsidTr="00230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7B07C00" w14:textId="77777777" w:rsidR="00261787" w:rsidRPr="00D4651E" w:rsidRDefault="00261787" w:rsidP="00230FDF">
            <w:pPr>
              <w:jc w:val="left"/>
            </w:pPr>
          </w:p>
        </w:tc>
        <w:tc>
          <w:tcPr>
            <w:tcW w:w="5458" w:type="dxa"/>
            <w:vMerge/>
          </w:tcPr>
          <w:p w14:paraId="6891CA43" w14:textId="77777777" w:rsidR="00261787" w:rsidRPr="00D4651E" w:rsidRDefault="00261787" w:rsidP="00230FDF">
            <w:pPr>
              <w:jc w:val="left"/>
              <w:cnfStyle w:val="000000100000" w:firstRow="0" w:lastRow="0" w:firstColumn="0" w:lastColumn="0" w:oddVBand="0" w:evenVBand="0" w:oddHBand="1" w:evenHBand="0" w:firstRowFirstColumn="0" w:firstRowLastColumn="0" w:lastRowFirstColumn="0" w:lastRowLastColumn="0"/>
            </w:pPr>
          </w:p>
        </w:tc>
        <w:tc>
          <w:tcPr>
            <w:tcW w:w="2755" w:type="dxa"/>
          </w:tcPr>
          <w:p w14:paraId="3C096A5F" w14:textId="77777777" w:rsidR="00261787" w:rsidRPr="00D4651E" w:rsidRDefault="00261787" w:rsidP="00230FDF">
            <w:pPr>
              <w:jc w:val="left"/>
              <w:cnfStyle w:val="000000100000" w:firstRow="0" w:lastRow="0" w:firstColumn="0" w:lastColumn="0" w:oddVBand="0" w:evenVBand="0" w:oddHBand="1" w:evenHBand="0" w:firstRowFirstColumn="0" w:firstRowLastColumn="0" w:lastRowFirstColumn="0" w:lastRowLastColumn="0"/>
            </w:pPr>
            <w:r w:rsidRPr="003D27FB">
              <w:t>Permanent saline lakes with aquatic beds</w:t>
            </w:r>
          </w:p>
        </w:tc>
      </w:tr>
      <w:tr w:rsidR="00261787" w:rsidRPr="00D4651E" w14:paraId="3BAFF167" w14:textId="77777777" w:rsidTr="00230FDF">
        <w:tc>
          <w:tcPr>
            <w:cnfStyle w:val="001000000000" w:firstRow="0" w:lastRow="0" w:firstColumn="1" w:lastColumn="0" w:oddVBand="0" w:evenVBand="0" w:oddHBand="0" w:evenHBand="0" w:firstRowFirstColumn="0" w:firstRowLastColumn="0" w:lastRowFirstColumn="0" w:lastRowLastColumn="0"/>
            <w:tcW w:w="0" w:type="auto"/>
            <w:vMerge w:val="restart"/>
          </w:tcPr>
          <w:p w14:paraId="2318662F" w14:textId="77777777" w:rsidR="00261787" w:rsidRPr="00D4651E" w:rsidRDefault="00261787" w:rsidP="00230FDF">
            <w:pPr>
              <w:jc w:val="left"/>
              <w:rPr>
                <w:b w:val="0"/>
              </w:rPr>
            </w:pPr>
            <w:r w:rsidRPr="00D4651E">
              <w:rPr>
                <w:b w:val="0"/>
              </w:rPr>
              <w:t>O</w:t>
            </w:r>
          </w:p>
        </w:tc>
        <w:tc>
          <w:tcPr>
            <w:tcW w:w="5458" w:type="dxa"/>
            <w:vMerge w:val="restart"/>
          </w:tcPr>
          <w:p w14:paraId="7A14DC6E" w14:textId="77777777" w:rsidR="00261787" w:rsidRPr="00D4651E" w:rsidRDefault="00261787" w:rsidP="00230FDF">
            <w:pPr>
              <w:jc w:val="left"/>
              <w:cnfStyle w:val="000000000000" w:firstRow="0" w:lastRow="0" w:firstColumn="0" w:lastColumn="0" w:oddVBand="0" w:evenVBand="0" w:oddHBand="0" w:evenHBand="0" w:firstRowFirstColumn="0" w:firstRowLastColumn="0" w:lastRowFirstColumn="0" w:lastRowLastColumn="0"/>
            </w:pPr>
            <w:r w:rsidRPr="00D4651E">
              <w:t>Permanent freshwater lakes (over 8 ha)</w:t>
            </w:r>
          </w:p>
        </w:tc>
        <w:tc>
          <w:tcPr>
            <w:tcW w:w="2755" w:type="dxa"/>
          </w:tcPr>
          <w:p w14:paraId="0D59737B" w14:textId="77777777" w:rsidR="00261787" w:rsidRPr="00D4651E" w:rsidRDefault="00261787" w:rsidP="00230FDF">
            <w:pPr>
              <w:jc w:val="left"/>
              <w:cnfStyle w:val="000000000000" w:firstRow="0" w:lastRow="0" w:firstColumn="0" w:lastColumn="0" w:oddVBand="0" w:evenVBand="0" w:oddHBand="0" w:evenHBand="0" w:firstRowFirstColumn="0" w:firstRowLastColumn="0" w:lastRowFirstColumn="0" w:lastRowLastColumn="0"/>
            </w:pPr>
            <w:r w:rsidRPr="003D27FB">
              <w:t>Permanent lakes</w:t>
            </w:r>
          </w:p>
        </w:tc>
      </w:tr>
      <w:tr w:rsidR="00261787" w:rsidRPr="00D4651E" w14:paraId="0C7DB2C3" w14:textId="77777777" w:rsidTr="00230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7CCCD57" w14:textId="77777777" w:rsidR="00261787" w:rsidRPr="00D4651E" w:rsidRDefault="00261787" w:rsidP="00230FDF">
            <w:pPr>
              <w:jc w:val="left"/>
            </w:pPr>
          </w:p>
        </w:tc>
        <w:tc>
          <w:tcPr>
            <w:tcW w:w="5458" w:type="dxa"/>
            <w:vMerge/>
          </w:tcPr>
          <w:p w14:paraId="36EE630A" w14:textId="77777777" w:rsidR="00261787" w:rsidRPr="00D4651E" w:rsidRDefault="00261787" w:rsidP="00230FDF">
            <w:pPr>
              <w:jc w:val="left"/>
              <w:cnfStyle w:val="000000100000" w:firstRow="0" w:lastRow="0" w:firstColumn="0" w:lastColumn="0" w:oddVBand="0" w:evenVBand="0" w:oddHBand="1" w:evenHBand="0" w:firstRowFirstColumn="0" w:firstRowLastColumn="0" w:lastRowFirstColumn="0" w:lastRowLastColumn="0"/>
            </w:pPr>
          </w:p>
        </w:tc>
        <w:tc>
          <w:tcPr>
            <w:tcW w:w="2755" w:type="dxa"/>
          </w:tcPr>
          <w:p w14:paraId="725A47B4" w14:textId="77777777" w:rsidR="00261787" w:rsidRPr="003D27FB" w:rsidRDefault="00261787" w:rsidP="00230FDF">
            <w:pPr>
              <w:jc w:val="left"/>
              <w:cnfStyle w:val="000000100000" w:firstRow="0" w:lastRow="0" w:firstColumn="0" w:lastColumn="0" w:oddVBand="0" w:evenVBand="0" w:oddHBand="1" w:evenHBand="0" w:firstRowFirstColumn="0" w:firstRowLastColumn="0" w:lastRowFirstColumn="0" w:lastRowLastColumn="0"/>
            </w:pPr>
            <w:r w:rsidRPr="003D27FB">
              <w:t>Permanent lakes with aquatic beds</w:t>
            </w:r>
          </w:p>
        </w:tc>
      </w:tr>
      <w:tr w:rsidR="00261787" w:rsidRPr="00D4651E" w14:paraId="65DF0D2C" w14:textId="77777777" w:rsidTr="00230FDF">
        <w:tc>
          <w:tcPr>
            <w:cnfStyle w:val="001000000000" w:firstRow="0" w:lastRow="0" w:firstColumn="1" w:lastColumn="0" w:oddVBand="0" w:evenVBand="0" w:oddHBand="0" w:evenHBand="0" w:firstRowFirstColumn="0" w:firstRowLastColumn="0" w:lastRowFirstColumn="0" w:lastRowLastColumn="0"/>
            <w:tcW w:w="0" w:type="auto"/>
            <w:vMerge w:val="restart"/>
          </w:tcPr>
          <w:p w14:paraId="4D3FABBF" w14:textId="77777777" w:rsidR="00261787" w:rsidRPr="00D4651E" w:rsidRDefault="00261787" w:rsidP="00230FDF">
            <w:pPr>
              <w:jc w:val="left"/>
              <w:rPr>
                <w:b w:val="0"/>
              </w:rPr>
            </w:pPr>
            <w:r w:rsidRPr="00D4651E">
              <w:rPr>
                <w:b w:val="0"/>
              </w:rPr>
              <w:t>Ts</w:t>
            </w:r>
          </w:p>
        </w:tc>
        <w:tc>
          <w:tcPr>
            <w:tcW w:w="5458" w:type="dxa"/>
            <w:vMerge w:val="restart"/>
          </w:tcPr>
          <w:p w14:paraId="1EAC8E1D" w14:textId="77777777" w:rsidR="00261787" w:rsidRPr="00D4651E" w:rsidRDefault="00261787" w:rsidP="00230FDF">
            <w:pPr>
              <w:jc w:val="left"/>
              <w:cnfStyle w:val="000000000000" w:firstRow="0" w:lastRow="0" w:firstColumn="0" w:lastColumn="0" w:oddVBand="0" w:evenVBand="0" w:oddHBand="0" w:evenHBand="0" w:firstRowFirstColumn="0" w:firstRowLastColumn="0" w:lastRowFirstColumn="0" w:lastRowLastColumn="0"/>
            </w:pPr>
            <w:r w:rsidRPr="00D4651E">
              <w:t>Seasonal/intermittent freshwater marshes/ on inorganic soils; seasonally flooded meadows, sedge marshes</w:t>
            </w:r>
          </w:p>
        </w:tc>
        <w:tc>
          <w:tcPr>
            <w:tcW w:w="2755" w:type="dxa"/>
          </w:tcPr>
          <w:p w14:paraId="5CD4AC33" w14:textId="77777777" w:rsidR="00261787" w:rsidRPr="00D4651E" w:rsidRDefault="00261787" w:rsidP="00230FDF">
            <w:pPr>
              <w:jc w:val="left"/>
              <w:cnfStyle w:val="000000000000" w:firstRow="0" w:lastRow="0" w:firstColumn="0" w:lastColumn="0" w:oddVBand="0" w:evenVBand="0" w:oddHBand="0" w:evenHBand="0" w:firstRowFirstColumn="0" w:firstRowLastColumn="0" w:lastRowFirstColumn="0" w:lastRowLastColumn="0"/>
            </w:pPr>
            <w:r w:rsidRPr="00187F2A">
              <w:t>Temporary tall emergent marshes</w:t>
            </w:r>
          </w:p>
        </w:tc>
      </w:tr>
      <w:tr w:rsidR="00261787" w:rsidRPr="00D4651E" w14:paraId="4C8DB10F" w14:textId="77777777" w:rsidTr="00230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909395C" w14:textId="77777777" w:rsidR="00261787" w:rsidRPr="00D4651E" w:rsidRDefault="00261787" w:rsidP="00230FDF">
            <w:pPr>
              <w:jc w:val="left"/>
            </w:pPr>
          </w:p>
        </w:tc>
        <w:tc>
          <w:tcPr>
            <w:tcW w:w="5458" w:type="dxa"/>
            <w:vMerge/>
          </w:tcPr>
          <w:p w14:paraId="31EA593C" w14:textId="77777777" w:rsidR="00261787" w:rsidRPr="00D4651E" w:rsidRDefault="00261787" w:rsidP="00230FDF">
            <w:pPr>
              <w:jc w:val="left"/>
              <w:cnfStyle w:val="000000100000" w:firstRow="0" w:lastRow="0" w:firstColumn="0" w:lastColumn="0" w:oddVBand="0" w:evenVBand="0" w:oddHBand="1" w:evenHBand="0" w:firstRowFirstColumn="0" w:firstRowLastColumn="0" w:lastRowFirstColumn="0" w:lastRowLastColumn="0"/>
            </w:pPr>
          </w:p>
        </w:tc>
        <w:tc>
          <w:tcPr>
            <w:tcW w:w="2755" w:type="dxa"/>
          </w:tcPr>
          <w:p w14:paraId="066E3256" w14:textId="77777777" w:rsidR="00261787" w:rsidRPr="00D4651E" w:rsidRDefault="00261787" w:rsidP="00230FDF">
            <w:pPr>
              <w:jc w:val="left"/>
              <w:cnfStyle w:val="000000100000" w:firstRow="0" w:lastRow="0" w:firstColumn="0" w:lastColumn="0" w:oddVBand="0" w:evenVBand="0" w:oddHBand="1" w:evenHBand="0" w:firstRowFirstColumn="0" w:firstRowLastColumn="0" w:lastRowFirstColumn="0" w:lastRowLastColumn="0"/>
            </w:pPr>
            <w:r w:rsidRPr="00187F2A">
              <w:t>Temporary sedge/grass/forb marsh</w:t>
            </w:r>
            <w:r>
              <w:t>es</w:t>
            </w:r>
          </w:p>
        </w:tc>
      </w:tr>
      <w:tr w:rsidR="00261787" w:rsidRPr="00D4651E" w14:paraId="7248D8DE" w14:textId="77777777" w:rsidTr="00230FDF">
        <w:tc>
          <w:tcPr>
            <w:cnfStyle w:val="001000000000" w:firstRow="0" w:lastRow="0" w:firstColumn="1" w:lastColumn="0" w:oddVBand="0" w:evenVBand="0" w:oddHBand="0" w:evenHBand="0" w:firstRowFirstColumn="0" w:firstRowLastColumn="0" w:lastRowFirstColumn="0" w:lastRowLastColumn="0"/>
            <w:tcW w:w="0" w:type="auto"/>
            <w:vMerge/>
          </w:tcPr>
          <w:p w14:paraId="72CE5F8B" w14:textId="77777777" w:rsidR="00261787" w:rsidRPr="00D4651E" w:rsidRDefault="00261787" w:rsidP="00230FDF">
            <w:pPr>
              <w:jc w:val="left"/>
            </w:pPr>
          </w:p>
        </w:tc>
        <w:tc>
          <w:tcPr>
            <w:tcW w:w="5458" w:type="dxa"/>
            <w:vMerge/>
          </w:tcPr>
          <w:p w14:paraId="72344231" w14:textId="77777777" w:rsidR="00261787" w:rsidRPr="00D4651E" w:rsidRDefault="00261787" w:rsidP="00230FDF">
            <w:pPr>
              <w:jc w:val="left"/>
              <w:cnfStyle w:val="000000000000" w:firstRow="0" w:lastRow="0" w:firstColumn="0" w:lastColumn="0" w:oddVBand="0" w:evenVBand="0" w:oddHBand="0" w:evenHBand="0" w:firstRowFirstColumn="0" w:firstRowLastColumn="0" w:lastRowFirstColumn="0" w:lastRowLastColumn="0"/>
            </w:pPr>
          </w:p>
        </w:tc>
        <w:tc>
          <w:tcPr>
            <w:tcW w:w="2755" w:type="dxa"/>
          </w:tcPr>
          <w:p w14:paraId="59DC44D1" w14:textId="77777777" w:rsidR="00261787" w:rsidRPr="00D4651E" w:rsidRDefault="00261787" w:rsidP="00230FDF">
            <w:pPr>
              <w:jc w:val="left"/>
              <w:cnfStyle w:val="000000000000" w:firstRow="0" w:lastRow="0" w:firstColumn="0" w:lastColumn="0" w:oddVBand="0" w:evenVBand="0" w:oddHBand="0" w:evenHBand="0" w:firstRowFirstColumn="0" w:firstRowLastColumn="0" w:lastRowFirstColumn="0" w:lastRowLastColumn="0"/>
            </w:pPr>
            <w:r w:rsidRPr="00187F2A">
              <w:t>Freshwater meadow</w:t>
            </w:r>
            <w:r>
              <w:t>s</w:t>
            </w:r>
          </w:p>
        </w:tc>
      </w:tr>
      <w:tr w:rsidR="00261787" w:rsidRPr="00D4651E" w14:paraId="189053A4" w14:textId="77777777" w:rsidTr="00230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B4BFC5" w14:textId="77777777" w:rsidR="00261787" w:rsidRPr="00D4651E" w:rsidRDefault="00261787" w:rsidP="00230FDF">
            <w:pPr>
              <w:jc w:val="left"/>
              <w:rPr>
                <w:b w:val="0"/>
              </w:rPr>
            </w:pPr>
            <w:r w:rsidRPr="00D4651E">
              <w:rPr>
                <w:b w:val="0"/>
              </w:rPr>
              <w:t>G</w:t>
            </w:r>
          </w:p>
        </w:tc>
        <w:tc>
          <w:tcPr>
            <w:tcW w:w="5458" w:type="dxa"/>
          </w:tcPr>
          <w:p w14:paraId="042DE3D4" w14:textId="77777777" w:rsidR="00261787" w:rsidRPr="00D4651E" w:rsidRDefault="00261787" w:rsidP="00230FDF">
            <w:pPr>
              <w:jc w:val="left"/>
              <w:cnfStyle w:val="000000100000" w:firstRow="0" w:lastRow="0" w:firstColumn="0" w:lastColumn="0" w:oddVBand="0" w:evenVBand="0" w:oddHBand="1" w:evenHBand="0" w:firstRowFirstColumn="0" w:firstRowLastColumn="0" w:lastRowFirstColumn="0" w:lastRowLastColumn="0"/>
            </w:pPr>
            <w:r w:rsidRPr="00D4651E">
              <w:t>Intertidal mud, sand or salt flats</w:t>
            </w:r>
          </w:p>
        </w:tc>
        <w:tc>
          <w:tcPr>
            <w:tcW w:w="2755" w:type="dxa"/>
          </w:tcPr>
          <w:p w14:paraId="6F89E7D9" w14:textId="77777777" w:rsidR="00261787" w:rsidRPr="00D4651E" w:rsidRDefault="00261787" w:rsidP="00230FDF">
            <w:pPr>
              <w:jc w:val="left"/>
              <w:cnfStyle w:val="000000100000" w:firstRow="0" w:lastRow="0" w:firstColumn="0" w:lastColumn="0" w:oddVBand="0" w:evenVBand="0" w:oddHBand="1" w:evenHBand="0" w:firstRowFirstColumn="0" w:firstRowLastColumn="0" w:lastRowFirstColumn="0" w:lastRowLastColumn="0"/>
            </w:pPr>
            <w:r w:rsidRPr="006F496C">
              <w:t>Tide dominated</w:t>
            </w:r>
            <w:r>
              <w:t xml:space="preserve"> intertidal</w:t>
            </w:r>
            <w:r w:rsidRPr="006F496C">
              <w:t xml:space="preserve"> mudflats and sandbars</w:t>
            </w:r>
          </w:p>
        </w:tc>
      </w:tr>
      <w:tr w:rsidR="00261787" w:rsidRPr="00D4651E" w14:paraId="58D48C32" w14:textId="77777777" w:rsidTr="00230FDF">
        <w:trPr>
          <w:trHeight w:val="551"/>
        </w:trPr>
        <w:tc>
          <w:tcPr>
            <w:cnfStyle w:val="001000000000" w:firstRow="0" w:lastRow="0" w:firstColumn="1" w:lastColumn="0" w:oddVBand="0" w:evenVBand="0" w:oddHBand="0" w:evenHBand="0" w:firstRowFirstColumn="0" w:firstRowLastColumn="0" w:lastRowFirstColumn="0" w:lastRowLastColumn="0"/>
            <w:tcW w:w="0" w:type="auto"/>
          </w:tcPr>
          <w:p w14:paraId="73E56BF4" w14:textId="77777777" w:rsidR="00261787" w:rsidRPr="00D4651E" w:rsidRDefault="00261787" w:rsidP="00230FDF">
            <w:pPr>
              <w:jc w:val="left"/>
              <w:rPr>
                <w:b w:val="0"/>
              </w:rPr>
            </w:pPr>
            <w:r w:rsidRPr="00D4651E">
              <w:rPr>
                <w:b w:val="0"/>
              </w:rPr>
              <w:t>H</w:t>
            </w:r>
          </w:p>
        </w:tc>
        <w:tc>
          <w:tcPr>
            <w:tcW w:w="5458" w:type="dxa"/>
          </w:tcPr>
          <w:p w14:paraId="436B6461" w14:textId="77777777" w:rsidR="00261787" w:rsidRPr="00D4651E" w:rsidRDefault="00261787" w:rsidP="00230FDF">
            <w:pPr>
              <w:jc w:val="left"/>
              <w:cnfStyle w:val="000000000000" w:firstRow="0" w:lastRow="0" w:firstColumn="0" w:lastColumn="0" w:oddVBand="0" w:evenVBand="0" w:oddHBand="0" w:evenHBand="0" w:firstRowFirstColumn="0" w:firstRowLastColumn="0" w:lastRowFirstColumn="0" w:lastRowLastColumn="0"/>
            </w:pPr>
            <w:r w:rsidRPr="00D4651E">
              <w:t>Intertidal marshes; includes salt marshes, salt meadows, raised salt marshes; includes tidal brackish and freshwater</w:t>
            </w:r>
            <w:r>
              <w:t xml:space="preserve"> </w:t>
            </w:r>
            <w:r w:rsidRPr="00D4651E">
              <w:t>marshes</w:t>
            </w:r>
          </w:p>
        </w:tc>
        <w:tc>
          <w:tcPr>
            <w:tcW w:w="2755" w:type="dxa"/>
          </w:tcPr>
          <w:p w14:paraId="09F6B6EE" w14:textId="77777777" w:rsidR="00261787" w:rsidRPr="00D4651E" w:rsidRDefault="00261787" w:rsidP="00230FDF">
            <w:pPr>
              <w:jc w:val="left"/>
              <w:cnfStyle w:val="000000000000" w:firstRow="0" w:lastRow="0" w:firstColumn="0" w:lastColumn="0" w:oddVBand="0" w:evenVBand="0" w:oddHBand="0" w:evenHBand="0" w:firstRowFirstColumn="0" w:firstRowLastColumn="0" w:lastRowFirstColumn="0" w:lastRowLastColumn="0"/>
            </w:pPr>
            <w:r w:rsidRPr="003D27FB">
              <w:t xml:space="preserve">Tide dominated </w:t>
            </w:r>
            <w:r>
              <w:t xml:space="preserve">intertidal </w:t>
            </w:r>
            <w:r w:rsidRPr="003D27FB">
              <w:t>saltmarsh</w:t>
            </w:r>
          </w:p>
        </w:tc>
      </w:tr>
      <w:tr w:rsidR="00261787" w:rsidRPr="00D4651E" w14:paraId="38019CB5" w14:textId="77777777" w:rsidTr="00230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D133BCB" w14:textId="77777777" w:rsidR="00261787" w:rsidRPr="00D4651E" w:rsidRDefault="00261787" w:rsidP="00230FDF">
            <w:pPr>
              <w:jc w:val="left"/>
              <w:rPr>
                <w:b w:val="0"/>
              </w:rPr>
            </w:pPr>
            <w:r w:rsidRPr="00D4651E">
              <w:rPr>
                <w:b w:val="0"/>
              </w:rPr>
              <w:t>W</w:t>
            </w:r>
          </w:p>
        </w:tc>
        <w:tc>
          <w:tcPr>
            <w:tcW w:w="5458" w:type="dxa"/>
            <w:vMerge w:val="restart"/>
          </w:tcPr>
          <w:p w14:paraId="15E9CE97" w14:textId="77777777" w:rsidR="00261787" w:rsidRDefault="00261787" w:rsidP="00230FDF">
            <w:pPr>
              <w:cnfStyle w:val="000000100000" w:firstRow="0" w:lastRow="0" w:firstColumn="0" w:lastColumn="0" w:oddVBand="0" w:evenVBand="0" w:oddHBand="1" w:evenHBand="0" w:firstRowFirstColumn="0" w:firstRowLastColumn="0" w:lastRowFirstColumn="0" w:lastRowLastColumn="0"/>
            </w:pPr>
            <w:r>
              <w:t>Shrub-dominated wetlands; shrub swamps, shrub-dominated freshwater marshes, shrub carr, alder thicket on inorganic soils.</w:t>
            </w:r>
          </w:p>
        </w:tc>
        <w:tc>
          <w:tcPr>
            <w:tcW w:w="2755" w:type="dxa"/>
          </w:tcPr>
          <w:p w14:paraId="45A7234A" w14:textId="77777777" w:rsidR="00261787" w:rsidRPr="00D4651E" w:rsidRDefault="00261787" w:rsidP="00230FDF">
            <w:pPr>
              <w:cnfStyle w:val="000000100000" w:firstRow="0" w:lastRow="0" w:firstColumn="0" w:lastColumn="0" w:oddVBand="0" w:evenVBand="0" w:oddHBand="1" w:evenHBand="0" w:firstRowFirstColumn="0" w:firstRowLastColumn="0" w:lastRowFirstColumn="0" w:lastRowLastColumn="0"/>
            </w:pPr>
            <w:r w:rsidRPr="003D27FB">
              <w:t>Permanent salt marsh</w:t>
            </w:r>
            <w:r>
              <w:t>es</w:t>
            </w:r>
          </w:p>
        </w:tc>
      </w:tr>
      <w:tr w:rsidR="00261787" w:rsidRPr="00D4651E" w14:paraId="616E0090" w14:textId="77777777" w:rsidTr="00230FDF">
        <w:tc>
          <w:tcPr>
            <w:cnfStyle w:val="001000000000" w:firstRow="0" w:lastRow="0" w:firstColumn="1" w:lastColumn="0" w:oddVBand="0" w:evenVBand="0" w:oddHBand="0" w:evenHBand="0" w:firstRowFirstColumn="0" w:firstRowLastColumn="0" w:lastRowFirstColumn="0" w:lastRowLastColumn="0"/>
            <w:tcW w:w="0" w:type="auto"/>
            <w:vMerge/>
          </w:tcPr>
          <w:p w14:paraId="30E5A8E4" w14:textId="77777777" w:rsidR="00261787" w:rsidRPr="00D4651E" w:rsidRDefault="00261787" w:rsidP="00230FDF">
            <w:pPr>
              <w:jc w:val="left"/>
              <w:rPr>
                <w:b w:val="0"/>
              </w:rPr>
            </w:pPr>
          </w:p>
        </w:tc>
        <w:tc>
          <w:tcPr>
            <w:tcW w:w="5458" w:type="dxa"/>
            <w:vMerge/>
          </w:tcPr>
          <w:p w14:paraId="758D0433" w14:textId="77777777" w:rsidR="00261787" w:rsidRDefault="00261787" w:rsidP="00230FDF">
            <w:pPr>
              <w:cnfStyle w:val="000000000000" w:firstRow="0" w:lastRow="0" w:firstColumn="0" w:lastColumn="0" w:oddVBand="0" w:evenVBand="0" w:oddHBand="0" w:evenHBand="0" w:firstRowFirstColumn="0" w:firstRowLastColumn="0" w:lastRowFirstColumn="0" w:lastRowLastColumn="0"/>
            </w:pPr>
          </w:p>
        </w:tc>
        <w:tc>
          <w:tcPr>
            <w:tcW w:w="2755" w:type="dxa"/>
          </w:tcPr>
          <w:p w14:paraId="3DE6FC68" w14:textId="0C50B4AC" w:rsidR="00261787" w:rsidRPr="003D27FB" w:rsidRDefault="00261787" w:rsidP="00230FDF">
            <w:pPr>
              <w:cnfStyle w:val="000000000000" w:firstRow="0" w:lastRow="0" w:firstColumn="0" w:lastColumn="0" w:oddVBand="0" w:evenVBand="0" w:oddHBand="0" w:evenHBand="0" w:firstRowFirstColumn="0" w:firstRowLastColumn="0" w:lastRowFirstColumn="0" w:lastRowLastColumn="0"/>
            </w:pPr>
            <w:r>
              <w:t>Temporary l</w:t>
            </w:r>
            <w:r w:rsidRPr="003D27FB">
              <w:t>ignum swamps</w:t>
            </w:r>
            <w:r w:rsidR="00957B0C">
              <w:t xml:space="preserve"> (?)</w:t>
            </w:r>
          </w:p>
        </w:tc>
      </w:tr>
      <w:tr w:rsidR="00261787" w:rsidRPr="00D4651E" w14:paraId="4C333ADC" w14:textId="77777777" w:rsidTr="00230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4188BE6" w14:textId="77777777" w:rsidR="00261787" w:rsidRPr="00D4651E" w:rsidRDefault="00261787" w:rsidP="00230FDF">
            <w:pPr>
              <w:jc w:val="left"/>
              <w:rPr>
                <w:b w:val="0"/>
              </w:rPr>
            </w:pPr>
            <w:r w:rsidRPr="00D4651E">
              <w:rPr>
                <w:b w:val="0"/>
              </w:rPr>
              <w:t>Xf</w:t>
            </w:r>
          </w:p>
        </w:tc>
        <w:tc>
          <w:tcPr>
            <w:tcW w:w="5458" w:type="dxa"/>
            <w:vMerge w:val="restart"/>
          </w:tcPr>
          <w:p w14:paraId="4CBBCC7F" w14:textId="77777777" w:rsidR="00261787" w:rsidRDefault="00261787" w:rsidP="00230FDF">
            <w:pPr>
              <w:jc w:val="left"/>
              <w:cnfStyle w:val="000000100000" w:firstRow="0" w:lastRow="0" w:firstColumn="0" w:lastColumn="0" w:oddVBand="0" w:evenVBand="0" w:oddHBand="1" w:evenHBand="0" w:firstRowFirstColumn="0" w:firstRowLastColumn="0" w:lastRowFirstColumn="0" w:lastRowLastColumn="0"/>
            </w:pPr>
            <w:r>
              <w:t>Freshwater, tree-dominated wetlands; includes freshwater swamp forests, seasonally flooded forests, wooded swamps on inorganic soils</w:t>
            </w:r>
          </w:p>
        </w:tc>
        <w:tc>
          <w:tcPr>
            <w:tcW w:w="2755" w:type="dxa"/>
          </w:tcPr>
          <w:p w14:paraId="5BA10B16" w14:textId="77777777" w:rsidR="00261787" w:rsidRDefault="00261787" w:rsidP="00230FDF">
            <w:pPr>
              <w:jc w:val="left"/>
              <w:cnfStyle w:val="000000100000" w:firstRow="0" w:lastRow="0" w:firstColumn="0" w:lastColumn="0" w:oddVBand="0" w:evenVBand="0" w:oddHBand="1" w:evenHBand="0" w:firstRowFirstColumn="0" w:firstRowLastColumn="0" w:lastRowFirstColumn="0" w:lastRowLastColumn="0"/>
            </w:pPr>
            <w:r w:rsidRPr="003D27FB">
              <w:t>Temporary paperbark swamp</w:t>
            </w:r>
            <w:r>
              <w:t>s</w:t>
            </w:r>
          </w:p>
        </w:tc>
      </w:tr>
      <w:tr w:rsidR="00261787" w:rsidRPr="00D4651E" w14:paraId="03BE6A15" w14:textId="77777777" w:rsidTr="00230FDF">
        <w:tc>
          <w:tcPr>
            <w:cnfStyle w:val="001000000000" w:firstRow="0" w:lastRow="0" w:firstColumn="1" w:lastColumn="0" w:oddVBand="0" w:evenVBand="0" w:oddHBand="0" w:evenHBand="0" w:firstRowFirstColumn="0" w:firstRowLastColumn="0" w:lastRowFirstColumn="0" w:lastRowLastColumn="0"/>
            <w:tcW w:w="0" w:type="auto"/>
            <w:vMerge/>
          </w:tcPr>
          <w:p w14:paraId="6465EB07" w14:textId="77777777" w:rsidR="00261787" w:rsidRPr="00D4651E" w:rsidRDefault="00261787" w:rsidP="00230FDF">
            <w:pPr>
              <w:jc w:val="left"/>
              <w:rPr>
                <w:b w:val="0"/>
              </w:rPr>
            </w:pPr>
          </w:p>
        </w:tc>
        <w:tc>
          <w:tcPr>
            <w:tcW w:w="5458" w:type="dxa"/>
            <w:vMerge/>
          </w:tcPr>
          <w:p w14:paraId="34F654F8" w14:textId="77777777" w:rsidR="00261787" w:rsidRDefault="00261787" w:rsidP="00230FDF">
            <w:pPr>
              <w:jc w:val="left"/>
              <w:cnfStyle w:val="000000000000" w:firstRow="0" w:lastRow="0" w:firstColumn="0" w:lastColumn="0" w:oddVBand="0" w:evenVBand="0" w:oddHBand="0" w:evenHBand="0" w:firstRowFirstColumn="0" w:firstRowLastColumn="0" w:lastRowFirstColumn="0" w:lastRowLastColumn="0"/>
            </w:pPr>
          </w:p>
        </w:tc>
        <w:tc>
          <w:tcPr>
            <w:tcW w:w="2755" w:type="dxa"/>
          </w:tcPr>
          <w:p w14:paraId="6926775F" w14:textId="77777777" w:rsidR="00261787" w:rsidRPr="003D27FB" w:rsidRDefault="00261787" w:rsidP="00230FDF">
            <w:pPr>
              <w:jc w:val="left"/>
              <w:cnfStyle w:val="000000000000" w:firstRow="0" w:lastRow="0" w:firstColumn="0" w:lastColumn="0" w:oddVBand="0" w:evenVBand="0" w:oddHBand="0" w:evenHBand="0" w:firstRowFirstColumn="0" w:firstRowLastColumn="0" w:lastRowFirstColumn="0" w:lastRowLastColumn="0"/>
            </w:pPr>
            <w:r w:rsidRPr="00187F2A">
              <w:t>Permanent paperbark swamps</w:t>
            </w:r>
          </w:p>
        </w:tc>
      </w:tr>
      <w:tr w:rsidR="00261787" w:rsidRPr="00D4651E" w14:paraId="15058EF2" w14:textId="77777777" w:rsidTr="00230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AF850B1" w14:textId="77777777" w:rsidR="00261787" w:rsidRPr="00D4651E" w:rsidRDefault="00261787" w:rsidP="00230FDF">
            <w:pPr>
              <w:jc w:val="left"/>
              <w:rPr>
                <w:b w:val="0"/>
              </w:rPr>
            </w:pPr>
            <w:r w:rsidRPr="00D4651E">
              <w:rPr>
                <w:b w:val="0"/>
              </w:rPr>
              <w:t>Tp</w:t>
            </w:r>
          </w:p>
        </w:tc>
        <w:tc>
          <w:tcPr>
            <w:tcW w:w="5458" w:type="dxa"/>
            <w:vMerge w:val="restart"/>
          </w:tcPr>
          <w:p w14:paraId="633C5E74" w14:textId="77777777" w:rsidR="00261787" w:rsidRPr="00D4651E" w:rsidRDefault="00261787" w:rsidP="00230FDF">
            <w:pPr>
              <w:jc w:val="left"/>
              <w:cnfStyle w:val="000000100000" w:firstRow="0" w:lastRow="0" w:firstColumn="0" w:lastColumn="0" w:oddVBand="0" w:evenVBand="0" w:oddHBand="1" w:evenHBand="0" w:firstRowFirstColumn="0" w:firstRowLastColumn="0" w:lastRowFirstColumn="0" w:lastRowLastColumn="0"/>
            </w:pPr>
            <w:r w:rsidRPr="00D4651E">
              <w:t>Permanent freshwater marshes/pools</w:t>
            </w:r>
          </w:p>
        </w:tc>
        <w:tc>
          <w:tcPr>
            <w:tcW w:w="2755" w:type="dxa"/>
          </w:tcPr>
          <w:p w14:paraId="1E008546" w14:textId="77777777" w:rsidR="00261787" w:rsidRPr="00D4651E" w:rsidRDefault="00261787" w:rsidP="00230FDF">
            <w:pPr>
              <w:jc w:val="left"/>
              <w:cnfStyle w:val="000000100000" w:firstRow="0" w:lastRow="0" w:firstColumn="0" w:lastColumn="0" w:oddVBand="0" w:evenVBand="0" w:oddHBand="1" w:evenHBand="0" w:firstRowFirstColumn="0" w:firstRowLastColumn="0" w:lastRowFirstColumn="0" w:lastRowLastColumn="0"/>
            </w:pPr>
            <w:r w:rsidRPr="00187F2A">
              <w:t>Permanent tall emergent marshes</w:t>
            </w:r>
          </w:p>
        </w:tc>
      </w:tr>
      <w:tr w:rsidR="00261787" w:rsidRPr="00D4651E" w14:paraId="736A174E" w14:textId="77777777" w:rsidTr="00230FDF">
        <w:tc>
          <w:tcPr>
            <w:cnfStyle w:val="001000000000" w:firstRow="0" w:lastRow="0" w:firstColumn="1" w:lastColumn="0" w:oddVBand="0" w:evenVBand="0" w:oddHBand="0" w:evenHBand="0" w:firstRowFirstColumn="0" w:firstRowLastColumn="0" w:lastRowFirstColumn="0" w:lastRowLastColumn="0"/>
            <w:tcW w:w="0" w:type="auto"/>
            <w:vMerge/>
          </w:tcPr>
          <w:p w14:paraId="11499C74" w14:textId="77777777" w:rsidR="00261787" w:rsidRPr="00D4651E" w:rsidRDefault="00261787" w:rsidP="00230FDF">
            <w:pPr>
              <w:jc w:val="left"/>
              <w:rPr>
                <w:b w:val="0"/>
              </w:rPr>
            </w:pPr>
          </w:p>
        </w:tc>
        <w:tc>
          <w:tcPr>
            <w:tcW w:w="5458" w:type="dxa"/>
            <w:vMerge/>
          </w:tcPr>
          <w:p w14:paraId="5003CD01" w14:textId="77777777" w:rsidR="00261787" w:rsidRPr="00D4651E" w:rsidRDefault="00261787" w:rsidP="00230FDF">
            <w:pPr>
              <w:jc w:val="left"/>
              <w:cnfStyle w:val="000000000000" w:firstRow="0" w:lastRow="0" w:firstColumn="0" w:lastColumn="0" w:oddVBand="0" w:evenVBand="0" w:oddHBand="0" w:evenHBand="0" w:firstRowFirstColumn="0" w:firstRowLastColumn="0" w:lastRowFirstColumn="0" w:lastRowLastColumn="0"/>
            </w:pPr>
          </w:p>
        </w:tc>
        <w:tc>
          <w:tcPr>
            <w:tcW w:w="2755" w:type="dxa"/>
          </w:tcPr>
          <w:p w14:paraId="3CDC886A" w14:textId="77777777" w:rsidR="00261787" w:rsidRPr="00D4651E" w:rsidRDefault="00261787" w:rsidP="00230FDF">
            <w:pPr>
              <w:jc w:val="left"/>
              <w:cnfStyle w:val="000000000000" w:firstRow="0" w:lastRow="0" w:firstColumn="0" w:lastColumn="0" w:oddVBand="0" w:evenVBand="0" w:oddHBand="0" w:evenHBand="0" w:firstRowFirstColumn="0" w:firstRowLastColumn="0" w:lastRowFirstColumn="0" w:lastRowLastColumn="0"/>
            </w:pPr>
            <w:r w:rsidRPr="00187F2A">
              <w:t>Permanent sedge/grass/forb marshes</w:t>
            </w:r>
          </w:p>
        </w:tc>
      </w:tr>
    </w:tbl>
    <w:p w14:paraId="480D1282" w14:textId="77777777" w:rsidR="00261787" w:rsidRDefault="00261787" w:rsidP="00261787"/>
    <w:p w14:paraId="2C5A6D18" w14:textId="77777777" w:rsidR="001B1863" w:rsidRPr="009B6364" w:rsidRDefault="001B1863" w:rsidP="001B1863">
      <w:pPr>
        <w:pStyle w:val="Heading2"/>
        <w:numPr>
          <w:ilvl w:val="0"/>
          <w:numId w:val="0"/>
        </w:numPr>
      </w:pPr>
      <w:bookmarkStart w:id="128" w:name="_Toc479342237"/>
      <w:bookmarkStart w:id="129" w:name="_Toc493774237"/>
      <w:r w:rsidRPr="009B6364">
        <w:t>Purpose</w:t>
      </w:r>
      <w:bookmarkEnd w:id="128"/>
      <w:bookmarkEnd w:id="129"/>
    </w:p>
    <w:p w14:paraId="6913E17E" w14:textId="77777777" w:rsidR="00FB1FB7" w:rsidRDefault="001B1863" w:rsidP="001B1863">
      <w:r w:rsidRPr="009B6364">
        <w:t xml:space="preserve">Consistent with the management objectives for the Peel-Yalgorup Ramsar site, the purpose of this application of the IECA </w:t>
      </w:r>
      <w:r w:rsidR="003A47AE">
        <w:t>F</w:t>
      </w:r>
      <w:r w:rsidRPr="009B6364">
        <w:t xml:space="preserve">ramework is to assess the 2016 state of the ecological character of the Peel Yalgorup Ramsar site. </w:t>
      </w:r>
      <w:r w:rsidR="00FB1FB7">
        <w:t xml:space="preserve"> </w:t>
      </w:r>
    </w:p>
    <w:p w14:paraId="2417F4B5" w14:textId="2F407E59" w:rsidR="001B1863" w:rsidRPr="009B6364" w:rsidRDefault="00FB1FB7" w:rsidP="001B1863">
      <w:r>
        <w:t xml:space="preserve">For application of IECA at Ramsar sites, it’s important to note that the LAC are developed for the critical components, processes and services of the site and as such assessment is against these established thresholds. Risk assessments of threats are often included in Ramsar management planning and are occasionally included in associated monitoring programs. The IECA Framework may assist in identifying gaps and inform the development of assessment </w:t>
      </w:r>
      <w:r w:rsidR="005D074D">
        <w:t>programs;</w:t>
      </w:r>
      <w:r>
        <w:t xml:space="preserve"> however for Ramsar sites the focus of management will be on assessing trends in the critical CPS and response to management interventions. Aggregation of data will be limited at most Ramsar sites.</w:t>
      </w:r>
    </w:p>
    <w:p w14:paraId="46138611" w14:textId="77777777" w:rsidR="001B1863" w:rsidRPr="009B6364" w:rsidRDefault="001B1863" w:rsidP="001B1863">
      <w:pPr>
        <w:pStyle w:val="Heading2"/>
        <w:numPr>
          <w:ilvl w:val="0"/>
          <w:numId w:val="0"/>
        </w:numPr>
      </w:pPr>
      <w:bookmarkStart w:id="130" w:name="_Toc479342238"/>
      <w:bookmarkStart w:id="131" w:name="_Toc493774238"/>
      <w:r w:rsidRPr="009B6364">
        <w:t>Groundwork</w:t>
      </w:r>
      <w:bookmarkEnd w:id="130"/>
      <w:bookmarkEnd w:id="131"/>
    </w:p>
    <w:p w14:paraId="760B0A7F" w14:textId="77777777" w:rsidR="001B1863" w:rsidRPr="009B6364" w:rsidRDefault="001B1863" w:rsidP="001B1863">
      <w:pPr>
        <w:pStyle w:val="Heading3"/>
        <w:numPr>
          <w:ilvl w:val="0"/>
          <w:numId w:val="0"/>
        </w:numPr>
        <w:ind w:left="720" w:hanging="720"/>
      </w:pPr>
      <w:bookmarkStart w:id="132" w:name="_Toc473897845"/>
      <w:bookmarkStart w:id="133" w:name="_Toc493774239"/>
      <w:r w:rsidRPr="009B6364">
        <w:t>Accessing expertise: Establish a TAG or other appropriate oversight body (optional)</w:t>
      </w:r>
      <w:bookmarkEnd w:id="132"/>
      <w:bookmarkEnd w:id="133"/>
    </w:p>
    <w:p w14:paraId="209E9F8D" w14:textId="3F0C0A41" w:rsidR="001B1863" w:rsidRPr="009B6364" w:rsidRDefault="001B1863" w:rsidP="001B1863">
      <w:r w:rsidRPr="009B6364">
        <w:t>As described above, a T</w:t>
      </w:r>
      <w:r w:rsidR="000C410F">
        <w:t>AG</w:t>
      </w:r>
      <w:r w:rsidRPr="009B6364">
        <w:t xml:space="preserve"> is already in place for the Peel-Yalgorup System and comprises a broad range of stakeholder groups and expertise.</w:t>
      </w:r>
    </w:p>
    <w:p w14:paraId="005BAFFB" w14:textId="30AFAA40" w:rsidR="001B1863" w:rsidRPr="009B6364" w:rsidRDefault="001B1863" w:rsidP="001B1863">
      <w:pPr>
        <w:pStyle w:val="Heading3"/>
        <w:numPr>
          <w:ilvl w:val="0"/>
          <w:numId w:val="0"/>
        </w:numPr>
        <w:ind w:left="720" w:hanging="720"/>
      </w:pPr>
      <w:bookmarkStart w:id="134" w:name="_Toc473897846"/>
      <w:bookmarkStart w:id="135" w:name="_Toc493774240"/>
      <w:r w:rsidRPr="009B6364">
        <w:lastRenderedPageBreak/>
        <w:t>Collating existing information</w:t>
      </w:r>
      <w:bookmarkEnd w:id="134"/>
      <w:bookmarkEnd w:id="135"/>
    </w:p>
    <w:p w14:paraId="587AD5CC" w14:textId="243D03B7" w:rsidR="001B1863" w:rsidRPr="009B6364" w:rsidRDefault="001B1863" w:rsidP="001B1863">
      <w:r w:rsidRPr="009B6364">
        <w:t xml:space="preserve">This illustration of how the steps of the IECA </w:t>
      </w:r>
      <w:r w:rsidR="000C410F">
        <w:t>F</w:t>
      </w:r>
      <w:r w:rsidRPr="009B6364">
        <w:t>ramework could be applied to a Ramsar site was undertaken completely with existing publications and data. Key sources of information comprised:</w:t>
      </w:r>
    </w:p>
    <w:p w14:paraId="7B68D3FD" w14:textId="77777777" w:rsidR="001B1863" w:rsidRPr="009B6364" w:rsidRDefault="001B1863" w:rsidP="00F4328F">
      <w:pPr>
        <w:pStyle w:val="ListParagraph"/>
        <w:numPr>
          <w:ilvl w:val="0"/>
          <w:numId w:val="63"/>
        </w:numPr>
      </w:pPr>
      <w:r w:rsidRPr="009B6364">
        <w:t>Peel-Yalgorup Ecological Character Description (Hale and Butcher 2007)</w:t>
      </w:r>
    </w:p>
    <w:p w14:paraId="7F999A2D" w14:textId="60F531F6" w:rsidR="001B1863" w:rsidRPr="009B6364" w:rsidRDefault="001B1863" w:rsidP="00F4328F">
      <w:pPr>
        <w:pStyle w:val="ListParagraph"/>
        <w:numPr>
          <w:ilvl w:val="0"/>
          <w:numId w:val="63"/>
        </w:numPr>
      </w:pPr>
      <w:r w:rsidRPr="009B6364">
        <w:t>Peel-Yalgorup Ramsar Site Management Plan (Peel</w:t>
      </w:r>
      <w:r w:rsidR="001B60AD">
        <w:t>-</w:t>
      </w:r>
      <w:r w:rsidRPr="009B6364">
        <w:t>Harvey Catchment Council 2009)</w:t>
      </w:r>
    </w:p>
    <w:p w14:paraId="42BCA78F" w14:textId="14DE95D2" w:rsidR="001B1863" w:rsidRPr="009B6364" w:rsidRDefault="001B1863" w:rsidP="00F4328F">
      <w:pPr>
        <w:pStyle w:val="ListParagraph"/>
        <w:numPr>
          <w:ilvl w:val="0"/>
          <w:numId w:val="63"/>
        </w:numPr>
      </w:pPr>
      <w:r w:rsidRPr="009B6364">
        <w:t>Lake Mealup Recovery Program (Peel</w:t>
      </w:r>
      <w:r w:rsidR="001B60AD">
        <w:t>-</w:t>
      </w:r>
      <w:r w:rsidRPr="009B6364">
        <w:t>Harvey Catchment Council 2010)</w:t>
      </w:r>
    </w:p>
    <w:p w14:paraId="5A74F27D" w14:textId="77777777" w:rsidR="001B1863" w:rsidRPr="009B6364" w:rsidRDefault="001B1863" w:rsidP="00F4328F">
      <w:pPr>
        <w:pStyle w:val="ListParagraph"/>
        <w:numPr>
          <w:ilvl w:val="0"/>
          <w:numId w:val="63"/>
        </w:numPr>
      </w:pPr>
      <w:r w:rsidRPr="009B6364">
        <w:t>State of the Fisheries Reporting (Fletcher and Santoro 2015)</w:t>
      </w:r>
    </w:p>
    <w:p w14:paraId="53878192" w14:textId="77777777" w:rsidR="001B1863" w:rsidRPr="009B6364" w:rsidRDefault="001B1863" w:rsidP="00F4328F">
      <w:pPr>
        <w:pStyle w:val="ListParagraph"/>
        <w:numPr>
          <w:ilvl w:val="0"/>
          <w:numId w:val="63"/>
        </w:numPr>
      </w:pPr>
      <w:r w:rsidRPr="009B6364">
        <w:t>Water quality data for the Peel-Harvey Estuary 2012 - 2016 (as supplied by the Department of Water)</w:t>
      </w:r>
    </w:p>
    <w:p w14:paraId="1082A7EA" w14:textId="77777777" w:rsidR="001B1863" w:rsidRPr="009B6364" w:rsidRDefault="001B1863" w:rsidP="00F4328F">
      <w:pPr>
        <w:pStyle w:val="ListParagraph"/>
        <w:numPr>
          <w:ilvl w:val="0"/>
          <w:numId w:val="63"/>
        </w:numPr>
      </w:pPr>
      <w:r w:rsidRPr="009B6364">
        <w:t>Water quality and hydrological data for Lakes McLarty and Mealup (as supplied for the Department of Parks and Wildlife)</w:t>
      </w:r>
    </w:p>
    <w:p w14:paraId="7F7088BB" w14:textId="3CA4D746" w:rsidR="001B1863" w:rsidRPr="009B6364" w:rsidRDefault="001B1863" w:rsidP="00F4328F">
      <w:pPr>
        <w:pStyle w:val="ListParagraph"/>
        <w:numPr>
          <w:ilvl w:val="0"/>
          <w:numId w:val="63"/>
        </w:numPr>
      </w:pPr>
      <w:r w:rsidRPr="009B6364">
        <w:t>Waterbird data supplied by BirdLife WA: Shorebird 2020 Project’s annual count (2012 - 2016) with support of the Mandurah Bird Observers and P</w:t>
      </w:r>
      <w:r w:rsidR="00DC6A1F">
        <w:t>eel-Harvey Catchment Council</w:t>
      </w:r>
      <w:r w:rsidRPr="009B6364">
        <w:t xml:space="preserve"> </w:t>
      </w:r>
    </w:p>
    <w:p w14:paraId="1B3A6E23" w14:textId="77777777" w:rsidR="001B1863" w:rsidRDefault="001B1863" w:rsidP="00F4328F">
      <w:pPr>
        <w:pStyle w:val="ListParagraph"/>
        <w:numPr>
          <w:ilvl w:val="0"/>
          <w:numId w:val="63"/>
        </w:numPr>
      </w:pPr>
      <w:r w:rsidRPr="009B6364">
        <w:t>Waterbird data available on the Atlas of Living Australia (</w:t>
      </w:r>
      <w:hyperlink r:id="rId99" w:history="1">
        <w:r w:rsidRPr="009B6364">
          <w:rPr>
            <w:rStyle w:val="Hyperlink"/>
          </w:rPr>
          <w:t>http://www.ala.org.au/</w:t>
        </w:r>
      </w:hyperlink>
      <w:r w:rsidRPr="009B6364">
        <w:t>)</w:t>
      </w:r>
    </w:p>
    <w:p w14:paraId="579D0AF1" w14:textId="14D2F469" w:rsidR="00B0013B" w:rsidRDefault="00B0013B" w:rsidP="00B0013B">
      <w:r>
        <w:t>In addition to sourcing existing management plans and ecological descriptions, an important step in collating existing information would be to check if there have been any changes to species and communities of conservation significance</w:t>
      </w:r>
      <w:r w:rsidR="003D3A89">
        <w:t xml:space="preserve"> present</w:t>
      </w:r>
      <w:r>
        <w:t xml:space="preserve">. For example in 2010 the </w:t>
      </w:r>
      <w:r w:rsidRPr="00B0013B">
        <w:rPr>
          <w:i/>
        </w:rPr>
        <w:t>Thrombolite (microbialite) Community of a Coastal Brackish Lake (Lake Clifton)</w:t>
      </w:r>
      <w:r>
        <w:t xml:space="preserve"> was listed as critically endangered community under EPBC Act.</w:t>
      </w:r>
      <w:r w:rsidR="003D3A89">
        <w:t xml:space="preserve"> Curlew sandpiper w</w:t>
      </w:r>
      <w:r w:rsidR="006F48E6">
        <w:t>as</w:t>
      </w:r>
      <w:r w:rsidR="003D3A89">
        <w:t xml:space="preserve"> listed as critically endangered under the EPBC Act in 2015</w:t>
      </w:r>
      <w:r w:rsidR="006F48E6">
        <w:t xml:space="preserve"> and are also found at the site</w:t>
      </w:r>
      <w:r w:rsidR="003D3A89">
        <w:t xml:space="preserve">. </w:t>
      </w:r>
      <w:r>
        <w:t xml:space="preserve"> In a full application of the IECA Framework this would mean that the Thrombolite community</w:t>
      </w:r>
      <w:r w:rsidR="003D3A89">
        <w:t xml:space="preserve"> and newly listed species such as the curlew sandpiper</w:t>
      </w:r>
      <w:r>
        <w:t xml:space="preserve"> would be priority value</w:t>
      </w:r>
      <w:r w:rsidR="003D3A89">
        <w:t>s</w:t>
      </w:r>
      <w:r>
        <w:t xml:space="preserve"> of the site. </w:t>
      </w:r>
    </w:p>
    <w:p w14:paraId="2BA00677" w14:textId="77777777" w:rsidR="001B1863" w:rsidRPr="009B6364" w:rsidRDefault="001B1863" w:rsidP="001B1863">
      <w:pPr>
        <w:pStyle w:val="Heading3"/>
        <w:numPr>
          <w:ilvl w:val="0"/>
          <w:numId w:val="0"/>
        </w:numPr>
        <w:ind w:left="720" w:hanging="720"/>
      </w:pPr>
      <w:bookmarkStart w:id="136" w:name="_Toc473897847"/>
      <w:bookmarkStart w:id="137" w:name="_Toc493774241"/>
      <w:r w:rsidRPr="009B6364">
        <w:t>Define the spatial and temporal scale of the assessment</w:t>
      </w:r>
      <w:bookmarkEnd w:id="136"/>
      <w:bookmarkEnd w:id="137"/>
    </w:p>
    <w:p w14:paraId="3524BD3A" w14:textId="484019F8" w:rsidR="001B1863" w:rsidRPr="009B6364" w:rsidRDefault="001B1863" w:rsidP="001B1863">
      <w:r w:rsidRPr="009B6364">
        <w:t>The spatial scale of the assessment is defined by the boundary of the Ramsar site. In addition to assessing character at the scale of the entire Ramsar site, a finer spatial scale has also been considered to illustrate reporting of condition at multiple spatial scales. The ECD (Hale and Butcher 2007) and Management Plan (P</w:t>
      </w:r>
      <w:r w:rsidR="00DC6A1F">
        <w:t>eel-Harvey Catchment Council</w:t>
      </w:r>
      <w:r w:rsidRPr="009B6364">
        <w:t xml:space="preserve"> 2009) grouped wetlands within the Peel-Yalgorup Ramsar Site according to geographic location and broad type. These groups have been adopted for the application of the IECA </w:t>
      </w:r>
      <w:r w:rsidR="000C410F">
        <w:t>F</w:t>
      </w:r>
      <w:r w:rsidRPr="009B6364">
        <w:t xml:space="preserve">ramework: </w:t>
      </w:r>
    </w:p>
    <w:p w14:paraId="5D7C242C" w14:textId="77777777" w:rsidR="001B1863" w:rsidRPr="009B6364" w:rsidRDefault="001B1863" w:rsidP="00F4328F">
      <w:pPr>
        <w:pStyle w:val="ListParagraph"/>
        <w:numPr>
          <w:ilvl w:val="0"/>
          <w:numId w:val="59"/>
        </w:numPr>
        <w:spacing w:after="0" w:line="240" w:lineRule="auto"/>
        <w:jc w:val="left"/>
      </w:pPr>
      <w:r w:rsidRPr="009B6364">
        <w:rPr>
          <w:i/>
        </w:rPr>
        <w:t>Peel Inlet and Harvey Estuary</w:t>
      </w:r>
      <w:r w:rsidRPr="009B6364">
        <w:t xml:space="preserve"> – Marine/Coastal, dominated by “Estuarine Waters” with areas of “Intertidal mud and sand flats” and “Intertidal marshes”</w:t>
      </w:r>
    </w:p>
    <w:p w14:paraId="7E849E79" w14:textId="77777777" w:rsidR="001B1863" w:rsidRPr="009B6364" w:rsidRDefault="001B1863" w:rsidP="00F4328F">
      <w:pPr>
        <w:pStyle w:val="ListParagraph"/>
        <w:numPr>
          <w:ilvl w:val="0"/>
          <w:numId w:val="59"/>
        </w:numPr>
        <w:spacing w:after="0" w:line="240" w:lineRule="auto"/>
        <w:jc w:val="left"/>
      </w:pPr>
      <w:r w:rsidRPr="009B6364">
        <w:rPr>
          <w:i/>
        </w:rPr>
        <w:t>Yalgorup Lake System</w:t>
      </w:r>
      <w:r w:rsidRPr="009B6364">
        <w:t xml:space="preserve"> – Inland, dominated by “Permanent saline/brackish lake”</w:t>
      </w:r>
    </w:p>
    <w:p w14:paraId="40C076C7" w14:textId="77777777" w:rsidR="001B1863" w:rsidRPr="009B6364" w:rsidRDefault="001B1863" w:rsidP="00F4328F">
      <w:pPr>
        <w:pStyle w:val="ListParagraph"/>
        <w:numPr>
          <w:ilvl w:val="0"/>
          <w:numId w:val="59"/>
        </w:numPr>
        <w:spacing w:after="0" w:line="240" w:lineRule="auto"/>
        <w:jc w:val="left"/>
      </w:pPr>
      <w:r w:rsidRPr="009B6364">
        <w:rPr>
          <w:i/>
        </w:rPr>
        <w:t>McLarty Lake System</w:t>
      </w:r>
      <w:r w:rsidRPr="009B6364">
        <w:t xml:space="preserve"> – Inland, dominated by “Permanent and seasonal freshwater lakes over 8 ha”</w:t>
      </w:r>
    </w:p>
    <w:p w14:paraId="32997CA5" w14:textId="77777777" w:rsidR="001B1863" w:rsidRPr="009B6364" w:rsidRDefault="001B1863" w:rsidP="001B1863">
      <w:pPr>
        <w:spacing w:after="0" w:line="240" w:lineRule="auto"/>
        <w:jc w:val="left"/>
      </w:pPr>
    </w:p>
    <w:p w14:paraId="454FA34D" w14:textId="77777777" w:rsidR="001B1863" w:rsidRPr="009B6364" w:rsidRDefault="001B1863" w:rsidP="001B1863">
      <w:r w:rsidRPr="009B6364">
        <w:t>In terms of temporal scale, two questions are considered:</w:t>
      </w:r>
    </w:p>
    <w:p w14:paraId="1B38A741" w14:textId="37828BD7" w:rsidR="001B1863" w:rsidRPr="009B6364" w:rsidRDefault="001B1863" w:rsidP="00F4328F">
      <w:pPr>
        <w:pStyle w:val="ListParagraph"/>
        <w:numPr>
          <w:ilvl w:val="0"/>
          <w:numId w:val="64"/>
        </w:numPr>
      </w:pPr>
      <w:r w:rsidRPr="009B6364">
        <w:t>What is the b</w:t>
      </w:r>
      <w:r w:rsidR="00AF1C28">
        <w:t>aseline</w:t>
      </w:r>
      <w:r w:rsidRPr="009B6364">
        <w:t xml:space="preserve"> against which condition will be assessed?</w:t>
      </w:r>
    </w:p>
    <w:p w14:paraId="677519C4" w14:textId="77777777" w:rsidR="001B1863" w:rsidRPr="009B6364" w:rsidRDefault="001B1863" w:rsidP="00F4328F">
      <w:pPr>
        <w:pStyle w:val="ListParagraph"/>
        <w:numPr>
          <w:ilvl w:val="0"/>
          <w:numId w:val="64"/>
        </w:numPr>
      </w:pPr>
      <w:r w:rsidRPr="009B6364">
        <w:t>What is the timeframe of the current assessment?</w:t>
      </w:r>
    </w:p>
    <w:p w14:paraId="126A540A" w14:textId="6D2A6C8B" w:rsidR="001B1863" w:rsidRPr="009B6364" w:rsidRDefault="00AF1C28" w:rsidP="001B1863">
      <w:r>
        <w:t>A</w:t>
      </w:r>
      <w:r w:rsidR="001B1863" w:rsidRPr="009B6364">
        <w:t xml:space="preserve"> benchmark for assessing change in character has been established within the ecological character description for the Ramsar site (Hale and Butcher 2007). The usual </w:t>
      </w:r>
      <w:r w:rsidR="001B1863" w:rsidRPr="00AF1C28">
        <w:t>benchmark</w:t>
      </w:r>
      <w:r w:rsidR="001B1863" w:rsidRPr="009B6364">
        <w:t xml:space="preserve"> for a Ramsar site is “at the time of listing”. The Peel-Yalgorup Ramsar site was designated as a wetland of international importance in June 1990. In April 1994, the Dawesville Channel, a large artificial connection to the Indian Ocean, designed to decrease the nutrient accumulations and algal problems in the Peel-Harvey Estuary, was opened. The increased connection to the marine environment resulted in fundamental and permanent changes to ecological components of the Peel-Harvey Estuary and the ecological character description established a new benchmark for the Ramsar site against which future changes in character could be assessed. This illustration of the IECA </w:t>
      </w:r>
      <w:r w:rsidR="000C410F">
        <w:t>F</w:t>
      </w:r>
      <w:r w:rsidR="001B1863" w:rsidRPr="009B6364">
        <w:t xml:space="preserve">ramework adopts this more recent </w:t>
      </w:r>
      <w:r>
        <w:t>benchmark</w:t>
      </w:r>
      <w:r w:rsidR="001B1863" w:rsidRPr="009B6364">
        <w:t xml:space="preserve"> as described in Hale and Butcher (2007).</w:t>
      </w:r>
    </w:p>
    <w:p w14:paraId="1426C353" w14:textId="53BC6645" w:rsidR="001B1863" w:rsidRPr="009B6364" w:rsidRDefault="00356E3B" w:rsidP="001B1863">
      <w:r>
        <w:lastRenderedPageBreak/>
        <w:t>T</w:t>
      </w:r>
      <w:r w:rsidR="001B1863" w:rsidRPr="009B6364">
        <w:t>he Limits of Acceptable Change (see Table B1) were used to guide the time</w:t>
      </w:r>
      <w:r w:rsidR="00AF1C28" w:rsidRPr="00AF1C28">
        <w:t xml:space="preserve"> </w:t>
      </w:r>
      <w:r w:rsidR="00AF1C28">
        <w:t>period over which data would be assessed to represent current conditions. That is, s</w:t>
      </w:r>
      <w:r w:rsidR="00AF1C28" w:rsidRPr="009B6364">
        <w:t xml:space="preserve">everal LAC include integration over a five year period to account for natural variability (e.g. </w:t>
      </w:r>
      <w:r w:rsidR="00AF1C28">
        <w:t>‘</w:t>
      </w:r>
      <w:r w:rsidR="00AF1C28" w:rsidRPr="009B6364">
        <w:t>Support &gt; 20,000 total waterbirds in 4 out of 5 years</w:t>
      </w:r>
      <w:r w:rsidR="00AF1C28">
        <w:t>’</w:t>
      </w:r>
      <w:r w:rsidR="00AF1C28" w:rsidRPr="009B6364">
        <w:t xml:space="preserve">). Therefore, a five year period of January 2012 to December 2016 has been selected </w:t>
      </w:r>
      <w:r>
        <w:t>as</w:t>
      </w:r>
      <w:r w:rsidR="00AF1C28">
        <w:t xml:space="preserve"> </w:t>
      </w:r>
      <w:r>
        <w:t>the temporal scale of assessment representing current conditions</w:t>
      </w:r>
      <w:r w:rsidR="00AF1C28">
        <w:t xml:space="preserve"> </w:t>
      </w:r>
      <w:r w:rsidR="0004476C">
        <w:t xml:space="preserve">to </w:t>
      </w:r>
      <w:r w:rsidR="0004476C" w:rsidRPr="009B6364">
        <w:t>illustrate</w:t>
      </w:r>
      <w:r w:rsidR="00AF1C28" w:rsidRPr="009B6364">
        <w:t xml:space="preserve"> the steps of the IECA </w:t>
      </w:r>
      <w:r w:rsidR="003A47AE">
        <w:t>F</w:t>
      </w:r>
      <w:r w:rsidR="00AF1C28" w:rsidRPr="009B6364">
        <w:t>ramework.</w:t>
      </w:r>
    </w:p>
    <w:p w14:paraId="2E2009C4" w14:textId="77777777" w:rsidR="001B1863" w:rsidRPr="009B6364" w:rsidRDefault="001B1863" w:rsidP="001B1863">
      <w:pPr>
        <w:pStyle w:val="Heading3"/>
        <w:numPr>
          <w:ilvl w:val="0"/>
          <w:numId w:val="0"/>
        </w:numPr>
      </w:pPr>
      <w:bookmarkStart w:id="138" w:name="_Toc493774242"/>
      <w:r w:rsidRPr="009B6364">
        <w:t>Identify existing conceptual models</w:t>
      </w:r>
      <w:bookmarkEnd w:id="138"/>
      <w:r w:rsidRPr="009B6364">
        <w:t xml:space="preserve"> </w:t>
      </w:r>
    </w:p>
    <w:p w14:paraId="1E236A0A" w14:textId="1001DA68" w:rsidR="001B1863" w:rsidRPr="009B6364" w:rsidRDefault="001B1863" w:rsidP="001B1863">
      <w:r w:rsidRPr="009B6364">
        <w:t>There are several existing conceptual models for the Peel</w:t>
      </w:r>
      <w:r w:rsidR="001B60AD">
        <w:t>-</w:t>
      </w:r>
      <w:r w:rsidRPr="009B6364">
        <w:t>Yalgorup Ramsar site that illustrate the links between components, processes and services (</w:t>
      </w:r>
      <w:r w:rsidR="00A70F8A">
        <w:t xml:space="preserve">for example </w:t>
      </w:r>
      <w:r w:rsidR="003E5078">
        <w:fldChar w:fldCharType="begin"/>
      </w:r>
      <w:r w:rsidR="003E5078">
        <w:instrText xml:space="preserve"> REF _Ref484514360 \h </w:instrText>
      </w:r>
      <w:r w:rsidR="003E5078">
        <w:fldChar w:fldCharType="separate"/>
      </w:r>
      <w:r w:rsidR="005F359C">
        <w:t xml:space="preserve">Figure B </w:t>
      </w:r>
      <w:r w:rsidR="005F359C">
        <w:rPr>
          <w:noProof/>
        </w:rPr>
        <w:t>2</w:t>
      </w:r>
      <w:r w:rsidR="003E5078">
        <w:fldChar w:fldCharType="end"/>
      </w:r>
      <w:r w:rsidRPr="009B6364">
        <w:t>). Note that components, process</w:t>
      </w:r>
      <w:r w:rsidR="00426E46">
        <w:t>es</w:t>
      </w:r>
      <w:r w:rsidRPr="009B6364">
        <w:t xml:space="preserve"> and services equate to ecosystem values as defined in the IECA Framework. </w:t>
      </w:r>
      <w:r w:rsidR="00A70F8A">
        <w:t>T</w:t>
      </w:r>
      <w:r w:rsidR="00B0013B">
        <w:t>h</w:t>
      </w:r>
      <w:r w:rsidR="00A70F8A">
        <w:t>e</w:t>
      </w:r>
      <w:r w:rsidR="00B0013B">
        <w:t xml:space="preserve"> model </w:t>
      </w:r>
      <w:r w:rsidR="00A70F8A">
        <w:t xml:space="preserve">in </w:t>
      </w:r>
      <w:r w:rsidR="00A70F8A">
        <w:fldChar w:fldCharType="begin"/>
      </w:r>
      <w:r w:rsidR="00A70F8A">
        <w:instrText xml:space="preserve"> REF _Ref484514360 \h </w:instrText>
      </w:r>
      <w:r w:rsidR="00A70F8A">
        <w:fldChar w:fldCharType="separate"/>
      </w:r>
      <w:r w:rsidR="00A70F8A">
        <w:t xml:space="preserve">Figure B </w:t>
      </w:r>
      <w:r w:rsidR="00A70F8A">
        <w:rPr>
          <w:noProof/>
        </w:rPr>
        <w:t>2</w:t>
      </w:r>
      <w:r w:rsidR="00A70F8A">
        <w:fldChar w:fldCharType="end"/>
      </w:r>
      <w:r w:rsidR="00A70F8A">
        <w:t xml:space="preserve"> has been</w:t>
      </w:r>
      <w:r w:rsidR="00B0013B">
        <w:t xml:space="preserve"> updated to reflect the additional values identified at the site since the model presented below was developed</w:t>
      </w:r>
      <w:r w:rsidR="00A70F8A">
        <w:t xml:space="preserve"> (</w:t>
      </w:r>
      <w:r w:rsidR="00A70F8A">
        <w:fldChar w:fldCharType="begin"/>
      </w:r>
      <w:r w:rsidR="00A70F8A">
        <w:instrText xml:space="preserve"> REF _Ref486365824 \h </w:instrText>
      </w:r>
      <w:r w:rsidR="00A70F8A">
        <w:fldChar w:fldCharType="separate"/>
      </w:r>
      <w:r w:rsidR="00A70F8A">
        <w:t xml:space="preserve">Figure B </w:t>
      </w:r>
      <w:r w:rsidR="00A70F8A">
        <w:rPr>
          <w:noProof/>
        </w:rPr>
        <w:t>3</w:t>
      </w:r>
      <w:r w:rsidR="00A70F8A">
        <w:fldChar w:fldCharType="end"/>
      </w:r>
      <w:r w:rsidR="00A70F8A">
        <w:t>)</w:t>
      </w:r>
      <w:r w:rsidR="00B0013B">
        <w:t xml:space="preserve">. For example </w:t>
      </w:r>
      <w:r w:rsidR="00F478C0">
        <w:t xml:space="preserve">the </w:t>
      </w:r>
      <w:r w:rsidR="00B0013B">
        <w:t>Throm</w:t>
      </w:r>
      <w:r w:rsidR="00F478C0">
        <w:t>bolite community and recently</w:t>
      </w:r>
      <w:r w:rsidR="00A70F8A">
        <w:t xml:space="preserve"> nationally</w:t>
      </w:r>
      <w:r w:rsidR="00F478C0">
        <w:t xml:space="preserve"> listed waterbirds are present at the site which means the site meets an additional Ramsar listing criteria</w:t>
      </w:r>
      <w:r w:rsidR="00A70F8A">
        <w:t>, criterion 2, which was</w:t>
      </w:r>
      <w:r w:rsidR="00F478C0">
        <w:t xml:space="preserve"> not captured in the model below.</w:t>
      </w:r>
      <w:r w:rsidR="00A70F8A">
        <w:t xml:space="preserve"> </w:t>
      </w:r>
      <w:r w:rsidR="00C55C74">
        <w:t>Recreation, cultural heritage and identity, spiritual significance and ecological connectivity have been included in the updated conceptual model as these are likely significant values – but were not identified as critical in the 2007 ECD.</w:t>
      </w:r>
    </w:p>
    <w:p w14:paraId="4FA7C033" w14:textId="77777777" w:rsidR="001B1863" w:rsidRPr="009B6364" w:rsidRDefault="001B1863" w:rsidP="001B1863">
      <w:r w:rsidRPr="009B6364">
        <w:rPr>
          <w:noProof/>
          <w:lang w:eastAsia="en-AU"/>
        </w:rPr>
        <w:drawing>
          <wp:inline distT="0" distB="0" distL="0" distR="0" wp14:anchorId="64C7E023" wp14:editId="62EE91BA">
            <wp:extent cx="5270500" cy="453795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70500" cy="4537958"/>
                    </a:xfrm>
                    <a:prstGeom prst="rect">
                      <a:avLst/>
                    </a:prstGeom>
                    <a:noFill/>
                    <a:ln>
                      <a:noFill/>
                    </a:ln>
                  </pic:spPr>
                </pic:pic>
              </a:graphicData>
            </a:graphic>
          </wp:inline>
        </w:drawing>
      </w:r>
    </w:p>
    <w:p w14:paraId="718531B3" w14:textId="6CA2DE1D" w:rsidR="001B1863" w:rsidRDefault="003E5078" w:rsidP="001B1863">
      <w:pPr>
        <w:pStyle w:val="Caption"/>
      </w:pPr>
      <w:bookmarkStart w:id="139" w:name="_Ref484514360"/>
      <w:r>
        <w:t xml:space="preserve">Figure B </w:t>
      </w:r>
      <w:fldSimple w:instr=" SEQ Figure_B \* ARABIC ">
        <w:r w:rsidR="00CB6D08">
          <w:rPr>
            <w:noProof/>
          </w:rPr>
          <w:t>2</w:t>
        </w:r>
      </w:fldSimple>
      <w:bookmarkEnd w:id="139"/>
      <w:r w:rsidR="00FD50A9">
        <w:rPr>
          <w:noProof/>
        </w:rPr>
        <w:t>:</w:t>
      </w:r>
      <w:r w:rsidR="001B1863" w:rsidRPr="009B6364">
        <w:t xml:space="preserve"> Critical components and processes of the Peel-Yalgorup Ramsar Site</w:t>
      </w:r>
      <w:r w:rsidR="00957B0C">
        <w:t xml:space="preserve"> at time of listing</w:t>
      </w:r>
      <w:r w:rsidR="001B1863" w:rsidRPr="009B6364">
        <w:t xml:space="preserve"> (P</w:t>
      </w:r>
      <w:r w:rsidR="00DC6A1F">
        <w:t>eel-Harvey Catchment Council</w:t>
      </w:r>
      <w:r w:rsidR="001B1863" w:rsidRPr="009B6364">
        <w:t xml:space="preserve"> 2009). </w:t>
      </w:r>
    </w:p>
    <w:p w14:paraId="43FC855F" w14:textId="53D948AB" w:rsidR="00A70F8A" w:rsidRDefault="00A70F8A" w:rsidP="00A70F8A">
      <w:r>
        <w:rPr>
          <w:noProof/>
          <w:lang w:eastAsia="en-AU"/>
        </w:rPr>
        <w:lastRenderedPageBreak/>
        <w:drawing>
          <wp:inline distT="0" distB="0" distL="0" distR="0" wp14:anchorId="51C5AFE6" wp14:editId="28DB2465">
            <wp:extent cx="5731510" cy="421957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l Yal general model.png"/>
                    <pic:cNvPicPr/>
                  </pic:nvPicPr>
                  <pic:blipFill>
                    <a:blip r:embed="rId101">
                      <a:extLst>
                        <a:ext uri="{28A0092B-C50C-407E-A947-70E740481C1C}">
                          <a14:useLocalDpi xmlns:a14="http://schemas.microsoft.com/office/drawing/2010/main" val="0"/>
                        </a:ext>
                      </a:extLst>
                    </a:blip>
                    <a:stretch>
                      <a:fillRect/>
                    </a:stretch>
                  </pic:blipFill>
                  <pic:spPr>
                    <a:xfrm>
                      <a:off x="0" y="0"/>
                      <a:ext cx="5731510" cy="4219575"/>
                    </a:xfrm>
                    <a:prstGeom prst="rect">
                      <a:avLst/>
                    </a:prstGeom>
                  </pic:spPr>
                </pic:pic>
              </a:graphicData>
            </a:graphic>
          </wp:inline>
        </w:drawing>
      </w:r>
    </w:p>
    <w:p w14:paraId="46B3E802" w14:textId="2DD6BB39" w:rsidR="00A70F8A" w:rsidRDefault="00A70F8A" w:rsidP="00A70F8A">
      <w:pPr>
        <w:pStyle w:val="Caption"/>
      </w:pPr>
      <w:bookmarkStart w:id="140" w:name="_Ref486365824"/>
      <w:r>
        <w:t xml:space="preserve">Figure B </w:t>
      </w:r>
      <w:fldSimple w:instr=" SEQ Figure_B \* ARABIC ">
        <w:r w:rsidR="00CB6D08">
          <w:rPr>
            <w:noProof/>
          </w:rPr>
          <w:t>3</w:t>
        </w:r>
      </w:fldSimple>
      <w:bookmarkEnd w:id="140"/>
      <w:r w:rsidR="00FD50A9">
        <w:rPr>
          <w:noProof/>
        </w:rPr>
        <w:t>:</w:t>
      </w:r>
      <w:r>
        <w:t xml:space="preserve"> Updated conceptual model indicating relationship between critical components, processes, services and the Ramsar criteria which are met as of 2016. </w:t>
      </w:r>
    </w:p>
    <w:p w14:paraId="6824033B" w14:textId="77777777" w:rsidR="001B1863" w:rsidRPr="009B6364" w:rsidRDefault="001B1863" w:rsidP="001B1863">
      <w:pPr>
        <w:pStyle w:val="Heading3"/>
        <w:numPr>
          <w:ilvl w:val="0"/>
          <w:numId w:val="0"/>
        </w:numPr>
      </w:pPr>
      <w:bookmarkStart w:id="141" w:name="_Toc493774243"/>
      <w:r w:rsidRPr="009B6364">
        <w:t>Identify externalities likely to affect the assessment</w:t>
      </w:r>
      <w:bookmarkEnd w:id="141"/>
    </w:p>
    <w:p w14:paraId="489CD10A" w14:textId="35374D88" w:rsidR="001B1863" w:rsidRPr="009B6364" w:rsidRDefault="001B1863" w:rsidP="001B1863">
      <w:r w:rsidRPr="009B6364">
        <w:t>The Peel-Yalgorup Ramsar Site is a large and complex system that is affected by a number of local and regional factors. During the 2012</w:t>
      </w:r>
      <w:r w:rsidR="000C410F">
        <w:t>–</w:t>
      </w:r>
      <w:r w:rsidRPr="009B6364">
        <w:t xml:space="preserve">2016 assessment period, the region was subject to a number of years of below average rainfall and periods of drought (Bureau of Meteorology Climate online). The population of the Mandurah region has increased 15 % in the period 2011 to 2016 and there has been a significant increase in the number of buildings in and around the Ramsar site (Australian Bureau of Statistics). </w:t>
      </w:r>
    </w:p>
    <w:p w14:paraId="430C47F8" w14:textId="77777777" w:rsidR="001B1863" w:rsidRPr="009B6364" w:rsidRDefault="001B1863" w:rsidP="001B1863">
      <w:pPr>
        <w:pStyle w:val="Heading3"/>
        <w:numPr>
          <w:ilvl w:val="0"/>
          <w:numId w:val="0"/>
        </w:numPr>
      </w:pPr>
      <w:bookmarkStart w:id="142" w:name="_Toc493774244"/>
      <w:r w:rsidRPr="009B6364">
        <w:t>Assumptions</w:t>
      </w:r>
      <w:bookmarkEnd w:id="142"/>
    </w:p>
    <w:p w14:paraId="4931DF0B" w14:textId="2BB3321A" w:rsidR="001B1863" w:rsidRDefault="001B1863" w:rsidP="001B1863">
      <w:r w:rsidRPr="009B6364">
        <w:t xml:space="preserve">This illustration of how the steps of the IECA </w:t>
      </w:r>
      <w:r w:rsidR="000C410F">
        <w:t>F</w:t>
      </w:r>
      <w:r w:rsidRPr="009B6364">
        <w:t xml:space="preserve">ramework can be applied to a Ramsar site is based on a number of assumptions. The most significant of these is that the 2007 ecological character description adequately establishes a </w:t>
      </w:r>
      <w:r w:rsidRPr="00DC6A1F">
        <w:t>b</w:t>
      </w:r>
      <w:r w:rsidR="00DC6A1F">
        <w:t>aseline</w:t>
      </w:r>
      <w:r w:rsidRPr="009B6364">
        <w:t xml:space="preserve"> and that the Limits of Acceptable Change reflect reasonable trigger values for the site. Any results of analysis must be considered in this context</w:t>
      </w:r>
      <w:r w:rsidR="00DC6A1F">
        <w:t xml:space="preserve"> – that is it is for illustrative purposes only</w:t>
      </w:r>
      <w:r w:rsidRPr="009B6364">
        <w:t>.</w:t>
      </w:r>
    </w:p>
    <w:p w14:paraId="3AC97251" w14:textId="26946921" w:rsidR="00FB1FB7" w:rsidRDefault="00FB1FB7" w:rsidP="00FB1FB7">
      <w:pPr>
        <w:pStyle w:val="Heading1"/>
        <w:numPr>
          <w:ilvl w:val="0"/>
          <w:numId w:val="0"/>
        </w:numPr>
      </w:pPr>
      <w:bookmarkStart w:id="143" w:name="_Toc493774245"/>
      <w:r>
        <w:t>Part A</w:t>
      </w:r>
      <w:r w:rsidR="002D48E5">
        <w:t>:</w:t>
      </w:r>
      <w:r>
        <w:t xml:space="preserve"> Output</w:t>
      </w:r>
      <w:r w:rsidR="002D48E5">
        <w:t>s</w:t>
      </w:r>
      <w:bookmarkEnd w:id="143"/>
    </w:p>
    <w:p w14:paraId="6C09C3DF" w14:textId="0364C486" w:rsidR="00FB1FB7" w:rsidRDefault="009779E7" w:rsidP="009779E7">
      <w:pPr>
        <w:pStyle w:val="Caption"/>
      </w:pPr>
      <w:r>
        <w:t xml:space="preserve">Table B </w:t>
      </w:r>
      <w:fldSimple w:instr=" SEQ Table_B \* ARABIC ">
        <w:r w:rsidR="00FD50A9">
          <w:rPr>
            <w:noProof/>
          </w:rPr>
          <w:t>3</w:t>
        </w:r>
      </w:fldSimple>
      <w:r w:rsidR="00FD50A9">
        <w:rPr>
          <w:noProof/>
        </w:rPr>
        <w:t>:</w:t>
      </w:r>
      <w:r>
        <w:t xml:space="preserve"> Summary of required outputs from example application of Part A of the IECA Framework.</w:t>
      </w:r>
    </w:p>
    <w:tbl>
      <w:tblPr>
        <w:tblStyle w:val="LightList-Accent2"/>
        <w:tblW w:w="0" w:type="auto"/>
        <w:tblLook w:val="04A0" w:firstRow="1" w:lastRow="0" w:firstColumn="1" w:lastColumn="0" w:noHBand="0" w:noVBand="1"/>
      </w:tblPr>
      <w:tblGrid>
        <w:gridCol w:w="4505"/>
        <w:gridCol w:w="4501"/>
      </w:tblGrid>
      <w:tr w:rsidR="002D48E5" w:rsidRPr="002D48E5" w14:paraId="1F35783F" w14:textId="77777777" w:rsidTr="00230F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14:paraId="66E29E0D" w14:textId="3D495407" w:rsidR="002D48E5" w:rsidRPr="002D48E5" w:rsidRDefault="002D48E5" w:rsidP="002D48E5">
            <w:r>
              <w:t>IECA Part A requirements</w:t>
            </w:r>
          </w:p>
        </w:tc>
        <w:tc>
          <w:tcPr>
            <w:tcW w:w="4621" w:type="dxa"/>
          </w:tcPr>
          <w:p w14:paraId="1ED652DC" w14:textId="53B4A11E" w:rsidR="002D48E5" w:rsidRPr="002D48E5" w:rsidRDefault="002D48E5" w:rsidP="00230FDF">
            <w:pPr>
              <w:cnfStyle w:val="100000000000" w:firstRow="1" w:lastRow="0" w:firstColumn="0" w:lastColumn="0" w:oddVBand="0" w:evenVBand="0" w:oddHBand="0" w:evenHBand="0" w:firstRowFirstColumn="0" w:firstRowLastColumn="0" w:lastRowFirstColumn="0" w:lastRowLastColumn="0"/>
            </w:pPr>
            <w:r>
              <w:t>Application outputs – example only</w:t>
            </w:r>
          </w:p>
        </w:tc>
      </w:tr>
      <w:tr w:rsidR="002D48E5" w:rsidRPr="002D48E5" w14:paraId="6DFFA92C" w14:textId="77777777" w:rsidTr="002D4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F6F4E1" w:themeFill="accent3" w:themeFillTint="33"/>
          </w:tcPr>
          <w:p w14:paraId="69D828CA" w14:textId="54640346" w:rsidR="002D48E5" w:rsidRPr="002D48E5" w:rsidRDefault="002D48E5" w:rsidP="002D48E5">
            <w:pPr>
              <w:rPr>
                <w:b w:val="0"/>
              </w:rPr>
            </w:pPr>
            <w:r w:rsidRPr="002D48E5">
              <w:rPr>
                <w:b w:val="0"/>
              </w:rPr>
              <w:t>S</w:t>
            </w:r>
            <w:r>
              <w:rPr>
                <w:b w:val="0"/>
              </w:rPr>
              <w:t>tatement of management context</w:t>
            </w:r>
          </w:p>
        </w:tc>
        <w:tc>
          <w:tcPr>
            <w:tcW w:w="4621" w:type="dxa"/>
          </w:tcPr>
          <w:p w14:paraId="24A1CB44" w14:textId="5395DB82" w:rsidR="002D48E5" w:rsidRPr="002D48E5" w:rsidRDefault="002D48E5" w:rsidP="00230FDF">
            <w:pPr>
              <w:cnfStyle w:val="000000100000" w:firstRow="0" w:lastRow="0" w:firstColumn="0" w:lastColumn="0" w:oddVBand="0" w:evenVBand="0" w:oddHBand="1" w:evenHBand="0" w:firstRowFirstColumn="0" w:firstRowLastColumn="0" w:lastRowFirstColumn="0" w:lastRowLastColumn="0"/>
            </w:pPr>
            <w:r>
              <w:t>To manage the Peel Yalgorup Ramsar site to maintain or enhance its ecological character.</w:t>
            </w:r>
          </w:p>
        </w:tc>
      </w:tr>
      <w:tr w:rsidR="002D48E5" w:rsidRPr="002D48E5" w14:paraId="726720B0" w14:textId="77777777" w:rsidTr="002D48E5">
        <w:tc>
          <w:tcPr>
            <w:cnfStyle w:val="001000000000" w:firstRow="0" w:lastRow="0" w:firstColumn="1" w:lastColumn="0" w:oddVBand="0" w:evenVBand="0" w:oddHBand="0" w:evenHBand="0" w:firstRowFirstColumn="0" w:firstRowLastColumn="0" w:lastRowFirstColumn="0" w:lastRowLastColumn="0"/>
            <w:tcW w:w="4621" w:type="dxa"/>
            <w:shd w:val="clear" w:color="auto" w:fill="F6F4E1" w:themeFill="accent3" w:themeFillTint="33"/>
          </w:tcPr>
          <w:p w14:paraId="3F46F06F" w14:textId="340086C9" w:rsidR="002D48E5" w:rsidRPr="002D48E5" w:rsidRDefault="002D48E5" w:rsidP="00230FDF">
            <w:pPr>
              <w:rPr>
                <w:b w:val="0"/>
              </w:rPr>
            </w:pPr>
            <w:r w:rsidRPr="002D48E5">
              <w:rPr>
                <w:b w:val="0"/>
              </w:rPr>
              <w:t>Refined existing, or newly developed, SMART management objectives</w:t>
            </w:r>
          </w:p>
        </w:tc>
        <w:tc>
          <w:tcPr>
            <w:tcW w:w="4621" w:type="dxa"/>
          </w:tcPr>
          <w:p w14:paraId="1F82A7AB" w14:textId="1C34BE83" w:rsidR="002D48E5" w:rsidRPr="002D48E5" w:rsidRDefault="002D48E5" w:rsidP="00230FDF">
            <w:pPr>
              <w:cnfStyle w:val="000000000000" w:firstRow="0" w:lastRow="0" w:firstColumn="0" w:lastColumn="0" w:oddVBand="0" w:evenVBand="0" w:oddHBand="0" w:evenHBand="0" w:firstRowFirstColumn="0" w:firstRowLastColumn="0" w:lastRowFirstColumn="0" w:lastRowLastColumn="0"/>
            </w:pPr>
            <w:r>
              <w:t xml:space="preserve">Objectives adopted from the Ramsar site </w:t>
            </w:r>
            <w:r w:rsidRPr="002D48E5">
              <w:t>management plan (Peel-Harvey Catchment Council 2009)</w:t>
            </w:r>
            <w:r>
              <w:t>.</w:t>
            </w:r>
          </w:p>
        </w:tc>
      </w:tr>
      <w:tr w:rsidR="002D48E5" w:rsidRPr="002D48E5" w14:paraId="452E53C4" w14:textId="77777777" w:rsidTr="002D4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F6F4E1" w:themeFill="accent3" w:themeFillTint="33"/>
          </w:tcPr>
          <w:p w14:paraId="679B5820" w14:textId="5F8A309C" w:rsidR="002D48E5" w:rsidRPr="002D48E5" w:rsidRDefault="002D48E5" w:rsidP="002D48E5">
            <w:pPr>
              <w:rPr>
                <w:b w:val="0"/>
              </w:rPr>
            </w:pPr>
            <w:r w:rsidRPr="002D48E5">
              <w:rPr>
                <w:b w:val="0"/>
              </w:rPr>
              <w:lastRenderedPageBreak/>
              <w:t xml:space="preserve">Existing, or newly developed, triggers and targets </w:t>
            </w:r>
          </w:p>
        </w:tc>
        <w:tc>
          <w:tcPr>
            <w:tcW w:w="4621" w:type="dxa"/>
          </w:tcPr>
          <w:p w14:paraId="4D90C04E" w14:textId="6EBBE58E" w:rsidR="002D48E5" w:rsidRPr="002D48E5" w:rsidRDefault="002D48E5" w:rsidP="00230FDF">
            <w:pPr>
              <w:cnfStyle w:val="000000100000" w:firstRow="0" w:lastRow="0" w:firstColumn="0" w:lastColumn="0" w:oddVBand="0" w:evenVBand="0" w:oddHBand="1" w:evenHBand="0" w:firstRowFirstColumn="0" w:firstRowLastColumn="0" w:lastRowFirstColumn="0" w:lastRowLastColumn="0"/>
            </w:pPr>
            <w:r>
              <w:t xml:space="preserve">Assess against existing Limits of Acceptable Change as specified in </w:t>
            </w:r>
            <w:r>
              <w:fldChar w:fldCharType="begin"/>
            </w:r>
            <w:r>
              <w:instrText xml:space="preserve"> REF _Ref486363429 \h </w:instrText>
            </w:r>
            <w:r>
              <w:fldChar w:fldCharType="separate"/>
            </w:r>
            <w:r w:rsidRPr="009B6364">
              <w:t xml:space="preserve">Table B </w:t>
            </w:r>
            <w:r>
              <w:rPr>
                <w:noProof/>
              </w:rPr>
              <w:t>1</w:t>
            </w:r>
            <w:r>
              <w:fldChar w:fldCharType="end"/>
            </w:r>
            <w:r>
              <w:t>.</w:t>
            </w:r>
          </w:p>
        </w:tc>
      </w:tr>
      <w:tr w:rsidR="002D48E5" w:rsidRPr="002D48E5" w14:paraId="3E561E4C" w14:textId="77777777" w:rsidTr="002D48E5">
        <w:tc>
          <w:tcPr>
            <w:cnfStyle w:val="001000000000" w:firstRow="0" w:lastRow="0" w:firstColumn="1" w:lastColumn="0" w:oddVBand="0" w:evenVBand="0" w:oddHBand="0" w:evenHBand="0" w:firstRowFirstColumn="0" w:firstRowLastColumn="0" w:lastRowFirstColumn="0" w:lastRowLastColumn="0"/>
            <w:tcW w:w="4621" w:type="dxa"/>
            <w:shd w:val="clear" w:color="auto" w:fill="F6F4E1" w:themeFill="accent3" w:themeFillTint="33"/>
          </w:tcPr>
          <w:p w14:paraId="6152D6CF" w14:textId="10169D84" w:rsidR="002D48E5" w:rsidRPr="002D48E5" w:rsidRDefault="002D48E5" w:rsidP="00230FDF">
            <w:pPr>
              <w:rPr>
                <w:b w:val="0"/>
              </w:rPr>
            </w:pPr>
            <w:r w:rsidRPr="002D48E5">
              <w:rPr>
                <w:b w:val="0"/>
              </w:rPr>
              <w:t>Statement of purpose for IECA (how it relates to management context)</w:t>
            </w:r>
          </w:p>
        </w:tc>
        <w:tc>
          <w:tcPr>
            <w:tcW w:w="4621" w:type="dxa"/>
          </w:tcPr>
          <w:p w14:paraId="4207BFCE" w14:textId="6067E8DF" w:rsidR="002D48E5" w:rsidRPr="002D48E5" w:rsidRDefault="002D48E5" w:rsidP="00230FDF">
            <w:pPr>
              <w:cnfStyle w:val="000000000000" w:firstRow="0" w:lastRow="0" w:firstColumn="0" w:lastColumn="0" w:oddVBand="0" w:evenVBand="0" w:oddHBand="0" w:evenHBand="0" w:firstRowFirstColumn="0" w:firstRowLastColumn="0" w:lastRowFirstColumn="0" w:lastRowLastColumn="0"/>
            </w:pPr>
            <w:r>
              <w:t>To assess condition status as of 2016, using data from 2012-2016 where available</w:t>
            </w:r>
            <w:r w:rsidR="00230FDF">
              <w:t>,</w:t>
            </w:r>
            <w:r>
              <w:t xml:space="preserve"> for a sub-set of critical components, processes and services. </w:t>
            </w:r>
          </w:p>
        </w:tc>
      </w:tr>
      <w:tr w:rsidR="002D48E5" w:rsidRPr="002D48E5" w14:paraId="3280E514" w14:textId="77777777" w:rsidTr="002D4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F6F4E1" w:themeFill="accent3" w:themeFillTint="33"/>
          </w:tcPr>
          <w:p w14:paraId="08D528FF" w14:textId="1CF0F23F" w:rsidR="002D48E5" w:rsidRPr="002D48E5" w:rsidRDefault="002D48E5" w:rsidP="00230FDF">
            <w:pPr>
              <w:rPr>
                <w:b w:val="0"/>
              </w:rPr>
            </w:pPr>
            <w:r w:rsidRPr="002D48E5">
              <w:rPr>
                <w:b w:val="0"/>
              </w:rPr>
              <w:t>Spatial boundary description in plain English and GIS spatial layer</w:t>
            </w:r>
          </w:p>
        </w:tc>
        <w:tc>
          <w:tcPr>
            <w:tcW w:w="4621" w:type="dxa"/>
          </w:tcPr>
          <w:p w14:paraId="74927AE0" w14:textId="79FECD39" w:rsidR="002D48E5" w:rsidRPr="002D48E5" w:rsidRDefault="002D48E5" w:rsidP="00230FDF">
            <w:pPr>
              <w:cnfStyle w:val="000000100000" w:firstRow="0" w:lastRow="0" w:firstColumn="0" w:lastColumn="0" w:oddVBand="0" w:evenVBand="0" w:oddHBand="1" w:evenHBand="0" w:firstRowFirstColumn="0" w:firstRowLastColumn="0" w:lastRowFirstColumn="0" w:lastRowLastColumn="0"/>
            </w:pPr>
            <w:r>
              <w:t xml:space="preserve">Ramsar site boundary as per </w:t>
            </w:r>
            <w:r>
              <w:fldChar w:fldCharType="begin"/>
            </w:r>
            <w:r>
              <w:instrText xml:space="preserve"> REF _Ref486363552 \h </w:instrText>
            </w:r>
            <w:r>
              <w:fldChar w:fldCharType="separate"/>
            </w:r>
            <w:r w:rsidRPr="009B6364">
              <w:t xml:space="preserve">Figure B </w:t>
            </w:r>
            <w:r>
              <w:rPr>
                <w:noProof/>
              </w:rPr>
              <w:t>1</w:t>
            </w:r>
            <w:r>
              <w:fldChar w:fldCharType="end"/>
            </w:r>
            <w:r>
              <w:t>.</w:t>
            </w:r>
          </w:p>
        </w:tc>
      </w:tr>
      <w:tr w:rsidR="002D48E5" w:rsidRPr="002D48E5" w14:paraId="37B5FB70" w14:textId="77777777" w:rsidTr="002D48E5">
        <w:tc>
          <w:tcPr>
            <w:cnfStyle w:val="001000000000" w:firstRow="0" w:lastRow="0" w:firstColumn="1" w:lastColumn="0" w:oddVBand="0" w:evenVBand="0" w:oddHBand="0" w:evenHBand="0" w:firstRowFirstColumn="0" w:firstRowLastColumn="0" w:lastRowFirstColumn="0" w:lastRowLastColumn="0"/>
            <w:tcW w:w="4621" w:type="dxa"/>
            <w:shd w:val="clear" w:color="auto" w:fill="F6F4E1" w:themeFill="accent3" w:themeFillTint="33"/>
          </w:tcPr>
          <w:p w14:paraId="15E0F3EE" w14:textId="21B5F035" w:rsidR="002D48E5" w:rsidRPr="002D48E5" w:rsidRDefault="002D48E5" w:rsidP="00230FDF">
            <w:pPr>
              <w:rPr>
                <w:b w:val="0"/>
              </w:rPr>
            </w:pPr>
            <w:r w:rsidRPr="002D48E5">
              <w:rPr>
                <w:b w:val="0"/>
              </w:rPr>
              <w:t>Classification and map of aquatic ecosystems within the assessment unit using ANAE Classification and typology</w:t>
            </w:r>
          </w:p>
        </w:tc>
        <w:tc>
          <w:tcPr>
            <w:tcW w:w="4621" w:type="dxa"/>
          </w:tcPr>
          <w:p w14:paraId="71FAA5C2" w14:textId="578C899D" w:rsidR="002D48E5" w:rsidRPr="002D48E5" w:rsidRDefault="002D48E5" w:rsidP="00230FDF">
            <w:pPr>
              <w:cnfStyle w:val="000000000000" w:firstRow="0" w:lastRow="0" w:firstColumn="0" w:lastColumn="0" w:oddVBand="0" w:evenVBand="0" w:oddHBand="0" w:evenHBand="0" w:firstRowFirstColumn="0" w:firstRowLastColumn="0" w:lastRowFirstColumn="0" w:lastRowLastColumn="0"/>
            </w:pPr>
            <w:r>
              <w:t xml:space="preserve">Knowledge gap – in a full assessment this would need to be addressed. Possible </w:t>
            </w:r>
            <w:r w:rsidR="009779E7">
              <w:t xml:space="preserve">ANAE types are provided in </w:t>
            </w:r>
          </w:p>
        </w:tc>
      </w:tr>
      <w:tr w:rsidR="002D48E5" w:rsidRPr="002D48E5" w14:paraId="53813196" w14:textId="77777777" w:rsidTr="002D4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F6F4E1" w:themeFill="accent3" w:themeFillTint="33"/>
          </w:tcPr>
          <w:p w14:paraId="5B7BCA2F" w14:textId="4C25A078" w:rsidR="002D48E5" w:rsidRPr="002D48E5" w:rsidRDefault="002D48E5" w:rsidP="00230FDF">
            <w:pPr>
              <w:rPr>
                <w:b w:val="0"/>
              </w:rPr>
            </w:pPr>
            <w:r w:rsidRPr="002D48E5">
              <w:rPr>
                <w:b w:val="0"/>
              </w:rPr>
              <w:t>Existing conceptual models relating to the assessment unit</w:t>
            </w:r>
          </w:p>
        </w:tc>
        <w:tc>
          <w:tcPr>
            <w:tcW w:w="4621" w:type="dxa"/>
          </w:tcPr>
          <w:p w14:paraId="37084664" w14:textId="49497C97" w:rsidR="002D48E5" w:rsidRPr="002D48E5" w:rsidRDefault="009779E7" w:rsidP="00C55C74">
            <w:pPr>
              <w:cnfStyle w:val="000000100000" w:firstRow="0" w:lastRow="0" w:firstColumn="0" w:lastColumn="0" w:oddVBand="0" w:evenVBand="0" w:oddHBand="1" w:evenHBand="0" w:firstRowFirstColumn="0" w:firstRowLastColumn="0" w:lastRowFirstColumn="0" w:lastRowLastColumn="0"/>
            </w:pPr>
            <w:r>
              <w:t xml:space="preserve">Updated conceptual model </w:t>
            </w:r>
            <w:r w:rsidR="00C55C74">
              <w:t>including relationship between ecological values (critical CPS) and Ramsar listing criteria (</w:t>
            </w:r>
            <w:r w:rsidR="00C55C74">
              <w:fldChar w:fldCharType="begin"/>
            </w:r>
            <w:r w:rsidR="00C55C74">
              <w:instrText xml:space="preserve"> REF _Ref486365824 \h </w:instrText>
            </w:r>
            <w:r w:rsidR="00C55C74">
              <w:fldChar w:fldCharType="separate"/>
            </w:r>
            <w:r w:rsidR="00C55C74">
              <w:t xml:space="preserve">Figure B </w:t>
            </w:r>
            <w:r w:rsidR="00C55C74">
              <w:rPr>
                <w:noProof/>
              </w:rPr>
              <w:t>3</w:t>
            </w:r>
            <w:r w:rsidR="00C55C74">
              <w:fldChar w:fldCharType="end"/>
            </w:r>
            <w:r w:rsidR="00C55C74">
              <w:t>).</w:t>
            </w:r>
          </w:p>
        </w:tc>
      </w:tr>
      <w:tr w:rsidR="002D48E5" w:rsidRPr="002D48E5" w14:paraId="76787627" w14:textId="77777777" w:rsidTr="002D48E5">
        <w:tc>
          <w:tcPr>
            <w:cnfStyle w:val="001000000000" w:firstRow="0" w:lastRow="0" w:firstColumn="1" w:lastColumn="0" w:oddVBand="0" w:evenVBand="0" w:oddHBand="0" w:evenHBand="0" w:firstRowFirstColumn="0" w:firstRowLastColumn="0" w:lastRowFirstColumn="0" w:lastRowLastColumn="0"/>
            <w:tcW w:w="4621" w:type="dxa"/>
            <w:shd w:val="clear" w:color="auto" w:fill="F6F4E1" w:themeFill="accent3" w:themeFillTint="33"/>
          </w:tcPr>
          <w:p w14:paraId="1E58175E" w14:textId="7CF79561" w:rsidR="002D48E5" w:rsidRPr="002D48E5" w:rsidRDefault="002D48E5" w:rsidP="00230FDF">
            <w:pPr>
              <w:rPr>
                <w:b w:val="0"/>
              </w:rPr>
            </w:pPr>
            <w:r w:rsidRPr="002D48E5">
              <w:rPr>
                <w:b w:val="0"/>
              </w:rPr>
              <w:t>Statement of spatial and temporal scale of assessment (may be included in objectives)</w:t>
            </w:r>
          </w:p>
        </w:tc>
        <w:tc>
          <w:tcPr>
            <w:tcW w:w="4621" w:type="dxa"/>
          </w:tcPr>
          <w:p w14:paraId="3004D0D6" w14:textId="13A89798" w:rsidR="009779E7" w:rsidRDefault="009779E7" w:rsidP="009779E7">
            <w:pPr>
              <w:cnfStyle w:val="000000000000" w:firstRow="0" w:lastRow="0" w:firstColumn="0" w:lastColumn="0" w:oddVBand="0" w:evenVBand="0" w:oddHBand="0" w:evenHBand="0" w:firstRowFirstColumn="0" w:firstRowLastColumn="0" w:lastRowFirstColumn="0" w:lastRowLastColumn="0"/>
            </w:pPr>
            <w:r>
              <w:t xml:space="preserve">Assessment spatial scale – ecosystem type (mainly the Peel-Harvey Estuary). </w:t>
            </w:r>
          </w:p>
          <w:p w14:paraId="34853CC1" w14:textId="45CC5146" w:rsidR="002D48E5" w:rsidRPr="002D48E5" w:rsidRDefault="009779E7" w:rsidP="009779E7">
            <w:pPr>
              <w:cnfStyle w:val="000000000000" w:firstRow="0" w:lastRow="0" w:firstColumn="0" w:lastColumn="0" w:oddVBand="0" w:evenVBand="0" w:oddHBand="0" w:evenHBand="0" w:firstRowFirstColumn="0" w:firstRowLastColumn="0" w:lastRowFirstColumn="0" w:lastRowLastColumn="0"/>
            </w:pPr>
            <w:r>
              <w:t>Temporal scale: 2012-2016.</w:t>
            </w:r>
          </w:p>
        </w:tc>
      </w:tr>
      <w:tr w:rsidR="002D48E5" w:rsidRPr="002D48E5" w14:paraId="551B9DCF" w14:textId="77777777" w:rsidTr="002D4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F6F4E1" w:themeFill="accent3" w:themeFillTint="33"/>
          </w:tcPr>
          <w:p w14:paraId="4D155A02" w14:textId="1CC0F005" w:rsidR="002D48E5" w:rsidRPr="002D48E5" w:rsidRDefault="002D48E5" w:rsidP="00230FDF">
            <w:pPr>
              <w:rPr>
                <w:b w:val="0"/>
              </w:rPr>
            </w:pPr>
            <w:r w:rsidRPr="002D48E5">
              <w:rPr>
                <w:b w:val="0"/>
              </w:rPr>
              <w:t>A stakeholder engagement process, including establishment of a TAG/oversight body</w:t>
            </w:r>
          </w:p>
        </w:tc>
        <w:tc>
          <w:tcPr>
            <w:tcW w:w="4621" w:type="dxa"/>
          </w:tcPr>
          <w:p w14:paraId="472AEEE5" w14:textId="16162B82" w:rsidR="002D48E5" w:rsidRPr="002D48E5" w:rsidRDefault="009779E7" w:rsidP="00230FDF">
            <w:pPr>
              <w:cnfStyle w:val="000000100000" w:firstRow="0" w:lastRow="0" w:firstColumn="0" w:lastColumn="0" w:oddVBand="0" w:evenVBand="0" w:oddHBand="1" w:evenHBand="0" w:firstRowFirstColumn="0" w:firstRowLastColumn="0" w:lastRowFirstColumn="0" w:lastRowLastColumn="0"/>
            </w:pPr>
            <w:r>
              <w:t xml:space="preserve">Utilise existing </w:t>
            </w:r>
            <w:r w:rsidRPr="009779E7">
              <w:t>Peel-Yalgorup System Ramsar TAG</w:t>
            </w:r>
            <w:r>
              <w:t>.</w:t>
            </w:r>
          </w:p>
        </w:tc>
      </w:tr>
      <w:tr w:rsidR="002D48E5" w:rsidRPr="002D48E5" w14:paraId="4474AC6F" w14:textId="77777777" w:rsidTr="002D48E5">
        <w:tc>
          <w:tcPr>
            <w:cnfStyle w:val="001000000000" w:firstRow="0" w:lastRow="0" w:firstColumn="1" w:lastColumn="0" w:oddVBand="0" w:evenVBand="0" w:oddHBand="0" w:evenHBand="0" w:firstRowFirstColumn="0" w:firstRowLastColumn="0" w:lastRowFirstColumn="0" w:lastRowLastColumn="0"/>
            <w:tcW w:w="4621" w:type="dxa"/>
            <w:shd w:val="clear" w:color="auto" w:fill="F6F4E1" w:themeFill="accent3" w:themeFillTint="33"/>
          </w:tcPr>
          <w:p w14:paraId="107E6597" w14:textId="52C41BD8" w:rsidR="002D48E5" w:rsidRPr="002D48E5" w:rsidRDefault="002D48E5" w:rsidP="002D48E5">
            <w:pPr>
              <w:rPr>
                <w:b w:val="0"/>
              </w:rPr>
            </w:pPr>
            <w:r w:rsidRPr="002D48E5">
              <w:rPr>
                <w:b w:val="0"/>
              </w:rPr>
              <w:t>Engagement of expert input, as needed</w:t>
            </w:r>
            <w:r w:rsidR="009779E7">
              <w:rPr>
                <w:b w:val="0"/>
              </w:rPr>
              <w:t>.</w:t>
            </w:r>
          </w:p>
          <w:p w14:paraId="214C280A" w14:textId="4A8808BF" w:rsidR="002D48E5" w:rsidRPr="002D48E5" w:rsidRDefault="002D48E5" w:rsidP="002D48E5">
            <w:pPr>
              <w:rPr>
                <w:b w:val="0"/>
              </w:rPr>
            </w:pPr>
          </w:p>
        </w:tc>
        <w:tc>
          <w:tcPr>
            <w:tcW w:w="4621" w:type="dxa"/>
          </w:tcPr>
          <w:p w14:paraId="01A8D15E" w14:textId="4C23BB00" w:rsidR="002D48E5" w:rsidRPr="002D48E5" w:rsidRDefault="009779E7" w:rsidP="009779E7">
            <w:pPr>
              <w:cnfStyle w:val="000000000000" w:firstRow="0" w:lastRow="0" w:firstColumn="0" w:lastColumn="0" w:oddVBand="0" w:evenVBand="0" w:oddHBand="0" w:evenHBand="0" w:firstRowFirstColumn="0" w:firstRowLastColumn="0" w:lastRowFirstColumn="0" w:lastRowLastColumn="0"/>
            </w:pPr>
            <w:r>
              <w:t xml:space="preserve">Broad range of expertise is found on the </w:t>
            </w:r>
            <w:r w:rsidRPr="009779E7">
              <w:t xml:space="preserve">Peel-Yalgorup System Ramsar TAG. </w:t>
            </w:r>
            <w:r>
              <w:t>Also t</w:t>
            </w:r>
            <w:r w:rsidRPr="009779E7">
              <w:t xml:space="preserve">he TAG </w:t>
            </w:r>
            <w:r>
              <w:t>regularly engages with Universities, state agencies, and other experts as required.</w:t>
            </w:r>
          </w:p>
        </w:tc>
      </w:tr>
      <w:tr w:rsidR="002D48E5" w:rsidRPr="002D48E5" w14:paraId="368EEAE1" w14:textId="77777777" w:rsidTr="002D4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F6F4E1" w:themeFill="accent3" w:themeFillTint="33"/>
          </w:tcPr>
          <w:p w14:paraId="222EFD5D" w14:textId="5FC45755" w:rsidR="002D48E5" w:rsidRPr="002D48E5" w:rsidRDefault="009779E7" w:rsidP="00230FDF">
            <w:pPr>
              <w:rPr>
                <w:b w:val="0"/>
              </w:rPr>
            </w:pPr>
            <w:r w:rsidRPr="002D48E5">
              <w:rPr>
                <w:b w:val="0"/>
              </w:rPr>
              <w:t>Identified externalities likely to affect assessment</w:t>
            </w:r>
          </w:p>
        </w:tc>
        <w:tc>
          <w:tcPr>
            <w:tcW w:w="4621" w:type="dxa"/>
          </w:tcPr>
          <w:p w14:paraId="7FBAA668" w14:textId="11C9D0B6" w:rsidR="002D48E5" w:rsidRPr="002D48E5" w:rsidRDefault="009779E7" w:rsidP="00230FDF">
            <w:pPr>
              <w:cnfStyle w:val="000000100000" w:firstRow="0" w:lastRow="0" w:firstColumn="0" w:lastColumn="0" w:oddVBand="0" w:evenVBand="0" w:oddHBand="1" w:evenHBand="0" w:firstRowFirstColumn="0" w:firstRowLastColumn="0" w:lastRowFirstColumn="0" w:lastRowLastColumn="0"/>
            </w:pPr>
            <w:r>
              <w:t>None identified for this example application.</w:t>
            </w:r>
          </w:p>
        </w:tc>
      </w:tr>
      <w:tr w:rsidR="002D48E5" w:rsidRPr="002D48E5" w14:paraId="4BBAF810" w14:textId="77777777" w:rsidTr="009779E7">
        <w:tc>
          <w:tcPr>
            <w:cnfStyle w:val="001000000000" w:firstRow="0" w:lastRow="0" w:firstColumn="1" w:lastColumn="0" w:oddVBand="0" w:evenVBand="0" w:oddHBand="0" w:evenHBand="0" w:firstRowFirstColumn="0" w:firstRowLastColumn="0" w:lastRowFirstColumn="0" w:lastRowLastColumn="0"/>
            <w:tcW w:w="4621" w:type="dxa"/>
            <w:shd w:val="clear" w:color="auto" w:fill="F6F4E1" w:themeFill="accent3" w:themeFillTint="33"/>
          </w:tcPr>
          <w:p w14:paraId="5F7BCC11" w14:textId="3F0BE3EB" w:rsidR="002D48E5" w:rsidRPr="002D48E5" w:rsidRDefault="009779E7" w:rsidP="00230FDF">
            <w:pPr>
              <w:rPr>
                <w:b w:val="0"/>
              </w:rPr>
            </w:pPr>
            <w:r w:rsidRPr="002D48E5">
              <w:rPr>
                <w:b w:val="0"/>
              </w:rPr>
              <w:t>Clearly documented assumptions that have been made in the above processes to ensure transparency in the assessment</w:t>
            </w:r>
          </w:p>
        </w:tc>
        <w:tc>
          <w:tcPr>
            <w:tcW w:w="4621" w:type="dxa"/>
          </w:tcPr>
          <w:p w14:paraId="2B508996" w14:textId="478A50A1" w:rsidR="002D48E5" w:rsidRPr="002D48E5" w:rsidRDefault="009779E7" w:rsidP="00230FDF">
            <w:pPr>
              <w:cnfStyle w:val="000000000000" w:firstRow="0" w:lastRow="0" w:firstColumn="0" w:lastColumn="0" w:oddVBand="0" w:evenVBand="0" w:oddHBand="0" w:evenHBand="0" w:firstRowFirstColumn="0" w:firstRowLastColumn="0" w:lastRowFirstColumn="0" w:lastRowLastColumn="0"/>
            </w:pPr>
            <w:r>
              <w:t xml:space="preserve">See above – main assumption is that the 2007 ECD adequately describes the ecological character of the site. </w:t>
            </w:r>
          </w:p>
        </w:tc>
      </w:tr>
    </w:tbl>
    <w:p w14:paraId="5D335D73" w14:textId="77777777" w:rsidR="00FB1FB7" w:rsidRPr="009B6364" w:rsidRDefault="00FB1FB7" w:rsidP="001B1863"/>
    <w:p w14:paraId="19467CB2" w14:textId="77777777" w:rsidR="001B1863" w:rsidRPr="009B6364" w:rsidRDefault="001B1863" w:rsidP="001B1863">
      <w:pPr>
        <w:pStyle w:val="Heading1"/>
        <w:numPr>
          <w:ilvl w:val="0"/>
          <w:numId w:val="0"/>
        </w:numPr>
      </w:pPr>
      <w:bookmarkStart w:id="144" w:name="_Toc479342239"/>
      <w:bookmarkStart w:id="145" w:name="_Toc493774246"/>
      <w:r w:rsidRPr="009B6364">
        <w:t>Part B: Workflow</w:t>
      </w:r>
      <w:bookmarkEnd w:id="144"/>
      <w:bookmarkEnd w:id="145"/>
    </w:p>
    <w:p w14:paraId="402A6805" w14:textId="77777777" w:rsidR="001B1863" w:rsidRPr="009B6364" w:rsidRDefault="001B1863" w:rsidP="001B1863">
      <w:pPr>
        <w:pStyle w:val="Heading2"/>
        <w:numPr>
          <w:ilvl w:val="0"/>
          <w:numId w:val="0"/>
        </w:numPr>
      </w:pPr>
      <w:bookmarkStart w:id="146" w:name="_Toc479342240"/>
      <w:bookmarkStart w:id="147" w:name="_Toc493774247"/>
      <w:r w:rsidRPr="009B6364">
        <w:t>Step 1</w:t>
      </w:r>
      <w:bookmarkEnd w:id="146"/>
      <w:r w:rsidRPr="009B6364">
        <w:t>: Identify and prioritise values</w:t>
      </w:r>
      <w:bookmarkEnd w:id="147"/>
    </w:p>
    <w:p w14:paraId="35E559DD" w14:textId="704B64F0" w:rsidR="001B1863" w:rsidRDefault="001B1863" w:rsidP="001B1863">
      <w:r w:rsidRPr="009B6364">
        <w:t xml:space="preserve">The </w:t>
      </w:r>
      <w:r w:rsidR="000C410F">
        <w:t>ECD</w:t>
      </w:r>
      <w:r w:rsidRPr="009B6364">
        <w:t xml:space="preserve"> and </w:t>
      </w:r>
      <w:r w:rsidR="000C410F">
        <w:t>M</w:t>
      </w:r>
      <w:r w:rsidRPr="009B6364">
        <w:t xml:space="preserve">anagement </w:t>
      </w:r>
      <w:r w:rsidR="000C410F">
        <w:t>P</w:t>
      </w:r>
      <w:r w:rsidRPr="009B6364">
        <w:t xml:space="preserve">lan for the Peel-Yalgorup Ramsar site list a large number of </w:t>
      </w:r>
      <w:r w:rsidR="0004476C" w:rsidRPr="009B6364">
        <w:t>values</w:t>
      </w:r>
      <w:r w:rsidR="0004476C">
        <w:t xml:space="preserve">. </w:t>
      </w:r>
      <w:r w:rsidRPr="009B6364">
        <w:t>As an example, the values of the Peel-Harvey Estuary portion of the site are listed</w:t>
      </w:r>
      <w:r w:rsidR="0051679D">
        <w:t>, as identified in the ecological character description and management plan</w:t>
      </w:r>
      <w:r w:rsidRPr="009B6364">
        <w:t xml:space="preserve"> according to the IECA themes in </w:t>
      </w:r>
      <w:r w:rsidR="003E5078">
        <w:fldChar w:fldCharType="begin"/>
      </w:r>
      <w:r w:rsidR="003E5078">
        <w:instrText xml:space="preserve"> REF _Ref484514470 \h </w:instrText>
      </w:r>
      <w:r w:rsidR="003E5078">
        <w:fldChar w:fldCharType="separate"/>
      </w:r>
      <w:r w:rsidR="005F359C" w:rsidRPr="009B6364">
        <w:t xml:space="preserve">Table B </w:t>
      </w:r>
      <w:r w:rsidR="005F359C">
        <w:rPr>
          <w:noProof/>
        </w:rPr>
        <w:t>2</w:t>
      </w:r>
      <w:r w:rsidR="003E5078">
        <w:fldChar w:fldCharType="end"/>
      </w:r>
      <w:r w:rsidRPr="009B6364">
        <w:t>.</w:t>
      </w:r>
      <w:r w:rsidR="00B0013B">
        <w:t xml:space="preserve"> </w:t>
      </w:r>
    </w:p>
    <w:p w14:paraId="3AB54927" w14:textId="569FA1D8" w:rsidR="001B1863" w:rsidRPr="009B6364" w:rsidRDefault="001B1863" w:rsidP="001B1863">
      <w:pPr>
        <w:pStyle w:val="Caption"/>
        <w:keepNext/>
      </w:pPr>
      <w:bookmarkStart w:id="148" w:name="_Ref484514470"/>
      <w:r w:rsidRPr="009B6364">
        <w:t xml:space="preserve">Table B </w:t>
      </w:r>
      <w:fldSimple w:instr=" SEQ Table_B \* ARABIC ">
        <w:r w:rsidR="00FD50A9">
          <w:rPr>
            <w:noProof/>
          </w:rPr>
          <w:t>4</w:t>
        </w:r>
      </w:fldSimple>
      <w:bookmarkEnd w:id="148"/>
      <w:r w:rsidR="003E5078">
        <w:t>:</w:t>
      </w:r>
      <w:r w:rsidRPr="009B6364">
        <w:t xml:space="preserve"> Values associated with the Peel-Harvey Estuary portion of the Ramsar site (Hale and Butcher 2007). </w:t>
      </w:r>
    </w:p>
    <w:tbl>
      <w:tblPr>
        <w:tblW w:w="4942" w:type="pct"/>
        <w:tblInd w:w="108" w:type="dxa"/>
        <w:tblBorders>
          <w:top w:val="single" w:sz="8" w:space="0" w:color="9CBEBD"/>
          <w:left w:val="single" w:sz="8" w:space="0" w:color="9CBEBD"/>
          <w:bottom w:val="single" w:sz="8" w:space="0" w:color="9CBEBD"/>
          <w:right w:val="single" w:sz="8" w:space="0" w:color="9CBEBD"/>
          <w:insideH w:val="single" w:sz="8" w:space="0" w:color="9CBEBD"/>
          <w:insideV w:val="single" w:sz="8" w:space="0" w:color="9CBEBD"/>
        </w:tblBorders>
        <w:tblLayout w:type="fixed"/>
        <w:tblLook w:val="04A0" w:firstRow="1" w:lastRow="0" w:firstColumn="1" w:lastColumn="0" w:noHBand="0" w:noVBand="1"/>
      </w:tblPr>
      <w:tblGrid>
        <w:gridCol w:w="1243"/>
        <w:gridCol w:w="4702"/>
        <w:gridCol w:w="2957"/>
      </w:tblGrid>
      <w:tr w:rsidR="001B1863" w:rsidRPr="009B6364" w14:paraId="55138F44" w14:textId="77777777" w:rsidTr="00554832">
        <w:trPr>
          <w:cantSplit/>
          <w:trHeight w:val="430"/>
          <w:tblHeader/>
        </w:trPr>
        <w:tc>
          <w:tcPr>
            <w:tcW w:w="698" w:type="pct"/>
            <w:shd w:val="clear" w:color="auto" w:fill="9CBEBD"/>
          </w:tcPr>
          <w:p w14:paraId="57C43D26" w14:textId="77777777" w:rsidR="001B1863" w:rsidRPr="009B6364" w:rsidRDefault="001B1863" w:rsidP="00554832">
            <w:pPr>
              <w:rPr>
                <w:rFonts w:eastAsia="Times New Roman" w:cs="Calibri"/>
                <w:b/>
                <w:color w:val="FFFFFF"/>
                <w:sz w:val="18"/>
                <w:szCs w:val="18"/>
              </w:rPr>
            </w:pPr>
            <w:r w:rsidRPr="009B6364">
              <w:rPr>
                <w:rFonts w:eastAsia="Times New Roman" w:cs="Calibri"/>
                <w:b/>
                <w:color w:val="FFFFFF"/>
                <w:sz w:val="18"/>
                <w:szCs w:val="18"/>
              </w:rPr>
              <w:t>IECA Theme</w:t>
            </w:r>
          </w:p>
        </w:tc>
        <w:tc>
          <w:tcPr>
            <w:tcW w:w="2641" w:type="pct"/>
            <w:shd w:val="clear" w:color="auto" w:fill="9CBEBD"/>
          </w:tcPr>
          <w:p w14:paraId="1E6ACECC" w14:textId="77777777" w:rsidR="001B1863" w:rsidRPr="009B6364" w:rsidRDefault="001B1863" w:rsidP="00554832">
            <w:pPr>
              <w:rPr>
                <w:rFonts w:eastAsia="Times New Roman" w:cs="Calibri"/>
                <w:b/>
                <w:color w:val="FFFFFF"/>
                <w:sz w:val="18"/>
                <w:szCs w:val="18"/>
              </w:rPr>
            </w:pPr>
            <w:r w:rsidRPr="009B6364">
              <w:rPr>
                <w:rFonts w:eastAsia="Times New Roman" w:cs="Calibri"/>
                <w:b/>
                <w:color w:val="FFFFFF"/>
                <w:sz w:val="18"/>
                <w:szCs w:val="18"/>
              </w:rPr>
              <w:t>Peel-Harvey Value</w:t>
            </w:r>
          </w:p>
        </w:tc>
        <w:tc>
          <w:tcPr>
            <w:tcW w:w="1661" w:type="pct"/>
            <w:shd w:val="clear" w:color="auto" w:fill="9CBEBD"/>
          </w:tcPr>
          <w:p w14:paraId="028C227C" w14:textId="77777777" w:rsidR="001B1863" w:rsidRPr="009B6364" w:rsidRDefault="001B1863" w:rsidP="00554832">
            <w:pPr>
              <w:rPr>
                <w:rFonts w:eastAsia="Times New Roman" w:cs="Calibri"/>
                <w:b/>
                <w:color w:val="FFFFFF"/>
                <w:sz w:val="18"/>
                <w:szCs w:val="18"/>
              </w:rPr>
            </w:pPr>
            <w:r w:rsidRPr="009B6364">
              <w:rPr>
                <w:rFonts w:eastAsia="Times New Roman" w:cs="Calibri"/>
                <w:b/>
                <w:color w:val="FFFFFF"/>
                <w:sz w:val="18"/>
                <w:szCs w:val="18"/>
              </w:rPr>
              <w:t>Components, processes, functions and services</w:t>
            </w:r>
          </w:p>
        </w:tc>
      </w:tr>
      <w:tr w:rsidR="001B1863" w:rsidRPr="009B6364" w14:paraId="3678AEB3" w14:textId="77777777" w:rsidTr="00554832">
        <w:trPr>
          <w:cantSplit/>
        </w:trPr>
        <w:tc>
          <w:tcPr>
            <w:tcW w:w="698" w:type="pct"/>
            <w:vMerge w:val="restart"/>
          </w:tcPr>
          <w:p w14:paraId="6A6C0197" w14:textId="77777777" w:rsidR="001B1863" w:rsidRPr="009B6364" w:rsidRDefault="001B1863" w:rsidP="00554832">
            <w:pPr>
              <w:rPr>
                <w:rFonts w:eastAsia="Times New Roman" w:cs="Calibri"/>
                <w:sz w:val="18"/>
                <w:szCs w:val="18"/>
              </w:rPr>
            </w:pPr>
            <w:r w:rsidRPr="009B6364">
              <w:rPr>
                <w:rFonts w:eastAsia="Times New Roman" w:cs="Calibri"/>
                <w:sz w:val="18"/>
                <w:szCs w:val="18"/>
              </w:rPr>
              <w:t xml:space="preserve">Hydrology </w:t>
            </w:r>
          </w:p>
        </w:tc>
        <w:tc>
          <w:tcPr>
            <w:tcW w:w="2641" w:type="pct"/>
          </w:tcPr>
          <w:p w14:paraId="4C85DF30" w14:textId="77777777" w:rsidR="001B1863" w:rsidRPr="009B6364" w:rsidRDefault="001B1863" w:rsidP="00554832">
            <w:pPr>
              <w:rPr>
                <w:rFonts w:eastAsia="Times New Roman" w:cs="Calibri"/>
                <w:sz w:val="18"/>
                <w:szCs w:val="18"/>
              </w:rPr>
            </w:pPr>
            <w:r w:rsidRPr="009B6364">
              <w:rPr>
                <w:rFonts w:eastAsia="Times New Roman" w:cs="Calibri"/>
                <w:sz w:val="18"/>
                <w:szCs w:val="18"/>
              </w:rPr>
              <w:t>Tidal exchange through the Dawesville Channel maintains water quality and habitat within the system</w:t>
            </w:r>
          </w:p>
        </w:tc>
        <w:tc>
          <w:tcPr>
            <w:tcW w:w="1661" w:type="pct"/>
          </w:tcPr>
          <w:p w14:paraId="46D00C67" w14:textId="77777777" w:rsidR="001B1863" w:rsidRPr="009B6364" w:rsidRDefault="001B1863" w:rsidP="00554832">
            <w:pPr>
              <w:rPr>
                <w:rFonts w:eastAsia="Times New Roman" w:cs="Calibri"/>
                <w:sz w:val="18"/>
                <w:szCs w:val="18"/>
              </w:rPr>
            </w:pPr>
            <w:r w:rsidRPr="009B6364">
              <w:rPr>
                <w:rFonts w:eastAsia="Times New Roman" w:cs="Calibri"/>
                <w:sz w:val="18"/>
                <w:szCs w:val="18"/>
              </w:rPr>
              <w:t>Process: tidal exchange</w:t>
            </w:r>
          </w:p>
        </w:tc>
      </w:tr>
      <w:tr w:rsidR="001B1863" w:rsidRPr="009B6364" w14:paraId="5FBAC813" w14:textId="77777777" w:rsidTr="00554832">
        <w:trPr>
          <w:cantSplit/>
        </w:trPr>
        <w:tc>
          <w:tcPr>
            <w:tcW w:w="698" w:type="pct"/>
            <w:vMerge/>
          </w:tcPr>
          <w:p w14:paraId="4ED2D65A" w14:textId="77777777" w:rsidR="001B1863" w:rsidRPr="009B6364" w:rsidRDefault="001B1863" w:rsidP="00554832">
            <w:pPr>
              <w:rPr>
                <w:rFonts w:eastAsia="Times New Roman" w:cs="Calibri"/>
                <w:sz w:val="18"/>
                <w:szCs w:val="18"/>
              </w:rPr>
            </w:pPr>
          </w:p>
        </w:tc>
        <w:tc>
          <w:tcPr>
            <w:tcW w:w="2641" w:type="pct"/>
          </w:tcPr>
          <w:p w14:paraId="097625EC" w14:textId="77777777" w:rsidR="001B1863" w:rsidRPr="009B6364" w:rsidRDefault="001B1863" w:rsidP="00554832">
            <w:pPr>
              <w:rPr>
                <w:rFonts w:eastAsia="Times New Roman" w:cs="Calibri"/>
                <w:spacing w:val="1"/>
                <w:sz w:val="18"/>
                <w:szCs w:val="18"/>
              </w:rPr>
            </w:pPr>
            <w:r w:rsidRPr="009B6364">
              <w:rPr>
                <w:rFonts w:eastAsia="Times New Roman" w:cs="Calibri"/>
                <w:spacing w:val="1"/>
                <w:sz w:val="18"/>
                <w:szCs w:val="18"/>
              </w:rPr>
              <w:t>Seasonal surface water inflows moderate marine water salinities and bring nutrients from the catchment stimulating productivity.</w:t>
            </w:r>
          </w:p>
        </w:tc>
        <w:tc>
          <w:tcPr>
            <w:tcW w:w="1661" w:type="pct"/>
          </w:tcPr>
          <w:p w14:paraId="14997F71" w14:textId="77777777" w:rsidR="001B1863" w:rsidRPr="009B6364" w:rsidRDefault="001B1863" w:rsidP="00554832">
            <w:pPr>
              <w:rPr>
                <w:rFonts w:eastAsia="Times New Roman" w:cs="Calibri"/>
                <w:spacing w:val="1"/>
                <w:sz w:val="18"/>
                <w:szCs w:val="18"/>
              </w:rPr>
            </w:pPr>
            <w:r w:rsidRPr="009B6364">
              <w:rPr>
                <w:rFonts w:eastAsia="Times New Roman" w:cs="Calibri"/>
                <w:spacing w:val="1"/>
                <w:sz w:val="18"/>
                <w:szCs w:val="18"/>
              </w:rPr>
              <w:t>Processes: seasonal freshwater inflows, primary production</w:t>
            </w:r>
          </w:p>
        </w:tc>
      </w:tr>
      <w:tr w:rsidR="00583019" w:rsidRPr="009B6364" w14:paraId="1C26E062" w14:textId="77777777" w:rsidTr="00554832">
        <w:trPr>
          <w:cantSplit/>
        </w:trPr>
        <w:tc>
          <w:tcPr>
            <w:tcW w:w="698" w:type="pct"/>
          </w:tcPr>
          <w:p w14:paraId="7801AEC6" w14:textId="1A7ACA7F" w:rsidR="00583019" w:rsidRPr="009B6364" w:rsidRDefault="00583019" w:rsidP="00554832">
            <w:pPr>
              <w:rPr>
                <w:rFonts w:eastAsia="Times New Roman" w:cs="Calibri"/>
                <w:sz w:val="18"/>
                <w:szCs w:val="18"/>
              </w:rPr>
            </w:pPr>
            <w:r>
              <w:rPr>
                <w:rFonts w:eastAsia="Times New Roman" w:cs="Calibri"/>
                <w:sz w:val="18"/>
                <w:szCs w:val="18"/>
              </w:rPr>
              <w:lastRenderedPageBreak/>
              <w:t>Water quality</w:t>
            </w:r>
          </w:p>
        </w:tc>
        <w:tc>
          <w:tcPr>
            <w:tcW w:w="2641" w:type="pct"/>
          </w:tcPr>
          <w:p w14:paraId="739ACE59" w14:textId="0A411CA9" w:rsidR="00583019" w:rsidRPr="009B6364" w:rsidRDefault="00583019" w:rsidP="00DC6A1F">
            <w:pPr>
              <w:rPr>
                <w:rFonts w:eastAsia="Times New Roman" w:cs="Calibri"/>
                <w:spacing w:val="1"/>
                <w:sz w:val="18"/>
                <w:szCs w:val="18"/>
              </w:rPr>
            </w:pPr>
            <w:r w:rsidRPr="009B6364">
              <w:rPr>
                <w:rFonts w:eastAsia="Times New Roman" w:cs="Calibri"/>
                <w:spacing w:val="1"/>
                <w:sz w:val="18"/>
                <w:szCs w:val="18"/>
              </w:rPr>
              <w:t>Water quality: seasonal fluctuations in salinity reflecting the balance between freshwater inflows and marine waters. Nutrients enter through the freshwater rivers</w:t>
            </w:r>
            <w:r w:rsidR="00DC6A1F">
              <w:rPr>
                <w:rFonts w:eastAsia="Times New Roman" w:cs="Calibri"/>
                <w:spacing w:val="1"/>
                <w:sz w:val="18"/>
                <w:szCs w:val="18"/>
              </w:rPr>
              <w:t xml:space="preserve"> and groundwater,</w:t>
            </w:r>
            <w:r w:rsidRPr="009B6364">
              <w:rPr>
                <w:rFonts w:eastAsia="Times New Roman" w:cs="Calibri"/>
                <w:spacing w:val="1"/>
                <w:sz w:val="18"/>
                <w:szCs w:val="18"/>
              </w:rPr>
              <w:t xml:space="preserve"> </w:t>
            </w:r>
            <w:r w:rsidR="00DC6A1F">
              <w:rPr>
                <w:rFonts w:eastAsia="Times New Roman" w:cs="Calibri"/>
                <w:spacing w:val="1"/>
                <w:sz w:val="18"/>
                <w:szCs w:val="18"/>
              </w:rPr>
              <w:t xml:space="preserve">and then </w:t>
            </w:r>
            <w:r w:rsidRPr="009B6364">
              <w:rPr>
                <w:rFonts w:eastAsia="Times New Roman" w:cs="Calibri"/>
                <w:spacing w:val="1"/>
                <w:sz w:val="18"/>
                <w:szCs w:val="18"/>
              </w:rPr>
              <w:t xml:space="preserve">are partially flushed out of the system. </w:t>
            </w:r>
          </w:p>
        </w:tc>
        <w:tc>
          <w:tcPr>
            <w:tcW w:w="1661" w:type="pct"/>
          </w:tcPr>
          <w:p w14:paraId="14EB263E" w14:textId="5D6A6109"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Component: water quality (salinity, nutrients, dissolved oxygen)</w:t>
            </w:r>
          </w:p>
        </w:tc>
      </w:tr>
      <w:tr w:rsidR="00583019" w:rsidRPr="009B6364" w14:paraId="6B057D75" w14:textId="77777777" w:rsidTr="00554832">
        <w:trPr>
          <w:cantSplit/>
        </w:trPr>
        <w:tc>
          <w:tcPr>
            <w:tcW w:w="698" w:type="pct"/>
          </w:tcPr>
          <w:p w14:paraId="1B9A5952" w14:textId="0F46357F" w:rsidR="00583019" w:rsidRPr="009B6364" w:rsidRDefault="00583019" w:rsidP="00554832">
            <w:pPr>
              <w:rPr>
                <w:rFonts w:eastAsia="Times New Roman" w:cs="Calibri"/>
                <w:sz w:val="18"/>
                <w:szCs w:val="18"/>
              </w:rPr>
            </w:pPr>
            <w:r>
              <w:rPr>
                <w:rFonts w:eastAsia="Times New Roman" w:cs="Calibri"/>
                <w:sz w:val="18"/>
                <w:szCs w:val="18"/>
              </w:rPr>
              <w:t>Structural integrity</w:t>
            </w:r>
          </w:p>
        </w:tc>
        <w:tc>
          <w:tcPr>
            <w:tcW w:w="2641" w:type="pct"/>
          </w:tcPr>
          <w:p w14:paraId="0B615F28"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Geomorphology: Shallow “bar-built” estuary, with an artificial connection to the Indian Ocean.</w:t>
            </w:r>
          </w:p>
        </w:tc>
        <w:tc>
          <w:tcPr>
            <w:tcW w:w="1661" w:type="pct"/>
          </w:tcPr>
          <w:p w14:paraId="318C3622" w14:textId="562EE6AC" w:rsidR="00583019" w:rsidRPr="009B6364" w:rsidRDefault="00583019" w:rsidP="00DC6A1F">
            <w:pPr>
              <w:rPr>
                <w:rFonts w:eastAsia="Times New Roman" w:cs="Calibri"/>
                <w:spacing w:val="1"/>
                <w:sz w:val="18"/>
                <w:szCs w:val="18"/>
              </w:rPr>
            </w:pPr>
            <w:r w:rsidRPr="009B6364">
              <w:rPr>
                <w:rFonts w:eastAsia="Times New Roman" w:cs="Calibri"/>
                <w:spacing w:val="1"/>
                <w:sz w:val="18"/>
                <w:szCs w:val="18"/>
              </w:rPr>
              <w:t>Component: estuary form and mouth (artificial)</w:t>
            </w:r>
          </w:p>
        </w:tc>
      </w:tr>
      <w:tr w:rsidR="00583019" w:rsidRPr="009B6364" w14:paraId="78A825D2" w14:textId="77777777" w:rsidTr="00554832">
        <w:trPr>
          <w:cantSplit/>
        </w:trPr>
        <w:tc>
          <w:tcPr>
            <w:tcW w:w="698" w:type="pct"/>
          </w:tcPr>
          <w:p w14:paraId="45D717C2" w14:textId="77777777" w:rsidR="00583019" w:rsidRPr="009B6364" w:rsidRDefault="00583019" w:rsidP="00554832">
            <w:pPr>
              <w:rPr>
                <w:rFonts w:eastAsia="Times New Roman" w:cs="Calibri"/>
                <w:sz w:val="18"/>
                <w:szCs w:val="18"/>
              </w:rPr>
            </w:pPr>
            <w:r w:rsidRPr="009B6364">
              <w:rPr>
                <w:rFonts w:eastAsia="Times New Roman" w:cs="Calibri"/>
                <w:sz w:val="18"/>
                <w:szCs w:val="18"/>
              </w:rPr>
              <w:t>Aquatic ecosystem connectivity</w:t>
            </w:r>
          </w:p>
        </w:tc>
        <w:tc>
          <w:tcPr>
            <w:tcW w:w="2641" w:type="pct"/>
          </w:tcPr>
          <w:p w14:paraId="67B7466A" w14:textId="77777777" w:rsidR="00583019" w:rsidRPr="009B6364" w:rsidRDefault="00583019" w:rsidP="00554832">
            <w:pPr>
              <w:jc w:val="left"/>
              <w:rPr>
                <w:rFonts w:eastAsia="Times New Roman" w:cs="Calibri"/>
                <w:spacing w:val="1"/>
                <w:sz w:val="18"/>
                <w:szCs w:val="18"/>
              </w:rPr>
            </w:pPr>
            <w:r w:rsidRPr="009B6364">
              <w:rPr>
                <w:rFonts w:eastAsia="Times New Roman" w:cs="Calibri"/>
                <w:spacing w:val="1"/>
                <w:sz w:val="18"/>
                <w:szCs w:val="18"/>
              </w:rPr>
              <w:t>Connectivity between rivers, estuary and the sea is important for migratory fish and marine invertebrates.</w:t>
            </w:r>
          </w:p>
          <w:p w14:paraId="7D1541A5" w14:textId="6B0EB730" w:rsidR="00583019" w:rsidRPr="009B6364" w:rsidRDefault="00583019" w:rsidP="00DC6A1F">
            <w:pPr>
              <w:jc w:val="left"/>
              <w:rPr>
                <w:rFonts w:eastAsia="Times New Roman" w:cs="Calibri"/>
                <w:spacing w:val="1"/>
                <w:sz w:val="18"/>
                <w:szCs w:val="18"/>
              </w:rPr>
            </w:pPr>
            <w:r w:rsidRPr="009B6364">
              <w:rPr>
                <w:rFonts w:eastAsia="Times New Roman" w:cs="Calibri"/>
                <w:spacing w:val="1"/>
                <w:sz w:val="18"/>
                <w:szCs w:val="18"/>
              </w:rPr>
              <w:t>Connectivity between the Peel</w:t>
            </w:r>
            <w:r w:rsidR="00DC6A1F">
              <w:rPr>
                <w:rFonts w:eastAsia="Times New Roman" w:cs="Calibri"/>
                <w:spacing w:val="1"/>
                <w:sz w:val="18"/>
                <w:szCs w:val="18"/>
              </w:rPr>
              <w:t>-</w:t>
            </w:r>
            <w:r w:rsidRPr="009B6364">
              <w:rPr>
                <w:rFonts w:eastAsia="Times New Roman" w:cs="Calibri"/>
                <w:spacing w:val="1"/>
                <w:sz w:val="18"/>
                <w:szCs w:val="18"/>
              </w:rPr>
              <w:t>Harvey Estuary and other locations in the Ramsar site provides a network of sites for feeding and breeding waterbirds.</w:t>
            </w:r>
          </w:p>
        </w:tc>
        <w:tc>
          <w:tcPr>
            <w:tcW w:w="1661" w:type="pct"/>
          </w:tcPr>
          <w:p w14:paraId="338461C9" w14:textId="77777777" w:rsidR="00583019" w:rsidRPr="009B6364" w:rsidRDefault="00583019" w:rsidP="00554832">
            <w:pPr>
              <w:jc w:val="left"/>
              <w:rPr>
                <w:rFonts w:eastAsia="Times New Roman" w:cs="Calibri"/>
                <w:spacing w:val="1"/>
                <w:sz w:val="18"/>
                <w:szCs w:val="18"/>
              </w:rPr>
            </w:pPr>
            <w:r w:rsidRPr="009B6364">
              <w:rPr>
                <w:rFonts w:eastAsia="Times New Roman" w:cs="Calibri"/>
                <w:spacing w:val="1"/>
                <w:sz w:val="18"/>
                <w:szCs w:val="18"/>
              </w:rPr>
              <w:t>Process: migration</w:t>
            </w:r>
          </w:p>
        </w:tc>
      </w:tr>
      <w:tr w:rsidR="00583019" w:rsidRPr="009B6364" w14:paraId="0E5FC258" w14:textId="77777777" w:rsidTr="00554832">
        <w:trPr>
          <w:cantSplit/>
        </w:trPr>
        <w:tc>
          <w:tcPr>
            <w:tcW w:w="698" w:type="pct"/>
            <w:vMerge w:val="restart"/>
          </w:tcPr>
          <w:p w14:paraId="65BFE644" w14:textId="77777777" w:rsidR="00583019" w:rsidRPr="009B6364" w:rsidRDefault="00583019" w:rsidP="00554832">
            <w:pPr>
              <w:rPr>
                <w:rFonts w:eastAsia="Times New Roman" w:cs="Calibri"/>
                <w:sz w:val="18"/>
                <w:szCs w:val="18"/>
              </w:rPr>
            </w:pPr>
            <w:r w:rsidRPr="009B6364">
              <w:rPr>
                <w:rFonts w:eastAsia="Times New Roman" w:cs="Calibri"/>
                <w:sz w:val="18"/>
                <w:szCs w:val="18"/>
              </w:rPr>
              <w:t>Biodiversity</w:t>
            </w:r>
          </w:p>
        </w:tc>
        <w:tc>
          <w:tcPr>
            <w:tcW w:w="2641" w:type="pct"/>
          </w:tcPr>
          <w:p w14:paraId="0DF1BE02" w14:textId="77777777" w:rsidR="00583019" w:rsidRPr="009B6364" w:rsidRDefault="00583019" w:rsidP="00554832">
            <w:pPr>
              <w:rPr>
                <w:rFonts w:eastAsia="Times New Roman" w:cs="Calibri"/>
                <w:sz w:val="18"/>
                <w:szCs w:val="18"/>
              </w:rPr>
            </w:pPr>
            <w:r w:rsidRPr="009B6364">
              <w:rPr>
                <w:rFonts w:eastAsia="Times New Roman" w:cs="Calibri"/>
                <w:sz w:val="18"/>
                <w:szCs w:val="18"/>
              </w:rPr>
              <w:t>Seagrass and macroalgae provide habitat and food for fish and waterbirds and directly contribute to biodiversity.</w:t>
            </w:r>
          </w:p>
        </w:tc>
        <w:tc>
          <w:tcPr>
            <w:tcW w:w="1661" w:type="pct"/>
          </w:tcPr>
          <w:p w14:paraId="0E131D82" w14:textId="77777777" w:rsidR="00583019" w:rsidRPr="009B6364" w:rsidRDefault="00583019" w:rsidP="00554832">
            <w:pPr>
              <w:rPr>
                <w:rFonts w:eastAsia="Times New Roman" w:cs="Calibri"/>
                <w:sz w:val="18"/>
                <w:szCs w:val="18"/>
              </w:rPr>
            </w:pPr>
            <w:r w:rsidRPr="009B6364">
              <w:rPr>
                <w:rFonts w:eastAsia="Times New Roman" w:cs="Calibri"/>
                <w:sz w:val="18"/>
                <w:szCs w:val="18"/>
              </w:rPr>
              <w:t xml:space="preserve">Components: seagrass, macroalgae </w:t>
            </w:r>
          </w:p>
        </w:tc>
      </w:tr>
      <w:tr w:rsidR="00583019" w:rsidRPr="009B6364" w14:paraId="2FF2535C" w14:textId="77777777" w:rsidTr="00554832">
        <w:trPr>
          <w:cantSplit/>
        </w:trPr>
        <w:tc>
          <w:tcPr>
            <w:tcW w:w="698" w:type="pct"/>
            <w:vMerge/>
          </w:tcPr>
          <w:p w14:paraId="0AAF73B4" w14:textId="77777777" w:rsidR="00583019" w:rsidRPr="009B6364" w:rsidRDefault="00583019" w:rsidP="00554832">
            <w:pPr>
              <w:rPr>
                <w:rFonts w:eastAsia="Times New Roman" w:cs="Calibri"/>
                <w:sz w:val="18"/>
                <w:szCs w:val="18"/>
              </w:rPr>
            </w:pPr>
          </w:p>
        </w:tc>
        <w:tc>
          <w:tcPr>
            <w:tcW w:w="2641" w:type="pct"/>
          </w:tcPr>
          <w:p w14:paraId="07F669AE"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 xml:space="preserve">Fringing vegetation is dominated by coastal saltmarsh. </w:t>
            </w:r>
          </w:p>
          <w:p w14:paraId="1340EEE9"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Areas of paperbark community at the Harvey River delta.</w:t>
            </w:r>
          </w:p>
        </w:tc>
        <w:tc>
          <w:tcPr>
            <w:tcW w:w="1661" w:type="pct"/>
          </w:tcPr>
          <w:p w14:paraId="3D1A2B0D"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Components: saltmarsh and paperbark communities</w:t>
            </w:r>
          </w:p>
        </w:tc>
      </w:tr>
      <w:tr w:rsidR="00583019" w:rsidRPr="009B6364" w14:paraId="2886176C" w14:textId="77777777" w:rsidTr="00554832">
        <w:trPr>
          <w:cantSplit/>
        </w:trPr>
        <w:tc>
          <w:tcPr>
            <w:tcW w:w="698" w:type="pct"/>
            <w:vMerge/>
          </w:tcPr>
          <w:p w14:paraId="7E74CEC1" w14:textId="77777777" w:rsidR="00583019" w:rsidRPr="009B6364" w:rsidRDefault="00583019" w:rsidP="00554832">
            <w:pPr>
              <w:rPr>
                <w:rFonts w:eastAsia="Times New Roman" w:cs="Calibri"/>
                <w:sz w:val="18"/>
                <w:szCs w:val="18"/>
              </w:rPr>
            </w:pPr>
          </w:p>
        </w:tc>
        <w:tc>
          <w:tcPr>
            <w:tcW w:w="2641" w:type="pct"/>
          </w:tcPr>
          <w:p w14:paraId="622CB640"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 xml:space="preserve">The site supports significant diversity and abundance of fish and estuarine invertebrates. </w:t>
            </w:r>
          </w:p>
          <w:p w14:paraId="6858A3EB"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The estuary is an important breeding habitat for crabs, prawns and numerous fish species.</w:t>
            </w:r>
          </w:p>
        </w:tc>
        <w:tc>
          <w:tcPr>
            <w:tcW w:w="1661" w:type="pct"/>
          </w:tcPr>
          <w:p w14:paraId="2B955314"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Components: fish and invertebrate diversity and abundance</w:t>
            </w:r>
          </w:p>
          <w:p w14:paraId="1AA0DE8A"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Process: fish and invertebrate breeding</w:t>
            </w:r>
          </w:p>
        </w:tc>
      </w:tr>
      <w:tr w:rsidR="00583019" w:rsidRPr="009B6364" w14:paraId="3D3EE725" w14:textId="77777777" w:rsidTr="00554832">
        <w:trPr>
          <w:cantSplit/>
        </w:trPr>
        <w:tc>
          <w:tcPr>
            <w:tcW w:w="698" w:type="pct"/>
            <w:vMerge/>
          </w:tcPr>
          <w:p w14:paraId="3B3D420E" w14:textId="77777777" w:rsidR="00583019" w:rsidRPr="009B6364" w:rsidRDefault="00583019" w:rsidP="00554832">
            <w:pPr>
              <w:rPr>
                <w:rFonts w:eastAsia="Times New Roman" w:cs="Calibri"/>
                <w:sz w:val="18"/>
                <w:szCs w:val="18"/>
              </w:rPr>
            </w:pPr>
          </w:p>
        </w:tc>
        <w:tc>
          <w:tcPr>
            <w:tcW w:w="2641" w:type="pct"/>
          </w:tcPr>
          <w:p w14:paraId="381BF94A"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The estuary supports a diversity and abundance of waterbirds, with an average of &gt; 20,000 waterbirds annually and a maximum record of 150,000 waterbirds. This includes several species, listed under international migratory agreements. The estuary regularly supports &gt; 1% of the population of eleven species of waterbird. Breeding has been recorded for 12 species of waterbird.</w:t>
            </w:r>
          </w:p>
        </w:tc>
        <w:tc>
          <w:tcPr>
            <w:tcW w:w="1661" w:type="pct"/>
          </w:tcPr>
          <w:p w14:paraId="24375C6F"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Component: waterbird diversity and abundance</w:t>
            </w:r>
          </w:p>
          <w:p w14:paraId="7AE1CBE9"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Process: waterbird breeding</w:t>
            </w:r>
          </w:p>
          <w:p w14:paraId="4358B5B0"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Process: waterbird migration</w:t>
            </w:r>
          </w:p>
        </w:tc>
      </w:tr>
      <w:tr w:rsidR="00583019" w:rsidRPr="009B6364" w14:paraId="1368B17D" w14:textId="77777777" w:rsidTr="00554832">
        <w:trPr>
          <w:cantSplit/>
        </w:trPr>
        <w:tc>
          <w:tcPr>
            <w:tcW w:w="698" w:type="pct"/>
          </w:tcPr>
          <w:p w14:paraId="313657D9" w14:textId="77777777" w:rsidR="00583019" w:rsidRPr="009B6364" w:rsidRDefault="00583019" w:rsidP="00554832">
            <w:pPr>
              <w:rPr>
                <w:rFonts w:eastAsia="Times New Roman" w:cs="Calibri"/>
                <w:sz w:val="18"/>
                <w:szCs w:val="18"/>
              </w:rPr>
            </w:pPr>
            <w:r w:rsidRPr="009B6364">
              <w:rPr>
                <w:rFonts w:eastAsia="Times New Roman" w:cs="Calibri"/>
                <w:sz w:val="18"/>
                <w:szCs w:val="18"/>
              </w:rPr>
              <w:t>Services - provisioning</w:t>
            </w:r>
          </w:p>
        </w:tc>
        <w:tc>
          <w:tcPr>
            <w:tcW w:w="2641" w:type="pct"/>
          </w:tcPr>
          <w:p w14:paraId="0CD4FEC5"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Peel-Harvey Estuary is an important commercial and recreational fishery.</w:t>
            </w:r>
          </w:p>
        </w:tc>
        <w:tc>
          <w:tcPr>
            <w:tcW w:w="1661" w:type="pct"/>
          </w:tcPr>
          <w:p w14:paraId="623E845C"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Service: commercial and recreational fishing</w:t>
            </w:r>
          </w:p>
        </w:tc>
      </w:tr>
      <w:tr w:rsidR="00583019" w:rsidRPr="009B6364" w14:paraId="6F5A348B" w14:textId="77777777" w:rsidTr="00554832">
        <w:trPr>
          <w:cantSplit/>
        </w:trPr>
        <w:tc>
          <w:tcPr>
            <w:tcW w:w="698" w:type="pct"/>
          </w:tcPr>
          <w:p w14:paraId="326DC9C0" w14:textId="77777777" w:rsidR="00583019" w:rsidRPr="009B6364" w:rsidRDefault="00583019" w:rsidP="00554832">
            <w:pPr>
              <w:rPr>
                <w:rFonts w:eastAsia="Times New Roman" w:cs="Calibri"/>
                <w:sz w:val="18"/>
                <w:szCs w:val="18"/>
              </w:rPr>
            </w:pPr>
            <w:r w:rsidRPr="009B6364">
              <w:rPr>
                <w:rFonts w:eastAsia="Times New Roman" w:cs="Calibri"/>
                <w:sz w:val="18"/>
                <w:szCs w:val="18"/>
              </w:rPr>
              <w:t>Services - regulating</w:t>
            </w:r>
          </w:p>
        </w:tc>
        <w:tc>
          <w:tcPr>
            <w:tcW w:w="2641" w:type="pct"/>
          </w:tcPr>
          <w:p w14:paraId="38E18D36"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The estuary plays a role in flood mitigation for surrounding residential and agricultural lands.</w:t>
            </w:r>
          </w:p>
        </w:tc>
        <w:tc>
          <w:tcPr>
            <w:tcW w:w="1661" w:type="pct"/>
          </w:tcPr>
          <w:p w14:paraId="3FF32EE1"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Function: flood mitigation</w:t>
            </w:r>
          </w:p>
        </w:tc>
      </w:tr>
      <w:tr w:rsidR="00583019" w:rsidRPr="009B6364" w14:paraId="64C27AAB" w14:textId="77777777" w:rsidTr="00554832">
        <w:trPr>
          <w:cantSplit/>
        </w:trPr>
        <w:tc>
          <w:tcPr>
            <w:tcW w:w="698" w:type="pct"/>
            <w:vMerge w:val="restart"/>
          </w:tcPr>
          <w:p w14:paraId="729EAB49" w14:textId="77777777" w:rsidR="00583019" w:rsidRPr="009B6364" w:rsidRDefault="00583019" w:rsidP="00554832">
            <w:pPr>
              <w:rPr>
                <w:rFonts w:eastAsia="Times New Roman" w:cs="Calibri"/>
                <w:sz w:val="18"/>
                <w:szCs w:val="18"/>
              </w:rPr>
            </w:pPr>
            <w:r w:rsidRPr="009B6364">
              <w:rPr>
                <w:rFonts w:eastAsia="Times New Roman" w:cs="Calibri"/>
                <w:sz w:val="18"/>
                <w:szCs w:val="18"/>
              </w:rPr>
              <w:t>Services - cultural</w:t>
            </w:r>
          </w:p>
        </w:tc>
        <w:tc>
          <w:tcPr>
            <w:tcW w:w="2641" w:type="pct"/>
          </w:tcPr>
          <w:p w14:paraId="4C1DF3D9" w14:textId="77777777" w:rsidR="00583019" w:rsidRPr="009B6364" w:rsidRDefault="00583019" w:rsidP="00554832">
            <w:pPr>
              <w:tabs>
                <w:tab w:val="left" w:pos="493"/>
              </w:tabs>
              <w:rPr>
                <w:rFonts w:eastAsia="Times New Roman" w:cs="Calibri"/>
                <w:spacing w:val="1"/>
                <w:sz w:val="18"/>
                <w:szCs w:val="18"/>
              </w:rPr>
            </w:pPr>
            <w:r w:rsidRPr="009B6364">
              <w:rPr>
                <w:rFonts w:eastAsia="Times New Roman" w:cs="Calibri"/>
                <w:spacing w:val="1"/>
                <w:sz w:val="18"/>
                <w:szCs w:val="18"/>
              </w:rPr>
              <w:t>The estuary is a popular for recreation and acts as a tourist hub for the region.</w:t>
            </w:r>
          </w:p>
        </w:tc>
        <w:tc>
          <w:tcPr>
            <w:tcW w:w="1661" w:type="pct"/>
          </w:tcPr>
          <w:p w14:paraId="3420AE10" w14:textId="77777777" w:rsidR="00583019" w:rsidRPr="009B6364" w:rsidRDefault="00583019" w:rsidP="00554832">
            <w:pPr>
              <w:tabs>
                <w:tab w:val="left" w:pos="493"/>
              </w:tabs>
              <w:rPr>
                <w:rFonts w:eastAsia="Times New Roman" w:cs="Calibri"/>
                <w:spacing w:val="1"/>
                <w:sz w:val="18"/>
                <w:szCs w:val="18"/>
              </w:rPr>
            </w:pPr>
            <w:r w:rsidRPr="009B6364">
              <w:rPr>
                <w:rFonts w:eastAsia="Times New Roman" w:cs="Calibri"/>
                <w:spacing w:val="1"/>
                <w:sz w:val="18"/>
                <w:szCs w:val="18"/>
              </w:rPr>
              <w:t>Services: recreation and tourism</w:t>
            </w:r>
          </w:p>
        </w:tc>
      </w:tr>
      <w:tr w:rsidR="00583019" w:rsidRPr="009B6364" w14:paraId="0CE4EAC4" w14:textId="77777777" w:rsidTr="00554832">
        <w:trPr>
          <w:cantSplit/>
        </w:trPr>
        <w:tc>
          <w:tcPr>
            <w:tcW w:w="698" w:type="pct"/>
            <w:vMerge/>
          </w:tcPr>
          <w:p w14:paraId="13E8F0AE" w14:textId="77777777" w:rsidR="00583019" w:rsidRPr="009B6364" w:rsidRDefault="00583019" w:rsidP="00554832">
            <w:pPr>
              <w:rPr>
                <w:rFonts w:eastAsia="Times New Roman" w:cs="Calibri"/>
                <w:sz w:val="18"/>
                <w:szCs w:val="18"/>
              </w:rPr>
            </w:pPr>
          </w:p>
        </w:tc>
        <w:tc>
          <w:tcPr>
            <w:tcW w:w="2641" w:type="pct"/>
          </w:tcPr>
          <w:p w14:paraId="6A65EEAB"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The estuary is an important site for traditional custodians.</w:t>
            </w:r>
          </w:p>
        </w:tc>
        <w:tc>
          <w:tcPr>
            <w:tcW w:w="1661" w:type="pct"/>
          </w:tcPr>
          <w:p w14:paraId="6381FD72" w14:textId="77777777" w:rsidR="00583019" w:rsidRPr="009B6364" w:rsidRDefault="00583019" w:rsidP="00554832">
            <w:pPr>
              <w:rPr>
                <w:rFonts w:eastAsia="Times New Roman" w:cs="Calibri"/>
                <w:spacing w:val="1"/>
                <w:sz w:val="18"/>
                <w:szCs w:val="18"/>
              </w:rPr>
            </w:pPr>
            <w:r w:rsidRPr="009B6364">
              <w:rPr>
                <w:rFonts w:eastAsia="Times New Roman" w:cs="Calibri"/>
                <w:spacing w:val="1"/>
                <w:sz w:val="18"/>
                <w:szCs w:val="18"/>
              </w:rPr>
              <w:t>Service: indigenous cultural values</w:t>
            </w:r>
          </w:p>
        </w:tc>
      </w:tr>
    </w:tbl>
    <w:p w14:paraId="450F0757" w14:textId="77777777" w:rsidR="001B1863" w:rsidRPr="009B6364" w:rsidRDefault="001B1863" w:rsidP="001B1863"/>
    <w:p w14:paraId="6C997FE6" w14:textId="7D2212DF" w:rsidR="001B1863" w:rsidRPr="009B6364" w:rsidRDefault="001B1863" w:rsidP="001B1863">
      <w:r w:rsidRPr="009B6364">
        <w:t xml:space="preserve">A prioritisation process to identify the components, processes and services that are critical to the ecological character of the Ramsar site is provided in the national framework for describing ecological character of Australian Ramsar Wetlands. There are four criteria based on components, processes and services </w:t>
      </w:r>
      <w:r w:rsidRPr="009B6364">
        <w:fldChar w:fldCharType="begin"/>
      </w:r>
      <w:r w:rsidR="006E06E1">
        <w:instrText xml:space="preserve"> ADDIN ZOTERO_ITEM CSL_CITATION {"citationID":"nd50umfm0","properties":{"formattedCitation":"(Department of the Environment, Water, Heritage and the Arts 2008)","plainCitation":"(Department of the Environment, Water, Heritage and the Arts 2008)"},"citationItems":[{"id":"WzwzjS26/gGNmA4vG","uris":["http://zotero.org/users/2336876/items/JBWI4BUW"],"uri":["http://zotero.org/users/2336876/items/JBWI4BUW"],"itemData":{"id":"WzwzjS26/gGNmA4vG","type":"book","title":"National framework and guidance for describing the ecological character of Australian Ramsar Wetlands: module 2 of the National Guidelines for Ramsar Wetlands - implementing the Ramsar Convention in Australia","publisher":"Dept. of the Environment, Water, Heritage and the Arts","publisher-place":"Canberra","source":"Open WorldCat","event-place":"Canberra","URL":"http://www.environment.gov.au/water/publications/environmental/wetlands/pubs/module-2-framework.pdf","ISBN":"978-0-642-55409-3","shortTitle":"National framework and guidance for describing the ecological character of Australian Ramsar Wetlands","language":"English","author":[{"family":"Department of the Environment, Water, Heritage and the Arts","given":""}],"issued":{"year":2008},"accessed":{"year":2013,"month":6,"day":30},"title-short":"National framework and guidance for describing the ecological character of Australian Ramsar Wetlands"}}],"schema":"https://github.com/citation-style-language/schema/raw/master/csl-citation.json"} </w:instrText>
      </w:r>
      <w:r w:rsidRPr="009B6364">
        <w:fldChar w:fldCharType="separate"/>
      </w:r>
      <w:r w:rsidRPr="009B6364">
        <w:t>(Department of the Environment, Water, Heritage and the Arts 2008)</w:t>
      </w:r>
      <w:r w:rsidRPr="009B6364">
        <w:fldChar w:fldCharType="end"/>
      </w:r>
      <w:r w:rsidRPr="009B6364">
        <w:t>:</w:t>
      </w:r>
    </w:p>
    <w:p w14:paraId="57CC9EF4" w14:textId="77777777" w:rsidR="001B1863" w:rsidRPr="009B6364" w:rsidRDefault="001B1863" w:rsidP="00F4328F">
      <w:pPr>
        <w:numPr>
          <w:ilvl w:val="0"/>
          <w:numId w:val="65"/>
        </w:numPr>
      </w:pPr>
      <w:r w:rsidRPr="009B6364">
        <w:lastRenderedPageBreak/>
        <w:t>that are important determinants of the sites unique character;</w:t>
      </w:r>
    </w:p>
    <w:p w14:paraId="5FFACEFB" w14:textId="77777777" w:rsidR="001B1863" w:rsidRPr="009B6364" w:rsidRDefault="001B1863" w:rsidP="00F4328F">
      <w:pPr>
        <w:numPr>
          <w:ilvl w:val="0"/>
          <w:numId w:val="65"/>
        </w:numPr>
      </w:pPr>
      <w:r w:rsidRPr="009B6364">
        <w:t>that are important for supporting the Ramsar criteria under which the site was listed;</w:t>
      </w:r>
    </w:p>
    <w:p w14:paraId="33E352F1" w14:textId="77777777" w:rsidR="001B1863" w:rsidRPr="009B6364" w:rsidRDefault="001B1863" w:rsidP="00F4328F">
      <w:pPr>
        <w:numPr>
          <w:ilvl w:val="0"/>
          <w:numId w:val="65"/>
        </w:numPr>
      </w:pPr>
      <w:r w:rsidRPr="009B6364">
        <w:t>for which change is reasonably likely to occur over short to medium time scales (less than 100 years); and</w:t>
      </w:r>
    </w:p>
    <w:p w14:paraId="32F1C6A3" w14:textId="77777777" w:rsidR="001B1863" w:rsidRPr="009B6364" w:rsidRDefault="001B1863" w:rsidP="00F4328F">
      <w:pPr>
        <w:numPr>
          <w:ilvl w:val="0"/>
          <w:numId w:val="65"/>
        </w:numPr>
      </w:pPr>
      <w:r w:rsidRPr="009B6364">
        <w:t>that will cause significant negative consequences if change occurs.</w:t>
      </w:r>
    </w:p>
    <w:p w14:paraId="005E21F4" w14:textId="2A1916A7" w:rsidR="001B1863" w:rsidRPr="009B6364" w:rsidRDefault="001B1863" w:rsidP="001B1863">
      <w:r w:rsidRPr="009B6364">
        <w:t>These criteria are not applied through a scoring system, but as absolutes, with the “critical” components, processes and services being those that meet all four criteria. An application of these criteria to the values identified for the Peel-Harvey portion of the Ramsar site results in a sub-set of values identified as critical to the ecological character of the Ramsar site (</w:t>
      </w:r>
      <w:r w:rsidR="003E5078">
        <w:fldChar w:fldCharType="begin"/>
      </w:r>
      <w:r w:rsidR="003E5078">
        <w:instrText xml:space="preserve"> REF _Ref484514504 \h </w:instrText>
      </w:r>
      <w:r w:rsidR="003E5078">
        <w:fldChar w:fldCharType="separate"/>
      </w:r>
      <w:r w:rsidR="005F359C">
        <w:t xml:space="preserve">Table B </w:t>
      </w:r>
      <w:r w:rsidR="005F359C">
        <w:rPr>
          <w:noProof/>
        </w:rPr>
        <w:t>3</w:t>
      </w:r>
      <w:r w:rsidR="003E5078">
        <w:fldChar w:fldCharType="end"/>
      </w:r>
      <w:r w:rsidRPr="009B6364">
        <w:t>). These are considered the priority values for</w:t>
      </w:r>
      <w:r w:rsidR="000C410F">
        <w:t xml:space="preserve"> this illustration of the application of the </w:t>
      </w:r>
      <w:r w:rsidRPr="009B6364">
        <w:t>IECA</w:t>
      </w:r>
      <w:r w:rsidR="000C410F">
        <w:t xml:space="preserve"> Framework</w:t>
      </w:r>
      <w:r w:rsidRPr="009B6364">
        <w:t>.</w:t>
      </w:r>
    </w:p>
    <w:p w14:paraId="36492CBD" w14:textId="6B010BBF" w:rsidR="001B1863" w:rsidRPr="009B6364" w:rsidRDefault="003E5078" w:rsidP="001B1863">
      <w:pPr>
        <w:pStyle w:val="Caption"/>
      </w:pPr>
      <w:bookmarkStart w:id="149" w:name="_Ref484514504"/>
      <w:r>
        <w:t xml:space="preserve">Table B </w:t>
      </w:r>
      <w:fldSimple w:instr=" SEQ Table_B \* ARABIC ">
        <w:r w:rsidR="00FD50A9">
          <w:rPr>
            <w:noProof/>
          </w:rPr>
          <w:t>5</w:t>
        </w:r>
      </w:fldSimple>
      <w:bookmarkEnd w:id="149"/>
      <w:r>
        <w:t xml:space="preserve">: </w:t>
      </w:r>
      <w:r w:rsidR="001B1863" w:rsidRPr="009B6364">
        <w:t xml:space="preserve">Performance matrix for the values of the peel-harvey estuary segment of the Ramsar site. Note that the table </w:t>
      </w:r>
      <w:r w:rsidR="003D0CBA">
        <w:t xml:space="preserve">Largely </w:t>
      </w:r>
      <w:r w:rsidR="001B1863" w:rsidRPr="009B6364">
        <w:t>reflects the results of the identification of critical components, processes and services provided by the ecological chacarter description (hale and Bucther 2007).</w:t>
      </w:r>
    </w:p>
    <w:tbl>
      <w:tblPr>
        <w:tblW w:w="0" w:type="auto"/>
        <w:tblInd w:w="108" w:type="dxa"/>
        <w:tblBorders>
          <w:top w:val="single" w:sz="8" w:space="0" w:color="9CBEBD"/>
          <w:left w:val="single" w:sz="8" w:space="0" w:color="9CBEBD"/>
          <w:bottom w:val="single" w:sz="8" w:space="0" w:color="9CBEBD"/>
          <w:right w:val="single" w:sz="8" w:space="0" w:color="9CBEBD"/>
          <w:insideH w:val="single" w:sz="8" w:space="0" w:color="9CBEBD"/>
          <w:insideV w:val="single" w:sz="8" w:space="0" w:color="9CBEBD"/>
        </w:tblBorders>
        <w:tblLook w:val="04A0" w:firstRow="1" w:lastRow="0" w:firstColumn="1" w:lastColumn="0" w:noHBand="0" w:noVBand="1"/>
      </w:tblPr>
      <w:tblGrid>
        <w:gridCol w:w="2291"/>
        <w:gridCol w:w="928"/>
        <w:gridCol w:w="964"/>
        <w:gridCol w:w="928"/>
        <w:gridCol w:w="928"/>
        <w:gridCol w:w="2859"/>
      </w:tblGrid>
      <w:tr w:rsidR="001B1863" w:rsidRPr="009B6364" w14:paraId="521539D2" w14:textId="77777777" w:rsidTr="008F5E55">
        <w:trPr>
          <w:cantSplit/>
          <w:trHeight w:val="430"/>
          <w:tblHeader/>
        </w:trPr>
        <w:tc>
          <w:tcPr>
            <w:tcW w:w="0" w:type="auto"/>
            <w:shd w:val="clear" w:color="auto" w:fill="9CBEBD"/>
          </w:tcPr>
          <w:p w14:paraId="304610C0" w14:textId="77777777" w:rsidR="001B1863" w:rsidRPr="009B6364" w:rsidRDefault="001B1863" w:rsidP="008F5E55">
            <w:pPr>
              <w:spacing w:after="0" w:line="240" w:lineRule="auto"/>
              <w:jc w:val="left"/>
              <w:rPr>
                <w:rFonts w:eastAsia="Times New Roman" w:cs="Calibri"/>
                <w:b/>
                <w:color w:val="FFFFFF"/>
                <w:sz w:val="18"/>
                <w:szCs w:val="18"/>
              </w:rPr>
            </w:pPr>
            <w:r w:rsidRPr="009B6364">
              <w:rPr>
                <w:rFonts w:eastAsia="Times New Roman" w:cs="Calibri"/>
                <w:b/>
                <w:color w:val="FFFFFF"/>
                <w:sz w:val="18"/>
                <w:szCs w:val="18"/>
              </w:rPr>
              <w:t>Values</w:t>
            </w:r>
          </w:p>
        </w:tc>
        <w:tc>
          <w:tcPr>
            <w:tcW w:w="0" w:type="auto"/>
            <w:shd w:val="clear" w:color="auto" w:fill="9CBEBD"/>
          </w:tcPr>
          <w:p w14:paraId="0AFD5F8F" w14:textId="77777777" w:rsidR="001B1863" w:rsidRPr="009B6364" w:rsidRDefault="001B1863" w:rsidP="008F5E55">
            <w:pPr>
              <w:spacing w:after="0" w:line="240" w:lineRule="auto"/>
              <w:rPr>
                <w:rFonts w:eastAsia="Times New Roman" w:cs="Calibri"/>
                <w:b/>
                <w:color w:val="FFFFFF"/>
                <w:sz w:val="18"/>
                <w:szCs w:val="18"/>
              </w:rPr>
            </w:pPr>
            <w:r w:rsidRPr="009B6364">
              <w:rPr>
                <w:rFonts w:eastAsia="Times New Roman" w:cs="Calibri"/>
                <w:b/>
                <w:color w:val="FFFFFF"/>
                <w:sz w:val="18"/>
                <w:szCs w:val="18"/>
              </w:rPr>
              <w:t>Criterion 1</w:t>
            </w:r>
          </w:p>
        </w:tc>
        <w:tc>
          <w:tcPr>
            <w:tcW w:w="0" w:type="auto"/>
            <w:shd w:val="clear" w:color="auto" w:fill="9CBEBD"/>
          </w:tcPr>
          <w:p w14:paraId="3547A134" w14:textId="0E4E0DEB" w:rsidR="001B1863" w:rsidRPr="009B6364" w:rsidRDefault="001B1863" w:rsidP="008F5E55">
            <w:pPr>
              <w:spacing w:after="0" w:line="240" w:lineRule="auto"/>
              <w:rPr>
                <w:rFonts w:eastAsia="Times New Roman" w:cs="Calibri"/>
                <w:b/>
                <w:color w:val="FFFFFF"/>
                <w:sz w:val="18"/>
                <w:szCs w:val="18"/>
              </w:rPr>
            </w:pPr>
            <w:r w:rsidRPr="009B6364">
              <w:rPr>
                <w:rFonts w:eastAsia="Times New Roman" w:cs="Calibri"/>
                <w:b/>
                <w:color w:val="FFFFFF"/>
                <w:sz w:val="18"/>
                <w:szCs w:val="18"/>
              </w:rPr>
              <w:t>Criterion 2</w:t>
            </w:r>
            <w:r w:rsidR="00AE0E00">
              <w:rPr>
                <w:rFonts w:eastAsia="Times New Roman" w:cs="Calibri"/>
                <w:b/>
                <w:color w:val="FFFFFF"/>
                <w:sz w:val="18"/>
                <w:szCs w:val="18"/>
              </w:rPr>
              <w:t>*</w:t>
            </w:r>
          </w:p>
        </w:tc>
        <w:tc>
          <w:tcPr>
            <w:tcW w:w="0" w:type="auto"/>
            <w:shd w:val="clear" w:color="auto" w:fill="9CBEBD"/>
          </w:tcPr>
          <w:p w14:paraId="180020D5" w14:textId="77777777" w:rsidR="001B1863" w:rsidRPr="009B6364" w:rsidRDefault="001B1863" w:rsidP="008F5E55">
            <w:pPr>
              <w:spacing w:after="0" w:line="240" w:lineRule="auto"/>
              <w:rPr>
                <w:rFonts w:eastAsia="Times New Roman" w:cs="Calibri"/>
                <w:b/>
                <w:color w:val="FFFFFF"/>
                <w:sz w:val="18"/>
                <w:szCs w:val="18"/>
              </w:rPr>
            </w:pPr>
            <w:r w:rsidRPr="009B6364">
              <w:rPr>
                <w:rFonts w:eastAsia="Times New Roman" w:cs="Calibri"/>
                <w:b/>
                <w:color w:val="FFFFFF"/>
                <w:sz w:val="18"/>
                <w:szCs w:val="18"/>
              </w:rPr>
              <w:t>Criterion 3</w:t>
            </w:r>
          </w:p>
        </w:tc>
        <w:tc>
          <w:tcPr>
            <w:tcW w:w="0" w:type="auto"/>
            <w:shd w:val="clear" w:color="auto" w:fill="9CBEBD"/>
          </w:tcPr>
          <w:p w14:paraId="57F85628" w14:textId="77777777" w:rsidR="001B1863" w:rsidRPr="009B6364" w:rsidRDefault="001B1863" w:rsidP="008F5E55">
            <w:pPr>
              <w:spacing w:after="0" w:line="240" w:lineRule="auto"/>
              <w:rPr>
                <w:rFonts w:eastAsia="Times New Roman" w:cs="Calibri"/>
                <w:b/>
                <w:color w:val="FFFFFF"/>
                <w:sz w:val="18"/>
                <w:szCs w:val="18"/>
              </w:rPr>
            </w:pPr>
            <w:r w:rsidRPr="009B6364">
              <w:rPr>
                <w:rFonts w:eastAsia="Times New Roman" w:cs="Calibri"/>
                <w:b/>
                <w:color w:val="FFFFFF"/>
                <w:sz w:val="18"/>
                <w:szCs w:val="18"/>
              </w:rPr>
              <w:t>Criterion 4</w:t>
            </w:r>
          </w:p>
        </w:tc>
        <w:tc>
          <w:tcPr>
            <w:tcW w:w="0" w:type="auto"/>
            <w:shd w:val="clear" w:color="auto" w:fill="9CBEBD"/>
          </w:tcPr>
          <w:p w14:paraId="6D0E2102" w14:textId="77777777" w:rsidR="001B1863" w:rsidRPr="009B6364" w:rsidRDefault="001B1863" w:rsidP="008F5E55">
            <w:pPr>
              <w:spacing w:after="0" w:line="240" w:lineRule="auto"/>
              <w:rPr>
                <w:rFonts w:eastAsia="Times New Roman" w:cs="Calibri"/>
                <w:b/>
                <w:color w:val="FFFFFF"/>
                <w:sz w:val="18"/>
                <w:szCs w:val="18"/>
              </w:rPr>
            </w:pPr>
            <w:r w:rsidRPr="009B6364">
              <w:rPr>
                <w:rFonts w:eastAsia="Times New Roman" w:cs="Calibri"/>
                <w:b/>
                <w:color w:val="FFFFFF"/>
                <w:sz w:val="18"/>
                <w:szCs w:val="18"/>
              </w:rPr>
              <w:t>Priority</w:t>
            </w:r>
          </w:p>
        </w:tc>
      </w:tr>
      <w:tr w:rsidR="001B1863" w:rsidRPr="009B6364" w14:paraId="32557577" w14:textId="77777777" w:rsidTr="008F5E55">
        <w:trPr>
          <w:cantSplit/>
        </w:trPr>
        <w:tc>
          <w:tcPr>
            <w:tcW w:w="0" w:type="auto"/>
          </w:tcPr>
          <w:p w14:paraId="1357FCF1" w14:textId="6E0895A8" w:rsidR="001B1863" w:rsidRPr="009B6364" w:rsidRDefault="003D0CBA" w:rsidP="008F5E55">
            <w:pPr>
              <w:spacing w:after="0" w:line="240" w:lineRule="auto"/>
              <w:jc w:val="left"/>
              <w:rPr>
                <w:rFonts w:eastAsia="Times New Roman" w:cs="Calibri"/>
                <w:sz w:val="18"/>
                <w:szCs w:val="18"/>
              </w:rPr>
            </w:pPr>
            <w:r>
              <w:rPr>
                <w:rFonts w:eastAsia="Times New Roman" w:cs="Calibri"/>
                <w:sz w:val="18"/>
                <w:szCs w:val="18"/>
              </w:rPr>
              <w:t xml:space="preserve">Hydrology - </w:t>
            </w:r>
            <w:r w:rsidR="001B1863" w:rsidRPr="009B6364">
              <w:rPr>
                <w:rFonts w:eastAsia="Times New Roman" w:cs="Calibri"/>
                <w:sz w:val="18"/>
                <w:szCs w:val="18"/>
              </w:rPr>
              <w:t>Tidal exchange</w:t>
            </w:r>
          </w:p>
        </w:tc>
        <w:tc>
          <w:tcPr>
            <w:tcW w:w="0" w:type="auto"/>
            <w:shd w:val="clear" w:color="auto" w:fill="auto"/>
          </w:tcPr>
          <w:p w14:paraId="318F6040" w14:textId="232A8216" w:rsidR="001B1863" w:rsidRPr="009B6364" w:rsidRDefault="005569E2" w:rsidP="008F5E55">
            <w:pPr>
              <w:spacing w:after="0" w:line="240" w:lineRule="auto"/>
              <w:jc w:val="center"/>
              <w:rPr>
                <w:rFonts w:eastAsia="Times New Roman" w:cs="Calibri"/>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646C41A7" w14:textId="4EB4C4A6" w:rsidR="001B1863" w:rsidRPr="009B6364" w:rsidRDefault="005569E2" w:rsidP="008F5E55">
            <w:pPr>
              <w:spacing w:after="0" w:line="240" w:lineRule="auto"/>
              <w:jc w:val="center"/>
              <w:rPr>
                <w:rFonts w:eastAsia="Times New Roman" w:cs="Calibri"/>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281F8BAC" w14:textId="77777777" w:rsidR="001B1863" w:rsidRPr="009B6364" w:rsidRDefault="001B1863" w:rsidP="008F5E55">
            <w:pPr>
              <w:spacing w:after="0" w:line="240" w:lineRule="auto"/>
              <w:jc w:val="center"/>
              <w:rPr>
                <w:rFonts w:eastAsia="Times New Roman" w:cs="Calibri"/>
                <w:sz w:val="18"/>
                <w:szCs w:val="18"/>
              </w:rPr>
            </w:pPr>
            <w:r w:rsidRPr="009B6364">
              <w:rPr>
                <w:rFonts w:eastAsia="Times New Roman" w:cs="Calibri"/>
                <w:sz w:val="18"/>
                <w:szCs w:val="18"/>
              </w:rPr>
              <w:t>X</w:t>
            </w:r>
          </w:p>
        </w:tc>
        <w:tc>
          <w:tcPr>
            <w:tcW w:w="0" w:type="auto"/>
            <w:shd w:val="clear" w:color="auto" w:fill="auto"/>
          </w:tcPr>
          <w:p w14:paraId="5D3DFD74" w14:textId="1040D961" w:rsidR="001B1863" w:rsidRPr="009B6364" w:rsidRDefault="005569E2" w:rsidP="008F5E55">
            <w:pPr>
              <w:spacing w:after="0" w:line="240" w:lineRule="auto"/>
              <w:jc w:val="center"/>
              <w:rPr>
                <w:rFonts w:eastAsia="Times New Roman" w:cs="Calibri"/>
                <w:sz w:val="18"/>
                <w:szCs w:val="18"/>
              </w:rPr>
            </w:pPr>
            <w:r w:rsidRPr="001517ED">
              <w:rPr>
                <w:rFonts w:asciiTheme="minorHAnsi" w:eastAsia="Times New Roman" w:hAnsiTheme="minorHAnsi" w:cstheme="minorHAnsi"/>
              </w:rPr>
              <w:sym w:font="Wingdings" w:char="F0FC"/>
            </w:r>
          </w:p>
        </w:tc>
        <w:tc>
          <w:tcPr>
            <w:tcW w:w="0" w:type="auto"/>
          </w:tcPr>
          <w:p w14:paraId="2E313F48" w14:textId="77777777" w:rsidR="001B1863" w:rsidRPr="009B6364" w:rsidRDefault="001B1863" w:rsidP="008F5E55">
            <w:pPr>
              <w:spacing w:after="0" w:line="240" w:lineRule="auto"/>
              <w:rPr>
                <w:rFonts w:eastAsia="Times New Roman" w:cs="Calibri"/>
                <w:sz w:val="18"/>
                <w:szCs w:val="18"/>
              </w:rPr>
            </w:pPr>
          </w:p>
        </w:tc>
      </w:tr>
      <w:tr w:rsidR="003D0CBA" w:rsidRPr="009B6364" w14:paraId="58C52953" w14:textId="77777777" w:rsidTr="008F5E55">
        <w:trPr>
          <w:cantSplit/>
        </w:trPr>
        <w:tc>
          <w:tcPr>
            <w:tcW w:w="0" w:type="auto"/>
          </w:tcPr>
          <w:p w14:paraId="43C3BA87" w14:textId="365220BD" w:rsidR="003D0CBA" w:rsidRPr="009B6364" w:rsidRDefault="003D0CBA" w:rsidP="008F5E55">
            <w:pPr>
              <w:spacing w:after="0" w:line="240" w:lineRule="auto"/>
              <w:jc w:val="left"/>
              <w:rPr>
                <w:rFonts w:eastAsia="Times New Roman" w:cs="Calibri"/>
                <w:sz w:val="18"/>
                <w:szCs w:val="18"/>
              </w:rPr>
            </w:pPr>
            <w:r>
              <w:rPr>
                <w:rFonts w:eastAsia="Times New Roman" w:cs="Calibri"/>
                <w:sz w:val="18"/>
                <w:szCs w:val="18"/>
              </w:rPr>
              <w:t>Hydrology – Surface and groundwater inflows</w:t>
            </w:r>
          </w:p>
        </w:tc>
        <w:tc>
          <w:tcPr>
            <w:tcW w:w="0" w:type="auto"/>
            <w:shd w:val="clear" w:color="auto" w:fill="auto"/>
          </w:tcPr>
          <w:p w14:paraId="46D7A6CF" w14:textId="5900669D" w:rsidR="003D0CBA" w:rsidRPr="001517ED" w:rsidRDefault="003D0CBA" w:rsidP="008F5E55">
            <w:pPr>
              <w:spacing w:after="0" w:line="240" w:lineRule="auto"/>
              <w:jc w:val="center"/>
              <w:rPr>
                <w:rFonts w:asciiTheme="minorHAnsi" w:eastAsia="Times New Roman" w:hAnsiTheme="minorHAnsi" w:cstheme="minorHAnsi"/>
              </w:rPr>
            </w:pPr>
            <w:r w:rsidRPr="001517ED">
              <w:rPr>
                <w:rFonts w:asciiTheme="minorHAnsi" w:eastAsia="Times New Roman" w:hAnsiTheme="minorHAnsi" w:cstheme="minorHAnsi"/>
              </w:rPr>
              <w:sym w:font="Wingdings" w:char="F0FC"/>
            </w:r>
          </w:p>
        </w:tc>
        <w:tc>
          <w:tcPr>
            <w:tcW w:w="0" w:type="auto"/>
            <w:shd w:val="clear" w:color="auto" w:fill="auto"/>
          </w:tcPr>
          <w:p w14:paraId="5A271DE7" w14:textId="7F6D89B2" w:rsidR="003D0CBA" w:rsidRPr="001517ED" w:rsidRDefault="003D0CBA" w:rsidP="008F5E55">
            <w:pPr>
              <w:spacing w:after="0" w:line="240" w:lineRule="auto"/>
              <w:jc w:val="center"/>
              <w:rPr>
                <w:rFonts w:asciiTheme="minorHAnsi" w:eastAsia="Times New Roman" w:hAnsiTheme="minorHAnsi" w:cstheme="minorHAnsi"/>
              </w:rPr>
            </w:pPr>
            <w:r w:rsidRPr="001517ED">
              <w:rPr>
                <w:rFonts w:asciiTheme="minorHAnsi" w:eastAsia="Times New Roman" w:hAnsiTheme="minorHAnsi" w:cstheme="minorHAnsi"/>
              </w:rPr>
              <w:sym w:font="Wingdings" w:char="F0FC"/>
            </w:r>
          </w:p>
        </w:tc>
        <w:tc>
          <w:tcPr>
            <w:tcW w:w="0" w:type="auto"/>
            <w:shd w:val="clear" w:color="auto" w:fill="auto"/>
          </w:tcPr>
          <w:p w14:paraId="29B3046E" w14:textId="28486AC0"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53BDBDD0" w14:textId="7D340F9A" w:rsidR="003D0CBA" w:rsidRPr="001517ED" w:rsidRDefault="003D0CBA" w:rsidP="008F5E55">
            <w:pPr>
              <w:spacing w:after="0" w:line="240" w:lineRule="auto"/>
              <w:jc w:val="center"/>
              <w:rPr>
                <w:rFonts w:asciiTheme="minorHAnsi" w:eastAsia="Times New Roman" w:hAnsiTheme="minorHAnsi" w:cstheme="minorHAnsi"/>
              </w:rPr>
            </w:pPr>
            <w:r w:rsidRPr="001517ED">
              <w:rPr>
                <w:rFonts w:asciiTheme="minorHAnsi" w:eastAsia="Times New Roman" w:hAnsiTheme="minorHAnsi" w:cstheme="minorHAnsi"/>
              </w:rPr>
              <w:sym w:font="Wingdings" w:char="F0FC"/>
            </w:r>
          </w:p>
        </w:tc>
        <w:tc>
          <w:tcPr>
            <w:tcW w:w="0" w:type="auto"/>
          </w:tcPr>
          <w:p w14:paraId="3127A3D6" w14:textId="2E59AAE3" w:rsidR="003D0CBA" w:rsidRPr="009B6364" w:rsidRDefault="003D0CBA" w:rsidP="003D0CBA">
            <w:pPr>
              <w:spacing w:after="0" w:line="240" w:lineRule="auto"/>
              <w:rPr>
                <w:rFonts w:eastAsia="Times New Roman" w:cs="Calibri"/>
                <w:spacing w:val="1"/>
                <w:sz w:val="18"/>
                <w:szCs w:val="18"/>
              </w:rPr>
            </w:pPr>
            <w:r>
              <w:rPr>
                <w:rFonts w:eastAsia="Times New Roman" w:cs="Calibri"/>
                <w:spacing w:val="1"/>
                <w:sz w:val="18"/>
                <w:szCs w:val="18"/>
              </w:rPr>
              <w:t>High: critical component</w:t>
            </w:r>
          </w:p>
        </w:tc>
      </w:tr>
      <w:tr w:rsidR="003D0CBA" w:rsidRPr="009B6364" w14:paraId="19C8E152" w14:textId="77777777" w:rsidTr="008F5E55">
        <w:trPr>
          <w:cantSplit/>
        </w:trPr>
        <w:tc>
          <w:tcPr>
            <w:tcW w:w="0" w:type="auto"/>
          </w:tcPr>
          <w:p w14:paraId="13881493" w14:textId="77777777" w:rsidR="003D0CBA" w:rsidRPr="009B6364" w:rsidRDefault="003D0CBA" w:rsidP="008F5E55">
            <w:pPr>
              <w:spacing w:after="0" w:line="240" w:lineRule="auto"/>
              <w:jc w:val="left"/>
              <w:rPr>
                <w:rFonts w:eastAsia="Times New Roman" w:cs="Calibri"/>
                <w:sz w:val="18"/>
                <w:szCs w:val="18"/>
              </w:rPr>
            </w:pPr>
            <w:r w:rsidRPr="009B6364">
              <w:rPr>
                <w:rFonts w:eastAsia="Times New Roman" w:cs="Calibri"/>
                <w:sz w:val="18"/>
                <w:szCs w:val="18"/>
              </w:rPr>
              <w:t>Geomorphology</w:t>
            </w:r>
          </w:p>
        </w:tc>
        <w:tc>
          <w:tcPr>
            <w:tcW w:w="0" w:type="auto"/>
            <w:shd w:val="clear" w:color="auto" w:fill="auto"/>
          </w:tcPr>
          <w:p w14:paraId="668A03AC" w14:textId="7037341A"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57BBC722" w14:textId="62E5A3D5"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59D34189" w14:textId="77777777" w:rsidR="003D0CBA" w:rsidRPr="009B6364" w:rsidRDefault="003D0CBA" w:rsidP="008F5E55">
            <w:pPr>
              <w:spacing w:after="0" w:line="240" w:lineRule="auto"/>
              <w:jc w:val="center"/>
              <w:rPr>
                <w:rFonts w:eastAsia="Times New Roman" w:cs="Calibri"/>
                <w:spacing w:val="1"/>
                <w:sz w:val="18"/>
                <w:szCs w:val="18"/>
              </w:rPr>
            </w:pPr>
            <w:r w:rsidRPr="009B6364">
              <w:rPr>
                <w:rFonts w:eastAsia="Times New Roman" w:cs="Calibri"/>
                <w:spacing w:val="1"/>
                <w:sz w:val="18"/>
                <w:szCs w:val="18"/>
              </w:rPr>
              <w:t>X</w:t>
            </w:r>
          </w:p>
        </w:tc>
        <w:tc>
          <w:tcPr>
            <w:tcW w:w="0" w:type="auto"/>
            <w:shd w:val="clear" w:color="auto" w:fill="auto"/>
          </w:tcPr>
          <w:p w14:paraId="18860AF9" w14:textId="0C9822AD"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tcPr>
          <w:p w14:paraId="695FC301" w14:textId="77777777" w:rsidR="003D0CBA" w:rsidRPr="009B6364" w:rsidRDefault="003D0CBA" w:rsidP="008F5E55">
            <w:pPr>
              <w:spacing w:after="0" w:line="240" w:lineRule="auto"/>
              <w:rPr>
                <w:rFonts w:eastAsia="Times New Roman" w:cs="Calibri"/>
                <w:spacing w:val="1"/>
                <w:sz w:val="18"/>
                <w:szCs w:val="18"/>
              </w:rPr>
            </w:pPr>
          </w:p>
        </w:tc>
      </w:tr>
      <w:tr w:rsidR="003D0CBA" w:rsidRPr="009B6364" w14:paraId="7517114A" w14:textId="77777777" w:rsidTr="008F5E55">
        <w:trPr>
          <w:cantSplit/>
        </w:trPr>
        <w:tc>
          <w:tcPr>
            <w:tcW w:w="0" w:type="auto"/>
          </w:tcPr>
          <w:p w14:paraId="4A78C61A" w14:textId="77777777" w:rsidR="003D0CBA" w:rsidRPr="009B6364" w:rsidRDefault="003D0CBA" w:rsidP="008F5E55">
            <w:pPr>
              <w:spacing w:after="0" w:line="240" w:lineRule="auto"/>
              <w:jc w:val="left"/>
              <w:rPr>
                <w:rFonts w:eastAsia="Times New Roman" w:cs="Calibri"/>
                <w:sz w:val="18"/>
                <w:szCs w:val="18"/>
              </w:rPr>
            </w:pPr>
            <w:r w:rsidRPr="009B6364">
              <w:rPr>
                <w:rFonts w:eastAsia="Times New Roman" w:cs="Calibri"/>
                <w:sz w:val="18"/>
                <w:szCs w:val="18"/>
              </w:rPr>
              <w:t>Water quality</w:t>
            </w:r>
          </w:p>
        </w:tc>
        <w:tc>
          <w:tcPr>
            <w:tcW w:w="0" w:type="auto"/>
            <w:shd w:val="clear" w:color="auto" w:fill="auto"/>
          </w:tcPr>
          <w:p w14:paraId="1654BFF2" w14:textId="1A2B20AE"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4C545AFD" w14:textId="4C738759"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5B337EF7" w14:textId="3A388D24"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619AA883" w14:textId="48879BA4"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tcPr>
          <w:p w14:paraId="053FA12E" w14:textId="77777777" w:rsidR="003D0CBA" w:rsidRPr="009B6364" w:rsidRDefault="003D0CBA" w:rsidP="008F5E55">
            <w:pPr>
              <w:spacing w:after="0" w:line="240" w:lineRule="auto"/>
              <w:jc w:val="left"/>
              <w:rPr>
                <w:rFonts w:eastAsia="Times New Roman" w:cs="Calibri"/>
                <w:spacing w:val="1"/>
                <w:sz w:val="18"/>
                <w:szCs w:val="18"/>
              </w:rPr>
            </w:pPr>
            <w:r w:rsidRPr="009B6364">
              <w:rPr>
                <w:rFonts w:eastAsia="Times New Roman" w:cs="Calibri"/>
                <w:spacing w:val="1"/>
                <w:sz w:val="18"/>
                <w:szCs w:val="18"/>
              </w:rPr>
              <w:t>High: critical component</w:t>
            </w:r>
          </w:p>
        </w:tc>
      </w:tr>
      <w:tr w:rsidR="003D0CBA" w:rsidRPr="009B6364" w14:paraId="1D2F9A58" w14:textId="77777777" w:rsidTr="008F5E55">
        <w:trPr>
          <w:cantSplit/>
        </w:trPr>
        <w:tc>
          <w:tcPr>
            <w:tcW w:w="0" w:type="auto"/>
          </w:tcPr>
          <w:p w14:paraId="10FF2AD6" w14:textId="77777777" w:rsidR="003D0CBA" w:rsidRPr="009B6364" w:rsidRDefault="003D0CBA" w:rsidP="008F5E55">
            <w:pPr>
              <w:spacing w:after="0" w:line="240" w:lineRule="auto"/>
              <w:jc w:val="left"/>
              <w:rPr>
                <w:rFonts w:eastAsia="Times New Roman" w:cs="Calibri"/>
                <w:sz w:val="18"/>
                <w:szCs w:val="18"/>
              </w:rPr>
            </w:pPr>
            <w:r w:rsidRPr="009B6364">
              <w:rPr>
                <w:rFonts w:eastAsia="Times New Roman" w:cs="Calibri"/>
                <w:sz w:val="18"/>
                <w:szCs w:val="18"/>
              </w:rPr>
              <w:t>Migration</w:t>
            </w:r>
          </w:p>
        </w:tc>
        <w:tc>
          <w:tcPr>
            <w:tcW w:w="0" w:type="auto"/>
            <w:shd w:val="clear" w:color="auto" w:fill="auto"/>
          </w:tcPr>
          <w:p w14:paraId="281B1D40" w14:textId="7C5F5CA2"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333DDAFF" w14:textId="2F28F1B4"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67072BB2" w14:textId="6F3428A9"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19243B4F" w14:textId="4D42C35A"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tcPr>
          <w:p w14:paraId="1E0411E7" w14:textId="77777777" w:rsidR="003D0CBA" w:rsidRPr="009B6364" w:rsidRDefault="003D0CBA" w:rsidP="008F5E55">
            <w:pPr>
              <w:spacing w:after="0" w:line="240" w:lineRule="auto"/>
              <w:jc w:val="left"/>
              <w:rPr>
                <w:rFonts w:eastAsia="Times New Roman" w:cs="Calibri"/>
                <w:spacing w:val="1"/>
                <w:sz w:val="18"/>
                <w:szCs w:val="18"/>
              </w:rPr>
            </w:pPr>
            <w:r w:rsidRPr="009B6364">
              <w:rPr>
                <w:rFonts w:eastAsia="Times New Roman" w:cs="Calibri"/>
                <w:spacing w:val="1"/>
                <w:sz w:val="18"/>
                <w:szCs w:val="18"/>
              </w:rPr>
              <w:t>High: process</w:t>
            </w:r>
          </w:p>
        </w:tc>
      </w:tr>
      <w:tr w:rsidR="003D0CBA" w:rsidRPr="009B6364" w14:paraId="242DAB03" w14:textId="77777777" w:rsidTr="008F5E55">
        <w:trPr>
          <w:cantSplit/>
        </w:trPr>
        <w:tc>
          <w:tcPr>
            <w:tcW w:w="0" w:type="auto"/>
          </w:tcPr>
          <w:p w14:paraId="4640EA20" w14:textId="77777777" w:rsidR="003D0CBA" w:rsidRPr="009B6364" w:rsidRDefault="003D0CBA" w:rsidP="008F5E55">
            <w:pPr>
              <w:spacing w:after="0" w:line="240" w:lineRule="auto"/>
              <w:jc w:val="left"/>
              <w:rPr>
                <w:rFonts w:eastAsia="Times New Roman" w:cs="Calibri"/>
                <w:sz w:val="18"/>
                <w:szCs w:val="18"/>
              </w:rPr>
            </w:pPr>
            <w:r w:rsidRPr="009B6364">
              <w:rPr>
                <w:rFonts w:eastAsia="Times New Roman" w:cs="Calibri"/>
                <w:sz w:val="18"/>
                <w:szCs w:val="18"/>
              </w:rPr>
              <w:t>Benthic plants (seagrass and macroalgae)</w:t>
            </w:r>
          </w:p>
        </w:tc>
        <w:tc>
          <w:tcPr>
            <w:tcW w:w="0" w:type="auto"/>
            <w:shd w:val="clear" w:color="auto" w:fill="auto"/>
          </w:tcPr>
          <w:p w14:paraId="4362A464" w14:textId="67AB4D60" w:rsidR="003D0CBA" w:rsidRPr="009B6364" w:rsidRDefault="003D0CBA" w:rsidP="008F5E55">
            <w:pPr>
              <w:spacing w:after="0" w:line="240" w:lineRule="auto"/>
              <w:jc w:val="center"/>
              <w:rPr>
                <w:rFonts w:eastAsia="Times New Roman" w:cs="Calibri"/>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3A497735" w14:textId="4E120458" w:rsidR="003D0CBA" w:rsidRPr="009B6364" w:rsidRDefault="003D0CBA" w:rsidP="008F5E55">
            <w:pPr>
              <w:spacing w:after="0" w:line="240" w:lineRule="auto"/>
              <w:jc w:val="center"/>
              <w:rPr>
                <w:rFonts w:eastAsia="Times New Roman" w:cs="Calibri"/>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2F6EEECB" w14:textId="52E835A3" w:rsidR="003D0CBA" w:rsidRPr="009B6364" w:rsidRDefault="003D0CBA" w:rsidP="008F5E55">
            <w:pPr>
              <w:spacing w:after="0" w:line="240" w:lineRule="auto"/>
              <w:jc w:val="center"/>
              <w:rPr>
                <w:rFonts w:eastAsia="Times New Roman" w:cs="Calibri"/>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4DCBA09C" w14:textId="157ED144" w:rsidR="003D0CBA" w:rsidRPr="009B6364" w:rsidRDefault="003D0CBA" w:rsidP="008F5E55">
            <w:pPr>
              <w:spacing w:after="0" w:line="240" w:lineRule="auto"/>
              <w:jc w:val="center"/>
              <w:rPr>
                <w:rFonts w:eastAsia="Times New Roman" w:cs="Calibri"/>
                <w:sz w:val="18"/>
                <w:szCs w:val="18"/>
              </w:rPr>
            </w:pPr>
            <w:r w:rsidRPr="001517ED">
              <w:rPr>
                <w:rFonts w:asciiTheme="minorHAnsi" w:eastAsia="Times New Roman" w:hAnsiTheme="minorHAnsi" w:cstheme="minorHAnsi"/>
              </w:rPr>
              <w:sym w:font="Wingdings" w:char="F0FC"/>
            </w:r>
          </w:p>
        </w:tc>
        <w:tc>
          <w:tcPr>
            <w:tcW w:w="0" w:type="auto"/>
          </w:tcPr>
          <w:p w14:paraId="17DD69B9" w14:textId="77777777" w:rsidR="003D0CBA" w:rsidRPr="009B6364" w:rsidRDefault="003D0CBA" w:rsidP="008F5E55">
            <w:pPr>
              <w:spacing w:after="0" w:line="240" w:lineRule="auto"/>
              <w:jc w:val="left"/>
              <w:rPr>
                <w:rFonts w:eastAsia="Times New Roman" w:cs="Calibri"/>
                <w:sz w:val="18"/>
                <w:szCs w:val="18"/>
              </w:rPr>
            </w:pPr>
            <w:r w:rsidRPr="009B6364">
              <w:rPr>
                <w:rFonts w:eastAsia="Times New Roman" w:cs="Calibri"/>
                <w:spacing w:val="1"/>
                <w:sz w:val="18"/>
                <w:szCs w:val="18"/>
              </w:rPr>
              <w:t>High: critical component</w:t>
            </w:r>
          </w:p>
        </w:tc>
      </w:tr>
      <w:tr w:rsidR="003D0CBA" w:rsidRPr="009B6364" w14:paraId="5AD471C5" w14:textId="77777777" w:rsidTr="008F5E55">
        <w:trPr>
          <w:cantSplit/>
        </w:trPr>
        <w:tc>
          <w:tcPr>
            <w:tcW w:w="0" w:type="auto"/>
          </w:tcPr>
          <w:p w14:paraId="07064C8A" w14:textId="77777777" w:rsidR="003D0CBA" w:rsidRPr="009B6364" w:rsidRDefault="003D0CBA" w:rsidP="008F5E55">
            <w:pPr>
              <w:spacing w:after="0" w:line="240" w:lineRule="auto"/>
              <w:jc w:val="left"/>
              <w:rPr>
                <w:rFonts w:eastAsia="Times New Roman" w:cs="Calibri"/>
                <w:sz w:val="18"/>
                <w:szCs w:val="18"/>
              </w:rPr>
            </w:pPr>
            <w:r w:rsidRPr="009B6364">
              <w:rPr>
                <w:rFonts w:eastAsia="Times New Roman" w:cs="Calibri"/>
                <w:sz w:val="18"/>
                <w:szCs w:val="18"/>
              </w:rPr>
              <w:t>Fringing vegetation (saltmarsh and paperbark)</w:t>
            </w:r>
          </w:p>
        </w:tc>
        <w:tc>
          <w:tcPr>
            <w:tcW w:w="0" w:type="auto"/>
            <w:shd w:val="clear" w:color="auto" w:fill="auto"/>
          </w:tcPr>
          <w:p w14:paraId="17B2F153" w14:textId="3288F2A5"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46E0B08E" w14:textId="48899BA3"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34E2024A" w14:textId="44C3E2BC"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5D7EAE64" w14:textId="490FF864"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tcPr>
          <w:p w14:paraId="5FF5268A" w14:textId="77777777" w:rsidR="003D0CBA" w:rsidRPr="009B6364" w:rsidRDefault="003D0CBA" w:rsidP="008F5E55">
            <w:pPr>
              <w:spacing w:after="0" w:line="240" w:lineRule="auto"/>
              <w:jc w:val="left"/>
              <w:rPr>
                <w:rFonts w:eastAsia="Times New Roman" w:cs="Calibri"/>
                <w:spacing w:val="1"/>
                <w:sz w:val="18"/>
                <w:szCs w:val="18"/>
              </w:rPr>
            </w:pPr>
            <w:r w:rsidRPr="009B6364">
              <w:rPr>
                <w:rFonts w:eastAsia="Times New Roman" w:cs="Calibri"/>
                <w:spacing w:val="1"/>
                <w:sz w:val="18"/>
                <w:szCs w:val="18"/>
              </w:rPr>
              <w:t>High: critical component</w:t>
            </w:r>
          </w:p>
        </w:tc>
      </w:tr>
      <w:tr w:rsidR="003D0CBA" w:rsidRPr="009B6364" w14:paraId="791AAC4D" w14:textId="77777777" w:rsidTr="008F5E55">
        <w:trPr>
          <w:cantSplit/>
        </w:trPr>
        <w:tc>
          <w:tcPr>
            <w:tcW w:w="0" w:type="auto"/>
          </w:tcPr>
          <w:p w14:paraId="231D7327" w14:textId="77777777" w:rsidR="003D0CBA" w:rsidRPr="009B6364" w:rsidRDefault="003D0CBA" w:rsidP="008F5E55">
            <w:pPr>
              <w:spacing w:after="0" w:line="240" w:lineRule="auto"/>
              <w:jc w:val="left"/>
              <w:rPr>
                <w:rFonts w:eastAsia="Times New Roman" w:cs="Calibri"/>
                <w:sz w:val="18"/>
                <w:szCs w:val="18"/>
              </w:rPr>
            </w:pPr>
            <w:r w:rsidRPr="009B6364">
              <w:rPr>
                <w:rFonts w:eastAsia="Times New Roman" w:cs="Calibri"/>
                <w:sz w:val="18"/>
                <w:szCs w:val="18"/>
              </w:rPr>
              <w:t>Fish and invertebrates</w:t>
            </w:r>
          </w:p>
        </w:tc>
        <w:tc>
          <w:tcPr>
            <w:tcW w:w="0" w:type="auto"/>
            <w:shd w:val="clear" w:color="auto" w:fill="auto"/>
          </w:tcPr>
          <w:p w14:paraId="3BD757D0" w14:textId="5FA2AC8C"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4F50ACB0" w14:textId="7F3FD8F7"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64FDCBE1" w14:textId="19BA305A"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77835ED0" w14:textId="539238E6"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tcPr>
          <w:p w14:paraId="05D936DF" w14:textId="77777777" w:rsidR="003D0CBA" w:rsidRPr="009B6364" w:rsidRDefault="003D0CBA" w:rsidP="008F5E55">
            <w:pPr>
              <w:spacing w:after="0" w:line="240" w:lineRule="auto"/>
              <w:jc w:val="left"/>
              <w:rPr>
                <w:rFonts w:eastAsia="Times New Roman" w:cs="Calibri"/>
                <w:spacing w:val="1"/>
                <w:sz w:val="18"/>
                <w:szCs w:val="18"/>
              </w:rPr>
            </w:pPr>
            <w:r w:rsidRPr="009B6364">
              <w:rPr>
                <w:rFonts w:eastAsia="Times New Roman" w:cs="Calibri"/>
                <w:spacing w:val="1"/>
                <w:sz w:val="18"/>
                <w:szCs w:val="18"/>
              </w:rPr>
              <w:t>High: critical component</w:t>
            </w:r>
          </w:p>
        </w:tc>
      </w:tr>
      <w:tr w:rsidR="003D0CBA" w:rsidRPr="009B6364" w14:paraId="77924F44" w14:textId="77777777" w:rsidTr="008F5E55">
        <w:trPr>
          <w:cantSplit/>
        </w:trPr>
        <w:tc>
          <w:tcPr>
            <w:tcW w:w="0" w:type="auto"/>
          </w:tcPr>
          <w:p w14:paraId="0F50F505" w14:textId="77777777" w:rsidR="003D0CBA" w:rsidRPr="009B6364" w:rsidRDefault="003D0CBA" w:rsidP="008F5E55">
            <w:pPr>
              <w:spacing w:after="0" w:line="240" w:lineRule="auto"/>
              <w:jc w:val="left"/>
              <w:rPr>
                <w:rFonts w:eastAsia="Times New Roman" w:cs="Calibri"/>
                <w:sz w:val="18"/>
                <w:szCs w:val="18"/>
              </w:rPr>
            </w:pPr>
            <w:r w:rsidRPr="009B6364">
              <w:rPr>
                <w:rFonts w:eastAsia="Times New Roman" w:cs="Calibri"/>
                <w:sz w:val="18"/>
                <w:szCs w:val="18"/>
              </w:rPr>
              <w:t>Waterbirds</w:t>
            </w:r>
          </w:p>
        </w:tc>
        <w:tc>
          <w:tcPr>
            <w:tcW w:w="0" w:type="auto"/>
            <w:shd w:val="clear" w:color="auto" w:fill="auto"/>
          </w:tcPr>
          <w:p w14:paraId="2FD47BA3" w14:textId="7E969A7C"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0597E63F" w14:textId="4AA46CF8"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2F68C40C" w14:textId="72AA1577"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6135CCEF" w14:textId="5D49D8E7"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tcPr>
          <w:p w14:paraId="6803DF16" w14:textId="77777777" w:rsidR="003D0CBA" w:rsidRPr="009B6364" w:rsidRDefault="003D0CBA" w:rsidP="008F5E55">
            <w:pPr>
              <w:spacing w:after="0" w:line="240" w:lineRule="auto"/>
              <w:jc w:val="left"/>
              <w:rPr>
                <w:rFonts w:eastAsia="Times New Roman" w:cs="Calibri"/>
                <w:spacing w:val="1"/>
                <w:sz w:val="18"/>
                <w:szCs w:val="18"/>
              </w:rPr>
            </w:pPr>
            <w:r w:rsidRPr="009B6364">
              <w:rPr>
                <w:rFonts w:eastAsia="Times New Roman" w:cs="Calibri"/>
                <w:spacing w:val="1"/>
                <w:sz w:val="18"/>
                <w:szCs w:val="18"/>
              </w:rPr>
              <w:t>High: critical component (abundance and diversity); process (breeding)</w:t>
            </w:r>
          </w:p>
        </w:tc>
      </w:tr>
      <w:tr w:rsidR="003D0CBA" w:rsidRPr="009B6364" w14:paraId="7DD70A55" w14:textId="77777777" w:rsidTr="008F5E55">
        <w:trPr>
          <w:cantSplit/>
        </w:trPr>
        <w:tc>
          <w:tcPr>
            <w:tcW w:w="0" w:type="auto"/>
          </w:tcPr>
          <w:p w14:paraId="42F7E2B5" w14:textId="77777777" w:rsidR="003D0CBA" w:rsidRPr="009B6364" w:rsidRDefault="003D0CBA" w:rsidP="008F5E55">
            <w:pPr>
              <w:spacing w:after="0" w:line="240" w:lineRule="auto"/>
              <w:jc w:val="left"/>
              <w:rPr>
                <w:rFonts w:eastAsia="Times New Roman" w:cs="Calibri"/>
                <w:sz w:val="18"/>
                <w:szCs w:val="18"/>
              </w:rPr>
            </w:pPr>
            <w:r w:rsidRPr="009B6364">
              <w:rPr>
                <w:rFonts w:eastAsia="Times New Roman" w:cs="Calibri"/>
                <w:sz w:val="18"/>
                <w:szCs w:val="18"/>
              </w:rPr>
              <w:t>Commercial and recreational fishing</w:t>
            </w:r>
          </w:p>
        </w:tc>
        <w:tc>
          <w:tcPr>
            <w:tcW w:w="0" w:type="auto"/>
            <w:shd w:val="clear" w:color="auto" w:fill="auto"/>
          </w:tcPr>
          <w:p w14:paraId="3AC10F19" w14:textId="68FC9B54" w:rsidR="003D0CBA" w:rsidRPr="009B6364" w:rsidRDefault="00AE0E00"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1B6D07A7" w14:textId="77777777" w:rsidR="003D0CBA" w:rsidRPr="009B6364" w:rsidRDefault="003D0CBA" w:rsidP="008F5E55">
            <w:pPr>
              <w:spacing w:after="0" w:line="240" w:lineRule="auto"/>
              <w:jc w:val="center"/>
              <w:rPr>
                <w:rFonts w:eastAsia="Times New Roman" w:cs="Calibri"/>
                <w:spacing w:val="1"/>
                <w:sz w:val="18"/>
                <w:szCs w:val="18"/>
              </w:rPr>
            </w:pPr>
            <w:r w:rsidRPr="009B6364">
              <w:rPr>
                <w:rFonts w:eastAsia="Times New Roman" w:cs="Calibri"/>
                <w:spacing w:val="1"/>
                <w:sz w:val="18"/>
                <w:szCs w:val="18"/>
              </w:rPr>
              <w:t>X</w:t>
            </w:r>
          </w:p>
        </w:tc>
        <w:tc>
          <w:tcPr>
            <w:tcW w:w="0" w:type="auto"/>
            <w:shd w:val="clear" w:color="auto" w:fill="auto"/>
          </w:tcPr>
          <w:p w14:paraId="40CB55C7" w14:textId="1CBE951B" w:rsidR="003D0CBA" w:rsidRPr="009B6364" w:rsidRDefault="003D0CBA"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53A69167" w14:textId="4EA2765D" w:rsidR="003D0CBA" w:rsidRPr="009B6364" w:rsidRDefault="00AE0E00" w:rsidP="008F5E55">
            <w:pPr>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tcPr>
          <w:p w14:paraId="3824FBA7" w14:textId="767A7031" w:rsidR="003D0CBA" w:rsidRPr="009B6364" w:rsidRDefault="00FD5B0C" w:rsidP="00AE0E00">
            <w:pPr>
              <w:spacing w:after="0" w:line="240" w:lineRule="auto"/>
              <w:jc w:val="left"/>
              <w:rPr>
                <w:rFonts w:eastAsia="Times New Roman" w:cs="Calibri"/>
                <w:spacing w:val="1"/>
                <w:sz w:val="18"/>
                <w:szCs w:val="18"/>
              </w:rPr>
            </w:pPr>
            <w:r>
              <w:rPr>
                <w:rFonts w:eastAsia="Times New Roman" w:cs="Calibri"/>
                <w:spacing w:val="1"/>
                <w:sz w:val="18"/>
                <w:szCs w:val="18"/>
              </w:rPr>
              <w:t xml:space="preserve">High: critical service </w:t>
            </w:r>
            <w:r w:rsidR="00AE0E00">
              <w:rPr>
                <w:rFonts w:eastAsia="Times New Roman" w:cs="Calibri"/>
                <w:spacing w:val="1"/>
                <w:sz w:val="18"/>
                <w:szCs w:val="18"/>
              </w:rPr>
              <w:t>(for crabs)*</w:t>
            </w:r>
          </w:p>
        </w:tc>
      </w:tr>
      <w:tr w:rsidR="003D0CBA" w:rsidRPr="009B6364" w14:paraId="2A8A3849" w14:textId="77777777" w:rsidTr="008F5E55">
        <w:trPr>
          <w:cantSplit/>
        </w:trPr>
        <w:tc>
          <w:tcPr>
            <w:tcW w:w="0" w:type="auto"/>
          </w:tcPr>
          <w:p w14:paraId="3DB468D3" w14:textId="77777777" w:rsidR="003D0CBA" w:rsidRPr="009B6364" w:rsidRDefault="003D0CBA" w:rsidP="008F5E55">
            <w:pPr>
              <w:spacing w:after="0" w:line="240" w:lineRule="auto"/>
              <w:jc w:val="left"/>
              <w:rPr>
                <w:rFonts w:eastAsia="Times New Roman" w:cs="Calibri"/>
                <w:sz w:val="18"/>
                <w:szCs w:val="18"/>
              </w:rPr>
            </w:pPr>
            <w:r w:rsidRPr="009B6364">
              <w:rPr>
                <w:rFonts w:eastAsia="Times New Roman" w:cs="Calibri"/>
                <w:sz w:val="18"/>
                <w:szCs w:val="18"/>
              </w:rPr>
              <w:t>Flood mitigation</w:t>
            </w:r>
          </w:p>
        </w:tc>
        <w:tc>
          <w:tcPr>
            <w:tcW w:w="0" w:type="auto"/>
            <w:shd w:val="clear" w:color="auto" w:fill="auto"/>
          </w:tcPr>
          <w:p w14:paraId="4D262990" w14:textId="77777777" w:rsidR="003D0CBA" w:rsidRPr="009B6364" w:rsidRDefault="003D0CBA" w:rsidP="008F5E55">
            <w:pPr>
              <w:spacing w:after="0" w:line="240" w:lineRule="auto"/>
              <w:jc w:val="center"/>
              <w:rPr>
                <w:rFonts w:eastAsia="Times New Roman" w:cs="Calibri"/>
                <w:spacing w:val="1"/>
                <w:sz w:val="18"/>
                <w:szCs w:val="18"/>
              </w:rPr>
            </w:pPr>
            <w:r w:rsidRPr="009B6364">
              <w:rPr>
                <w:rFonts w:eastAsia="Times New Roman" w:cs="Calibri"/>
                <w:spacing w:val="1"/>
                <w:sz w:val="18"/>
                <w:szCs w:val="18"/>
              </w:rPr>
              <w:t>X</w:t>
            </w:r>
          </w:p>
        </w:tc>
        <w:tc>
          <w:tcPr>
            <w:tcW w:w="0" w:type="auto"/>
            <w:shd w:val="clear" w:color="auto" w:fill="auto"/>
          </w:tcPr>
          <w:p w14:paraId="4C155B05" w14:textId="77777777" w:rsidR="003D0CBA" w:rsidRPr="009B6364" w:rsidRDefault="003D0CBA" w:rsidP="008F5E55">
            <w:pPr>
              <w:spacing w:after="0" w:line="240" w:lineRule="auto"/>
              <w:jc w:val="center"/>
              <w:rPr>
                <w:rFonts w:eastAsia="Times New Roman" w:cs="Calibri"/>
                <w:spacing w:val="1"/>
                <w:sz w:val="18"/>
                <w:szCs w:val="18"/>
              </w:rPr>
            </w:pPr>
            <w:r w:rsidRPr="009B6364">
              <w:rPr>
                <w:rFonts w:eastAsia="Times New Roman" w:cs="Calibri"/>
                <w:spacing w:val="1"/>
                <w:sz w:val="18"/>
                <w:szCs w:val="18"/>
              </w:rPr>
              <w:t>X</w:t>
            </w:r>
          </w:p>
        </w:tc>
        <w:tc>
          <w:tcPr>
            <w:tcW w:w="0" w:type="auto"/>
            <w:shd w:val="clear" w:color="auto" w:fill="auto"/>
          </w:tcPr>
          <w:p w14:paraId="6A51A342" w14:textId="77777777" w:rsidR="003D0CBA" w:rsidRPr="009B6364" w:rsidRDefault="003D0CBA" w:rsidP="008F5E55">
            <w:pPr>
              <w:spacing w:after="0" w:line="240" w:lineRule="auto"/>
              <w:jc w:val="center"/>
              <w:rPr>
                <w:rFonts w:eastAsia="Times New Roman" w:cs="Calibri"/>
                <w:spacing w:val="1"/>
                <w:sz w:val="18"/>
                <w:szCs w:val="18"/>
              </w:rPr>
            </w:pPr>
            <w:r w:rsidRPr="009B6364">
              <w:rPr>
                <w:rFonts w:eastAsia="Times New Roman" w:cs="Calibri"/>
                <w:spacing w:val="1"/>
                <w:sz w:val="18"/>
                <w:szCs w:val="18"/>
              </w:rPr>
              <w:t>X</w:t>
            </w:r>
          </w:p>
        </w:tc>
        <w:tc>
          <w:tcPr>
            <w:tcW w:w="0" w:type="auto"/>
            <w:shd w:val="clear" w:color="auto" w:fill="auto"/>
          </w:tcPr>
          <w:p w14:paraId="58F11003" w14:textId="77777777" w:rsidR="003D0CBA" w:rsidRPr="009B6364" w:rsidRDefault="003D0CBA" w:rsidP="008F5E55">
            <w:pPr>
              <w:spacing w:after="0" w:line="240" w:lineRule="auto"/>
              <w:jc w:val="center"/>
              <w:rPr>
                <w:rFonts w:eastAsia="Times New Roman" w:cs="Calibri"/>
                <w:spacing w:val="1"/>
                <w:sz w:val="18"/>
                <w:szCs w:val="18"/>
              </w:rPr>
            </w:pPr>
            <w:r w:rsidRPr="009B6364">
              <w:rPr>
                <w:rFonts w:eastAsia="Times New Roman" w:cs="Calibri"/>
                <w:spacing w:val="1"/>
                <w:sz w:val="18"/>
                <w:szCs w:val="18"/>
              </w:rPr>
              <w:t>X</w:t>
            </w:r>
          </w:p>
        </w:tc>
        <w:tc>
          <w:tcPr>
            <w:tcW w:w="0" w:type="auto"/>
          </w:tcPr>
          <w:p w14:paraId="330038A7" w14:textId="77777777" w:rsidR="003D0CBA" w:rsidRPr="009B6364" w:rsidRDefault="003D0CBA" w:rsidP="008F5E55">
            <w:pPr>
              <w:spacing w:after="0" w:line="240" w:lineRule="auto"/>
              <w:rPr>
                <w:rFonts w:eastAsia="Times New Roman" w:cs="Calibri"/>
                <w:spacing w:val="1"/>
                <w:sz w:val="18"/>
                <w:szCs w:val="18"/>
              </w:rPr>
            </w:pPr>
          </w:p>
        </w:tc>
      </w:tr>
      <w:tr w:rsidR="003D0CBA" w:rsidRPr="009B6364" w14:paraId="3087E74D" w14:textId="77777777" w:rsidTr="008F5E55">
        <w:trPr>
          <w:cantSplit/>
        </w:trPr>
        <w:tc>
          <w:tcPr>
            <w:tcW w:w="0" w:type="auto"/>
          </w:tcPr>
          <w:p w14:paraId="139E054A" w14:textId="77777777" w:rsidR="003D0CBA" w:rsidRPr="009B6364" w:rsidRDefault="003D0CBA" w:rsidP="008F5E55">
            <w:pPr>
              <w:spacing w:after="0" w:line="240" w:lineRule="auto"/>
              <w:jc w:val="left"/>
              <w:rPr>
                <w:rFonts w:eastAsia="Times New Roman" w:cs="Calibri"/>
                <w:sz w:val="18"/>
                <w:szCs w:val="18"/>
              </w:rPr>
            </w:pPr>
            <w:r w:rsidRPr="009B6364">
              <w:rPr>
                <w:rFonts w:eastAsia="Times New Roman" w:cs="Calibri"/>
                <w:sz w:val="18"/>
                <w:szCs w:val="18"/>
              </w:rPr>
              <w:t>Recreation and tourism</w:t>
            </w:r>
          </w:p>
        </w:tc>
        <w:tc>
          <w:tcPr>
            <w:tcW w:w="0" w:type="auto"/>
            <w:shd w:val="clear" w:color="auto" w:fill="auto"/>
          </w:tcPr>
          <w:p w14:paraId="303DA746" w14:textId="77777777" w:rsidR="003D0CBA" w:rsidRPr="009B6364" w:rsidRDefault="003D0CBA" w:rsidP="008F5E55">
            <w:pPr>
              <w:tabs>
                <w:tab w:val="left" w:pos="493"/>
              </w:tabs>
              <w:spacing w:after="0" w:line="240" w:lineRule="auto"/>
              <w:jc w:val="center"/>
              <w:rPr>
                <w:rFonts w:eastAsia="Times New Roman" w:cs="Calibri"/>
                <w:spacing w:val="1"/>
                <w:sz w:val="18"/>
                <w:szCs w:val="18"/>
              </w:rPr>
            </w:pPr>
            <w:r w:rsidRPr="009B6364">
              <w:rPr>
                <w:rFonts w:eastAsia="Times New Roman" w:cs="Calibri"/>
                <w:spacing w:val="1"/>
                <w:sz w:val="18"/>
                <w:szCs w:val="18"/>
              </w:rPr>
              <w:t>X</w:t>
            </w:r>
          </w:p>
        </w:tc>
        <w:tc>
          <w:tcPr>
            <w:tcW w:w="0" w:type="auto"/>
            <w:shd w:val="clear" w:color="auto" w:fill="auto"/>
          </w:tcPr>
          <w:p w14:paraId="4846F588" w14:textId="77777777" w:rsidR="003D0CBA" w:rsidRPr="009B6364" w:rsidRDefault="003D0CBA" w:rsidP="008F5E55">
            <w:pPr>
              <w:tabs>
                <w:tab w:val="left" w:pos="493"/>
              </w:tabs>
              <w:spacing w:after="0" w:line="240" w:lineRule="auto"/>
              <w:jc w:val="center"/>
              <w:rPr>
                <w:rFonts w:eastAsia="Times New Roman" w:cs="Calibri"/>
                <w:spacing w:val="1"/>
                <w:sz w:val="18"/>
                <w:szCs w:val="18"/>
              </w:rPr>
            </w:pPr>
            <w:r w:rsidRPr="009B6364">
              <w:rPr>
                <w:rFonts w:eastAsia="Times New Roman" w:cs="Calibri"/>
                <w:spacing w:val="1"/>
                <w:sz w:val="18"/>
                <w:szCs w:val="18"/>
              </w:rPr>
              <w:t>X</w:t>
            </w:r>
          </w:p>
        </w:tc>
        <w:tc>
          <w:tcPr>
            <w:tcW w:w="0" w:type="auto"/>
            <w:shd w:val="clear" w:color="auto" w:fill="auto"/>
          </w:tcPr>
          <w:p w14:paraId="654638B9" w14:textId="6107F5B4" w:rsidR="003D0CBA" w:rsidRPr="009B6364" w:rsidRDefault="003D0CBA" w:rsidP="008F5E55">
            <w:pPr>
              <w:tabs>
                <w:tab w:val="left" w:pos="493"/>
              </w:tabs>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51FAF4A3" w14:textId="77777777" w:rsidR="003D0CBA" w:rsidRPr="009B6364" w:rsidRDefault="003D0CBA" w:rsidP="008F5E55">
            <w:pPr>
              <w:tabs>
                <w:tab w:val="left" w:pos="493"/>
              </w:tabs>
              <w:spacing w:after="0" w:line="240" w:lineRule="auto"/>
              <w:jc w:val="center"/>
              <w:rPr>
                <w:rFonts w:eastAsia="Times New Roman" w:cs="Calibri"/>
                <w:spacing w:val="1"/>
                <w:sz w:val="18"/>
                <w:szCs w:val="18"/>
              </w:rPr>
            </w:pPr>
            <w:r w:rsidRPr="009B6364">
              <w:rPr>
                <w:rFonts w:eastAsia="Times New Roman" w:cs="Calibri"/>
                <w:spacing w:val="1"/>
                <w:sz w:val="18"/>
                <w:szCs w:val="18"/>
              </w:rPr>
              <w:t>X</w:t>
            </w:r>
          </w:p>
        </w:tc>
        <w:tc>
          <w:tcPr>
            <w:tcW w:w="0" w:type="auto"/>
          </w:tcPr>
          <w:p w14:paraId="2387EC7B" w14:textId="77777777" w:rsidR="003D0CBA" w:rsidRPr="009B6364" w:rsidRDefault="003D0CBA" w:rsidP="008F5E55">
            <w:pPr>
              <w:tabs>
                <w:tab w:val="left" w:pos="493"/>
              </w:tabs>
              <w:spacing w:after="0" w:line="240" w:lineRule="auto"/>
              <w:rPr>
                <w:rFonts w:eastAsia="Times New Roman" w:cs="Calibri"/>
                <w:spacing w:val="1"/>
                <w:sz w:val="18"/>
                <w:szCs w:val="18"/>
              </w:rPr>
            </w:pPr>
          </w:p>
        </w:tc>
      </w:tr>
      <w:tr w:rsidR="003D0CBA" w:rsidRPr="009B6364" w14:paraId="2D9C7677" w14:textId="77777777" w:rsidTr="008F5E55">
        <w:trPr>
          <w:cantSplit/>
        </w:trPr>
        <w:tc>
          <w:tcPr>
            <w:tcW w:w="0" w:type="auto"/>
          </w:tcPr>
          <w:p w14:paraId="68C14CC9" w14:textId="77777777" w:rsidR="003D0CBA" w:rsidRPr="009B6364" w:rsidRDefault="003D0CBA" w:rsidP="008F5E55">
            <w:pPr>
              <w:spacing w:after="0" w:line="240" w:lineRule="auto"/>
              <w:jc w:val="left"/>
              <w:rPr>
                <w:rFonts w:eastAsia="Times New Roman" w:cs="Calibri"/>
                <w:sz w:val="18"/>
                <w:szCs w:val="18"/>
              </w:rPr>
            </w:pPr>
            <w:r w:rsidRPr="009B6364">
              <w:rPr>
                <w:rFonts w:eastAsia="Times New Roman" w:cs="Calibri"/>
                <w:sz w:val="18"/>
                <w:szCs w:val="18"/>
              </w:rPr>
              <w:t>Indigenous cultural values</w:t>
            </w:r>
          </w:p>
        </w:tc>
        <w:tc>
          <w:tcPr>
            <w:tcW w:w="0" w:type="auto"/>
            <w:shd w:val="clear" w:color="auto" w:fill="auto"/>
          </w:tcPr>
          <w:p w14:paraId="5AABB6BA" w14:textId="1E7B77F2" w:rsidR="003D0CBA" w:rsidRPr="009B6364" w:rsidRDefault="003D0CBA" w:rsidP="008F5E55">
            <w:pPr>
              <w:tabs>
                <w:tab w:val="left" w:pos="493"/>
              </w:tabs>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088DD324" w14:textId="77777777" w:rsidR="003D0CBA" w:rsidRPr="009B6364" w:rsidRDefault="003D0CBA" w:rsidP="008F5E55">
            <w:pPr>
              <w:tabs>
                <w:tab w:val="left" w:pos="493"/>
              </w:tabs>
              <w:spacing w:after="0" w:line="240" w:lineRule="auto"/>
              <w:jc w:val="center"/>
              <w:rPr>
                <w:rFonts w:eastAsia="Times New Roman" w:cs="Calibri"/>
                <w:spacing w:val="1"/>
                <w:sz w:val="18"/>
                <w:szCs w:val="18"/>
              </w:rPr>
            </w:pPr>
            <w:r w:rsidRPr="009B6364">
              <w:rPr>
                <w:rFonts w:eastAsia="Times New Roman" w:cs="Calibri"/>
                <w:spacing w:val="1"/>
                <w:sz w:val="18"/>
                <w:szCs w:val="18"/>
              </w:rPr>
              <w:t>X</w:t>
            </w:r>
          </w:p>
        </w:tc>
        <w:tc>
          <w:tcPr>
            <w:tcW w:w="0" w:type="auto"/>
            <w:shd w:val="clear" w:color="auto" w:fill="auto"/>
          </w:tcPr>
          <w:p w14:paraId="43E9D030" w14:textId="3C336AC7" w:rsidR="003D0CBA" w:rsidRPr="009B6364" w:rsidRDefault="003D0CBA" w:rsidP="008F5E55">
            <w:pPr>
              <w:tabs>
                <w:tab w:val="left" w:pos="493"/>
              </w:tabs>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shd w:val="clear" w:color="auto" w:fill="auto"/>
          </w:tcPr>
          <w:p w14:paraId="7BE49F8B" w14:textId="1F0B1C68" w:rsidR="003D0CBA" w:rsidRPr="009B6364" w:rsidRDefault="003D0CBA" w:rsidP="008F5E55">
            <w:pPr>
              <w:tabs>
                <w:tab w:val="left" w:pos="493"/>
              </w:tabs>
              <w:spacing w:after="0" w:line="240" w:lineRule="auto"/>
              <w:jc w:val="center"/>
              <w:rPr>
                <w:rFonts w:eastAsia="Times New Roman" w:cs="Calibri"/>
                <w:spacing w:val="1"/>
                <w:sz w:val="18"/>
                <w:szCs w:val="18"/>
              </w:rPr>
            </w:pPr>
            <w:r w:rsidRPr="001517ED">
              <w:rPr>
                <w:rFonts w:asciiTheme="minorHAnsi" w:eastAsia="Times New Roman" w:hAnsiTheme="minorHAnsi" w:cstheme="minorHAnsi"/>
              </w:rPr>
              <w:sym w:font="Wingdings" w:char="F0FC"/>
            </w:r>
          </w:p>
        </w:tc>
        <w:tc>
          <w:tcPr>
            <w:tcW w:w="0" w:type="auto"/>
          </w:tcPr>
          <w:p w14:paraId="0CC99D19" w14:textId="77777777" w:rsidR="003D0CBA" w:rsidRPr="009B6364" w:rsidRDefault="003D0CBA" w:rsidP="008F5E55">
            <w:pPr>
              <w:tabs>
                <w:tab w:val="left" w:pos="493"/>
              </w:tabs>
              <w:spacing w:after="0" w:line="240" w:lineRule="auto"/>
              <w:rPr>
                <w:rFonts w:eastAsia="Times New Roman" w:cs="Calibri"/>
                <w:spacing w:val="1"/>
                <w:sz w:val="18"/>
                <w:szCs w:val="18"/>
              </w:rPr>
            </w:pPr>
          </w:p>
        </w:tc>
      </w:tr>
    </w:tbl>
    <w:p w14:paraId="706F7E28" w14:textId="088F6E48" w:rsidR="008F5E55" w:rsidRPr="00AE0E00" w:rsidRDefault="00AE0E00" w:rsidP="00AE0E00">
      <w:pPr>
        <w:rPr>
          <w:sz w:val="16"/>
          <w:szCs w:val="16"/>
        </w:rPr>
      </w:pPr>
      <w:r w:rsidRPr="00AE0E00">
        <w:rPr>
          <w:sz w:val="16"/>
          <w:szCs w:val="16"/>
        </w:rPr>
        <w:t>* note that</w:t>
      </w:r>
      <w:r>
        <w:rPr>
          <w:sz w:val="16"/>
          <w:szCs w:val="16"/>
        </w:rPr>
        <w:t xml:space="preserve"> a service cannot be considered critical under the criteria 2 as there are no Ramsar listing criteria specific to provision of services. In the case of commercial crabbing, the absence of this fishery would be viewed as a change in the character of the site and was included as a critical service in the ECD. </w:t>
      </w:r>
    </w:p>
    <w:p w14:paraId="6679776A" w14:textId="77777777" w:rsidR="001B1863" w:rsidRPr="009B6364" w:rsidRDefault="001B1863" w:rsidP="001B1863">
      <w:pPr>
        <w:rPr>
          <w:b/>
          <w:i/>
          <w:color w:val="8C863E" w:themeColor="background2" w:themeShade="80"/>
          <w:sz w:val="24"/>
          <w:szCs w:val="24"/>
        </w:rPr>
      </w:pPr>
      <w:r w:rsidRPr="009B6364">
        <w:rPr>
          <w:b/>
          <w:i/>
          <w:color w:val="8C863E" w:themeColor="background2" w:themeShade="80"/>
          <w:sz w:val="24"/>
          <w:szCs w:val="24"/>
        </w:rPr>
        <w:t>Assumptions and Knowledge gaps</w:t>
      </w:r>
    </w:p>
    <w:p w14:paraId="5CE70296" w14:textId="3C3E3524" w:rsidR="001B1863" w:rsidRPr="009B6364" w:rsidRDefault="001B1863" w:rsidP="001B1863">
      <w:r w:rsidRPr="009B6364">
        <w:t xml:space="preserve">The identification of priority values is based entirely on the information provided in the </w:t>
      </w:r>
      <w:r w:rsidR="000C410F">
        <w:t>ECD</w:t>
      </w:r>
      <w:r w:rsidRPr="009B6364">
        <w:t xml:space="preserve"> for the site. No new information was sourced, nor was there any new analysis on the application of the criteria for identifying critical components, processes and services.</w:t>
      </w:r>
    </w:p>
    <w:p w14:paraId="255B0F9B" w14:textId="77777777" w:rsidR="001B1863" w:rsidRPr="009B6364" w:rsidRDefault="001B1863" w:rsidP="001B1863">
      <w:pPr>
        <w:pStyle w:val="Heading2"/>
        <w:numPr>
          <w:ilvl w:val="0"/>
          <w:numId w:val="0"/>
        </w:numPr>
      </w:pPr>
      <w:bookmarkStart w:id="150" w:name="_Toc479342241"/>
      <w:bookmarkStart w:id="151" w:name="_Toc493774248"/>
      <w:r w:rsidRPr="009B6364">
        <w:t>Step 2</w:t>
      </w:r>
      <w:bookmarkEnd w:id="150"/>
      <w:r w:rsidRPr="009B6364">
        <w:t>: Identify and prioritise threats</w:t>
      </w:r>
      <w:bookmarkEnd w:id="151"/>
    </w:p>
    <w:p w14:paraId="3172825A" w14:textId="77777777" w:rsidR="001B1863" w:rsidRPr="009B6364" w:rsidRDefault="001B1863" w:rsidP="001B1863">
      <w:pPr>
        <w:rPr>
          <w:b/>
          <w:i/>
        </w:rPr>
      </w:pPr>
      <w:r w:rsidRPr="009B6364">
        <w:rPr>
          <w:b/>
          <w:i/>
        </w:rPr>
        <w:t>List pressures and stressors for the values identified in Step 1</w:t>
      </w:r>
    </w:p>
    <w:p w14:paraId="10FF96C2" w14:textId="62CC1F62" w:rsidR="001B1863" w:rsidRPr="009B6364" w:rsidRDefault="001B1863" w:rsidP="001B1863">
      <w:r w:rsidRPr="009B6364">
        <w:t xml:space="preserve">The threats to ecological character identified in the management plan and </w:t>
      </w:r>
      <w:r w:rsidR="00B264EE">
        <w:t>ECD</w:t>
      </w:r>
      <w:r w:rsidRPr="009B6364">
        <w:t xml:space="preserve"> of the Peel-Yalgorup Ramsar site have been translated into the IUCN threat classification scheme</w:t>
      </w:r>
      <w:r w:rsidR="00B264EE">
        <w:t xml:space="preserve"> (see Appendix E)</w:t>
      </w:r>
      <w:r w:rsidRPr="009B6364">
        <w:t>. Threats to ecological character are (adapted from Peel</w:t>
      </w:r>
      <w:r w:rsidR="00DC6A1F">
        <w:t>-</w:t>
      </w:r>
      <w:r w:rsidRPr="009B6364">
        <w:t>Harvey Catchment Council 2009):</w:t>
      </w:r>
    </w:p>
    <w:p w14:paraId="38473EB5" w14:textId="77777777" w:rsidR="001B1863" w:rsidRPr="009B6364" w:rsidRDefault="001B1863" w:rsidP="00F4328F">
      <w:pPr>
        <w:pStyle w:val="ListParagraph"/>
        <w:numPr>
          <w:ilvl w:val="0"/>
          <w:numId w:val="66"/>
        </w:numPr>
        <w:rPr>
          <w:b/>
        </w:rPr>
      </w:pPr>
      <w:r w:rsidRPr="009B6364">
        <w:rPr>
          <w:b/>
        </w:rPr>
        <w:lastRenderedPageBreak/>
        <w:t xml:space="preserve">Residential &amp; Commercial Development - </w:t>
      </w:r>
      <w:r w:rsidRPr="009B6364">
        <w:t>1.1. Housing &amp; urban areas</w:t>
      </w:r>
    </w:p>
    <w:p w14:paraId="203D825E" w14:textId="77777777" w:rsidR="001B1863" w:rsidRPr="009B6364" w:rsidRDefault="001B1863" w:rsidP="00F4328F">
      <w:pPr>
        <w:pStyle w:val="ListParagraph"/>
        <w:numPr>
          <w:ilvl w:val="0"/>
          <w:numId w:val="66"/>
        </w:numPr>
        <w:rPr>
          <w:b/>
          <w:bCs/>
        </w:rPr>
      </w:pPr>
      <w:r w:rsidRPr="009B6364">
        <w:rPr>
          <w:b/>
          <w:bCs/>
        </w:rPr>
        <w:t xml:space="preserve">Agriculture and Aquaculture - </w:t>
      </w:r>
      <w:r w:rsidRPr="009B6364">
        <w:t>2.3. Livestock farming</w:t>
      </w:r>
    </w:p>
    <w:p w14:paraId="72BF171A" w14:textId="77777777" w:rsidR="001B1863" w:rsidRPr="009B6364" w:rsidRDefault="001B1863" w:rsidP="00F4328F">
      <w:pPr>
        <w:pStyle w:val="ListParagraph"/>
        <w:numPr>
          <w:ilvl w:val="0"/>
          <w:numId w:val="66"/>
        </w:numPr>
        <w:rPr>
          <w:b/>
          <w:bCs/>
        </w:rPr>
      </w:pPr>
      <w:r w:rsidRPr="009B6364">
        <w:rPr>
          <w:b/>
          <w:bCs/>
        </w:rPr>
        <w:t xml:space="preserve">Biological Resource Use - </w:t>
      </w:r>
      <w:r w:rsidRPr="009B6364">
        <w:t>5.4. Fishing &amp; harvesting aquatic resources</w:t>
      </w:r>
      <w:r w:rsidRPr="009B6364">
        <w:rPr>
          <w:b/>
          <w:bCs/>
        </w:rPr>
        <w:t xml:space="preserve"> </w:t>
      </w:r>
    </w:p>
    <w:p w14:paraId="27E6412D" w14:textId="77777777" w:rsidR="001B1863" w:rsidRPr="009B6364" w:rsidRDefault="001B1863" w:rsidP="00F4328F">
      <w:pPr>
        <w:pStyle w:val="ListParagraph"/>
        <w:numPr>
          <w:ilvl w:val="0"/>
          <w:numId w:val="66"/>
        </w:numPr>
      </w:pPr>
      <w:r w:rsidRPr="009B6364">
        <w:rPr>
          <w:b/>
          <w:bCs/>
        </w:rPr>
        <w:t xml:space="preserve">Human Intrusion &amp; Disturbance - </w:t>
      </w:r>
      <w:r w:rsidRPr="009B6364">
        <w:t>6.1. Recreation activities</w:t>
      </w:r>
    </w:p>
    <w:p w14:paraId="475F1112" w14:textId="77777777" w:rsidR="001B1863" w:rsidRPr="009B6364" w:rsidRDefault="001B1863" w:rsidP="00F4328F">
      <w:pPr>
        <w:pStyle w:val="ListParagraph"/>
        <w:numPr>
          <w:ilvl w:val="0"/>
          <w:numId w:val="66"/>
        </w:numPr>
        <w:rPr>
          <w:b/>
        </w:rPr>
      </w:pPr>
      <w:r w:rsidRPr="009B6364">
        <w:rPr>
          <w:b/>
        </w:rPr>
        <w:t xml:space="preserve">Natural System Modifications - </w:t>
      </w:r>
      <w:r w:rsidRPr="009B6364">
        <w:t>7.2. Dams &amp; water management/use</w:t>
      </w:r>
      <w:r w:rsidRPr="009B6364">
        <w:rPr>
          <w:b/>
          <w:bCs/>
        </w:rPr>
        <w:t xml:space="preserve"> </w:t>
      </w:r>
    </w:p>
    <w:p w14:paraId="251EC272" w14:textId="77777777" w:rsidR="001B1863" w:rsidRPr="009B6364" w:rsidRDefault="001B1863" w:rsidP="00F4328F">
      <w:pPr>
        <w:pStyle w:val="ListParagraph"/>
        <w:numPr>
          <w:ilvl w:val="0"/>
          <w:numId w:val="66"/>
        </w:numPr>
        <w:rPr>
          <w:b/>
          <w:bCs/>
        </w:rPr>
      </w:pPr>
      <w:r w:rsidRPr="009B6364">
        <w:rPr>
          <w:b/>
          <w:bCs/>
        </w:rPr>
        <w:t xml:space="preserve">Invasive &amp; Other Problematic Species &amp; Genes - </w:t>
      </w:r>
      <w:r w:rsidRPr="009B6364">
        <w:t>8.1. Invasive non-native/alien species</w:t>
      </w:r>
    </w:p>
    <w:p w14:paraId="28166043" w14:textId="77777777" w:rsidR="001B1863" w:rsidRPr="009B6364" w:rsidRDefault="001B1863" w:rsidP="00F4328F">
      <w:pPr>
        <w:pStyle w:val="ListParagraph"/>
        <w:numPr>
          <w:ilvl w:val="0"/>
          <w:numId w:val="66"/>
        </w:numPr>
        <w:rPr>
          <w:b/>
          <w:bCs/>
        </w:rPr>
      </w:pPr>
      <w:r w:rsidRPr="009B6364">
        <w:rPr>
          <w:b/>
          <w:bCs/>
        </w:rPr>
        <w:t xml:space="preserve">Pollution - </w:t>
      </w:r>
      <w:r w:rsidRPr="009B6364">
        <w:t>9.1. Household sewage &amp; urban wastewater</w:t>
      </w:r>
      <w:r w:rsidRPr="009B6364">
        <w:rPr>
          <w:b/>
          <w:bCs/>
        </w:rPr>
        <w:t xml:space="preserve">, </w:t>
      </w:r>
      <w:r w:rsidRPr="009B6364">
        <w:t>9.3. Agricultural &amp; forestry effluents</w:t>
      </w:r>
    </w:p>
    <w:p w14:paraId="7D77C3CD" w14:textId="7BC0DEBE" w:rsidR="001B1863" w:rsidRPr="009B6364" w:rsidRDefault="001B1863" w:rsidP="00F4328F">
      <w:pPr>
        <w:pStyle w:val="ListParagraph"/>
        <w:numPr>
          <w:ilvl w:val="0"/>
          <w:numId w:val="66"/>
        </w:numPr>
        <w:rPr>
          <w:b/>
        </w:rPr>
      </w:pPr>
      <w:r w:rsidRPr="009B6364">
        <w:rPr>
          <w:b/>
        </w:rPr>
        <w:t xml:space="preserve">Climate </w:t>
      </w:r>
      <w:r w:rsidR="00BF3637" w:rsidRPr="009B6364">
        <w:rPr>
          <w:b/>
        </w:rPr>
        <w:t>Change -</w:t>
      </w:r>
      <w:r w:rsidRPr="009B6364">
        <w:rPr>
          <w:b/>
        </w:rPr>
        <w:t xml:space="preserve"> </w:t>
      </w:r>
      <w:r w:rsidRPr="009B6364">
        <w:t>11.4. Changes in precipitation and hydrological regimes</w:t>
      </w:r>
    </w:p>
    <w:p w14:paraId="769F8B07" w14:textId="77777777" w:rsidR="001B1863" w:rsidRPr="009B6364" w:rsidRDefault="001B1863" w:rsidP="001B1863">
      <w:pPr>
        <w:rPr>
          <w:bCs/>
        </w:rPr>
      </w:pPr>
      <w:r w:rsidRPr="009B6364">
        <w:rPr>
          <w:bCs/>
        </w:rPr>
        <w:t>Stressors associated with these threats include (adapted from Hale and Butcher 2007):</w:t>
      </w:r>
    </w:p>
    <w:p w14:paraId="61A5799C" w14:textId="77777777" w:rsidR="001B1863" w:rsidRPr="009B6364" w:rsidRDefault="001B1863" w:rsidP="00F4328F">
      <w:pPr>
        <w:pStyle w:val="ListParagraph"/>
        <w:numPr>
          <w:ilvl w:val="0"/>
          <w:numId w:val="67"/>
        </w:numPr>
        <w:rPr>
          <w:bCs/>
        </w:rPr>
      </w:pPr>
      <w:r w:rsidRPr="009B6364">
        <w:rPr>
          <w:bCs/>
        </w:rPr>
        <w:t>Increased nutrients, toxicants, salinity and acidity</w:t>
      </w:r>
    </w:p>
    <w:p w14:paraId="24374F6F" w14:textId="77777777" w:rsidR="001B1863" w:rsidRPr="009B6364" w:rsidRDefault="001B1863" w:rsidP="00F4328F">
      <w:pPr>
        <w:pStyle w:val="ListParagraph"/>
        <w:numPr>
          <w:ilvl w:val="0"/>
          <w:numId w:val="67"/>
        </w:numPr>
        <w:rPr>
          <w:bCs/>
        </w:rPr>
      </w:pPr>
      <w:r w:rsidRPr="009B6364">
        <w:rPr>
          <w:bCs/>
        </w:rPr>
        <w:t>Decreased extent, duration and frequency of inundation</w:t>
      </w:r>
    </w:p>
    <w:p w14:paraId="78EF0F2A" w14:textId="77777777" w:rsidR="001B1863" w:rsidRPr="009B6364" w:rsidRDefault="001B1863" w:rsidP="00F4328F">
      <w:pPr>
        <w:pStyle w:val="ListParagraph"/>
        <w:numPr>
          <w:ilvl w:val="0"/>
          <w:numId w:val="67"/>
        </w:numPr>
        <w:rPr>
          <w:bCs/>
        </w:rPr>
      </w:pPr>
      <w:r w:rsidRPr="009B6364">
        <w:rPr>
          <w:bCs/>
        </w:rPr>
        <w:t>Increased sea level</w:t>
      </w:r>
    </w:p>
    <w:p w14:paraId="0625C728" w14:textId="77777777" w:rsidR="001B1863" w:rsidRPr="009B6364" w:rsidRDefault="001B1863" w:rsidP="00F4328F">
      <w:pPr>
        <w:pStyle w:val="ListParagraph"/>
        <w:numPr>
          <w:ilvl w:val="0"/>
          <w:numId w:val="67"/>
        </w:numPr>
        <w:rPr>
          <w:bCs/>
        </w:rPr>
      </w:pPr>
      <w:r w:rsidRPr="009B6364">
        <w:rPr>
          <w:bCs/>
        </w:rPr>
        <w:t>Invasive species</w:t>
      </w:r>
    </w:p>
    <w:p w14:paraId="7255F79C" w14:textId="77777777" w:rsidR="001B1863" w:rsidRPr="009B6364" w:rsidRDefault="001B1863" w:rsidP="00F4328F">
      <w:pPr>
        <w:pStyle w:val="ListParagraph"/>
        <w:numPr>
          <w:ilvl w:val="0"/>
          <w:numId w:val="67"/>
        </w:numPr>
        <w:rPr>
          <w:bCs/>
        </w:rPr>
      </w:pPr>
      <w:r w:rsidRPr="009B6364">
        <w:rPr>
          <w:bCs/>
        </w:rPr>
        <w:t>Increased noise</w:t>
      </w:r>
    </w:p>
    <w:p w14:paraId="670910B5" w14:textId="77777777" w:rsidR="001B1863" w:rsidRDefault="001B1863" w:rsidP="001B1863">
      <w:pPr>
        <w:rPr>
          <w:b/>
          <w:i/>
        </w:rPr>
      </w:pPr>
      <w:r w:rsidRPr="009B6364">
        <w:rPr>
          <w:b/>
          <w:i/>
        </w:rPr>
        <w:t>Develop a stressor model</w:t>
      </w:r>
      <w:r w:rsidRPr="009B6364">
        <w:rPr>
          <w:i/>
        </w:rPr>
        <w:t xml:space="preserve"> </w:t>
      </w:r>
      <w:r w:rsidRPr="009B6364">
        <w:rPr>
          <w:b/>
          <w:i/>
        </w:rPr>
        <w:t>to illustrate impact pathways</w:t>
      </w:r>
    </w:p>
    <w:p w14:paraId="158289D2" w14:textId="32097AA7" w:rsidR="000E71A5" w:rsidRDefault="000E71A5" w:rsidP="000E71A5">
      <w:pPr>
        <w:pStyle w:val="tblBody"/>
      </w:pPr>
      <w:r>
        <w:t>The stressor model developed for the Peel-Yalgorup Ramsar site has been modified to adopt the IUCN threat categories (</w:t>
      </w:r>
      <w:r>
        <w:fldChar w:fldCharType="begin"/>
      </w:r>
      <w:r>
        <w:instrText xml:space="preserve"> REF _Ref484514712 \h </w:instrText>
      </w:r>
      <w:r>
        <w:fldChar w:fldCharType="separate"/>
      </w:r>
      <w:r w:rsidR="008F5E55">
        <w:t xml:space="preserve">Figure B </w:t>
      </w:r>
      <w:r w:rsidR="008F5E55">
        <w:rPr>
          <w:noProof/>
        </w:rPr>
        <w:t>4</w:t>
      </w:r>
      <w:r>
        <w:fldChar w:fldCharType="end"/>
      </w:r>
      <w:r>
        <w:t>).</w:t>
      </w:r>
    </w:p>
    <w:p w14:paraId="0047B348" w14:textId="77777777" w:rsidR="008F5E55" w:rsidRDefault="008F5E55" w:rsidP="000E71A5">
      <w:pPr>
        <w:pStyle w:val="tblBody"/>
      </w:pPr>
    </w:p>
    <w:p w14:paraId="59B5701A" w14:textId="2C5A51E9" w:rsidR="008F5E55" w:rsidRDefault="00C810C6" w:rsidP="000E71A5">
      <w:pPr>
        <w:pStyle w:val="tblBody"/>
      </w:pPr>
      <w:r>
        <w:rPr>
          <w:noProof/>
          <w:lang w:eastAsia="en-AU"/>
        </w:rPr>
        <w:drawing>
          <wp:inline distT="0" distB="0" distL="0" distR="0" wp14:anchorId="2005251F" wp14:editId="7DF46190">
            <wp:extent cx="5731510" cy="247650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 stressor model.png"/>
                    <pic:cNvPicPr/>
                  </pic:nvPicPr>
                  <pic:blipFill>
                    <a:blip r:embed="rId102">
                      <a:extLst>
                        <a:ext uri="{28A0092B-C50C-407E-A947-70E740481C1C}">
                          <a14:useLocalDpi xmlns:a14="http://schemas.microsoft.com/office/drawing/2010/main" val="0"/>
                        </a:ext>
                      </a:extLst>
                    </a:blip>
                    <a:stretch>
                      <a:fillRect/>
                    </a:stretch>
                  </pic:blipFill>
                  <pic:spPr>
                    <a:xfrm>
                      <a:off x="0" y="0"/>
                      <a:ext cx="5731510" cy="2476500"/>
                    </a:xfrm>
                    <a:prstGeom prst="rect">
                      <a:avLst/>
                    </a:prstGeom>
                  </pic:spPr>
                </pic:pic>
              </a:graphicData>
            </a:graphic>
          </wp:inline>
        </w:drawing>
      </w:r>
    </w:p>
    <w:p w14:paraId="25470EA4" w14:textId="77777777" w:rsidR="000E71A5" w:rsidRPr="000E71A5" w:rsidRDefault="000E71A5" w:rsidP="000E71A5">
      <w:pPr>
        <w:pStyle w:val="tblBody"/>
      </w:pPr>
    </w:p>
    <w:p w14:paraId="72B42E0A" w14:textId="0262460F" w:rsidR="001B1863" w:rsidRPr="009B6364" w:rsidRDefault="003E5078" w:rsidP="001B1863">
      <w:pPr>
        <w:pStyle w:val="Caption"/>
      </w:pPr>
      <w:bookmarkStart w:id="152" w:name="_Ref484514712"/>
      <w:r>
        <w:t xml:space="preserve">Figure B </w:t>
      </w:r>
      <w:fldSimple w:instr=" SEQ Figure_B \* ARABIC ">
        <w:r w:rsidR="00CB6D08">
          <w:rPr>
            <w:noProof/>
          </w:rPr>
          <w:t>4</w:t>
        </w:r>
      </w:fldSimple>
      <w:bookmarkEnd w:id="152"/>
      <w:r>
        <w:t xml:space="preserve">: </w:t>
      </w:r>
      <w:r w:rsidR="001B1863" w:rsidRPr="009B6364">
        <w:t xml:space="preserve">Stressor model of </w:t>
      </w:r>
      <w:r w:rsidR="000E71A5">
        <w:t>pressures</w:t>
      </w:r>
      <w:r w:rsidR="001B1863" w:rsidRPr="009B6364">
        <w:t xml:space="preserve"> and stressors </w:t>
      </w:r>
      <w:r w:rsidR="000E71A5">
        <w:t xml:space="preserve">affecting the priority values </w:t>
      </w:r>
      <w:r w:rsidR="001B1863" w:rsidRPr="009B6364">
        <w:t>for the Peel-Yalgorup Ramsar site (</w:t>
      </w:r>
      <w:r w:rsidR="00FD5B0C">
        <w:t>Modified</w:t>
      </w:r>
      <w:r w:rsidR="001B1863" w:rsidRPr="009B6364">
        <w:t xml:space="preserve"> from hale and butcher 2007).</w:t>
      </w:r>
    </w:p>
    <w:p w14:paraId="055718C4" w14:textId="77777777" w:rsidR="001B1863" w:rsidRPr="009B6364" w:rsidRDefault="001B1863" w:rsidP="001B1863">
      <w:pPr>
        <w:rPr>
          <w:b/>
          <w:i/>
        </w:rPr>
      </w:pPr>
      <w:r w:rsidRPr="009B6364">
        <w:rPr>
          <w:b/>
          <w:i/>
        </w:rPr>
        <w:t xml:space="preserve">Assign risk to each threat-value combination and rank threats / Adapting outputs from existing risk assessments </w:t>
      </w:r>
    </w:p>
    <w:p w14:paraId="795DD6AA" w14:textId="7982DF15" w:rsidR="001B1863" w:rsidRPr="009B6364" w:rsidRDefault="001B1863" w:rsidP="001B1863">
      <w:r w:rsidRPr="009B6364">
        <w:t>The management plan for the Peel Yalgorup Ramsar Site (Peel</w:t>
      </w:r>
      <w:r w:rsidR="00DC6A1F">
        <w:t>-</w:t>
      </w:r>
      <w:r w:rsidRPr="009B6364">
        <w:t>Harvey Catchment Council 2009) completed a comprehensive risk assessment that assessed the effects of threats (which they defined as “sources of stress”) and stresses on the critical components, process and services of the site. This process was similar to the impact pathway approach of IECA and the outputs considered suitable for the identification of priority threats (</w:t>
      </w:r>
      <w:r w:rsidR="00FD50A9">
        <w:fldChar w:fldCharType="begin"/>
      </w:r>
      <w:r w:rsidR="00FD50A9">
        <w:instrText xml:space="preserve"> REF _Ref493590901 \h </w:instrText>
      </w:r>
      <w:r w:rsidR="00FD50A9">
        <w:fldChar w:fldCharType="separate"/>
      </w:r>
      <w:r w:rsidR="00FD50A9">
        <w:t xml:space="preserve">Table B </w:t>
      </w:r>
      <w:r w:rsidR="00FD50A9">
        <w:rPr>
          <w:noProof/>
        </w:rPr>
        <w:t>6</w:t>
      </w:r>
      <w:r w:rsidR="00FD50A9">
        <w:fldChar w:fldCharType="end"/>
      </w:r>
      <w:r w:rsidRPr="009B6364">
        <w:t>). The outputs of the risk assessment identified the following high priority threats (and associated stressors) (adapted from Peel</w:t>
      </w:r>
      <w:r w:rsidR="00DC6A1F">
        <w:t>-</w:t>
      </w:r>
      <w:r w:rsidR="00E57391">
        <w:t xml:space="preserve">Harvey Catchment Council </w:t>
      </w:r>
      <w:r w:rsidRPr="009B6364">
        <w:t>2009):</w:t>
      </w:r>
    </w:p>
    <w:p w14:paraId="20013231" w14:textId="77777777" w:rsidR="001B1863" w:rsidRPr="009B6364" w:rsidRDefault="001B1863" w:rsidP="00F4328F">
      <w:pPr>
        <w:pStyle w:val="ListParagraph"/>
        <w:numPr>
          <w:ilvl w:val="0"/>
          <w:numId w:val="68"/>
        </w:numPr>
      </w:pPr>
      <w:r w:rsidRPr="009B6364">
        <w:t>Climate change and water resource use - exposure of ASS</w:t>
      </w:r>
    </w:p>
    <w:p w14:paraId="68EF53FF" w14:textId="3137C412" w:rsidR="001B1863" w:rsidRPr="009B6364" w:rsidRDefault="001B1863" w:rsidP="00F4328F">
      <w:pPr>
        <w:pStyle w:val="ListParagraph"/>
        <w:numPr>
          <w:ilvl w:val="0"/>
          <w:numId w:val="68"/>
        </w:numPr>
      </w:pPr>
      <w:r w:rsidRPr="009B6364">
        <w:t>Pollution f</w:t>
      </w:r>
      <w:r w:rsidR="002217EA">
        <w:t>ro</w:t>
      </w:r>
      <w:r w:rsidRPr="009B6364">
        <w:t>m agriculture and urban sources - increased nutrients</w:t>
      </w:r>
    </w:p>
    <w:p w14:paraId="40764171" w14:textId="77777777" w:rsidR="001B1863" w:rsidRPr="009B6364" w:rsidRDefault="001B1863" w:rsidP="00F4328F">
      <w:pPr>
        <w:pStyle w:val="ListParagraph"/>
        <w:numPr>
          <w:ilvl w:val="0"/>
          <w:numId w:val="68"/>
        </w:numPr>
      </w:pPr>
      <w:r w:rsidRPr="009B6364">
        <w:lastRenderedPageBreak/>
        <w:t>Climate change and water resource use - decreased frequency, extent and duration of inundation</w:t>
      </w:r>
    </w:p>
    <w:p w14:paraId="13B963CB" w14:textId="77777777" w:rsidR="001B1863" w:rsidRPr="009B6364" w:rsidRDefault="001B1863" w:rsidP="00F4328F">
      <w:pPr>
        <w:pStyle w:val="ListParagraph"/>
        <w:numPr>
          <w:ilvl w:val="0"/>
          <w:numId w:val="68"/>
        </w:numPr>
      </w:pPr>
      <w:r w:rsidRPr="009B6364">
        <w:t>Climate change and water resource use - increased salinity</w:t>
      </w:r>
    </w:p>
    <w:p w14:paraId="4A36311F" w14:textId="4369BEA8" w:rsidR="001B1863" w:rsidRPr="009B6364" w:rsidRDefault="001B1863" w:rsidP="00F4328F">
      <w:pPr>
        <w:pStyle w:val="ListParagraph"/>
        <w:numPr>
          <w:ilvl w:val="0"/>
          <w:numId w:val="68"/>
        </w:numPr>
      </w:pPr>
      <w:r w:rsidRPr="009B6364">
        <w:t>Recreation - increased noise</w:t>
      </w:r>
      <w:r w:rsidR="002217EA">
        <w:t xml:space="preserve"> and physical disturbance</w:t>
      </w:r>
    </w:p>
    <w:p w14:paraId="1C074BF4" w14:textId="77777777" w:rsidR="001B1863" w:rsidRPr="009B6364" w:rsidRDefault="001B1863" w:rsidP="00F4328F">
      <w:pPr>
        <w:pStyle w:val="ListParagraph"/>
        <w:numPr>
          <w:ilvl w:val="0"/>
          <w:numId w:val="68"/>
        </w:numPr>
      </w:pPr>
      <w:r w:rsidRPr="009B6364">
        <w:t>Climate change - sea level rise</w:t>
      </w:r>
    </w:p>
    <w:p w14:paraId="5EF99360" w14:textId="2B449CFE" w:rsidR="001B1863" w:rsidRDefault="001B1863" w:rsidP="00F4328F">
      <w:pPr>
        <w:pStyle w:val="ListParagraph"/>
        <w:numPr>
          <w:ilvl w:val="0"/>
          <w:numId w:val="68"/>
        </w:numPr>
      </w:pPr>
      <w:r w:rsidRPr="009B6364">
        <w:t xml:space="preserve">Invasive species </w:t>
      </w:r>
      <w:r w:rsidR="00BC5AEA">
        <w:t>–</w:t>
      </w:r>
      <w:r w:rsidRPr="009B6364">
        <w:t xml:space="preserve"> Typha</w:t>
      </w:r>
    </w:p>
    <w:p w14:paraId="2797AB82" w14:textId="3A106C66" w:rsidR="001B1863" w:rsidRPr="009B6364" w:rsidRDefault="00FD50A9" w:rsidP="00FD50A9">
      <w:pPr>
        <w:pStyle w:val="Caption"/>
      </w:pPr>
      <w:bookmarkStart w:id="153" w:name="_Ref493590901"/>
      <w:r>
        <w:t xml:space="preserve">Table B </w:t>
      </w:r>
      <w:fldSimple w:instr=" SEQ Table_B \* ARABIC ">
        <w:r>
          <w:rPr>
            <w:noProof/>
          </w:rPr>
          <w:t>6</w:t>
        </w:r>
      </w:fldSimple>
      <w:bookmarkEnd w:id="153"/>
      <w:r>
        <w:t xml:space="preserve">: </w:t>
      </w:r>
      <w:r w:rsidR="001B1863" w:rsidRPr="009B6364">
        <w:t>Outputs of risk assessment (adapted from Peel</w:t>
      </w:r>
      <w:r w:rsidR="00DC6A1F">
        <w:t>-</w:t>
      </w:r>
      <w:r w:rsidR="001B1863" w:rsidRPr="009B6364">
        <w:t>Harvey Catchmenet Council 2009).</w:t>
      </w:r>
    </w:p>
    <w:tbl>
      <w:tblPr>
        <w:tblStyle w:val="LightList-Accent2"/>
        <w:tblW w:w="0" w:type="auto"/>
        <w:tblLook w:val="04A0" w:firstRow="1" w:lastRow="0" w:firstColumn="1" w:lastColumn="0" w:noHBand="0" w:noVBand="1"/>
      </w:tblPr>
      <w:tblGrid>
        <w:gridCol w:w="1804"/>
        <w:gridCol w:w="1802"/>
        <w:gridCol w:w="1795"/>
        <w:gridCol w:w="1804"/>
        <w:gridCol w:w="1801"/>
      </w:tblGrid>
      <w:tr w:rsidR="001B1863" w:rsidRPr="009B6364" w14:paraId="093D0E75" w14:textId="77777777" w:rsidTr="00554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009B67B5" w14:textId="77777777" w:rsidR="001B1863" w:rsidRPr="009B6364" w:rsidRDefault="001B1863" w:rsidP="00554832">
            <w:r w:rsidRPr="009B6364">
              <w:t>Threat</w:t>
            </w:r>
          </w:p>
        </w:tc>
        <w:tc>
          <w:tcPr>
            <w:tcW w:w="1848" w:type="dxa"/>
          </w:tcPr>
          <w:p w14:paraId="64E6372F" w14:textId="77777777" w:rsidR="001B1863" w:rsidRPr="009B6364" w:rsidRDefault="001B1863" w:rsidP="00554832">
            <w:pPr>
              <w:cnfStyle w:val="100000000000" w:firstRow="1" w:lastRow="0" w:firstColumn="0" w:lastColumn="0" w:oddVBand="0" w:evenVBand="0" w:oddHBand="0" w:evenHBand="0" w:firstRowFirstColumn="0" w:firstRowLastColumn="0" w:lastRowFirstColumn="0" w:lastRowLastColumn="0"/>
            </w:pPr>
            <w:r w:rsidRPr="009B6364">
              <w:t>Stressor</w:t>
            </w:r>
          </w:p>
        </w:tc>
        <w:tc>
          <w:tcPr>
            <w:tcW w:w="1848" w:type="dxa"/>
          </w:tcPr>
          <w:p w14:paraId="6EDFFB43" w14:textId="77777777" w:rsidR="001B1863" w:rsidRPr="009B6364" w:rsidRDefault="001B1863" w:rsidP="00554832">
            <w:pPr>
              <w:jc w:val="center"/>
              <w:cnfStyle w:val="100000000000" w:firstRow="1" w:lastRow="0" w:firstColumn="0" w:lastColumn="0" w:oddVBand="0" w:evenVBand="0" w:oddHBand="0" w:evenHBand="0" w:firstRowFirstColumn="0" w:firstRowLastColumn="0" w:lastRowFirstColumn="0" w:lastRowLastColumn="0"/>
            </w:pPr>
            <w:r w:rsidRPr="009B6364">
              <w:t>Peel-Harvey</w:t>
            </w:r>
          </w:p>
        </w:tc>
        <w:tc>
          <w:tcPr>
            <w:tcW w:w="1849" w:type="dxa"/>
          </w:tcPr>
          <w:p w14:paraId="21B721F1" w14:textId="77777777" w:rsidR="001B1863" w:rsidRPr="009B6364" w:rsidRDefault="001B1863" w:rsidP="00554832">
            <w:pPr>
              <w:jc w:val="center"/>
              <w:cnfStyle w:val="100000000000" w:firstRow="1" w:lastRow="0" w:firstColumn="0" w:lastColumn="0" w:oddVBand="0" w:evenVBand="0" w:oddHBand="0" w:evenHBand="0" w:firstRowFirstColumn="0" w:firstRowLastColumn="0" w:lastRowFirstColumn="0" w:lastRowLastColumn="0"/>
            </w:pPr>
            <w:r w:rsidRPr="009B6364">
              <w:t>Yalgorup Lakes</w:t>
            </w:r>
          </w:p>
        </w:tc>
        <w:tc>
          <w:tcPr>
            <w:tcW w:w="1849" w:type="dxa"/>
          </w:tcPr>
          <w:p w14:paraId="099DE3E9" w14:textId="77777777" w:rsidR="001B1863" w:rsidRPr="009B6364" w:rsidRDefault="001B1863" w:rsidP="00554832">
            <w:pPr>
              <w:jc w:val="center"/>
              <w:cnfStyle w:val="100000000000" w:firstRow="1" w:lastRow="0" w:firstColumn="0" w:lastColumn="0" w:oddVBand="0" w:evenVBand="0" w:oddHBand="0" w:evenHBand="0" w:firstRowFirstColumn="0" w:firstRowLastColumn="0" w:lastRowFirstColumn="0" w:lastRowLastColumn="0"/>
            </w:pPr>
            <w:r w:rsidRPr="009B6364">
              <w:t>Lakes McLarty &amp; Mealup</w:t>
            </w:r>
          </w:p>
        </w:tc>
      </w:tr>
      <w:tr w:rsidR="001B1863" w:rsidRPr="009B6364" w14:paraId="16D77A87"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06604373" w14:textId="77777777" w:rsidR="001B1863" w:rsidRPr="009B6364" w:rsidRDefault="001B1863" w:rsidP="00554832">
            <w:pPr>
              <w:jc w:val="left"/>
              <w:rPr>
                <w:b w:val="0"/>
                <w:sz w:val="16"/>
                <w:szCs w:val="16"/>
              </w:rPr>
            </w:pPr>
            <w:r w:rsidRPr="009B6364">
              <w:rPr>
                <w:b w:val="0"/>
                <w:sz w:val="16"/>
                <w:szCs w:val="16"/>
              </w:rPr>
              <w:t>Climate change</w:t>
            </w:r>
          </w:p>
        </w:tc>
        <w:tc>
          <w:tcPr>
            <w:tcW w:w="1848" w:type="dxa"/>
          </w:tcPr>
          <w:p w14:paraId="360834F2" w14:textId="77777777" w:rsidR="001B1863" w:rsidRPr="009B6364" w:rsidRDefault="001B1863" w:rsidP="00554832">
            <w:pPr>
              <w:cnfStyle w:val="000000100000" w:firstRow="0" w:lastRow="0" w:firstColumn="0" w:lastColumn="0" w:oddVBand="0" w:evenVBand="0" w:oddHBand="1" w:evenHBand="0" w:firstRowFirstColumn="0" w:firstRowLastColumn="0" w:lastRowFirstColumn="0" w:lastRowLastColumn="0"/>
              <w:rPr>
                <w:sz w:val="16"/>
                <w:szCs w:val="16"/>
              </w:rPr>
            </w:pPr>
            <w:r w:rsidRPr="009B6364">
              <w:rPr>
                <w:sz w:val="16"/>
                <w:szCs w:val="16"/>
              </w:rPr>
              <w:t>Sea level rise</w:t>
            </w:r>
          </w:p>
        </w:tc>
        <w:tc>
          <w:tcPr>
            <w:tcW w:w="1848" w:type="dxa"/>
            <w:shd w:val="clear" w:color="auto" w:fill="FF6600"/>
          </w:tcPr>
          <w:p w14:paraId="73E3FB28"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6364">
              <w:rPr>
                <w:sz w:val="16"/>
                <w:szCs w:val="16"/>
              </w:rPr>
              <w:t>High</w:t>
            </w:r>
          </w:p>
        </w:tc>
        <w:tc>
          <w:tcPr>
            <w:tcW w:w="1849" w:type="dxa"/>
            <w:shd w:val="clear" w:color="auto" w:fill="008000"/>
          </w:tcPr>
          <w:p w14:paraId="0C27262B"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6364">
              <w:rPr>
                <w:sz w:val="16"/>
                <w:szCs w:val="16"/>
              </w:rPr>
              <w:t>Low</w:t>
            </w:r>
          </w:p>
        </w:tc>
        <w:tc>
          <w:tcPr>
            <w:tcW w:w="1849" w:type="dxa"/>
            <w:shd w:val="clear" w:color="auto" w:fill="008000"/>
          </w:tcPr>
          <w:p w14:paraId="54F00408" w14:textId="77777777" w:rsidR="001B1863" w:rsidRPr="009B6364" w:rsidRDefault="001B1863" w:rsidP="00554832">
            <w:pPr>
              <w:tabs>
                <w:tab w:val="left" w:pos="267"/>
                <w:tab w:val="center" w:pos="816"/>
              </w:tabs>
              <w:jc w:val="left"/>
              <w:cnfStyle w:val="000000100000" w:firstRow="0" w:lastRow="0" w:firstColumn="0" w:lastColumn="0" w:oddVBand="0" w:evenVBand="0" w:oddHBand="1" w:evenHBand="0" w:firstRowFirstColumn="0" w:firstRowLastColumn="0" w:lastRowFirstColumn="0" w:lastRowLastColumn="0"/>
              <w:rPr>
                <w:sz w:val="16"/>
                <w:szCs w:val="16"/>
              </w:rPr>
            </w:pPr>
            <w:r w:rsidRPr="009B6364">
              <w:rPr>
                <w:sz w:val="16"/>
                <w:szCs w:val="16"/>
              </w:rPr>
              <w:tab/>
            </w:r>
            <w:r w:rsidRPr="009B6364">
              <w:rPr>
                <w:sz w:val="16"/>
                <w:szCs w:val="16"/>
              </w:rPr>
              <w:tab/>
              <w:t>Low</w:t>
            </w:r>
          </w:p>
        </w:tc>
      </w:tr>
      <w:tr w:rsidR="001B1863" w:rsidRPr="009B6364" w14:paraId="2EFA7E14" w14:textId="77777777" w:rsidTr="00554832">
        <w:tc>
          <w:tcPr>
            <w:cnfStyle w:val="001000000000" w:firstRow="0" w:lastRow="0" w:firstColumn="1" w:lastColumn="0" w:oddVBand="0" w:evenVBand="0" w:oddHBand="0" w:evenHBand="0" w:firstRowFirstColumn="0" w:firstRowLastColumn="0" w:lastRowFirstColumn="0" w:lastRowLastColumn="0"/>
            <w:tcW w:w="1848" w:type="dxa"/>
            <w:vMerge w:val="restart"/>
          </w:tcPr>
          <w:p w14:paraId="63845BCA" w14:textId="77777777" w:rsidR="001B1863" w:rsidRPr="009B6364" w:rsidRDefault="001B1863" w:rsidP="00554832">
            <w:pPr>
              <w:jc w:val="left"/>
              <w:rPr>
                <w:b w:val="0"/>
                <w:sz w:val="16"/>
                <w:szCs w:val="16"/>
              </w:rPr>
            </w:pPr>
            <w:r w:rsidRPr="009B6364">
              <w:rPr>
                <w:b w:val="0"/>
                <w:sz w:val="16"/>
                <w:szCs w:val="16"/>
              </w:rPr>
              <w:t>Climate change and water resource use</w:t>
            </w:r>
          </w:p>
        </w:tc>
        <w:tc>
          <w:tcPr>
            <w:tcW w:w="1848" w:type="dxa"/>
          </w:tcPr>
          <w:p w14:paraId="67C250E9" w14:textId="77777777" w:rsidR="001B1863" w:rsidRPr="009B6364" w:rsidRDefault="001B1863" w:rsidP="00554832">
            <w:pPr>
              <w:cnfStyle w:val="000000000000" w:firstRow="0" w:lastRow="0" w:firstColumn="0" w:lastColumn="0" w:oddVBand="0" w:evenVBand="0" w:oddHBand="0" w:evenHBand="0" w:firstRowFirstColumn="0" w:firstRowLastColumn="0" w:lastRowFirstColumn="0" w:lastRowLastColumn="0"/>
              <w:rPr>
                <w:sz w:val="16"/>
                <w:szCs w:val="16"/>
              </w:rPr>
            </w:pPr>
            <w:r w:rsidRPr="009B6364">
              <w:rPr>
                <w:sz w:val="16"/>
                <w:szCs w:val="16"/>
              </w:rPr>
              <w:t>Decreased inundation</w:t>
            </w:r>
          </w:p>
        </w:tc>
        <w:tc>
          <w:tcPr>
            <w:tcW w:w="1848" w:type="dxa"/>
            <w:shd w:val="clear" w:color="auto" w:fill="008000"/>
          </w:tcPr>
          <w:p w14:paraId="24A6F681"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6364">
              <w:rPr>
                <w:sz w:val="16"/>
                <w:szCs w:val="16"/>
              </w:rPr>
              <w:t>Low</w:t>
            </w:r>
          </w:p>
        </w:tc>
        <w:tc>
          <w:tcPr>
            <w:tcW w:w="1849" w:type="dxa"/>
            <w:shd w:val="clear" w:color="auto" w:fill="FF6600"/>
          </w:tcPr>
          <w:p w14:paraId="344B7001"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6364">
              <w:rPr>
                <w:sz w:val="16"/>
                <w:szCs w:val="16"/>
              </w:rPr>
              <w:t>High</w:t>
            </w:r>
          </w:p>
        </w:tc>
        <w:tc>
          <w:tcPr>
            <w:tcW w:w="1849" w:type="dxa"/>
            <w:shd w:val="clear" w:color="auto" w:fill="FF6600"/>
          </w:tcPr>
          <w:p w14:paraId="4D14B898"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6364">
              <w:rPr>
                <w:sz w:val="16"/>
                <w:szCs w:val="16"/>
              </w:rPr>
              <w:t>High</w:t>
            </w:r>
          </w:p>
        </w:tc>
      </w:tr>
      <w:tr w:rsidR="001B1863" w:rsidRPr="009B6364" w14:paraId="53DE550F"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vMerge/>
          </w:tcPr>
          <w:p w14:paraId="5AC39D74" w14:textId="77777777" w:rsidR="001B1863" w:rsidRPr="009B6364" w:rsidRDefault="001B1863" w:rsidP="00554832">
            <w:pPr>
              <w:jc w:val="left"/>
              <w:rPr>
                <w:b w:val="0"/>
                <w:sz w:val="16"/>
                <w:szCs w:val="16"/>
              </w:rPr>
            </w:pPr>
          </w:p>
        </w:tc>
        <w:tc>
          <w:tcPr>
            <w:tcW w:w="1848" w:type="dxa"/>
          </w:tcPr>
          <w:p w14:paraId="1D7C6354" w14:textId="77777777" w:rsidR="001B1863" w:rsidRPr="009B6364" w:rsidRDefault="001B1863" w:rsidP="00554832">
            <w:pPr>
              <w:cnfStyle w:val="000000100000" w:firstRow="0" w:lastRow="0" w:firstColumn="0" w:lastColumn="0" w:oddVBand="0" w:evenVBand="0" w:oddHBand="1" w:evenHBand="0" w:firstRowFirstColumn="0" w:firstRowLastColumn="0" w:lastRowFirstColumn="0" w:lastRowLastColumn="0"/>
              <w:rPr>
                <w:sz w:val="16"/>
                <w:szCs w:val="16"/>
              </w:rPr>
            </w:pPr>
            <w:r w:rsidRPr="009B6364">
              <w:rPr>
                <w:sz w:val="16"/>
                <w:szCs w:val="16"/>
              </w:rPr>
              <w:t>Exposure of ASS</w:t>
            </w:r>
          </w:p>
        </w:tc>
        <w:tc>
          <w:tcPr>
            <w:tcW w:w="1848" w:type="dxa"/>
            <w:shd w:val="clear" w:color="auto" w:fill="FFFF00"/>
          </w:tcPr>
          <w:p w14:paraId="47FB4E7A"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6364">
              <w:rPr>
                <w:sz w:val="16"/>
                <w:szCs w:val="16"/>
              </w:rPr>
              <w:t>Medium</w:t>
            </w:r>
          </w:p>
        </w:tc>
        <w:tc>
          <w:tcPr>
            <w:tcW w:w="1849" w:type="dxa"/>
          </w:tcPr>
          <w:p w14:paraId="0EFE8AAC"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849" w:type="dxa"/>
            <w:shd w:val="clear" w:color="auto" w:fill="FF0000"/>
          </w:tcPr>
          <w:p w14:paraId="561A8E9F"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6364">
              <w:rPr>
                <w:sz w:val="16"/>
                <w:szCs w:val="16"/>
              </w:rPr>
              <w:t>Very High</w:t>
            </w:r>
          </w:p>
        </w:tc>
      </w:tr>
      <w:tr w:rsidR="001B1863" w:rsidRPr="009B6364" w14:paraId="5059A646" w14:textId="77777777" w:rsidTr="00554832">
        <w:tc>
          <w:tcPr>
            <w:cnfStyle w:val="001000000000" w:firstRow="0" w:lastRow="0" w:firstColumn="1" w:lastColumn="0" w:oddVBand="0" w:evenVBand="0" w:oddHBand="0" w:evenHBand="0" w:firstRowFirstColumn="0" w:firstRowLastColumn="0" w:lastRowFirstColumn="0" w:lastRowLastColumn="0"/>
            <w:tcW w:w="1848" w:type="dxa"/>
            <w:vMerge/>
          </w:tcPr>
          <w:p w14:paraId="1371FE7D" w14:textId="77777777" w:rsidR="001B1863" w:rsidRPr="009B6364" w:rsidRDefault="001B1863" w:rsidP="00554832">
            <w:pPr>
              <w:jc w:val="left"/>
              <w:rPr>
                <w:b w:val="0"/>
                <w:sz w:val="16"/>
                <w:szCs w:val="16"/>
              </w:rPr>
            </w:pPr>
          </w:p>
        </w:tc>
        <w:tc>
          <w:tcPr>
            <w:tcW w:w="1848" w:type="dxa"/>
          </w:tcPr>
          <w:p w14:paraId="173CB351" w14:textId="77777777" w:rsidR="001B1863" w:rsidRPr="009B6364" w:rsidRDefault="001B1863" w:rsidP="00554832">
            <w:pPr>
              <w:cnfStyle w:val="000000000000" w:firstRow="0" w:lastRow="0" w:firstColumn="0" w:lastColumn="0" w:oddVBand="0" w:evenVBand="0" w:oddHBand="0" w:evenHBand="0" w:firstRowFirstColumn="0" w:firstRowLastColumn="0" w:lastRowFirstColumn="0" w:lastRowLastColumn="0"/>
              <w:rPr>
                <w:sz w:val="16"/>
                <w:szCs w:val="16"/>
              </w:rPr>
            </w:pPr>
            <w:r w:rsidRPr="009B6364">
              <w:rPr>
                <w:sz w:val="16"/>
                <w:szCs w:val="16"/>
              </w:rPr>
              <w:t>Increased salinity</w:t>
            </w:r>
          </w:p>
        </w:tc>
        <w:tc>
          <w:tcPr>
            <w:tcW w:w="1848" w:type="dxa"/>
          </w:tcPr>
          <w:p w14:paraId="0EB7DCDB"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849" w:type="dxa"/>
            <w:shd w:val="clear" w:color="auto" w:fill="FF6600"/>
          </w:tcPr>
          <w:p w14:paraId="3EA07A67"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6364">
              <w:rPr>
                <w:sz w:val="16"/>
                <w:szCs w:val="16"/>
              </w:rPr>
              <w:t>High</w:t>
            </w:r>
          </w:p>
        </w:tc>
        <w:tc>
          <w:tcPr>
            <w:tcW w:w="1849" w:type="dxa"/>
            <w:shd w:val="clear" w:color="auto" w:fill="FFFF00"/>
          </w:tcPr>
          <w:p w14:paraId="2D8487C7"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6364">
              <w:rPr>
                <w:sz w:val="16"/>
                <w:szCs w:val="16"/>
              </w:rPr>
              <w:t>Medium</w:t>
            </w:r>
          </w:p>
        </w:tc>
      </w:tr>
      <w:tr w:rsidR="001B1863" w:rsidRPr="009B6364" w14:paraId="78CEA7CF"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1A4CA220" w14:textId="77777777" w:rsidR="001B1863" w:rsidRPr="009B6364" w:rsidRDefault="001B1863" w:rsidP="00554832">
            <w:pPr>
              <w:jc w:val="left"/>
              <w:rPr>
                <w:b w:val="0"/>
                <w:sz w:val="16"/>
                <w:szCs w:val="16"/>
              </w:rPr>
            </w:pPr>
            <w:r w:rsidRPr="009B6364">
              <w:rPr>
                <w:b w:val="0"/>
                <w:sz w:val="16"/>
                <w:szCs w:val="16"/>
              </w:rPr>
              <w:t>Pollution: Agricultural and urban</w:t>
            </w:r>
          </w:p>
        </w:tc>
        <w:tc>
          <w:tcPr>
            <w:tcW w:w="1848" w:type="dxa"/>
          </w:tcPr>
          <w:p w14:paraId="08F45F2C" w14:textId="77777777" w:rsidR="001B1863" w:rsidRPr="009B6364" w:rsidRDefault="001B1863" w:rsidP="00554832">
            <w:pPr>
              <w:cnfStyle w:val="000000100000" w:firstRow="0" w:lastRow="0" w:firstColumn="0" w:lastColumn="0" w:oddVBand="0" w:evenVBand="0" w:oddHBand="1" w:evenHBand="0" w:firstRowFirstColumn="0" w:firstRowLastColumn="0" w:lastRowFirstColumn="0" w:lastRowLastColumn="0"/>
              <w:rPr>
                <w:sz w:val="16"/>
                <w:szCs w:val="16"/>
              </w:rPr>
            </w:pPr>
            <w:r w:rsidRPr="009B6364">
              <w:rPr>
                <w:sz w:val="16"/>
                <w:szCs w:val="16"/>
              </w:rPr>
              <w:t>Increased nutrients</w:t>
            </w:r>
          </w:p>
        </w:tc>
        <w:tc>
          <w:tcPr>
            <w:tcW w:w="1848" w:type="dxa"/>
            <w:shd w:val="clear" w:color="auto" w:fill="FF6600"/>
          </w:tcPr>
          <w:p w14:paraId="21F3E1A5"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6364">
              <w:rPr>
                <w:sz w:val="16"/>
                <w:szCs w:val="16"/>
              </w:rPr>
              <w:t>High</w:t>
            </w:r>
          </w:p>
        </w:tc>
        <w:tc>
          <w:tcPr>
            <w:tcW w:w="1849" w:type="dxa"/>
            <w:shd w:val="clear" w:color="auto" w:fill="FF6600"/>
          </w:tcPr>
          <w:p w14:paraId="2424356F"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6364">
              <w:rPr>
                <w:sz w:val="16"/>
                <w:szCs w:val="16"/>
              </w:rPr>
              <w:t>High</w:t>
            </w:r>
          </w:p>
        </w:tc>
        <w:tc>
          <w:tcPr>
            <w:tcW w:w="1849" w:type="dxa"/>
            <w:shd w:val="clear" w:color="auto" w:fill="FF6600"/>
          </w:tcPr>
          <w:p w14:paraId="1C22A989"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6364">
              <w:rPr>
                <w:sz w:val="16"/>
                <w:szCs w:val="16"/>
              </w:rPr>
              <w:t>High</w:t>
            </w:r>
          </w:p>
        </w:tc>
      </w:tr>
      <w:tr w:rsidR="001B1863" w:rsidRPr="009B6364" w14:paraId="64C26550" w14:textId="77777777" w:rsidTr="00554832">
        <w:tc>
          <w:tcPr>
            <w:cnfStyle w:val="001000000000" w:firstRow="0" w:lastRow="0" w:firstColumn="1" w:lastColumn="0" w:oddVBand="0" w:evenVBand="0" w:oddHBand="0" w:evenHBand="0" w:firstRowFirstColumn="0" w:firstRowLastColumn="0" w:lastRowFirstColumn="0" w:lastRowLastColumn="0"/>
            <w:tcW w:w="1848" w:type="dxa"/>
          </w:tcPr>
          <w:p w14:paraId="2B08B580" w14:textId="77777777" w:rsidR="001B1863" w:rsidRPr="009B6364" w:rsidRDefault="001B1863" w:rsidP="00554832">
            <w:pPr>
              <w:jc w:val="left"/>
              <w:rPr>
                <w:b w:val="0"/>
                <w:sz w:val="16"/>
                <w:szCs w:val="16"/>
              </w:rPr>
            </w:pPr>
            <w:r w:rsidRPr="009B6364">
              <w:rPr>
                <w:b w:val="0"/>
                <w:sz w:val="16"/>
                <w:szCs w:val="16"/>
              </w:rPr>
              <w:t>Invasive species</w:t>
            </w:r>
          </w:p>
        </w:tc>
        <w:tc>
          <w:tcPr>
            <w:tcW w:w="1848" w:type="dxa"/>
          </w:tcPr>
          <w:p w14:paraId="0827A860" w14:textId="77777777" w:rsidR="001B1863" w:rsidRPr="009B6364" w:rsidRDefault="001B1863" w:rsidP="00554832">
            <w:pPr>
              <w:cnfStyle w:val="000000000000" w:firstRow="0" w:lastRow="0" w:firstColumn="0" w:lastColumn="0" w:oddVBand="0" w:evenVBand="0" w:oddHBand="0" w:evenHBand="0" w:firstRowFirstColumn="0" w:firstRowLastColumn="0" w:lastRowFirstColumn="0" w:lastRowLastColumn="0"/>
              <w:rPr>
                <w:sz w:val="16"/>
                <w:szCs w:val="16"/>
              </w:rPr>
            </w:pPr>
            <w:r w:rsidRPr="009B6364">
              <w:rPr>
                <w:sz w:val="16"/>
                <w:szCs w:val="16"/>
              </w:rPr>
              <w:t>Typha</w:t>
            </w:r>
          </w:p>
        </w:tc>
        <w:tc>
          <w:tcPr>
            <w:tcW w:w="1848" w:type="dxa"/>
          </w:tcPr>
          <w:p w14:paraId="7473192E"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849" w:type="dxa"/>
          </w:tcPr>
          <w:p w14:paraId="7E99DD4A"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849" w:type="dxa"/>
            <w:shd w:val="clear" w:color="auto" w:fill="FF6600"/>
          </w:tcPr>
          <w:p w14:paraId="6FCB4928"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6364">
              <w:rPr>
                <w:sz w:val="16"/>
                <w:szCs w:val="16"/>
              </w:rPr>
              <w:t>High</w:t>
            </w:r>
          </w:p>
        </w:tc>
      </w:tr>
      <w:tr w:rsidR="001B1863" w:rsidRPr="009B6364" w14:paraId="640429CD"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10B5898E" w14:textId="77777777" w:rsidR="001B1863" w:rsidRPr="009B6364" w:rsidRDefault="001B1863" w:rsidP="00554832">
            <w:pPr>
              <w:jc w:val="left"/>
              <w:rPr>
                <w:b w:val="0"/>
                <w:sz w:val="16"/>
                <w:szCs w:val="16"/>
              </w:rPr>
            </w:pPr>
            <w:r w:rsidRPr="009B6364">
              <w:rPr>
                <w:b w:val="0"/>
                <w:sz w:val="16"/>
                <w:szCs w:val="16"/>
              </w:rPr>
              <w:t>Recreation</w:t>
            </w:r>
          </w:p>
        </w:tc>
        <w:tc>
          <w:tcPr>
            <w:tcW w:w="1848" w:type="dxa"/>
          </w:tcPr>
          <w:p w14:paraId="1F6AB7BF" w14:textId="77777777" w:rsidR="001B1863" w:rsidRPr="009B6364" w:rsidRDefault="001B1863" w:rsidP="00554832">
            <w:pPr>
              <w:cnfStyle w:val="000000100000" w:firstRow="0" w:lastRow="0" w:firstColumn="0" w:lastColumn="0" w:oddVBand="0" w:evenVBand="0" w:oddHBand="1" w:evenHBand="0" w:firstRowFirstColumn="0" w:firstRowLastColumn="0" w:lastRowFirstColumn="0" w:lastRowLastColumn="0"/>
              <w:rPr>
                <w:sz w:val="16"/>
                <w:szCs w:val="16"/>
              </w:rPr>
            </w:pPr>
            <w:r w:rsidRPr="009B6364">
              <w:rPr>
                <w:sz w:val="16"/>
                <w:szCs w:val="16"/>
              </w:rPr>
              <w:t>Noise</w:t>
            </w:r>
          </w:p>
        </w:tc>
        <w:tc>
          <w:tcPr>
            <w:tcW w:w="1848" w:type="dxa"/>
            <w:shd w:val="clear" w:color="auto" w:fill="FFFF00"/>
          </w:tcPr>
          <w:p w14:paraId="5C17E5D7"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6364">
              <w:rPr>
                <w:sz w:val="16"/>
                <w:szCs w:val="16"/>
              </w:rPr>
              <w:t>Medium</w:t>
            </w:r>
          </w:p>
        </w:tc>
        <w:tc>
          <w:tcPr>
            <w:tcW w:w="1849" w:type="dxa"/>
            <w:shd w:val="clear" w:color="auto" w:fill="FF6600"/>
          </w:tcPr>
          <w:p w14:paraId="1BD93F93"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6364">
              <w:rPr>
                <w:sz w:val="16"/>
                <w:szCs w:val="16"/>
              </w:rPr>
              <w:t>High</w:t>
            </w:r>
          </w:p>
        </w:tc>
        <w:tc>
          <w:tcPr>
            <w:tcW w:w="1849" w:type="dxa"/>
            <w:shd w:val="clear" w:color="auto" w:fill="FFFF00"/>
          </w:tcPr>
          <w:p w14:paraId="7868B567"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6364">
              <w:rPr>
                <w:sz w:val="16"/>
                <w:szCs w:val="16"/>
              </w:rPr>
              <w:t>Medium</w:t>
            </w:r>
          </w:p>
        </w:tc>
      </w:tr>
      <w:tr w:rsidR="001B1863" w:rsidRPr="009B6364" w14:paraId="0DF7A9B8" w14:textId="77777777" w:rsidTr="00554832">
        <w:tc>
          <w:tcPr>
            <w:cnfStyle w:val="001000000000" w:firstRow="0" w:lastRow="0" w:firstColumn="1" w:lastColumn="0" w:oddVBand="0" w:evenVBand="0" w:oddHBand="0" w:evenHBand="0" w:firstRowFirstColumn="0" w:firstRowLastColumn="0" w:lastRowFirstColumn="0" w:lastRowLastColumn="0"/>
            <w:tcW w:w="1848" w:type="dxa"/>
          </w:tcPr>
          <w:p w14:paraId="0EC48135" w14:textId="77777777" w:rsidR="001B1863" w:rsidRPr="009B6364" w:rsidRDefault="001B1863" w:rsidP="00554832">
            <w:pPr>
              <w:jc w:val="left"/>
              <w:rPr>
                <w:b w:val="0"/>
                <w:sz w:val="16"/>
                <w:szCs w:val="16"/>
              </w:rPr>
            </w:pPr>
            <w:r w:rsidRPr="009B6364">
              <w:rPr>
                <w:b w:val="0"/>
                <w:sz w:val="16"/>
                <w:szCs w:val="16"/>
              </w:rPr>
              <w:t>Biological resource use</w:t>
            </w:r>
          </w:p>
        </w:tc>
        <w:tc>
          <w:tcPr>
            <w:tcW w:w="1848" w:type="dxa"/>
          </w:tcPr>
          <w:p w14:paraId="239D78AA" w14:textId="77777777" w:rsidR="001B1863" w:rsidRPr="009B6364" w:rsidRDefault="001B1863" w:rsidP="00554832">
            <w:pPr>
              <w:cnfStyle w:val="000000000000" w:firstRow="0" w:lastRow="0" w:firstColumn="0" w:lastColumn="0" w:oddVBand="0" w:evenVBand="0" w:oddHBand="0" w:evenHBand="0" w:firstRowFirstColumn="0" w:firstRowLastColumn="0" w:lastRowFirstColumn="0" w:lastRowLastColumn="0"/>
              <w:rPr>
                <w:sz w:val="16"/>
                <w:szCs w:val="16"/>
              </w:rPr>
            </w:pPr>
            <w:r w:rsidRPr="009B6364">
              <w:rPr>
                <w:sz w:val="16"/>
                <w:szCs w:val="16"/>
              </w:rPr>
              <w:t>Fishing</w:t>
            </w:r>
          </w:p>
        </w:tc>
        <w:tc>
          <w:tcPr>
            <w:tcW w:w="1848" w:type="dxa"/>
            <w:shd w:val="clear" w:color="auto" w:fill="FFFF00"/>
          </w:tcPr>
          <w:p w14:paraId="6B2AE440"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6364">
              <w:rPr>
                <w:sz w:val="16"/>
                <w:szCs w:val="16"/>
              </w:rPr>
              <w:t>Medium</w:t>
            </w:r>
          </w:p>
        </w:tc>
        <w:tc>
          <w:tcPr>
            <w:tcW w:w="1849" w:type="dxa"/>
          </w:tcPr>
          <w:p w14:paraId="67836AED"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849" w:type="dxa"/>
          </w:tcPr>
          <w:p w14:paraId="37A9F3B8"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14:paraId="0C75AE89" w14:textId="77777777" w:rsidR="00B264EE" w:rsidRDefault="00B264EE" w:rsidP="006B3BB9">
      <w:pPr>
        <w:pStyle w:val="tblBody"/>
      </w:pPr>
    </w:p>
    <w:p w14:paraId="7136C372" w14:textId="77777777" w:rsidR="001B1863" w:rsidRPr="009B6364" w:rsidRDefault="001B1863" w:rsidP="001B1863">
      <w:pPr>
        <w:rPr>
          <w:b/>
          <w:i/>
          <w:color w:val="8C863E" w:themeColor="background2" w:themeShade="80"/>
          <w:sz w:val="24"/>
          <w:szCs w:val="24"/>
        </w:rPr>
      </w:pPr>
      <w:r w:rsidRPr="009B6364">
        <w:rPr>
          <w:b/>
          <w:i/>
          <w:color w:val="8C863E" w:themeColor="background2" w:themeShade="80"/>
          <w:sz w:val="24"/>
          <w:szCs w:val="24"/>
        </w:rPr>
        <w:t>Assumptions and Knowledge gaps</w:t>
      </w:r>
    </w:p>
    <w:p w14:paraId="5CF4D0D1" w14:textId="2E2E2823" w:rsidR="001B1863" w:rsidRPr="009B6364" w:rsidRDefault="001B1863" w:rsidP="001B1863">
      <w:r w:rsidRPr="009B6364">
        <w:t xml:space="preserve">The identification of priority threats is based entirely on the information provided in the </w:t>
      </w:r>
      <w:r w:rsidR="00B264EE">
        <w:t>ECD</w:t>
      </w:r>
      <w:r w:rsidRPr="009B6364">
        <w:t xml:space="preserve"> and management plan for the site. No new information was sourced, nor was there any new risk assessment. The outputs of the previous risk assessment process have simply been adapted to the IECA terminology. It is possible that there have been significant change in threats to the site in the past 8 years</w:t>
      </w:r>
      <w:r w:rsidR="003B3E35">
        <w:t xml:space="preserve"> that are not captured</w:t>
      </w:r>
      <w:r w:rsidRPr="009B6364">
        <w:t>.</w:t>
      </w:r>
    </w:p>
    <w:p w14:paraId="36FBCB0D" w14:textId="77777777" w:rsidR="001B1863" w:rsidRPr="009B6364" w:rsidRDefault="001B1863" w:rsidP="001B1863">
      <w:pPr>
        <w:pStyle w:val="Heading2"/>
        <w:numPr>
          <w:ilvl w:val="0"/>
          <w:numId w:val="0"/>
        </w:numPr>
      </w:pPr>
      <w:bookmarkStart w:id="154" w:name="_Toc493774249"/>
      <w:r w:rsidRPr="009B6364">
        <w:t>Step 3: Develop Key Evaluation Questions (KEQs)</w:t>
      </w:r>
      <w:bookmarkEnd w:id="154"/>
    </w:p>
    <w:p w14:paraId="74A9857D" w14:textId="77777777" w:rsidR="001B1863" w:rsidRPr="009B6364" w:rsidRDefault="001B1863" w:rsidP="001B1863">
      <w:pPr>
        <w:rPr>
          <w:b/>
          <w:i/>
        </w:rPr>
      </w:pPr>
      <w:r w:rsidRPr="009B6364">
        <w:rPr>
          <w:b/>
          <w:i/>
        </w:rPr>
        <w:t>Refine conceptual model relating to impact pathways of high risk and high priority values</w:t>
      </w:r>
    </w:p>
    <w:p w14:paraId="26730F76" w14:textId="63F2BE74" w:rsidR="001B1863" w:rsidRDefault="001B1863" w:rsidP="001B1863">
      <w:r w:rsidRPr="009B6364">
        <w:t>A hypothetical example of a refined conceptual model for the high priority stressor of increased nutrients in the Peel-Harvey Estuary</w:t>
      </w:r>
      <w:r w:rsidR="00BC5AEA">
        <w:t xml:space="preserve"> segment of the Ramsar site</w:t>
      </w:r>
      <w:r w:rsidRPr="009B6364">
        <w:t xml:space="preserve"> is provided in </w:t>
      </w:r>
      <w:r w:rsidR="00BC5AEA">
        <w:fldChar w:fldCharType="begin"/>
      </w:r>
      <w:r w:rsidR="00BC5AEA">
        <w:instrText xml:space="preserve"> REF _Ref484514819 \h </w:instrText>
      </w:r>
      <w:r w:rsidR="00BC5AEA">
        <w:fldChar w:fldCharType="separate"/>
      </w:r>
      <w:r w:rsidR="00FD50A9">
        <w:t xml:space="preserve">Figure B </w:t>
      </w:r>
      <w:r w:rsidR="00FD50A9">
        <w:rPr>
          <w:noProof/>
        </w:rPr>
        <w:t>5</w:t>
      </w:r>
      <w:r w:rsidR="00BC5AEA">
        <w:fldChar w:fldCharType="end"/>
      </w:r>
      <w:r w:rsidRPr="009B6364">
        <w:t>. It uses an example modifier from the Water Quality Improvement Plan (EPA 2008) and illustrates potential short, medium and long term responses.</w:t>
      </w:r>
    </w:p>
    <w:p w14:paraId="7EA75B32" w14:textId="77777777" w:rsidR="00BC5AEA" w:rsidRPr="009B6364" w:rsidRDefault="00BC5AEA" w:rsidP="001B1863"/>
    <w:p w14:paraId="2724EFDF" w14:textId="77777777" w:rsidR="001B1863" w:rsidRPr="009B6364" w:rsidRDefault="001B1863" w:rsidP="001B1863"/>
    <w:p w14:paraId="4F12F4DC" w14:textId="365790BC" w:rsidR="001B1863" w:rsidRPr="009B6364" w:rsidRDefault="00C810C6" w:rsidP="001B1863">
      <w:r>
        <w:rPr>
          <w:noProof/>
          <w:lang w:eastAsia="en-AU"/>
        </w:rPr>
        <w:lastRenderedPageBreak/>
        <w:drawing>
          <wp:inline distT="0" distB="0" distL="0" distR="0" wp14:anchorId="58584E7E" wp14:editId="65A34D99">
            <wp:extent cx="5731510" cy="385000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 pollution model.png"/>
                    <pic:cNvPicPr/>
                  </pic:nvPicPr>
                  <pic:blipFill>
                    <a:blip r:embed="rId103">
                      <a:extLst>
                        <a:ext uri="{28A0092B-C50C-407E-A947-70E740481C1C}">
                          <a14:useLocalDpi xmlns:a14="http://schemas.microsoft.com/office/drawing/2010/main" val="0"/>
                        </a:ext>
                      </a:extLst>
                    </a:blip>
                    <a:stretch>
                      <a:fillRect/>
                    </a:stretch>
                  </pic:blipFill>
                  <pic:spPr>
                    <a:xfrm>
                      <a:off x="0" y="0"/>
                      <a:ext cx="5731510" cy="3850005"/>
                    </a:xfrm>
                    <a:prstGeom prst="rect">
                      <a:avLst/>
                    </a:prstGeom>
                  </pic:spPr>
                </pic:pic>
              </a:graphicData>
            </a:graphic>
          </wp:inline>
        </w:drawing>
      </w:r>
    </w:p>
    <w:p w14:paraId="25487444" w14:textId="23A70DA4" w:rsidR="001B1863" w:rsidRDefault="00BC5AEA" w:rsidP="001B1863">
      <w:pPr>
        <w:pStyle w:val="Caption"/>
      </w:pPr>
      <w:bookmarkStart w:id="155" w:name="_Ref484514819"/>
      <w:r>
        <w:t xml:space="preserve">Figure B </w:t>
      </w:r>
      <w:fldSimple w:instr=" SEQ Figure_B \* ARABIC ">
        <w:r w:rsidR="00CB6D08">
          <w:rPr>
            <w:noProof/>
          </w:rPr>
          <w:t>5</w:t>
        </w:r>
      </w:fldSimple>
      <w:bookmarkEnd w:id="155"/>
      <w:r>
        <w:t>: Pressure Stressor Response c</w:t>
      </w:r>
      <w:r w:rsidR="001B1863" w:rsidRPr="009B6364">
        <w:t>onceptual model showing potential modifier and temporal scale of ecological effects of inc</w:t>
      </w:r>
      <w:r w:rsidR="00875979">
        <w:t>rea</w:t>
      </w:r>
      <w:r w:rsidR="001B1863" w:rsidRPr="009B6364">
        <w:t>sed nutrients in the peel-harvey estuary</w:t>
      </w:r>
      <w:r>
        <w:t xml:space="preserve"> segment</w:t>
      </w:r>
      <w:r w:rsidR="001B1863" w:rsidRPr="009B6364">
        <w:t>.</w:t>
      </w:r>
    </w:p>
    <w:p w14:paraId="67A10E19" w14:textId="77777777" w:rsidR="001B1863" w:rsidRPr="009B6364" w:rsidRDefault="001B1863" w:rsidP="001B1863">
      <w:r w:rsidRPr="009B6364">
        <w:rPr>
          <w:b/>
          <w:i/>
        </w:rPr>
        <w:t>Draft KEQs relating to management objective for each scale of assessment</w:t>
      </w:r>
      <w:r w:rsidRPr="009B6364">
        <w:t xml:space="preserve"> </w:t>
      </w:r>
    </w:p>
    <w:p w14:paraId="28A6B42B" w14:textId="3BC683C8" w:rsidR="001B1863" w:rsidRPr="009B6364" w:rsidRDefault="001B1863" w:rsidP="001B1863">
      <w:r w:rsidRPr="009B6364">
        <w:t xml:space="preserve">The management objective for the Peel-Yalgorup Ramsar site is to protect and / or restore ecological character. KEQs for this system will therefore be related to ensuring that indicators for priority values (critical components, process and services) are within the </w:t>
      </w:r>
      <w:r w:rsidR="00BC5AEA">
        <w:t>thresholds</w:t>
      </w:r>
      <w:r w:rsidRPr="009B6364">
        <w:t xml:space="preserve"> established by Limits of Acceptable Change. In order to assess the effectiveness of management actions on protecting and restoring ecological character, KEQs can also be derived for priority threats. Some examples of KEQs for both values and threats are provided in </w:t>
      </w:r>
      <w:r w:rsidR="00BC5AEA">
        <w:fldChar w:fldCharType="begin"/>
      </w:r>
      <w:r w:rsidR="00BC5AEA">
        <w:instrText xml:space="preserve"> REF _Ref484514991 \h </w:instrText>
      </w:r>
      <w:r w:rsidR="00BC5AEA">
        <w:fldChar w:fldCharType="separate"/>
      </w:r>
      <w:r w:rsidR="00FD50A9">
        <w:t xml:space="preserve">Table B </w:t>
      </w:r>
      <w:r w:rsidR="00FD50A9">
        <w:rPr>
          <w:noProof/>
        </w:rPr>
        <w:t>7</w:t>
      </w:r>
      <w:r w:rsidR="00BC5AEA">
        <w:fldChar w:fldCharType="end"/>
      </w:r>
      <w:r w:rsidRPr="009B6364">
        <w:t>.</w:t>
      </w:r>
    </w:p>
    <w:p w14:paraId="1E5A9C5B" w14:textId="7BDAF43B" w:rsidR="001B1863" w:rsidRPr="009B6364" w:rsidRDefault="00BC5AEA" w:rsidP="00BC5AEA">
      <w:pPr>
        <w:pStyle w:val="Caption"/>
      </w:pPr>
      <w:bookmarkStart w:id="156" w:name="_Ref484514991"/>
      <w:r>
        <w:t xml:space="preserve">Table B </w:t>
      </w:r>
      <w:fldSimple w:instr=" SEQ Table_B \* ARABIC ">
        <w:r w:rsidR="00FD50A9">
          <w:rPr>
            <w:noProof/>
          </w:rPr>
          <w:t>7</w:t>
        </w:r>
      </w:fldSimple>
      <w:bookmarkEnd w:id="156"/>
      <w:r>
        <w:t>: H</w:t>
      </w:r>
      <w:r w:rsidR="001B1863" w:rsidRPr="00BC5AEA">
        <w:t>ypothetical K</w:t>
      </w:r>
      <w:r w:rsidR="00AE0E00">
        <w:t>ey Evaluation Questions</w:t>
      </w:r>
      <w:r w:rsidR="001B1863" w:rsidRPr="00BC5AEA">
        <w:t xml:space="preserve"> for the Peel Yalgorup Ramsar site.</w:t>
      </w:r>
      <w:r w:rsidR="006B3BB9" w:rsidRPr="00BC5AEA">
        <w:t xml:space="preserve"> </w:t>
      </w:r>
      <w:r>
        <w:t>Note: this is only a very small number of KEQ</w:t>
      </w:r>
      <w:r w:rsidR="003B3E35">
        <w:t>,</w:t>
      </w:r>
      <w:r>
        <w:t xml:space="preserve"> used only to illustrate the approach.</w:t>
      </w:r>
    </w:p>
    <w:tbl>
      <w:tblPr>
        <w:tblStyle w:val="LightList-Accent2"/>
        <w:tblW w:w="0" w:type="auto"/>
        <w:tblLook w:val="04A0" w:firstRow="1" w:lastRow="0" w:firstColumn="1" w:lastColumn="0" w:noHBand="0" w:noVBand="1"/>
      </w:tblPr>
      <w:tblGrid>
        <w:gridCol w:w="1951"/>
        <w:gridCol w:w="3260"/>
        <w:gridCol w:w="1810"/>
        <w:gridCol w:w="1081"/>
        <w:gridCol w:w="904"/>
      </w:tblGrid>
      <w:tr w:rsidR="001B1863" w:rsidRPr="009B6364" w14:paraId="56270D46" w14:textId="77777777" w:rsidTr="00554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52D1485" w14:textId="77777777" w:rsidR="001B1863" w:rsidRPr="009B6364" w:rsidRDefault="001B1863" w:rsidP="00554832">
            <w:pPr>
              <w:pStyle w:val="Tabletext0"/>
            </w:pPr>
            <w:r w:rsidRPr="009B6364">
              <w:t xml:space="preserve">Management objective </w:t>
            </w:r>
          </w:p>
        </w:tc>
        <w:tc>
          <w:tcPr>
            <w:tcW w:w="3260" w:type="dxa"/>
          </w:tcPr>
          <w:p w14:paraId="7D78F466" w14:textId="1DCA5378" w:rsidR="001B1863" w:rsidRPr="009B6364" w:rsidRDefault="001B1863" w:rsidP="00AE0E00">
            <w:pPr>
              <w:pStyle w:val="Tabletext0"/>
              <w:cnfStyle w:val="100000000000" w:firstRow="1" w:lastRow="0" w:firstColumn="0" w:lastColumn="0" w:oddVBand="0" w:evenVBand="0" w:oddHBand="0" w:evenHBand="0" w:firstRowFirstColumn="0" w:firstRowLastColumn="0" w:lastRowFirstColumn="0" w:lastRowLastColumn="0"/>
            </w:pPr>
            <w:r w:rsidRPr="009B6364">
              <w:t>K</w:t>
            </w:r>
            <w:r w:rsidR="00AE0E00">
              <w:t>ey Evaluation Question</w:t>
            </w:r>
          </w:p>
        </w:tc>
        <w:tc>
          <w:tcPr>
            <w:tcW w:w="1810" w:type="dxa"/>
          </w:tcPr>
          <w:p w14:paraId="2444F534" w14:textId="77777777" w:rsidR="001B1863" w:rsidRPr="009B6364" w:rsidRDefault="001B1863" w:rsidP="00554832">
            <w:pPr>
              <w:pStyle w:val="Tabletext0"/>
              <w:cnfStyle w:val="100000000000" w:firstRow="1" w:lastRow="0" w:firstColumn="0" w:lastColumn="0" w:oddVBand="0" w:evenVBand="0" w:oddHBand="0" w:evenHBand="0" w:firstRowFirstColumn="0" w:firstRowLastColumn="0" w:lastRowFirstColumn="0" w:lastRowLastColumn="0"/>
            </w:pPr>
            <w:r w:rsidRPr="009B6364">
              <w:t>Assumption</w:t>
            </w:r>
          </w:p>
        </w:tc>
        <w:tc>
          <w:tcPr>
            <w:tcW w:w="0" w:type="auto"/>
          </w:tcPr>
          <w:p w14:paraId="047F8105" w14:textId="77777777" w:rsidR="001B1863" w:rsidRPr="009B6364" w:rsidRDefault="001B1863" w:rsidP="00554832">
            <w:pPr>
              <w:pStyle w:val="Tabletext0"/>
              <w:cnfStyle w:val="100000000000" w:firstRow="1" w:lastRow="0" w:firstColumn="0" w:lastColumn="0" w:oddVBand="0" w:evenVBand="0" w:oddHBand="0" w:evenHBand="0" w:firstRowFirstColumn="0" w:firstRowLastColumn="0" w:lastRowFirstColumn="0" w:lastRowLastColumn="0"/>
            </w:pPr>
            <w:r w:rsidRPr="009B6364">
              <w:t>Temporal scale of effect</w:t>
            </w:r>
          </w:p>
        </w:tc>
        <w:tc>
          <w:tcPr>
            <w:tcW w:w="0" w:type="auto"/>
          </w:tcPr>
          <w:p w14:paraId="2A8547FA" w14:textId="77777777" w:rsidR="001B1863" w:rsidRPr="009B6364" w:rsidRDefault="001B1863" w:rsidP="00554832">
            <w:pPr>
              <w:pStyle w:val="Tabletext0"/>
              <w:cnfStyle w:val="100000000000" w:firstRow="1" w:lastRow="0" w:firstColumn="0" w:lastColumn="0" w:oddVBand="0" w:evenVBand="0" w:oddHBand="0" w:evenHBand="0" w:firstRowFirstColumn="0" w:firstRowLastColumn="0" w:lastRowFirstColumn="0" w:lastRowLastColumn="0"/>
            </w:pPr>
            <w:r w:rsidRPr="009B6364">
              <w:t>Spatial scale of effect</w:t>
            </w:r>
          </w:p>
        </w:tc>
      </w:tr>
      <w:tr w:rsidR="001B1863" w:rsidRPr="009B6364" w14:paraId="175AEE19"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33350CE6" w14:textId="77777777" w:rsidR="001B1863" w:rsidRPr="009B6364" w:rsidRDefault="001B1863" w:rsidP="00554832">
            <w:pPr>
              <w:pStyle w:val="tblBody"/>
              <w:rPr>
                <w:b w:val="0"/>
              </w:rPr>
            </w:pPr>
            <w:r w:rsidRPr="009B6364">
              <w:rPr>
                <w:b w:val="0"/>
              </w:rPr>
              <w:t>To work towards protecting and/or restoring the ecological character of the Peel-Yalgorup System</w:t>
            </w:r>
          </w:p>
        </w:tc>
        <w:tc>
          <w:tcPr>
            <w:tcW w:w="3260" w:type="dxa"/>
          </w:tcPr>
          <w:p w14:paraId="153C9E90" w14:textId="77777777" w:rsidR="001B1863" w:rsidRPr="009B6364" w:rsidRDefault="001B1863" w:rsidP="00554832">
            <w:pPr>
              <w:pStyle w:val="tblBody"/>
              <w:cnfStyle w:val="000000100000" w:firstRow="0" w:lastRow="0" w:firstColumn="0" w:lastColumn="0" w:oddVBand="0" w:evenVBand="0" w:oddHBand="1" w:evenHBand="0" w:firstRowFirstColumn="0" w:firstRowLastColumn="0" w:lastRowFirstColumn="0" w:lastRowLastColumn="0"/>
            </w:pPr>
            <w:r w:rsidRPr="009B6364">
              <w:t>Has abundance of waterbirds been maintained as indicated by Limits of Acceptable Change?</w:t>
            </w:r>
          </w:p>
        </w:tc>
        <w:tc>
          <w:tcPr>
            <w:tcW w:w="1810" w:type="dxa"/>
          </w:tcPr>
          <w:p w14:paraId="519BA6F8" w14:textId="77777777" w:rsidR="001B1863" w:rsidRPr="009B6364" w:rsidRDefault="001B1863" w:rsidP="00554832">
            <w:pPr>
              <w:pStyle w:val="tblBody"/>
              <w:cnfStyle w:val="000000100000" w:firstRow="0" w:lastRow="0" w:firstColumn="0" w:lastColumn="0" w:oddVBand="0" w:evenVBand="0" w:oddHBand="1" w:evenHBand="0" w:firstRowFirstColumn="0" w:firstRowLastColumn="0" w:lastRowFirstColumn="0" w:lastRowLastColumn="0"/>
            </w:pPr>
            <w:r w:rsidRPr="009B6364">
              <w:t>Limits of Acceptable Change adequately reflect the benchmark condition</w:t>
            </w:r>
          </w:p>
        </w:tc>
        <w:tc>
          <w:tcPr>
            <w:tcW w:w="0" w:type="auto"/>
          </w:tcPr>
          <w:p w14:paraId="5B615BD2" w14:textId="77777777" w:rsidR="001B1863" w:rsidRPr="009B6364" w:rsidRDefault="001B1863" w:rsidP="00554832">
            <w:pPr>
              <w:pStyle w:val="tblBody"/>
              <w:cnfStyle w:val="000000100000" w:firstRow="0" w:lastRow="0" w:firstColumn="0" w:lastColumn="0" w:oddVBand="0" w:evenVBand="0" w:oddHBand="1" w:evenHBand="0" w:firstRowFirstColumn="0" w:firstRowLastColumn="0" w:lastRowFirstColumn="0" w:lastRowLastColumn="0"/>
            </w:pPr>
            <w:r w:rsidRPr="009B6364">
              <w:t>Medium term 5 years</w:t>
            </w:r>
          </w:p>
        </w:tc>
        <w:tc>
          <w:tcPr>
            <w:tcW w:w="0" w:type="auto"/>
          </w:tcPr>
          <w:p w14:paraId="410C7E6D" w14:textId="77777777" w:rsidR="001B1863" w:rsidRPr="009B6364" w:rsidRDefault="001B1863" w:rsidP="00554832">
            <w:pPr>
              <w:pStyle w:val="tblBody"/>
              <w:cnfStyle w:val="000000100000" w:firstRow="0" w:lastRow="0" w:firstColumn="0" w:lastColumn="0" w:oddVBand="0" w:evenVBand="0" w:oddHBand="1" w:evenHBand="0" w:firstRowFirstColumn="0" w:firstRowLastColumn="0" w:lastRowFirstColumn="0" w:lastRowLastColumn="0"/>
            </w:pPr>
            <w:r w:rsidRPr="009B6364">
              <w:t>Whole of site</w:t>
            </w:r>
          </w:p>
        </w:tc>
      </w:tr>
      <w:tr w:rsidR="001B1863" w:rsidRPr="009B6364" w14:paraId="005E710D" w14:textId="77777777" w:rsidTr="00554832">
        <w:tc>
          <w:tcPr>
            <w:cnfStyle w:val="001000000000" w:firstRow="0" w:lastRow="0" w:firstColumn="1" w:lastColumn="0" w:oddVBand="0" w:evenVBand="0" w:oddHBand="0" w:evenHBand="0" w:firstRowFirstColumn="0" w:firstRowLastColumn="0" w:lastRowFirstColumn="0" w:lastRowLastColumn="0"/>
            <w:tcW w:w="1951" w:type="dxa"/>
            <w:vMerge/>
          </w:tcPr>
          <w:p w14:paraId="166CE809" w14:textId="77777777" w:rsidR="001B1863" w:rsidRPr="009B6364" w:rsidRDefault="001B1863" w:rsidP="00554832">
            <w:pPr>
              <w:pStyle w:val="tblBody"/>
              <w:rPr>
                <w:b w:val="0"/>
              </w:rPr>
            </w:pPr>
          </w:p>
        </w:tc>
        <w:tc>
          <w:tcPr>
            <w:tcW w:w="3260" w:type="dxa"/>
          </w:tcPr>
          <w:p w14:paraId="6B0E6886" w14:textId="77777777" w:rsidR="001B1863" w:rsidRPr="009B6364" w:rsidRDefault="001B1863" w:rsidP="00554832">
            <w:pPr>
              <w:pStyle w:val="tblBody"/>
              <w:cnfStyle w:val="000000000000" w:firstRow="0" w:lastRow="0" w:firstColumn="0" w:lastColumn="0" w:oddVBand="0" w:evenVBand="0" w:oddHBand="0" w:evenHBand="0" w:firstRowFirstColumn="0" w:firstRowLastColumn="0" w:lastRowFirstColumn="0" w:lastRowLastColumn="0"/>
            </w:pPr>
            <w:r w:rsidRPr="009B6364">
              <w:t xml:space="preserve">Has waterbird breeding been maintained as indicated by Limits of Acceptable Change? </w:t>
            </w:r>
          </w:p>
        </w:tc>
        <w:tc>
          <w:tcPr>
            <w:tcW w:w="1810" w:type="dxa"/>
          </w:tcPr>
          <w:p w14:paraId="22CCD2EB" w14:textId="77777777" w:rsidR="001B1863" w:rsidRPr="009B6364" w:rsidRDefault="001B1863" w:rsidP="00554832">
            <w:pPr>
              <w:pStyle w:val="tblBody"/>
              <w:cnfStyle w:val="000000000000" w:firstRow="0" w:lastRow="0" w:firstColumn="0" w:lastColumn="0" w:oddVBand="0" w:evenVBand="0" w:oddHBand="0" w:evenHBand="0" w:firstRowFirstColumn="0" w:firstRowLastColumn="0" w:lastRowFirstColumn="0" w:lastRowLastColumn="0"/>
            </w:pPr>
            <w:r w:rsidRPr="009B6364">
              <w:t>Limits of Acceptable Change adequately reflect the benchmark condition</w:t>
            </w:r>
          </w:p>
        </w:tc>
        <w:tc>
          <w:tcPr>
            <w:tcW w:w="0" w:type="auto"/>
          </w:tcPr>
          <w:p w14:paraId="26C44CFA" w14:textId="77777777" w:rsidR="001B1863" w:rsidRPr="009B6364" w:rsidRDefault="001B1863" w:rsidP="00554832">
            <w:pPr>
              <w:pStyle w:val="tblBody"/>
              <w:cnfStyle w:val="000000000000" w:firstRow="0" w:lastRow="0" w:firstColumn="0" w:lastColumn="0" w:oddVBand="0" w:evenVBand="0" w:oddHBand="0" w:evenHBand="0" w:firstRowFirstColumn="0" w:firstRowLastColumn="0" w:lastRowFirstColumn="0" w:lastRowLastColumn="0"/>
            </w:pPr>
            <w:r w:rsidRPr="009B6364">
              <w:t>Medium term 5 years</w:t>
            </w:r>
          </w:p>
        </w:tc>
        <w:tc>
          <w:tcPr>
            <w:tcW w:w="0" w:type="auto"/>
          </w:tcPr>
          <w:p w14:paraId="53C9D0DC" w14:textId="77777777" w:rsidR="001B1863" w:rsidRPr="009B6364" w:rsidRDefault="001B1863" w:rsidP="00554832">
            <w:pPr>
              <w:pStyle w:val="tblBody"/>
              <w:cnfStyle w:val="000000000000" w:firstRow="0" w:lastRow="0" w:firstColumn="0" w:lastColumn="0" w:oddVBand="0" w:evenVBand="0" w:oddHBand="0" w:evenHBand="0" w:firstRowFirstColumn="0" w:firstRowLastColumn="0" w:lastRowFirstColumn="0" w:lastRowLastColumn="0"/>
            </w:pPr>
            <w:r w:rsidRPr="009B6364">
              <w:t>Whole of site</w:t>
            </w:r>
          </w:p>
        </w:tc>
      </w:tr>
      <w:tr w:rsidR="001B1863" w:rsidRPr="009B6364" w14:paraId="20902A9A"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4223AD21" w14:textId="77777777" w:rsidR="001B1863" w:rsidRPr="009B6364" w:rsidRDefault="001B1863" w:rsidP="00554832">
            <w:pPr>
              <w:pStyle w:val="tblBody"/>
              <w:rPr>
                <w:b w:val="0"/>
              </w:rPr>
            </w:pPr>
          </w:p>
        </w:tc>
        <w:tc>
          <w:tcPr>
            <w:tcW w:w="3260" w:type="dxa"/>
          </w:tcPr>
          <w:p w14:paraId="6DB5A7AC" w14:textId="77777777" w:rsidR="001B1863" w:rsidRPr="009B6364" w:rsidRDefault="001B1863" w:rsidP="00554832">
            <w:pPr>
              <w:pStyle w:val="tblBody"/>
              <w:cnfStyle w:val="000000100000" w:firstRow="0" w:lastRow="0" w:firstColumn="0" w:lastColumn="0" w:oddVBand="0" w:evenVBand="0" w:oddHBand="1" w:evenHBand="0" w:firstRowFirstColumn="0" w:firstRowLastColumn="0" w:lastRowFirstColumn="0" w:lastRowLastColumn="0"/>
            </w:pPr>
            <w:r w:rsidRPr="009B6364">
              <w:t>Have commercial crab numbers been maintained within Limits of Acceptable Change?</w:t>
            </w:r>
          </w:p>
        </w:tc>
        <w:tc>
          <w:tcPr>
            <w:tcW w:w="1810" w:type="dxa"/>
          </w:tcPr>
          <w:p w14:paraId="6CEE7428" w14:textId="77777777" w:rsidR="001B1863" w:rsidRPr="009B6364" w:rsidRDefault="001B1863" w:rsidP="00554832">
            <w:pPr>
              <w:pStyle w:val="tblBody"/>
              <w:cnfStyle w:val="000000100000" w:firstRow="0" w:lastRow="0" w:firstColumn="0" w:lastColumn="0" w:oddVBand="0" w:evenVBand="0" w:oddHBand="1" w:evenHBand="0" w:firstRowFirstColumn="0" w:firstRowLastColumn="0" w:lastRowFirstColumn="0" w:lastRowLastColumn="0"/>
            </w:pPr>
            <w:r w:rsidRPr="009B6364">
              <w:t>Limits of Acceptable Change adequately reflect the benchmark condition</w:t>
            </w:r>
          </w:p>
        </w:tc>
        <w:tc>
          <w:tcPr>
            <w:tcW w:w="0" w:type="auto"/>
          </w:tcPr>
          <w:p w14:paraId="12EB1A58" w14:textId="77777777" w:rsidR="001B1863" w:rsidRPr="009B6364" w:rsidRDefault="001B1863" w:rsidP="00554832">
            <w:pPr>
              <w:pStyle w:val="tblBody"/>
              <w:cnfStyle w:val="000000100000" w:firstRow="0" w:lastRow="0" w:firstColumn="0" w:lastColumn="0" w:oddVBand="0" w:evenVBand="0" w:oddHBand="1" w:evenHBand="0" w:firstRowFirstColumn="0" w:firstRowLastColumn="0" w:lastRowFirstColumn="0" w:lastRowLastColumn="0"/>
            </w:pPr>
            <w:r w:rsidRPr="009B6364">
              <w:t>Short term Annual</w:t>
            </w:r>
          </w:p>
        </w:tc>
        <w:tc>
          <w:tcPr>
            <w:tcW w:w="0" w:type="auto"/>
          </w:tcPr>
          <w:p w14:paraId="605E6687" w14:textId="77777777" w:rsidR="001B1863" w:rsidRPr="009B6364" w:rsidRDefault="001B1863" w:rsidP="00554832">
            <w:pPr>
              <w:pStyle w:val="tblBody"/>
              <w:cnfStyle w:val="000000100000" w:firstRow="0" w:lastRow="0" w:firstColumn="0" w:lastColumn="0" w:oddVBand="0" w:evenVBand="0" w:oddHBand="1" w:evenHBand="0" w:firstRowFirstColumn="0" w:firstRowLastColumn="0" w:lastRowFirstColumn="0" w:lastRowLastColumn="0"/>
            </w:pPr>
            <w:r w:rsidRPr="009B6364">
              <w:t>Peel-Harvey Estuary</w:t>
            </w:r>
          </w:p>
        </w:tc>
      </w:tr>
      <w:tr w:rsidR="001B1863" w:rsidRPr="009B6364" w14:paraId="3301603A" w14:textId="77777777" w:rsidTr="00554832">
        <w:tc>
          <w:tcPr>
            <w:cnfStyle w:val="001000000000" w:firstRow="0" w:lastRow="0" w:firstColumn="1" w:lastColumn="0" w:oddVBand="0" w:evenVBand="0" w:oddHBand="0" w:evenHBand="0" w:firstRowFirstColumn="0" w:firstRowLastColumn="0" w:lastRowFirstColumn="0" w:lastRowLastColumn="0"/>
            <w:tcW w:w="1951" w:type="dxa"/>
            <w:vMerge/>
          </w:tcPr>
          <w:p w14:paraId="55BF1C74" w14:textId="77777777" w:rsidR="001B1863" w:rsidRPr="009B6364" w:rsidRDefault="001B1863" w:rsidP="00554832">
            <w:pPr>
              <w:pStyle w:val="tblBody"/>
              <w:rPr>
                <w:b w:val="0"/>
              </w:rPr>
            </w:pPr>
          </w:p>
        </w:tc>
        <w:tc>
          <w:tcPr>
            <w:tcW w:w="3260" w:type="dxa"/>
          </w:tcPr>
          <w:p w14:paraId="1FB3650F" w14:textId="77777777" w:rsidR="001B1863" w:rsidRPr="009B6364" w:rsidRDefault="001B1863" w:rsidP="00554832">
            <w:pPr>
              <w:pStyle w:val="tblBody"/>
              <w:cnfStyle w:val="000000000000" w:firstRow="0" w:lastRow="0" w:firstColumn="0" w:lastColumn="0" w:oddVBand="0" w:evenVBand="0" w:oddHBand="0" w:evenHBand="0" w:firstRowFirstColumn="0" w:firstRowLastColumn="0" w:lastRowFirstColumn="0" w:lastRowLastColumn="0"/>
            </w:pPr>
            <w:r w:rsidRPr="009B6364">
              <w:t>Has saltmarsh extent and condition been maintained?</w:t>
            </w:r>
          </w:p>
        </w:tc>
        <w:tc>
          <w:tcPr>
            <w:tcW w:w="1810" w:type="dxa"/>
          </w:tcPr>
          <w:p w14:paraId="4038BEE6" w14:textId="02A2E840" w:rsidR="001B1863" w:rsidRPr="009B6364" w:rsidRDefault="006332B0" w:rsidP="00554832">
            <w:pPr>
              <w:pStyle w:val="tblBody"/>
              <w:cnfStyle w:val="000000000000" w:firstRow="0" w:lastRow="0" w:firstColumn="0" w:lastColumn="0" w:oddVBand="0" w:evenVBand="0" w:oddHBand="0" w:evenHBand="0" w:firstRowFirstColumn="0" w:firstRowLastColumn="0" w:lastRowFirstColumn="0" w:lastRowLastColumn="0"/>
            </w:pPr>
            <w:r>
              <w:t xml:space="preserve">Baseline </w:t>
            </w:r>
            <w:r w:rsidR="001B1863" w:rsidRPr="009B6364">
              <w:t>of extent and condition has been established.</w:t>
            </w:r>
          </w:p>
        </w:tc>
        <w:tc>
          <w:tcPr>
            <w:tcW w:w="0" w:type="auto"/>
          </w:tcPr>
          <w:p w14:paraId="5C005E36" w14:textId="77777777" w:rsidR="001B1863" w:rsidRPr="009B6364" w:rsidRDefault="001B1863" w:rsidP="00554832">
            <w:pPr>
              <w:pStyle w:val="tblBody"/>
              <w:cnfStyle w:val="000000000000" w:firstRow="0" w:lastRow="0" w:firstColumn="0" w:lastColumn="0" w:oddVBand="0" w:evenVBand="0" w:oddHBand="0" w:evenHBand="0" w:firstRowFirstColumn="0" w:firstRowLastColumn="0" w:lastRowFirstColumn="0" w:lastRowLastColumn="0"/>
            </w:pPr>
            <w:r w:rsidRPr="009B6364">
              <w:t>Long term 10 years</w:t>
            </w:r>
          </w:p>
        </w:tc>
        <w:tc>
          <w:tcPr>
            <w:tcW w:w="0" w:type="auto"/>
          </w:tcPr>
          <w:p w14:paraId="152B2399" w14:textId="77777777" w:rsidR="001B1863" w:rsidRPr="009B6364" w:rsidRDefault="001B1863" w:rsidP="00554832">
            <w:pPr>
              <w:pStyle w:val="tblBody"/>
              <w:cnfStyle w:val="000000000000" w:firstRow="0" w:lastRow="0" w:firstColumn="0" w:lastColumn="0" w:oddVBand="0" w:evenVBand="0" w:oddHBand="0" w:evenHBand="0" w:firstRowFirstColumn="0" w:firstRowLastColumn="0" w:lastRowFirstColumn="0" w:lastRowLastColumn="0"/>
            </w:pPr>
            <w:r w:rsidRPr="009B6364">
              <w:t>Peel-Harvey Estuary</w:t>
            </w:r>
          </w:p>
        </w:tc>
      </w:tr>
      <w:tr w:rsidR="001B1863" w:rsidRPr="009B6364" w14:paraId="5A21A28C"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56D55B06" w14:textId="77777777" w:rsidR="001B1863" w:rsidRPr="009B6364" w:rsidRDefault="001B1863" w:rsidP="00554832">
            <w:pPr>
              <w:pStyle w:val="tblBody"/>
              <w:rPr>
                <w:b w:val="0"/>
              </w:rPr>
            </w:pPr>
          </w:p>
        </w:tc>
        <w:tc>
          <w:tcPr>
            <w:tcW w:w="3260" w:type="dxa"/>
          </w:tcPr>
          <w:p w14:paraId="5211D9BC" w14:textId="77777777" w:rsidR="001B1863" w:rsidRPr="009B6364" w:rsidRDefault="001B1863" w:rsidP="00554832">
            <w:pPr>
              <w:pStyle w:val="tblBody"/>
              <w:cnfStyle w:val="000000100000" w:firstRow="0" w:lastRow="0" w:firstColumn="0" w:lastColumn="0" w:oddVBand="0" w:evenVBand="0" w:oddHBand="1" w:evenHBand="0" w:firstRowFirstColumn="0" w:firstRowLastColumn="0" w:lastRowFirstColumn="0" w:lastRowLastColumn="0"/>
            </w:pPr>
            <w:r w:rsidRPr="009B6364">
              <w:t xml:space="preserve">Have nutrient concentrations reduced since the implementation of the Water Quality Improvement Plan (WQIP) in 2008? </w:t>
            </w:r>
          </w:p>
        </w:tc>
        <w:tc>
          <w:tcPr>
            <w:tcW w:w="1810" w:type="dxa"/>
          </w:tcPr>
          <w:p w14:paraId="11DAD1FF" w14:textId="77777777" w:rsidR="001B1863" w:rsidRPr="009B6364" w:rsidRDefault="001B1863" w:rsidP="00554832">
            <w:pPr>
              <w:pStyle w:val="tblBody"/>
              <w:cnfStyle w:val="000000100000" w:firstRow="0" w:lastRow="0" w:firstColumn="0" w:lastColumn="0" w:oddVBand="0" w:evenVBand="0" w:oddHBand="1" w:evenHBand="0" w:firstRowFirstColumn="0" w:firstRowLastColumn="0" w:lastRowFirstColumn="0" w:lastRowLastColumn="0"/>
            </w:pPr>
            <w:r w:rsidRPr="009B6364">
              <w:t xml:space="preserve">Actions in the WQIP have been implemented </w:t>
            </w:r>
          </w:p>
        </w:tc>
        <w:tc>
          <w:tcPr>
            <w:tcW w:w="0" w:type="auto"/>
          </w:tcPr>
          <w:p w14:paraId="12B6EF2B" w14:textId="77777777" w:rsidR="001B1863" w:rsidRPr="009B6364" w:rsidRDefault="001B1863" w:rsidP="00554832">
            <w:pPr>
              <w:pStyle w:val="tblBody"/>
              <w:cnfStyle w:val="000000100000" w:firstRow="0" w:lastRow="0" w:firstColumn="0" w:lastColumn="0" w:oddVBand="0" w:evenVBand="0" w:oddHBand="1" w:evenHBand="0" w:firstRowFirstColumn="0" w:firstRowLastColumn="0" w:lastRowFirstColumn="0" w:lastRowLastColumn="0"/>
            </w:pPr>
            <w:r w:rsidRPr="009B6364">
              <w:t>Long term 10 years</w:t>
            </w:r>
          </w:p>
        </w:tc>
        <w:tc>
          <w:tcPr>
            <w:tcW w:w="0" w:type="auto"/>
          </w:tcPr>
          <w:p w14:paraId="0F01FBB2" w14:textId="77777777" w:rsidR="001B1863" w:rsidRPr="009B6364" w:rsidRDefault="001B1863" w:rsidP="00554832">
            <w:pPr>
              <w:pStyle w:val="tblBody"/>
              <w:cnfStyle w:val="000000100000" w:firstRow="0" w:lastRow="0" w:firstColumn="0" w:lastColumn="0" w:oddVBand="0" w:evenVBand="0" w:oddHBand="1" w:evenHBand="0" w:firstRowFirstColumn="0" w:firstRowLastColumn="0" w:lastRowFirstColumn="0" w:lastRowLastColumn="0"/>
            </w:pPr>
            <w:r w:rsidRPr="009B6364">
              <w:t>Peel-Harvey Estuary</w:t>
            </w:r>
          </w:p>
        </w:tc>
      </w:tr>
    </w:tbl>
    <w:p w14:paraId="5765A841" w14:textId="77777777" w:rsidR="001B1863" w:rsidRPr="009B6364" w:rsidRDefault="001B1863" w:rsidP="001B1863"/>
    <w:p w14:paraId="71F4A5D2" w14:textId="77777777" w:rsidR="001B1863" w:rsidRPr="009B6364" w:rsidRDefault="001B1863" w:rsidP="001B1863">
      <w:pPr>
        <w:pStyle w:val="Heading2"/>
        <w:numPr>
          <w:ilvl w:val="0"/>
          <w:numId w:val="0"/>
        </w:numPr>
      </w:pPr>
      <w:bookmarkStart w:id="157" w:name="_Toc493774250"/>
      <w:r w:rsidRPr="009B6364">
        <w:t>Step 4: Identify and prioritise indicators</w:t>
      </w:r>
      <w:bookmarkEnd w:id="157"/>
    </w:p>
    <w:p w14:paraId="518A4BD2" w14:textId="542B2359" w:rsidR="001B1863" w:rsidRPr="009B6364" w:rsidRDefault="001B1863" w:rsidP="001B1863">
      <w:r w:rsidRPr="009B6364">
        <w:t>The process for establishing Limits of Acceptable Change for the Peel-Yalgorup Ramsar site used a prioritisation for selection of indicators. A series of criteria were applied to identify indicators (Hale and Butcher 2007):</w:t>
      </w:r>
    </w:p>
    <w:p w14:paraId="418B8BBC" w14:textId="77777777" w:rsidR="001B1863" w:rsidRPr="009B6364" w:rsidRDefault="001B1863" w:rsidP="00F4328F">
      <w:pPr>
        <w:pStyle w:val="ListParagraph"/>
        <w:numPr>
          <w:ilvl w:val="0"/>
          <w:numId w:val="69"/>
        </w:numPr>
      </w:pPr>
      <w:r w:rsidRPr="009B6364">
        <w:t>For which there is adequate information to form a baseline against which change can be measured;</w:t>
      </w:r>
    </w:p>
    <w:p w14:paraId="217C79F9" w14:textId="77777777" w:rsidR="001B1863" w:rsidRPr="009B6364" w:rsidRDefault="001B1863" w:rsidP="00F4328F">
      <w:pPr>
        <w:pStyle w:val="ListParagraph"/>
        <w:numPr>
          <w:ilvl w:val="0"/>
          <w:numId w:val="69"/>
        </w:numPr>
      </w:pPr>
      <w:r w:rsidRPr="009B6364">
        <w:t>For which there is sufficient information to characterise natural variability;</w:t>
      </w:r>
    </w:p>
    <w:p w14:paraId="3F6014A8" w14:textId="77777777" w:rsidR="001B1863" w:rsidRPr="009B6364" w:rsidRDefault="001B1863" w:rsidP="00F4328F">
      <w:pPr>
        <w:pStyle w:val="ListParagraph"/>
        <w:numPr>
          <w:ilvl w:val="0"/>
          <w:numId w:val="69"/>
        </w:numPr>
      </w:pPr>
      <w:r w:rsidRPr="009B6364">
        <w:t>That are primary determinants of ecological character;</w:t>
      </w:r>
    </w:p>
    <w:p w14:paraId="64054AA5" w14:textId="77777777" w:rsidR="001B1863" w:rsidRPr="009B6364" w:rsidRDefault="001B1863" w:rsidP="00F4328F">
      <w:pPr>
        <w:pStyle w:val="ListParagraph"/>
        <w:numPr>
          <w:ilvl w:val="0"/>
          <w:numId w:val="69"/>
        </w:numPr>
      </w:pPr>
      <w:r w:rsidRPr="009B6364">
        <w:t>That can be managed; and</w:t>
      </w:r>
    </w:p>
    <w:p w14:paraId="3A0D7F12" w14:textId="77777777" w:rsidR="001B1863" w:rsidRPr="009B6364" w:rsidRDefault="001B1863" w:rsidP="00F4328F">
      <w:pPr>
        <w:pStyle w:val="ListParagraph"/>
        <w:numPr>
          <w:ilvl w:val="0"/>
          <w:numId w:val="69"/>
        </w:numPr>
      </w:pPr>
      <w:r w:rsidRPr="009B6364">
        <w:t>That can be monitored.</w:t>
      </w:r>
    </w:p>
    <w:p w14:paraId="32D0BB4B" w14:textId="23B1042C" w:rsidR="001B1863" w:rsidRPr="009B6364" w:rsidRDefault="001B1863" w:rsidP="001B1863">
      <w:r w:rsidRPr="009B6364">
        <w:t>A subset of indicators resulted from this process, and then a hierarchical approach based on the expected temporal scale of change was applied. Thi</w:t>
      </w:r>
      <w:r w:rsidR="00875979">
        <w:t xml:space="preserve">s led to short term indicators </w:t>
      </w:r>
      <w:r w:rsidRPr="009B6364">
        <w:t>measured within an annual timeframe for abiotic components and processes such as water quality and hydrology and medium to long-term indicators for biological responses. The output was a prioritised set of indicators for values and threats at defined temporal and spatial scales. These have been translated into the IECA format and terminology</w:t>
      </w:r>
      <w:r w:rsidR="00EC00C9">
        <w:t xml:space="preserve"> </w:t>
      </w:r>
      <w:r w:rsidRPr="009B6364">
        <w:t>(</w:t>
      </w:r>
      <w:r w:rsidR="00BC5AEA">
        <w:fldChar w:fldCharType="begin"/>
      </w:r>
      <w:r w:rsidR="00BC5AEA">
        <w:instrText xml:space="preserve"> REF _Ref484515122 \h </w:instrText>
      </w:r>
      <w:r w:rsidR="00BC5AEA">
        <w:fldChar w:fldCharType="separate"/>
      </w:r>
      <w:r w:rsidR="00FD50A9">
        <w:t xml:space="preserve">Table B </w:t>
      </w:r>
      <w:r w:rsidR="00FD50A9">
        <w:rPr>
          <w:noProof/>
        </w:rPr>
        <w:t>8</w:t>
      </w:r>
      <w:r w:rsidR="00BC5AEA">
        <w:fldChar w:fldCharType="end"/>
      </w:r>
      <w:r w:rsidRPr="009B6364">
        <w:t>).</w:t>
      </w:r>
    </w:p>
    <w:p w14:paraId="0CADF95A" w14:textId="18C98983" w:rsidR="001B1863" w:rsidRPr="009B6364" w:rsidRDefault="00BC5AEA" w:rsidP="00BC5AEA">
      <w:pPr>
        <w:pStyle w:val="Caption"/>
      </w:pPr>
      <w:bookmarkStart w:id="158" w:name="_Ref484515122"/>
      <w:r>
        <w:t xml:space="preserve">Table B </w:t>
      </w:r>
      <w:fldSimple w:instr=" SEQ Table_B \* ARABIC ">
        <w:r w:rsidR="00FD50A9">
          <w:rPr>
            <w:noProof/>
          </w:rPr>
          <w:t>8</w:t>
        </w:r>
      </w:fldSimple>
      <w:bookmarkEnd w:id="158"/>
      <w:r>
        <w:t xml:space="preserve">: </w:t>
      </w:r>
      <w:r w:rsidR="001B1863" w:rsidRPr="009B6364">
        <w:t>Potential indicators for high priority values and threats in the Peel Yalgorup Ramsar site</w:t>
      </w:r>
      <w:r>
        <w:t xml:space="preserve"> showing IECA indicator type, time frame for collection of data and relevant location within the Ramsar site</w:t>
      </w:r>
      <w:r w:rsidR="001B1863" w:rsidRPr="009B6364">
        <w:t>.</w:t>
      </w:r>
      <w:r w:rsidR="006B3BB9">
        <w:t xml:space="preserve"> </w:t>
      </w:r>
    </w:p>
    <w:tbl>
      <w:tblPr>
        <w:tblStyle w:val="LightList-Accent2"/>
        <w:tblW w:w="9242" w:type="dxa"/>
        <w:tblLook w:val="04A0" w:firstRow="1" w:lastRow="0" w:firstColumn="1" w:lastColumn="0" w:noHBand="0" w:noVBand="1"/>
      </w:tblPr>
      <w:tblGrid>
        <w:gridCol w:w="1175"/>
        <w:gridCol w:w="2198"/>
        <w:gridCol w:w="1965"/>
        <w:gridCol w:w="2258"/>
        <w:gridCol w:w="1646"/>
      </w:tblGrid>
      <w:tr w:rsidR="009B5EAA" w:rsidRPr="009B6364" w14:paraId="0BFB6849" w14:textId="77777777" w:rsidTr="009B5E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5" w:type="dxa"/>
          </w:tcPr>
          <w:p w14:paraId="0943A1A7" w14:textId="6CFC67A3" w:rsidR="009B5EAA" w:rsidRPr="009B6364" w:rsidRDefault="003E5078" w:rsidP="00554832">
            <w:pPr>
              <w:pStyle w:val="Tabletext0"/>
            </w:pPr>
            <w:r>
              <w:t xml:space="preserve">IECA </w:t>
            </w:r>
            <w:r w:rsidR="009B5EAA" w:rsidRPr="009B6364">
              <w:t xml:space="preserve">Theme </w:t>
            </w:r>
          </w:p>
        </w:tc>
        <w:tc>
          <w:tcPr>
            <w:tcW w:w="2198" w:type="dxa"/>
          </w:tcPr>
          <w:p w14:paraId="029D40BD" w14:textId="77777777" w:rsidR="009B5EAA" w:rsidRPr="009B6364" w:rsidRDefault="009B5EAA" w:rsidP="00554832">
            <w:pPr>
              <w:pStyle w:val="Tabletext0"/>
              <w:cnfStyle w:val="100000000000" w:firstRow="1" w:lastRow="0" w:firstColumn="0" w:lastColumn="0" w:oddVBand="0" w:evenVBand="0" w:oddHBand="0" w:evenHBand="0" w:firstRowFirstColumn="0" w:firstRowLastColumn="0" w:lastRowFirstColumn="0" w:lastRowLastColumn="0"/>
            </w:pPr>
            <w:r w:rsidRPr="009B6364">
              <w:t>Indicator</w:t>
            </w:r>
          </w:p>
        </w:tc>
        <w:tc>
          <w:tcPr>
            <w:tcW w:w="1965" w:type="dxa"/>
          </w:tcPr>
          <w:p w14:paraId="44FCA2D8" w14:textId="06E72829" w:rsidR="009B5EAA" w:rsidRPr="009B6364" w:rsidRDefault="003E5078" w:rsidP="00554832">
            <w:pPr>
              <w:pStyle w:val="tblBody"/>
              <w:cnfStyle w:val="100000000000" w:firstRow="1" w:lastRow="0" w:firstColumn="0" w:lastColumn="0" w:oddVBand="0" w:evenVBand="0" w:oddHBand="0" w:evenHBand="0" w:firstRowFirstColumn="0" w:firstRowLastColumn="0" w:lastRowFirstColumn="0" w:lastRowLastColumn="0"/>
            </w:pPr>
            <w:r>
              <w:t xml:space="preserve">IECA </w:t>
            </w:r>
            <w:r w:rsidR="009B5EAA">
              <w:t>Indicator type</w:t>
            </w:r>
          </w:p>
        </w:tc>
        <w:tc>
          <w:tcPr>
            <w:tcW w:w="2258" w:type="dxa"/>
          </w:tcPr>
          <w:p w14:paraId="65C9478F" w14:textId="2861A4D1" w:rsidR="009B5EAA" w:rsidRPr="009B6364" w:rsidRDefault="009B5EAA" w:rsidP="00554832">
            <w:pPr>
              <w:pStyle w:val="tblBody"/>
              <w:cnfStyle w:val="100000000000" w:firstRow="1" w:lastRow="0" w:firstColumn="0" w:lastColumn="0" w:oddVBand="0" w:evenVBand="0" w:oddHBand="0" w:evenHBand="0" w:firstRowFirstColumn="0" w:firstRowLastColumn="0" w:lastRowFirstColumn="0" w:lastRowLastColumn="0"/>
            </w:pPr>
            <w:r w:rsidRPr="009B6364">
              <w:t>Time frame</w:t>
            </w:r>
          </w:p>
        </w:tc>
        <w:tc>
          <w:tcPr>
            <w:tcW w:w="1646" w:type="dxa"/>
          </w:tcPr>
          <w:p w14:paraId="75CB1BEE" w14:textId="77777777" w:rsidR="009B5EAA" w:rsidRPr="009B6364" w:rsidRDefault="009B5EAA" w:rsidP="00554832">
            <w:pPr>
              <w:pStyle w:val="Tabletext0"/>
              <w:cnfStyle w:val="100000000000" w:firstRow="1" w:lastRow="0" w:firstColumn="0" w:lastColumn="0" w:oddVBand="0" w:evenVBand="0" w:oddHBand="0" w:evenHBand="0" w:firstRowFirstColumn="0" w:firstRowLastColumn="0" w:lastRowFirstColumn="0" w:lastRowLastColumn="0"/>
            </w:pPr>
            <w:r w:rsidRPr="009B6364">
              <w:t>Relevant location</w:t>
            </w:r>
          </w:p>
        </w:tc>
      </w:tr>
      <w:tr w:rsidR="009B5EAA" w:rsidRPr="009B6364" w14:paraId="6804A476" w14:textId="77777777" w:rsidTr="009B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46DC5E82" w14:textId="77777777" w:rsidR="009B5EAA" w:rsidRPr="009B6364" w:rsidRDefault="009B5EAA" w:rsidP="00554832">
            <w:pPr>
              <w:pStyle w:val="tblBody"/>
              <w:rPr>
                <w:b w:val="0"/>
              </w:rPr>
            </w:pPr>
            <w:r w:rsidRPr="009B6364">
              <w:rPr>
                <w:b w:val="0"/>
              </w:rPr>
              <w:t>Hydrology</w:t>
            </w:r>
          </w:p>
        </w:tc>
        <w:tc>
          <w:tcPr>
            <w:tcW w:w="2198" w:type="dxa"/>
          </w:tcPr>
          <w:p w14:paraId="0F227E97" w14:textId="77777777"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Water level</w:t>
            </w:r>
          </w:p>
        </w:tc>
        <w:tc>
          <w:tcPr>
            <w:tcW w:w="1965" w:type="dxa"/>
          </w:tcPr>
          <w:p w14:paraId="3AEB27F8" w14:textId="26BC0F46" w:rsidR="009B5EAA" w:rsidRPr="009B6364" w:rsidRDefault="009B5EAA" w:rsidP="009B5EAA">
            <w:pPr>
              <w:pStyle w:val="tblBody"/>
              <w:cnfStyle w:val="000000100000" w:firstRow="0" w:lastRow="0" w:firstColumn="0" w:lastColumn="0" w:oddVBand="0" w:evenVBand="0" w:oddHBand="1" w:evenHBand="0" w:firstRowFirstColumn="0" w:firstRowLastColumn="0" w:lastRowFirstColumn="0" w:lastRowLastColumn="0"/>
            </w:pPr>
            <w:r>
              <w:t>Pressure, Condition</w:t>
            </w:r>
          </w:p>
        </w:tc>
        <w:tc>
          <w:tcPr>
            <w:tcW w:w="2258" w:type="dxa"/>
          </w:tcPr>
          <w:p w14:paraId="395F26C5" w14:textId="2B0005CC"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Collected monthly, reported annually</w:t>
            </w:r>
          </w:p>
        </w:tc>
        <w:tc>
          <w:tcPr>
            <w:tcW w:w="1646" w:type="dxa"/>
          </w:tcPr>
          <w:p w14:paraId="125F2B16" w14:textId="77777777"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Yalgorup Lakes, Lakes McLarty and Mealup</w:t>
            </w:r>
          </w:p>
        </w:tc>
      </w:tr>
      <w:tr w:rsidR="009B5EAA" w:rsidRPr="009B6364" w14:paraId="5B87B29D" w14:textId="77777777" w:rsidTr="009B5EAA">
        <w:tc>
          <w:tcPr>
            <w:cnfStyle w:val="001000000000" w:firstRow="0" w:lastRow="0" w:firstColumn="1" w:lastColumn="0" w:oddVBand="0" w:evenVBand="0" w:oddHBand="0" w:evenHBand="0" w:firstRowFirstColumn="0" w:firstRowLastColumn="0" w:lastRowFirstColumn="0" w:lastRowLastColumn="0"/>
            <w:tcW w:w="1175" w:type="dxa"/>
            <w:vMerge w:val="restart"/>
          </w:tcPr>
          <w:p w14:paraId="152628EC" w14:textId="10D4D092" w:rsidR="009B5EAA" w:rsidRPr="009B6364" w:rsidRDefault="009B5EAA" w:rsidP="00554832">
            <w:pPr>
              <w:pStyle w:val="tblBody"/>
              <w:rPr>
                <w:b w:val="0"/>
              </w:rPr>
            </w:pPr>
            <w:r>
              <w:rPr>
                <w:b w:val="0"/>
              </w:rPr>
              <w:t>Water quality</w:t>
            </w:r>
          </w:p>
        </w:tc>
        <w:tc>
          <w:tcPr>
            <w:tcW w:w="2198" w:type="dxa"/>
          </w:tcPr>
          <w:p w14:paraId="73FCA858" w14:textId="4F52385F"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Total phosphorus</w:t>
            </w:r>
          </w:p>
        </w:tc>
        <w:tc>
          <w:tcPr>
            <w:tcW w:w="1965" w:type="dxa"/>
          </w:tcPr>
          <w:p w14:paraId="5FCFFD48" w14:textId="11C19EC4"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t>Pressure</w:t>
            </w:r>
          </w:p>
        </w:tc>
        <w:tc>
          <w:tcPr>
            <w:tcW w:w="2258" w:type="dxa"/>
          </w:tcPr>
          <w:p w14:paraId="3ED3242A" w14:textId="6A692C28"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Collected monthly, reported annually</w:t>
            </w:r>
          </w:p>
        </w:tc>
        <w:tc>
          <w:tcPr>
            <w:tcW w:w="1646" w:type="dxa"/>
          </w:tcPr>
          <w:p w14:paraId="451F4430" w14:textId="77777777"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Peel-Harvey Estuary</w:t>
            </w:r>
          </w:p>
        </w:tc>
      </w:tr>
      <w:tr w:rsidR="009B5EAA" w:rsidRPr="009B6364" w14:paraId="0840028D" w14:textId="77777777" w:rsidTr="009B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vMerge/>
          </w:tcPr>
          <w:p w14:paraId="7FDC0E51" w14:textId="77777777" w:rsidR="009B5EAA" w:rsidRPr="009B6364" w:rsidRDefault="009B5EAA" w:rsidP="00554832">
            <w:pPr>
              <w:pStyle w:val="tblBody"/>
              <w:rPr>
                <w:b w:val="0"/>
              </w:rPr>
            </w:pPr>
          </w:p>
        </w:tc>
        <w:tc>
          <w:tcPr>
            <w:tcW w:w="2198" w:type="dxa"/>
          </w:tcPr>
          <w:p w14:paraId="381E3F19" w14:textId="7218B6F9"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t>O</w:t>
            </w:r>
            <w:r w:rsidRPr="009B6364">
              <w:t>rthophosphate, ammonium, nitrate-nitrite</w:t>
            </w:r>
          </w:p>
        </w:tc>
        <w:tc>
          <w:tcPr>
            <w:tcW w:w="1965" w:type="dxa"/>
          </w:tcPr>
          <w:p w14:paraId="7FDB46C3" w14:textId="4BF47F7F"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t>Pressure</w:t>
            </w:r>
          </w:p>
        </w:tc>
        <w:tc>
          <w:tcPr>
            <w:tcW w:w="2258" w:type="dxa"/>
          </w:tcPr>
          <w:p w14:paraId="7B677DB7" w14:textId="49348B92"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Collected monthly, reported annually</w:t>
            </w:r>
          </w:p>
        </w:tc>
        <w:tc>
          <w:tcPr>
            <w:tcW w:w="1646" w:type="dxa"/>
          </w:tcPr>
          <w:p w14:paraId="4C4EDB4D" w14:textId="77777777"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All segments</w:t>
            </w:r>
          </w:p>
        </w:tc>
      </w:tr>
      <w:tr w:rsidR="009B5EAA" w:rsidRPr="009B6364" w14:paraId="342361EC" w14:textId="77777777" w:rsidTr="009B5EAA">
        <w:tc>
          <w:tcPr>
            <w:cnfStyle w:val="001000000000" w:firstRow="0" w:lastRow="0" w:firstColumn="1" w:lastColumn="0" w:oddVBand="0" w:evenVBand="0" w:oddHBand="0" w:evenHBand="0" w:firstRowFirstColumn="0" w:firstRowLastColumn="0" w:lastRowFirstColumn="0" w:lastRowLastColumn="0"/>
            <w:tcW w:w="1175" w:type="dxa"/>
            <w:vMerge/>
          </w:tcPr>
          <w:p w14:paraId="1AAE8C14" w14:textId="77777777" w:rsidR="009B5EAA" w:rsidRPr="009B6364" w:rsidRDefault="009B5EAA" w:rsidP="00554832">
            <w:pPr>
              <w:pStyle w:val="tblBody"/>
              <w:rPr>
                <w:b w:val="0"/>
              </w:rPr>
            </w:pPr>
          </w:p>
        </w:tc>
        <w:tc>
          <w:tcPr>
            <w:tcW w:w="2198" w:type="dxa"/>
          </w:tcPr>
          <w:p w14:paraId="35409F3A" w14:textId="4E2EC8BA" w:rsidR="009B5EAA" w:rsidRPr="009B6364" w:rsidRDefault="009B5EAA" w:rsidP="00EE0583">
            <w:pPr>
              <w:pStyle w:val="tblBody"/>
              <w:cnfStyle w:val="000000000000" w:firstRow="0" w:lastRow="0" w:firstColumn="0" w:lastColumn="0" w:oddVBand="0" w:evenVBand="0" w:oddHBand="0" w:evenHBand="0" w:firstRowFirstColumn="0" w:firstRowLastColumn="0" w:lastRowFirstColumn="0" w:lastRowLastColumn="0"/>
            </w:pPr>
            <w:r>
              <w:t>S</w:t>
            </w:r>
            <w:r w:rsidRPr="009B6364">
              <w:t>alinity</w:t>
            </w:r>
          </w:p>
        </w:tc>
        <w:tc>
          <w:tcPr>
            <w:tcW w:w="1965" w:type="dxa"/>
          </w:tcPr>
          <w:p w14:paraId="3DDE40BA" w14:textId="17A2C3AE"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t>Stressor, Condition</w:t>
            </w:r>
          </w:p>
        </w:tc>
        <w:tc>
          <w:tcPr>
            <w:tcW w:w="2258" w:type="dxa"/>
          </w:tcPr>
          <w:p w14:paraId="0B29443F" w14:textId="1A36A82B"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Collected monthly, reported annually</w:t>
            </w:r>
          </w:p>
        </w:tc>
        <w:tc>
          <w:tcPr>
            <w:tcW w:w="1646" w:type="dxa"/>
          </w:tcPr>
          <w:p w14:paraId="492BE600" w14:textId="77777777"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All segments</w:t>
            </w:r>
          </w:p>
        </w:tc>
      </w:tr>
      <w:tr w:rsidR="009B5EAA" w:rsidRPr="009B6364" w14:paraId="75F85570" w14:textId="77777777" w:rsidTr="009B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vMerge/>
          </w:tcPr>
          <w:p w14:paraId="4C705EFE" w14:textId="77777777" w:rsidR="009B5EAA" w:rsidRPr="009B6364" w:rsidRDefault="009B5EAA" w:rsidP="00554832">
            <w:pPr>
              <w:pStyle w:val="tblBody"/>
              <w:rPr>
                <w:b w:val="0"/>
              </w:rPr>
            </w:pPr>
          </w:p>
        </w:tc>
        <w:tc>
          <w:tcPr>
            <w:tcW w:w="2198" w:type="dxa"/>
          </w:tcPr>
          <w:p w14:paraId="0DF92253" w14:textId="7E142B3E"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 xml:space="preserve"> pH</w:t>
            </w:r>
          </w:p>
        </w:tc>
        <w:tc>
          <w:tcPr>
            <w:tcW w:w="1965" w:type="dxa"/>
          </w:tcPr>
          <w:p w14:paraId="6F48C9DB" w14:textId="2B487918" w:rsidR="009B5EAA" w:rsidRPr="009B6364" w:rsidRDefault="008F5913" w:rsidP="00554832">
            <w:pPr>
              <w:pStyle w:val="tblBody"/>
              <w:cnfStyle w:val="000000100000" w:firstRow="0" w:lastRow="0" w:firstColumn="0" w:lastColumn="0" w:oddVBand="0" w:evenVBand="0" w:oddHBand="1" w:evenHBand="0" w:firstRowFirstColumn="0" w:firstRowLastColumn="0" w:lastRowFirstColumn="0" w:lastRowLastColumn="0"/>
            </w:pPr>
            <w:r>
              <w:t xml:space="preserve">Stressor, </w:t>
            </w:r>
            <w:r w:rsidR="009B5EAA">
              <w:t>Condition</w:t>
            </w:r>
          </w:p>
        </w:tc>
        <w:tc>
          <w:tcPr>
            <w:tcW w:w="2258" w:type="dxa"/>
          </w:tcPr>
          <w:p w14:paraId="29A67AC8" w14:textId="126607E0"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Collected monthly, reported annually</w:t>
            </w:r>
          </w:p>
        </w:tc>
        <w:tc>
          <w:tcPr>
            <w:tcW w:w="1646" w:type="dxa"/>
          </w:tcPr>
          <w:p w14:paraId="72C12012" w14:textId="77777777"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All segments</w:t>
            </w:r>
          </w:p>
        </w:tc>
      </w:tr>
      <w:tr w:rsidR="009B5EAA" w:rsidRPr="009B6364" w14:paraId="2476A71C" w14:textId="77777777" w:rsidTr="009B5EAA">
        <w:tc>
          <w:tcPr>
            <w:cnfStyle w:val="001000000000" w:firstRow="0" w:lastRow="0" w:firstColumn="1" w:lastColumn="0" w:oddVBand="0" w:evenVBand="0" w:oddHBand="0" w:evenHBand="0" w:firstRowFirstColumn="0" w:firstRowLastColumn="0" w:lastRowFirstColumn="0" w:lastRowLastColumn="0"/>
            <w:tcW w:w="1175" w:type="dxa"/>
            <w:vMerge/>
          </w:tcPr>
          <w:p w14:paraId="52F2901D" w14:textId="77777777" w:rsidR="009B5EAA" w:rsidRPr="009B6364" w:rsidRDefault="009B5EAA" w:rsidP="00554832">
            <w:pPr>
              <w:pStyle w:val="tblBody"/>
              <w:rPr>
                <w:b w:val="0"/>
              </w:rPr>
            </w:pPr>
          </w:p>
        </w:tc>
        <w:tc>
          <w:tcPr>
            <w:tcW w:w="2198" w:type="dxa"/>
          </w:tcPr>
          <w:p w14:paraId="3E8F8E10" w14:textId="29678351" w:rsidR="009B5EAA" w:rsidRPr="009B6364" w:rsidRDefault="009B5EAA" w:rsidP="00EE0583">
            <w:pPr>
              <w:pStyle w:val="tblBody"/>
              <w:cnfStyle w:val="000000000000" w:firstRow="0" w:lastRow="0" w:firstColumn="0" w:lastColumn="0" w:oddVBand="0" w:evenVBand="0" w:oddHBand="0" w:evenHBand="0" w:firstRowFirstColumn="0" w:firstRowLastColumn="0" w:lastRowFirstColumn="0" w:lastRowLastColumn="0"/>
            </w:pPr>
            <w:r>
              <w:t>D</w:t>
            </w:r>
            <w:r w:rsidRPr="009B6364">
              <w:t>issolved oxygen</w:t>
            </w:r>
          </w:p>
        </w:tc>
        <w:tc>
          <w:tcPr>
            <w:tcW w:w="1965" w:type="dxa"/>
          </w:tcPr>
          <w:p w14:paraId="571899C9" w14:textId="53867F4B"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t>Response, Condition</w:t>
            </w:r>
          </w:p>
        </w:tc>
        <w:tc>
          <w:tcPr>
            <w:tcW w:w="2258" w:type="dxa"/>
          </w:tcPr>
          <w:p w14:paraId="2449DA60" w14:textId="5674BA36"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Collected monthly, reported annually</w:t>
            </w:r>
          </w:p>
        </w:tc>
        <w:tc>
          <w:tcPr>
            <w:tcW w:w="1646" w:type="dxa"/>
          </w:tcPr>
          <w:p w14:paraId="404B5131" w14:textId="77777777"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Peel-Harvey Estuary</w:t>
            </w:r>
          </w:p>
        </w:tc>
      </w:tr>
      <w:tr w:rsidR="009B5EAA" w:rsidRPr="009B6364" w14:paraId="2848CB43" w14:textId="77777777" w:rsidTr="009B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vMerge w:val="restart"/>
          </w:tcPr>
          <w:p w14:paraId="76F59CA2" w14:textId="77777777" w:rsidR="009B5EAA" w:rsidRPr="009B6364" w:rsidRDefault="009B5EAA" w:rsidP="00554832">
            <w:pPr>
              <w:pStyle w:val="tblBody"/>
              <w:rPr>
                <w:b w:val="0"/>
              </w:rPr>
            </w:pPr>
            <w:r w:rsidRPr="009B6364">
              <w:rPr>
                <w:b w:val="0"/>
              </w:rPr>
              <w:t>Biodiversity</w:t>
            </w:r>
          </w:p>
        </w:tc>
        <w:tc>
          <w:tcPr>
            <w:tcW w:w="2198" w:type="dxa"/>
          </w:tcPr>
          <w:p w14:paraId="4786ED49" w14:textId="77777777"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Chlorophyll a</w:t>
            </w:r>
          </w:p>
        </w:tc>
        <w:tc>
          <w:tcPr>
            <w:tcW w:w="1965" w:type="dxa"/>
          </w:tcPr>
          <w:p w14:paraId="0C636828" w14:textId="69CE3DAE"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t>Stressor</w:t>
            </w:r>
          </w:p>
        </w:tc>
        <w:tc>
          <w:tcPr>
            <w:tcW w:w="2258" w:type="dxa"/>
          </w:tcPr>
          <w:p w14:paraId="1E49DBB8" w14:textId="65D08AA2"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Collected monthly, reported annually</w:t>
            </w:r>
          </w:p>
        </w:tc>
        <w:tc>
          <w:tcPr>
            <w:tcW w:w="1646" w:type="dxa"/>
          </w:tcPr>
          <w:p w14:paraId="127EDF4A" w14:textId="77777777"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Peel-Harvey Estuary</w:t>
            </w:r>
          </w:p>
        </w:tc>
      </w:tr>
      <w:tr w:rsidR="009B5EAA" w:rsidRPr="009B6364" w14:paraId="24EA51CC" w14:textId="77777777" w:rsidTr="009B5EAA">
        <w:tc>
          <w:tcPr>
            <w:cnfStyle w:val="001000000000" w:firstRow="0" w:lastRow="0" w:firstColumn="1" w:lastColumn="0" w:oddVBand="0" w:evenVBand="0" w:oddHBand="0" w:evenHBand="0" w:firstRowFirstColumn="0" w:firstRowLastColumn="0" w:lastRowFirstColumn="0" w:lastRowLastColumn="0"/>
            <w:tcW w:w="1175" w:type="dxa"/>
            <w:vMerge/>
          </w:tcPr>
          <w:p w14:paraId="0BAA97B8" w14:textId="77777777" w:rsidR="009B5EAA" w:rsidRPr="009B6364" w:rsidRDefault="009B5EAA" w:rsidP="00554832">
            <w:pPr>
              <w:pStyle w:val="tblBody"/>
              <w:rPr>
                <w:b w:val="0"/>
              </w:rPr>
            </w:pPr>
          </w:p>
        </w:tc>
        <w:tc>
          <w:tcPr>
            <w:tcW w:w="2198" w:type="dxa"/>
          </w:tcPr>
          <w:p w14:paraId="2A8B212C" w14:textId="77777777"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Macroalgae density</w:t>
            </w:r>
          </w:p>
        </w:tc>
        <w:tc>
          <w:tcPr>
            <w:tcW w:w="1965" w:type="dxa"/>
          </w:tcPr>
          <w:p w14:paraId="7096682D" w14:textId="405BB4D9" w:rsidR="009B5EAA" w:rsidRPr="009B6364" w:rsidRDefault="003E5078" w:rsidP="00554832">
            <w:pPr>
              <w:pStyle w:val="tblBody"/>
              <w:cnfStyle w:val="000000000000" w:firstRow="0" w:lastRow="0" w:firstColumn="0" w:lastColumn="0" w:oddVBand="0" w:evenVBand="0" w:oddHBand="0" w:evenHBand="0" w:firstRowFirstColumn="0" w:firstRowLastColumn="0" w:lastRowFirstColumn="0" w:lastRowLastColumn="0"/>
            </w:pPr>
            <w:r>
              <w:t>Stressor</w:t>
            </w:r>
          </w:p>
        </w:tc>
        <w:tc>
          <w:tcPr>
            <w:tcW w:w="2258" w:type="dxa"/>
          </w:tcPr>
          <w:p w14:paraId="368458B8" w14:textId="5C9F914F"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Annual</w:t>
            </w:r>
          </w:p>
        </w:tc>
        <w:tc>
          <w:tcPr>
            <w:tcW w:w="1646" w:type="dxa"/>
          </w:tcPr>
          <w:p w14:paraId="0E4C6C7B" w14:textId="77777777"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Yalgorup Lakes</w:t>
            </w:r>
          </w:p>
        </w:tc>
      </w:tr>
      <w:tr w:rsidR="009B5EAA" w:rsidRPr="009B6364" w14:paraId="66701D66" w14:textId="77777777" w:rsidTr="009B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vMerge/>
          </w:tcPr>
          <w:p w14:paraId="4C50D1E8" w14:textId="77777777" w:rsidR="009B5EAA" w:rsidRPr="009B6364" w:rsidRDefault="009B5EAA" w:rsidP="00554832">
            <w:pPr>
              <w:pStyle w:val="tblBody"/>
              <w:rPr>
                <w:b w:val="0"/>
              </w:rPr>
            </w:pPr>
          </w:p>
        </w:tc>
        <w:tc>
          <w:tcPr>
            <w:tcW w:w="2198" w:type="dxa"/>
          </w:tcPr>
          <w:p w14:paraId="5391801B" w14:textId="77777777"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Thrombolites extent</w:t>
            </w:r>
          </w:p>
        </w:tc>
        <w:tc>
          <w:tcPr>
            <w:tcW w:w="1965" w:type="dxa"/>
          </w:tcPr>
          <w:p w14:paraId="65F79CB3" w14:textId="28212975"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t>Condition</w:t>
            </w:r>
          </w:p>
        </w:tc>
        <w:tc>
          <w:tcPr>
            <w:tcW w:w="2258" w:type="dxa"/>
          </w:tcPr>
          <w:p w14:paraId="0FEC68F3" w14:textId="55277670"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Annual</w:t>
            </w:r>
          </w:p>
        </w:tc>
        <w:tc>
          <w:tcPr>
            <w:tcW w:w="1646" w:type="dxa"/>
          </w:tcPr>
          <w:p w14:paraId="7B82DD48" w14:textId="77777777"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Yalgorup Lakes</w:t>
            </w:r>
          </w:p>
        </w:tc>
      </w:tr>
      <w:tr w:rsidR="009B5EAA" w:rsidRPr="009B6364" w14:paraId="72082DE0" w14:textId="77777777" w:rsidTr="009B5EAA">
        <w:tc>
          <w:tcPr>
            <w:cnfStyle w:val="001000000000" w:firstRow="0" w:lastRow="0" w:firstColumn="1" w:lastColumn="0" w:oddVBand="0" w:evenVBand="0" w:oddHBand="0" w:evenHBand="0" w:firstRowFirstColumn="0" w:firstRowLastColumn="0" w:lastRowFirstColumn="0" w:lastRowLastColumn="0"/>
            <w:tcW w:w="1175" w:type="dxa"/>
            <w:vMerge/>
          </w:tcPr>
          <w:p w14:paraId="7624B0D6" w14:textId="77777777" w:rsidR="009B5EAA" w:rsidRPr="009B6364" w:rsidRDefault="009B5EAA" w:rsidP="00554832">
            <w:pPr>
              <w:pStyle w:val="tblBody"/>
              <w:rPr>
                <w:b w:val="0"/>
              </w:rPr>
            </w:pPr>
          </w:p>
        </w:tc>
        <w:tc>
          <w:tcPr>
            <w:tcW w:w="2198" w:type="dxa"/>
          </w:tcPr>
          <w:p w14:paraId="78A0F953" w14:textId="77777777"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Aquatic plants extent</w:t>
            </w:r>
          </w:p>
        </w:tc>
        <w:tc>
          <w:tcPr>
            <w:tcW w:w="1965" w:type="dxa"/>
          </w:tcPr>
          <w:p w14:paraId="1E30A8C3" w14:textId="1B4040E7"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t>Condition</w:t>
            </w:r>
          </w:p>
        </w:tc>
        <w:tc>
          <w:tcPr>
            <w:tcW w:w="2258" w:type="dxa"/>
          </w:tcPr>
          <w:p w14:paraId="5289E175" w14:textId="67435C16"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Annual</w:t>
            </w:r>
          </w:p>
        </w:tc>
        <w:tc>
          <w:tcPr>
            <w:tcW w:w="1646" w:type="dxa"/>
          </w:tcPr>
          <w:p w14:paraId="0E9B2C89" w14:textId="77777777"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Lakes McLarty &amp; Mealup</w:t>
            </w:r>
          </w:p>
        </w:tc>
      </w:tr>
      <w:tr w:rsidR="009B5EAA" w:rsidRPr="009B6364" w14:paraId="2CB9033A" w14:textId="77777777" w:rsidTr="009B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vMerge/>
          </w:tcPr>
          <w:p w14:paraId="3ED4EDBA" w14:textId="77777777" w:rsidR="009B5EAA" w:rsidRPr="009B6364" w:rsidRDefault="009B5EAA" w:rsidP="00554832">
            <w:pPr>
              <w:pStyle w:val="tblBody"/>
              <w:rPr>
                <w:b w:val="0"/>
              </w:rPr>
            </w:pPr>
          </w:p>
        </w:tc>
        <w:tc>
          <w:tcPr>
            <w:tcW w:w="2198" w:type="dxa"/>
          </w:tcPr>
          <w:p w14:paraId="09B0BC16" w14:textId="77777777"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Typha extent</w:t>
            </w:r>
          </w:p>
        </w:tc>
        <w:tc>
          <w:tcPr>
            <w:tcW w:w="1965" w:type="dxa"/>
          </w:tcPr>
          <w:p w14:paraId="2CB6E0A8" w14:textId="22E2460A"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t>Stressor</w:t>
            </w:r>
          </w:p>
        </w:tc>
        <w:tc>
          <w:tcPr>
            <w:tcW w:w="2258" w:type="dxa"/>
          </w:tcPr>
          <w:p w14:paraId="5C2C3E5B" w14:textId="4BC7027A"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Annual</w:t>
            </w:r>
          </w:p>
        </w:tc>
        <w:tc>
          <w:tcPr>
            <w:tcW w:w="1646" w:type="dxa"/>
          </w:tcPr>
          <w:p w14:paraId="286102E6" w14:textId="77777777"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Lakes McLarty &amp; Mealup</w:t>
            </w:r>
          </w:p>
        </w:tc>
      </w:tr>
      <w:tr w:rsidR="009B5EAA" w:rsidRPr="009B6364" w14:paraId="392530B5" w14:textId="77777777" w:rsidTr="009B5EAA">
        <w:tc>
          <w:tcPr>
            <w:cnfStyle w:val="001000000000" w:firstRow="0" w:lastRow="0" w:firstColumn="1" w:lastColumn="0" w:oddVBand="0" w:evenVBand="0" w:oddHBand="0" w:evenHBand="0" w:firstRowFirstColumn="0" w:firstRowLastColumn="0" w:lastRowFirstColumn="0" w:lastRowLastColumn="0"/>
            <w:tcW w:w="1175" w:type="dxa"/>
            <w:vMerge/>
          </w:tcPr>
          <w:p w14:paraId="50BDA176" w14:textId="77777777" w:rsidR="009B5EAA" w:rsidRPr="009B6364" w:rsidRDefault="009B5EAA" w:rsidP="00554832">
            <w:pPr>
              <w:pStyle w:val="tblBody"/>
              <w:rPr>
                <w:b w:val="0"/>
              </w:rPr>
            </w:pPr>
          </w:p>
        </w:tc>
        <w:tc>
          <w:tcPr>
            <w:tcW w:w="2198" w:type="dxa"/>
          </w:tcPr>
          <w:p w14:paraId="15E7FA18" w14:textId="77777777"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Paperbark extent</w:t>
            </w:r>
          </w:p>
        </w:tc>
        <w:tc>
          <w:tcPr>
            <w:tcW w:w="1965" w:type="dxa"/>
          </w:tcPr>
          <w:p w14:paraId="5A097F81" w14:textId="16F8F660"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t>Condition</w:t>
            </w:r>
          </w:p>
        </w:tc>
        <w:tc>
          <w:tcPr>
            <w:tcW w:w="2258" w:type="dxa"/>
          </w:tcPr>
          <w:p w14:paraId="7F723678" w14:textId="7ED55ACE"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Annual</w:t>
            </w:r>
          </w:p>
        </w:tc>
        <w:tc>
          <w:tcPr>
            <w:tcW w:w="1646" w:type="dxa"/>
          </w:tcPr>
          <w:p w14:paraId="5BA08BEF" w14:textId="77777777"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Lakes McLarty &amp; Mealup</w:t>
            </w:r>
          </w:p>
        </w:tc>
      </w:tr>
      <w:tr w:rsidR="009B5EAA" w:rsidRPr="009B6364" w14:paraId="2074F099" w14:textId="77777777" w:rsidTr="009B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vMerge/>
          </w:tcPr>
          <w:p w14:paraId="62CA6445" w14:textId="77777777" w:rsidR="009B5EAA" w:rsidRPr="009B6364" w:rsidRDefault="009B5EAA" w:rsidP="00554832">
            <w:pPr>
              <w:pStyle w:val="tblBody"/>
              <w:rPr>
                <w:b w:val="0"/>
              </w:rPr>
            </w:pPr>
          </w:p>
        </w:tc>
        <w:tc>
          <w:tcPr>
            <w:tcW w:w="2198" w:type="dxa"/>
          </w:tcPr>
          <w:p w14:paraId="0975A714" w14:textId="77777777"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Waterbirds: abundance</w:t>
            </w:r>
          </w:p>
        </w:tc>
        <w:tc>
          <w:tcPr>
            <w:tcW w:w="1965" w:type="dxa"/>
          </w:tcPr>
          <w:p w14:paraId="3387E52F" w14:textId="68106EE1"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t>Condition</w:t>
            </w:r>
          </w:p>
        </w:tc>
        <w:tc>
          <w:tcPr>
            <w:tcW w:w="2258" w:type="dxa"/>
          </w:tcPr>
          <w:p w14:paraId="01974EFC" w14:textId="396D5CA4"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Measured annually reported in a rolling five year period</w:t>
            </w:r>
          </w:p>
        </w:tc>
        <w:tc>
          <w:tcPr>
            <w:tcW w:w="1646" w:type="dxa"/>
          </w:tcPr>
          <w:p w14:paraId="24BDCD2D" w14:textId="77777777"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All segments</w:t>
            </w:r>
          </w:p>
        </w:tc>
      </w:tr>
      <w:tr w:rsidR="009B5EAA" w:rsidRPr="009B6364" w14:paraId="6BCCC639" w14:textId="77777777" w:rsidTr="009B5EAA">
        <w:tc>
          <w:tcPr>
            <w:cnfStyle w:val="001000000000" w:firstRow="0" w:lastRow="0" w:firstColumn="1" w:lastColumn="0" w:oddVBand="0" w:evenVBand="0" w:oddHBand="0" w:evenHBand="0" w:firstRowFirstColumn="0" w:firstRowLastColumn="0" w:lastRowFirstColumn="0" w:lastRowLastColumn="0"/>
            <w:tcW w:w="1175" w:type="dxa"/>
            <w:vMerge/>
          </w:tcPr>
          <w:p w14:paraId="413ED3DE" w14:textId="77777777" w:rsidR="009B5EAA" w:rsidRPr="009B6364" w:rsidRDefault="009B5EAA" w:rsidP="00554832">
            <w:pPr>
              <w:pStyle w:val="tblBody"/>
              <w:rPr>
                <w:b w:val="0"/>
              </w:rPr>
            </w:pPr>
          </w:p>
        </w:tc>
        <w:tc>
          <w:tcPr>
            <w:tcW w:w="2198" w:type="dxa"/>
          </w:tcPr>
          <w:p w14:paraId="2252C946" w14:textId="77777777"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Waterbirds: evidence of breeding</w:t>
            </w:r>
          </w:p>
        </w:tc>
        <w:tc>
          <w:tcPr>
            <w:tcW w:w="1965" w:type="dxa"/>
          </w:tcPr>
          <w:p w14:paraId="060631B9" w14:textId="597A9BCF"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t>Condition</w:t>
            </w:r>
          </w:p>
        </w:tc>
        <w:tc>
          <w:tcPr>
            <w:tcW w:w="2258" w:type="dxa"/>
          </w:tcPr>
          <w:p w14:paraId="5D004796" w14:textId="7F6FFB3C"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Measured annually reported in a rolling three year period</w:t>
            </w:r>
          </w:p>
        </w:tc>
        <w:tc>
          <w:tcPr>
            <w:tcW w:w="1646" w:type="dxa"/>
          </w:tcPr>
          <w:p w14:paraId="6EC7386E" w14:textId="77777777" w:rsidR="009B5EAA" w:rsidRPr="009B6364" w:rsidRDefault="009B5EAA" w:rsidP="00554832">
            <w:pPr>
              <w:pStyle w:val="tblBody"/>
              <w:cnfStyle w:val="000000000000" w:firstRow="0" w:lastRow="0" w:firstColumn="0" w:lastColumn="0" w:oddVBand="0" w:evenVBand="0" w:oddHBand="0" w:evenHBand="0" w:firstRowFirstColumn="0" w:firstRowLastColumn="0" w:lastRowFirstColumn="0" w:lastRowLastColumn="0"/>
            </w:pPr>
            <w:r w:rsidRPr="009B6364">
              <w:t>All segments</w:t>
            </w:r>
          </w:p>
        </w:tc>
      </w:tr>
      <w:tr w:rsidR="009B5EAA" w:rsidRPr="009B6364" w14:paraId="63F7C2DC" w14:textId="77777777" w:rsidTr="009B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29DD7910" w14:textId="77777777" w:rsidR="009B5EAA" w:rsidRPr="009B6364" w:rsidRDefault="009B5EAA" w:rsidP="00554832">
            <w:pPr>
              <w:pStyle w:val="tblBody"/>
              <w:rPr>
                <w:b w:val="0"/>
              </w:rPr>
            </w:pPr>
            <w:r w:rsidRPr="009B6364">
              <w:rPr>
                <w:b w:val="0"/>
              </w:rPr>
              <w:lastRenderedPageBreak/>
              <w:t>Services</w:t>
            </w:r>
          </w:p>
        </w:tc>
        <w:tc>
          <w:tcPr>
            <w:tcW w:w="2198" w:type="dxa"/>
          </w:tcPr>
          <w:p w14:paraId="307A1422" w14:textId="77777777"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Commercial crab catch per unit effort</w:t>
            </w:r>
          </w:p>
        </w:tc>
        <w:tc>
          <w:tcPr>
            <w:tcW w:w="1965" w:type="dxa"/>
          </w:tcPr>
          <w:p w14:paraId="563AF0FC" w14:textId="4FB82785"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t>Condition</w:t>
            </w:r>
          </w:p>
        </w:tc>
        <w:tc>
          <w:tcPr>
            <w:tcW w:w="2258" w:type="dxa"/>
          </w:tcPr>
          <w:p w14:paraId="56633477" w14:textId="36AE4286"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Annual</w:t>
            </w:r>
          </w:p>
        </w:tc>
        <w:tc>
          <w:tcPr>
            <w:tcW w:w="1646" w:type="dxa"/>
          </w:tcPr>
          <w:p w14:paraId="36E0AA73" w14:textId="77777777" w:rsidR="009B5EAA" w:rsidRPr="009B6364" w:rsidRDefault="009B5EAA" w:rsidP="00554832">
            <w:pPr>
              <w:pStyle w:val="tblBody"/>
              <w:cnfStyle w:val="000000100000" w:firstRow="0" w:lastRow="0" w:firstColumn="0" w:lastColumn="0" w:oddVBand="0" w:evenVBand="0" w:oddHBand="1" w:evenHBand="0" w:firstRowFirstColumn="0" w:firstRowLastColumn="0" w:lastRowFirstColumn="0" w:lastRowLastColumn="0"/>
            </w:pPr>
            <w:r w:rsidRPr="009B6364">
              <w:t>Peel-Harvey Estuary</w:t>
            </w:r>
          </w:p>
        </w:tc>
      </w:tr>
    </w:tbl>
    <w:p w14:paraId="32FB5DE5" w14:textId="77777777" w:rsidR="001B1863" w:rsidRDefault="001B1863" w:rsidP="001B1863"/>
    <w:p w14:paraId="3028FE28" w14:textId="77777777" w:rsidR="00BC5AEA" w:rsidRPr="009B6364" w:rsidRDefault="00BC5AEA" w:rsidP="001B1863"/>
    <w:p w14:paraId="704DEA36" w14:textId="14A2B31F" w:rsidR="001B1863" w:rsidRDefault="007951A6" w:rsidP="001B1863">
      <w:r>
        <w:rPr>
          <w:noProof/>
          <w:lang w:eastAsia="en-AU"/>
        </w:rPr>
        <w:drawing>
          <wp:inline distT="0" distB="0" distL="0" distR="0" wp14:anchorId="40BE77F1" wp14:editId="42C0F3C9">
            <wp:extent cx="5731510" cy="4148455"/>
            <wp:effectExtent l="0" t="0" r="254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 indicator model.png"/>
                    <pic:cNvPicPr/>
                  </pic:nvPicPr>
                  <pic:blipFill>
                    <a:blip r:embed="rId104">
                      <a:extLst>
                        <a:ext uri="{28A0092B-C50C-407E-A947-70E740481C1C}">
                          <a14:useLocalDpi xmlns:a14="http://schemas.microsoft.com/office/drawing/2010/main" val="0"/>
                        </a:ext>
                      </a:extLst>
                    </a:blip>
                    <a:stretch>
                      <a:fillRect/>
                    </a:stretch>
                  </pic:blipFill>
                  <pic:spPr>
                    <a:xfrm>
                      <a:off x="0" y="0"/>
                      <a:ext cx="5731510" cy="4148455"/>
                    </a:xfrm>
                    <a:prstGeom prst="rect">
                      <a:avLst/>
                    </a:prstGeom>
                  </pic:spPr>
                </pic:pic>
              </a:graphicData>
            </a:graphic>
          </wp:inline>
        </w:drawing>
      </w:r>
    </w:p>
    <w:p w14:paraId="1179C0D3" w14:textId="246D8CD3" w:rsidR="003E5078" w:rsidRPr="009B6364" w:rsidRDefault="003E5078" w:rsidP="003E5078">
      <w:pPr>
        <w:pStyle w:val="Caption"/>
      </w:pPr>
      <w:r>
        <w:t xml:space="preserve">Figure B </w:t>
      </w:r>
      <w:fldSimple w:instr=" SEQ Figure_B \* ARABIC ">
        <w:r w:rsidR="00CB6D08">
          <w:rPr>
            <w:noProof/>
          </w:rPr>
          <w:t>6</w:t>
        </w:r>
      </w:fldSimple>
      <w:r w:rsidR="00FD50A9">
        <w:rPr>
          <w:noProof/>
        </w:rPr>
        <w:t>:</w:t>
      </w:r>
      <w:r w:rsidR="00BC5AEA">
        <w:t xml:space="preserve"> Pressure Stressor Response c</w:t>
      </w:r>
      <w:r w:rsidR="00BC5AEA" w:rsidRPr="009B6364">
        <w:t xml:space="preserve">onceptual model showing potential modifier and </w:t>
      </w:r>
      <w:r w:rsidR="00BC5AEA">
        <w:t>subset of indicators for assessing Pollution: Agricultural and urban wastewater impacts on the</w:t>
      </w:r>
      <w:r w:rsidR="00BC5AEA" w:rsidRPr="009B6364">
        <w:t xml:space="preserve"> peel-harvey estuary</w:t>
      </w:r>
      <w:r w:rsidR="00BC5AEA">
        <w:t xml:space="preserve"> segment of the Ramsar site</w:t>
      </w:r>
      <w:r>
        <w:t xml:space="preserve">. </w:t>
      </w:r>
      <w:r w:rsidR="00BC5AEA">
        <w:t>Indicators with dashed red outline are those for which existing data is lacking – see Step 5.</w:t>
      </w:r>
      <w:r w:rsidR="00836C82">
        <w:t xml:space="preserve"> Note that the indicator may also be a different type to that shown, for example pH can be both a condition and stressor indicator.</w:t>
      </w:r>
    </w:p>
    <w:p w14:paraId="781F1984" w14:textId="4608C25B" w:rsidR="001B1863" w:rsidRPr="009B6364" w:rsidRDefault="001B1863" w:rsidP="001B1863">
      <w:pPr>
        <w:pStyle w:val="Heading2"/>
        <w:numPr>
          <w:ilvl w:val="0"/>
          <w:numId w:val="0"/>
        </w:numPr>
      </w:pPr>
      <w:bookmarkStart w:id="159" w:name="_Toc493774251"/>
      <w:r w:rsidRPr="009B6364">
        <w:t xml:space="preserve">Step 5: </w:t>
      </w:r>
      <w:r w:rsidR="005F0515">
        <w:t>Design assessment</w:t>
      </w:r>
      <w:r w:rsidR="005F0515" w:rsidRPr="004E7EB5">
        <w:t xml:space="preserve"> </w:t>
      </w:r>
      <w:r w:rsidRPr="009B6364">
        <w:t>and implementation</w:t>
      </w:r>
      <w:bookmarkEnd w:id="159"/>
      <w:r w:rsidRPr="009B6364">
        <w:tab/>
      </w:r>
    </w:p>
    <w:p w14:paraId="764A3DDA" w14:textId="7DB78DDC" w:rsidR="00011C2B" w:rsidRDefault="00011C2B" w:rsidP="001B1863">
      <w:r>
        <w:t>In a full application further consideration of the existing monitoring programs would be undertaken – for example the waterbird and crab sampling design – whether these were considered adequate or in need of refinement (see comments under Step 7 assumptions and knowledge gaps).</w:t>
      </w:r>
    </w:p>
    <w:p w14:paraId="5C22DF8D" w14:textId="3ED36E25" w:rsidR="001B1863" w:rsidRPr="009B6364" w:rsidRDefault="00011C2B" w:rsidP="001B1863">
      <w:r>
        <w:t>However, f</w:t>
      </w:r>
      <w:r w:rsidR="001B1863" w:rsidRPr="009B6364">
        <w:t xml:space="preserve">or the purposes of illustrating this step in the IECA </w:t>
      </w:r>
      <w:r w:rsidR="003A47AE">
        <w:t>F</w:t>
      </w:r>
      <w:r w:rsidR="001B1863" w:rsidRPr="009B6364">
        <w:t>ramework, a single indicator from the site has been selected: extent of fringing vegetation.</w:t>
      </w:r>
      <w:r>
        <w:t xml:space="preserve"> </w:t>
      </w:r>
    </w:p>
    <w:p w14:paraId="40E71524" w14:textId="77777777" w:rsidR="001B1863" w:rsidRPr="009B6364" w:rsidRDefault="001B1863" w:rsidP="001B1863">
      <w:pPr>
        <w:rPr>
          <w:b/>
          <w:i/>
        </w:rPr>
      </w:pPr>
      <w:r w:rsidRPr="009B6364">
        <w:rPr>
          <w:b/>
          <w:i/>
        </w:rPr>
        <w:t>Review existing programs and information with respect to indicators and KEQs and undertake a fit for purpose assessment and identify gaps.</w:t>
      </w:r>
    </w:p>
    <w:p w14:paraId="7C22D5A6" w14:textId="101BAAD8" w:rsidR="001B1863" w:rsidRPr="009B6364" w:rsidRDefault="001B1863" w:rsidP="001B1863">
      <w:r w:rsidRPr="009B6364">
        <w:t xml:space="preserve">Fringing vegetation (saltmarsh) is identified as a priority value (critical component) of the Peel-Harvey Estuary (Hale and Butcher 2007). A Limit of Acceptable Change was not developed for this component, as there was insufficient information upon which a baseline could be established. The ecological character description and </w:t>
      </w:r>
      <w:r w:rsidRPr="009B6364">
        <w:lastRenderedPageBreak/>
        <w:t xml:space="preserve">management plan for the site indicated monitoring should be implemented to fill this knowledge gap. The objective of the vegetation </w:t>
      </w:r>
      <w:r w:rsidR="00DC6A1F">
        <w:t>monitoring program was to (Peel-</w:t>
      </w:r>
      <w:r w:rsidRPr="009B6364">
        <w:t>Harvey Catchment Council 2009):</w:t>
      </w:r>
    </w:p>
    <w:p w14:paraId="5F6B3DC2" w14:textId="1464B02C" w:rsidR="001B1863" w:rsidRPr="009B6364" w:rsidRDefault="001B1863" w:rsidP="001B1863">
      <w:pPr>
        <w:ind w:left="709" w:firstLine="11"/>
      </w:pPr>
      <w:r w:rsidRPr="009B6364">
        <w:t>“</w:t>
      </w:r>
      <w:r w:rsidRPr="009B6364">
        <w:rPr>
          <w:i/>
        </w:rPr>
        <w:t>To determine the extent and condition of samphire and paperbark communities fringing the Peel</w:t>
      </w:r>
      <w:r w:rsidR="00DC6A1F">
        <w:rPr>
          <w:i/>
        </w:rPr>
        <w:t>-</w:t>
      </w:r>
      <w:r w:rsidRPr="009B6364">
        <w:rPr>
          <w:i/>
        </w:rPr>
        <w:t>Harvey Estuary to set a baseline against which change can be assessed</w:t>
      </w:r>
      <w:r w:rsidRPr="009B6364">
        <w:t>”.</w:t>
      </w:r>
    </w:p>
    <w:p w14:paraId="302D3071" w14:textId="7B2382CA" w:rsidR="001B1863" w:rsidRPr="009B6364" w:rsidRDefault="001B1863" w:rsidP="001B1863">
      <w:r w:rsidRPr="009B6364">
        <w:t xml:space="preserve">In 2009, saltmarsh extent within the Ramsar site was assessed via remote sensing using 1995 and 2007 aerial imagery. This </w:t>
      </w:r>
      <w:r w:rsidR="00EC00C9" w:rsidRPr="009B6364">
        <w:t>assessment reported</w:t>
      </w:r>
      <w:r w:rsidRPr="009B6364">
        <w:t xml:space="preserve"> a total saltmarsh extent in the Peel</w:t>
      </w:r>
      <w:r w:rsidR="00DC6A1F">
        <w:t>-</w:t>
      </w:r>
      <w:r w:rsidRPr="009B6364">
        <w:t>Harvey Estuary (within the Ramsar boundary of 287 hectares in 2007; which represented a 20% loss in extent since 1995 (Hale and Kobryn 2009). The remote sensing method, however, was not able to determine community composition or health.</w:t>
      </w:r>
    </w:p>
    <w:p w14:paraId="50A82748" w14:textId="7EE859BD" w:rsidR="001B1863" w:rsidRPr="009B6364" w:rsidRDefault="001B1863" w:rsidP="001B1863">
      <w:r w:rsidRPr="009B6364">
        <w:t>In 2008 and 2009, monitoring of saltmarsh condition and extent was implemented at several transects around the Peel-Harvey Estuary and elsewhere in the Ramsar site (DEC 2008, Smith 2009).  A review of the vegetation monitoring in the Ramsar site indicated that the method used was limited by a lack of replication and incomplete sample design (Hale 2010).</w:t>
      </w:r>
      <w:r w:rsidR="00982784">
        <w:t xml:space="preserve">  Given these limitations, it is unlikely to be fit for purpose for use in the IECA.</w:t>
      </w:r>
    </w:p>
    <w:p w14:paraId="5DF7D2E4" w14:textId="77777777" w:rsidR="001B1863" w:rsidRPr="009B6364" w:rsidRDefault="001B1863" w:rsidP="001B1863">
      <w:pPr>
        <w:rPr>
          <w:b/>
          <w:i/>
        </w:rPr>
      </w:pPr>
      <w:r w:rsidRPr="009B6364">
        <w:rPr>
          <w:b/>
          <w:i/>
        </w:rPr>
        <w:t>Identify data deficiencies and priorities</w:t>
      </w:r>
    </w:p>
    <w:p w14:paraId="07625796" w14:textId="77777777" w:rsidR="001B1863" w:rsidRPr="009B6364" w:rsidRDefault="001B1863" w:rsidP="001B1863">
      <w:r w:rsidRPr="009B6364">
        <w:t>The KEQ for saltmarsh is: “Has saltmarsh extent and condition been maintained?” In order to answer this question, a more recent assessment of saltmarsh extent is required as well as an assessment of saltmarsh condition. Given that there is no benchmark at the time of listing for saltmarsh condition at the site, but that one for extent has been established, then the indicator saltmarsh extent may be considered a higher priority indicator. It can also be assumed that a change in condition may, over time, be reflected in a change in extent of the community and so extent may act as a surrogate for condition, albeit over longer time scales.</w:t>
      </w:r>
    </w:p>
    <w:p w14:paraId="62C6D867" w14:textId="0E456D18" w:rsidR="001B1863" w:rsidRPr="009B6364" w:rsidRDefault="001B1863" w:rsidP="001B1863">
      <w:pPr>
        <w:rPr>
          <w:b/>
          <w:i/>
        </w:rPr>
      </w:pPr>
      <w:r w:rsidRPr="009B6364">
        <w:rPr>
          <w:b/>
          <w:i/>
        </w:rPr>
        <w:t xml:space="preserve">Design assessment program to address KEQs (this includes identifying </w:t>
      </w:r>
      <w:r w:rsidR="00A33C58">
        <w:rPr>
          <w:b/>
          <w:i/>
        </w:rPr>
        <w:t>sampling</w:t>
      </w:r>
      <w:r w:rsidR="00A33C58" w:rsidRPr="009B6364">
        <w:rPr>
          <w:b/>
          <w:i/>
        </w:rPr>
        <w:t xml:space="preserve"> </w:t>
      </w:r>
      <w:r w:rsidRPr="009B6364">
        <w:rPr>
          <w:b/>
          <w:i/>
        </w:rPr>
        <w:t>frequency and locations for each indicator, sampling protocols)</w:t>
      </w:r>
    </w:p>
    <w:p w14:paraId="0168C921" w14:textId="77777777" w:rsidR="001B1863" w:rsidRPr="009B6364" w:rsidRDefault="001B1863" w:rsidP="001B1863">
      <w:r w:rsidRPr="009B6364">
        <w:t xml:space="preserve">While a complete design of a monitoring program for saltmarsh extent and condition is beyond the scope of this case study example, as a start the mapping completed by Hale and Kobryn in 2009 (based on 2007 aerial imagery) should be repeated to assess current extent. </w:t>
      </w:r>
    </w:p>
    <w:p w14:paraId="2BF8A512" w14:textId="77777777" w:rsidR="001B1863" w:rsidRPr="009B6364" w:rsidRDefault="001B1863" w:rsidP="001B1863">
      <w:r w:rsidRPr="009B6364">
        <w:t>A method for assessing saltmarsh condition, which includes a sample design, indicators, field methods and a guide on analysis is provided in Hale (2010). This would provide a benchmark against which change in saltmarsh condition could be assessed.</w:t>
      </w:r>
    </w:p>
    <w:p w14:paraId="7CE17236" w14:textId="5010ABCE" w:rsidR="001B1863" w:rsidRPr="009B6364" w:rsidRDefault="001B1863" w:rsidP="001B1863">
      <w:pPr>
        <w:pStyle w:val="Heading2"/>
        <w:numPr>
          <w:ilvl w:val="0"/>
          <w:numId w:val="0"/>
        </w:numPr>
      </w:pPr>
      <w:bookmarkStart w:id="160" w:name="_Toc479582053"/>
      <w:bookmarkStart w:id="161" w:name="_Toc493774252"/>
      <w:r w:rsidRPr="009B6364">
        <w:t>Step 6: Analyse</w:t>
      </w:r>
      <w:r w:rsidR="00A1493F">
        <w:t xml:space="preserve"> and</w:t>
      </w:r>
      <w:r w:rsidRPr="009B6364">
        <w:t xml:space="preserve"> Aggregate</w:t>
      </w:r>
      <w:bookmarkEnd w:id="160"/>
      <w:bookmarkEnd w:id="161"/>
    </w:p>
    <w:p w14:paraId="6FE782AE" w14:textId="0B309E37" w:rsidR="001B1863" w:rsidRPr="009B6364" w:rsidRDefault="001B1863" w:rsidP="001B1863">
      <w:r w:rsidRPr="009B6364">
        <w:t>Three sources of data have been used to illustrate the analysis and</w:t>
      </w:r>
      <w:r w:rsidR="00EC00C9">
        <w:t xml:space="preserve"> aggregation steps of the IECA F</w:t>
      </w:r>
      <w:r w:rsidRPr="009B6364">
        <w:t>ramework:</w:t>
      </w:r>
    </w:p>
    <w:p w14:paraId="1F8D3570" w14:textId="48EBFB23" w:rsidR="001B1863" w:rsidRPr="009B6364" w:rsidRDefault="001B1863" w:rsidP="00F4328F">
      <w:pPr>
        <w:pStyle w:val="ListParagraph"/>
        <w:numPr>
          <w:ilvl w:val="1"/>
          <w:numId w:val="9"/>
        </w:numPr>
        <w:ind w:left="709"/>
      </w:pPr>
      <w:r w:rsidRPr="009B6364">
        <w:t>Water quality data collected by the Department of Water at six locations within the Peel-Harvey Estuary - aggregated to the wetland scale (i.e. Peel</w:t>
      </w:r>
      <w:r w:rsidR="00DC6A1F">
        <w:t>-</w:t>
      </w:r>
      <w:r w:rsidRPr="009B6364">
        <w:t>Harvey Estuary),</w:t>
      </w:r>
    </w:p>
    <w:p w14:paraId="0747D6A5" w14:textId="77777777" w:rsidR="001B1863" w:rsidRPr="009B6364" w:rsidRDefault="001B1863" w:rsidP="00F4328F">
      <w:pPr>
        <w:pStyle w:val="ListParagraph"/>
        <w:numPr>
          <w:ilvl w:val="1"/>
          <w:numId w:val="9"/>
        </w:numPr>
        <w:ind w:left="709"/>
      </w:pPr>
      <w:r w:rsidRPr="009B6364">
        <w:t>Waterbird abundance data provided by BirdLife WA from 25 sites across the Ramsar site as part of the Shorebirds 2020 annual count - aggregated to the scale of the assessment unit (i.e. the Peel Yalgorup Ramsar Site), and</w:t>
      </w:r>
    </w:p>
    <w:p w14:paraId="6A0219F5" w14:textId="77777777" w:rsidR="001B1863" w:rsidRPr="009B6364" w:rsidRDefault="001B1863" w:rsidP="00F4328F">
      <w:pPr>
        <w:pStyle w:val="ListParagraph"/>
        <w:numPr>
          <w:ilvl w:val="1"/>
          <w:numId w:val="9"/>
        </w:numPr>
        <w:ind w:left="709"/>
      </w:pPr>
      <w:r w:rsidRPr="009B6364">
        <w:t>Commercial crab catch data reported by Fisheries WA - already aggregated to the wetland scale (i.e. Peel-Harvey Estuary).</w:t>
      </w:r>
    </w:p>
    <w:p w14:paraId="6DAAB7AC" w14:textId="055CF0C7" w:rsidR="001B1863" w:rsidRPr="009B6364" w:rsidRDefault="001B1863" w:rsidP="001B1863">
      <w:r w:rsidRPr="009B6364">
        <w:t>Several indicators were extracted from these data to assess against three themes using different techniques (</w:t>
      </w:r>
      <w:r w:rsidR="003B3E35">
        <w:fldChar w:fldCharType="begin"/>
      </w:r>
      <w:r w:rsidR="003B3E35">
        <w:instrText xml:space="preserve"> REF _Ref486502493 \h </w:instrText>
      </w:r>
      <w:r w:rsidR="003B3E35">
        <w:fldChar w:fldCharType="separate"/>
      </w:r>
      <w:r w:rsidR="00FD50A9">
        <w:t xml:space="preserve">Table B </w:t>
      </w:r>
      <w:r w:rsidR="00FD50A9">
        <w:rPr>
          <w:noProof/>
        </w:rPr>
        <w:t>9</w:t>
      </w:r>
      <w:r w:rsidR="003B3E35">
        <w:fldChar w:fldCharType="end"/>
      </w:r>
      <w:r w:rsidRPr="009B6364">
        <w:t xml:space="preserve">). </w:t>
      </w:r>
    </w:p>
    <w:p w14:paraId="4955425C" w14:textId="3D791EB7" w:rsidR="001B1863" w:rsidRPr="009B6364" w:rsidRDefault="003B3E35" w:rsidP="001B1863">
      <w:pPr>
        <w:pStyle w:val="Caption"/>
      </w:pPr>
      <w:bookmarkStart w:id="162" w:name="_Ref486502493"/>
      <w:r>
        <w:t xml:space="preserve">Table B </w:t>
      </w:r>
      <w:fldSimple w:instr=" SEQ Table_B \* ARABIC ">
        <w:r w:rsidR="00FD50A9">
          <w:rPr>
            <w:noProof/>
          </w:rPr>
          <w:t>9</w:t>
        </w:r>
      </w:fldSimple>
      <w:bookmarkEnd w:id="162"/>
      <w:r w:rsidR="00FD50A9">
        <w:rPr>
          <w:noProof/>
        </w:rPr>
        <w:t>:</w:t>
      </w:r>
      <w:r w:rsidR="001B1863" w:rsidRPr="009B6364">
        <w:t xml:space="preserve"> Summary of indicators, themes and aggregation methods used in this case study.</w:t>
      </w:r>
    </w:p>
    <w:tbl>
      <w:tblPr>
        <w:tblStyle w:val="LightList-Accent2"/>
        <w:tblW w:w="0" w:type="auto"/>
        <w:tblBorders>
          <w:top w:val="single" w:sz="4" w:space="0" w:color="9CBEBD" w:themeColor="accent2"/>
          <w:left w:val="single" w:sz="4" w:space="0" w:color="9CBEBD" w:themeColor="accent2"/>
          <w:bottom w:val="single" w:sz="4" w:space="0" w:color="9CBEBD" w:themeColor="accent2"/>
          <w:right w:val="single" w:sz="4" w:space="0" w:color="9CBEBD" w:themeColor="accent2"/>
          <w:insideH w:val="single" w:sz="4" w:space="0" w:color="9CBEBD" w:themeColor="accent2"/>
          <w:insideV w:val="single" w:sz="4" w:space="0" w:color="9CBEBD" w:themeColor="accent2"/>
        </w:tblBorders>
        <w:tblLook w:val="04A0" w:firstRow="1" w:lastRow="0" w:firstColumn="1" w:lastColumn="0" w:noHBand="0" w:noVBand="1"/>
      </w:tblPr>
      <w:tblGrid>
        <w:gridCol w:w="1284"/>
        <w:gridCol w:w="2010"/>
        <w:gridCol w:w="1295"/>
        <w:gridCol w:w="1578"/>
        <w:gridCol w:w="1329"/>
        <w:gridCol w:w="1520"/>
      </w:tblGrid>
      <w:tr w:rsidR="00F963F5" w:rsidRPr="00F90A64" w14:paraId="4EB033D3" w14:textId="77777777" w:rsidTr="00D50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14:paraId="66DFAD72" w14:textId="77777777" w:rsidR="00F963F5" w:rsidRPr="00F90A64" w:rsidRDefault="00F963F5" w:rsidP="00554832">
            <w:pPr>
              <w:pStyle w:val="Tabletext0"/>
              <w:rPr>
                <w:rFonts w:asciiTheme="minorHAnsi" w:hAnsiTheme="minorHAnsi" w:cstheme="minorHAnsi"/>
              </w:rPr>
            </w:pPr>
            <w:r w:rsidRPr="00F90A64">
              <w:rPr>
                <w:rFonts w:asciiTheme="minorHAnsi" w:hAnsiTheme="minorHAnsi" w:cstheme="minorHAnsi"/>
              </w:rPr>
              <w:lastRenderedPageBreak/>
              <w:t>Theme</w:t>
            </w:r>
          </w:p>
        </w:tc>
        <w:tc>
          <w:tcPr>
            <w:tcW w:w="2081" w:type="dxa"/>
          </w:tcPr>
          <w:p w14:paraId="2E0DC914" w14:textId="77777777" w:rsidR="00F963F5" w:rsidRPr="00F90A64" w:rsidRDefault="00F963F5" w:rsidP="00554832">
            <w:pPr>
              <w:pStyle w:val="Tabletex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Indicators</w:t>
            </w:r>
          </w:p>
        </w:tc>
        <w:tc>
          <w:tcPr>
            <w:tcW w:w="1323" w:type="dxa"/>
          </w:tcPr>
          <w:p w14:paraId="1A2F4857" w14:textId="33477DE2" w:rsidR="00F963F5" w:rsidRPr="00F90A64" w:rsidRDefault="00F963F5" w:rsidP="00554832">
            <w:pPr>
              <w:pStyle w:val="Tabletex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Indicator type</w:t>
            </w:r>
          </w:p>
        </w:tc>
        <w:tc>
          <w:tcPr>
            <w:tcW w:w="1612" w:type="dxa"/>
          </w:tcPr>
          <w:p w14:paraId="61E7D5DC" w14:textId="475EC819" w:rsidR="00F963F5" w:rsidRPr="00F90A64" w:rsidRDefault="00F963F5" w:rsidP="00554832">
            <w:pPr>
              <w:pStyle w:val="Tabletex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Aggregation method</w:t>
            </w:r>
          </w:p>
        </w:tc>
        <w:tc>
          <w:tcPr>
            <w:tcW w:w="1359" w:type="dxa"/>
          </w:tcPr>
          <w:p w14:paraId="160451B6" w14:textId="77777777" w:rsidR="00F963F5" w:rsidRPr="00F90A64" w:rsidRDefault="00F963F5" w:rsidP="00554832">
            <w:pPr>
              <w:pStyle w:val="Tabletex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Temporal scale</w:t>
            </w:r>
          </w:p>
        </w:tc>
        <w:tc>
          <w:tcPr>
            <w:tcW w:w="1570" w:type="dxa"/>
          </w:tcPr>
          <w:p w14:paraId="3EBF5F1A" w14:textId="77777777" w:rsidR="00F963F5" w:rsidRPr="00F90A64" w:rsidRDefault="00F963F5" w:rsidP="00554832">
            <w:pPr>
              <w:pStyle w:val="Tabletex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 xml:space="preserve">Spatial scale </w:t>
            </w:r>
          </w:p>
        </w:tc>
      </w:tr>
      <w:tr w:rsidR="00D505C1" w:rsidRPr="00F90A64" w14:paraId="50735D74" w14:textId="77777777" w:rsidTr="00D5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Merge w:val="restart"/>
            <w:tcBorders>
              <w:top w:val="none" w:sz="0" w:space="0" w:color="auto"/>
              <w:left w:val="none" w:sz="0" w:space="0" w:color="auto"/>
              <w:bottom w:val="none" w:sz="0" w:space="0" w:color="auto"/>
            </w:tcBorders>
          </w:tcPr>
          <w:p w14:paraId="58C0F526" w14:textId="0CD37ECB" w:rsidR="00D505C1" w:rsidRPr="00F90A64" w:rsidRDefault="00D505C1" w:rsidP="00554832">
            <w:pPr>
              <w:pStyle w:val="tblBody"/>
              <w:rPr>
                <w:rFonts w:asciiTheme="minorHAnsi" w:hAnsiTheme="minorHAnsi" w:cstheme="minorHAnsi"/>
                <w:b w:val="0"/>
              </w:rPr>
            </w:pPr>
            <w:r w:rsidRPr="00F90A64">
              <w:rPr>
                <w:rFonts w:asciiTheme="minorHAnsi" w:hAnsiTheme="minorHAnsi" w:cstheme="minorHAnsi"/>
                <w:b w:val="0"/>
              </w:rPr>
              <w:t>Water quality</w:t>
            </w:r>
          </w:p>
        </w:tc>
        <w:tc>
          <w:tcPr>
            <w:tcW w:w="2081" w:type="dxa"/>
            <w:tcBorders>
              <w:top w:val="none" w:sz="0" w:space="0" w:color="auto"/>
              <w:bottom w:val="none" w:sz="0" w:space="0" w:color="auto"/>
            </w:tcBorders>
          </w:tcPr>
          <w:p w14:paraId="7D89A84A" w14:textId="643CAEC2" w:rsidR="00D505C1" w:rsidRPr="00F90A64" w:rsidRDefault="00D505C1" w:rsidP="00D505C1">
            <w:pPr>
              <w:pStyle w:val="tbl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 xml:space="preserve">pH </w:t>
            </w:r>
          </w:p>
        </w:tc>
        <w:tc>
          <w:tcPr>
            <w:tcW w:w="1323" w:type="dxa"/>
            <w:tcBorders>
              <w:top w:val="none" w:sz="0" w:space="0" w:color="auto"/>
              <w:bottom w:val="none" w:sz="0" w:space="0" w:color="auto"/>
            </w:tcBorders>
          </w:tcPr>
          <w:p w14:paraId="792BB558" w14:textId="310BF303" w:rsidR="00D505C1" w:rsidRPr="00F90A64" w:rsidRDefault="00292202" w:rsidP="00554832">
            <w:pPr>
              <w:pStyle w:val="tbl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Stressor</w:t>
            </w:r>
          </w:p>
        </w:tc>
        <w:tc>
          <w:tcPr>
            <w:tcW w:w="1612" w:type="dxa"/>
            <w:vMerge w:val="restart"/>
            <w:tcBorders>
              <w:top w:val="none" w:sz="0" w:space="0" w:color="auto"/>
              <w:bottom w:val="none" w:sz="0" w:space="0" w:color="auto"/>
            </w:tcBorders>
          </w:tcPr>
          <w:p w14:paraId="250A17E5" w14:textId="22F7029B" w:rsidR="00D505C1" w:rsidRPr="00F90A64" w:rsidRDefault="00D505C1" w:rsidP="00554832">
            <w:pPr>
              <w:pStyle w:val="tbl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Proportion of samples within LAC each year</w:t>
            </w:r>
          </w:p>
        </w:tc>
        <w:tc>
          <w:tcPr>
            <w:tcW w:w="1359" w:type="dxa"/>
            <w:vMerge w:val="restart"/>
            <w:tcBorders>
              <w:top w:val="none" w:sz="0" w:space="0" w:color="auto"/>
              <w:bottom w:val="none" w:sz="0" w:space="0" w:color="auto"/>
            </w:tcBorders>
          </w:tcPr>
          <w:p w14:paraId="0F436D28" w14:textId="77777777" w:rsidR="00D505C1" w:rsidRPr="00F90A64" w:rsidRDefault="00D505C1" w:rsidP="00554832">
            <w:pPr>
              <w:pStyle w:val="tbl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2012-2016</w:t>
            </w:r>
          </w:p>
        </w:tc>
        <w:tc>
          <w:tcPr>
            <w:tcW w:w="1570" w:type="dxa"/>
            <w:vMerge w:val="restart"/>
            <w:tcBorders>
              <w:top w:val="none" w:sz="0" w:space="0" w:color="auto"/>
              <w:bottom w:val="none" w:sz="0" w:space="0" w:color="auto"/>
              <w:right w:val="none" w:sz="0" w:space="0" w:color="auto"/>
            </w:tcBorders>
          </w:tcPr>
          <w:p w14:paraId="28BF5D84" w14:textId="77777777" w:rsidR="00D505C1" w:rsidRPr="00F90A64" w:rsidRDefault="00D505C1" w:rsidP="00554832">
            <w:pPr>
              <w:pStyle w:val="tbl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Peel-Harvey Estuary</w:t>
            </w:r>
          </w:p>
        </w:tc>
      </w:tr>
      <w:tr w:rsidR="00D505C1" w:rsidRPr="00F90A64" w14:paraId="35F43111" w14:textId="77777777" w:rsidTr="00D505C1">
        <w:tc>
          <w:tcPr>
            <w:cnfStyle w:val="001000000000" w:firstRow="0" w:lastRow="0" w:firstColumn="1" w:lastColumn="0" w:oddVBand="0" w:evenVBand="0" w:oddHBand="0" w:evenHBand="0" w:firstRowFirstColumn="0" w:firstRowLastColumn="0" w:lastRowFirstColumn="0" w:lastRowLastColumn="0"/>
            <w:tcW w:w="1297" w:type="dxa"/>
            <w:vMerge/>
          </w:tcPr>
          <w:p w14:paraId="37ADD75E" w14:textId="77777777" w:rsidR="00D505C1" w:rsidRPr="00F90A64" w:rsidRDefault="00D505C1" w:rsidP="00554832">
            <w:pPr>
              <w:pStyle w:val="tblBody"/>
              <w:rPr>
                <w:rFonts w:asciiTheme="minorHAnsi" w:hAnsiTheme="minorHAnsi" w:cstheme="minorHAnsi"/>
                <w:b w:val="0"/>
              </w:rPr>
            </w:pPr>
          </w:p>
        </w:tc>
        <w:tc>
          <w:tcPr>
            <w:tcW w:w="2081" w:type="dxa"/>
          </w:tcPr>
          <w:p w14:paraId="232BF0B1" w14:textId="626A6F49" w:rsidR="00D505C1" w:rsidRPr="00F90A64" w:rsidRDefault="00D505C1" w:rsidP="00F963F5">
            <w:pPr>
              <w:pStyle w:val="tbl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Dissolved oxygen</w:t>
            </w:r>
          </w:p>
        </w:tc>
        <w:tc>
          <w:tcPr>
            <w:tcW w:w="1323" w:type="dxa"/>
          </w:tcPr>
          <w:p w14:paraId="67BD6AF9" w14:textId="0010BF40" w:rsidR="00D505C1" w:rsidRPr="00F90A64" w:rsidRDefault="00D505C1" w:rsidP="00554832">
            <w:pPr>
              <w:pStyle w:val="tbl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Response</w:t>
            </w:r>
          </w:p>
        </w:tc>
        <w:tc>
          <w:tcPr>
            <w:tcW w:w="1612" w:type="dxa"/>
            <w:vMerge/>
          </w:tcPr>
          <w:p w14:paraId="68BDC6E5" w14:textId="77777777" w:rsidR="00D505C1" w:rsidRPr="00F90A64" w:rsidRDefault="00D505C1" w:rsidP="00554832">
            <w:pPr>
              <w:pStyle w:val="tbl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359" w:type="dxa"/>
            <w:vMerge/>
          </w:tcPr>
          <w:p w14:paraId="5384235F" w14:textId="77777777" w:rsidR="00D505C1" w:rsidRPr="00F90A64" w:rsidRDefault="00D505C1" w:rsidP="00554832">
            <w:pPr>
              <w:pStyle w:val="tbl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70" w:type="dxa"/>
            <w:vMerge/>
          </w:tcPr>
          <w:p w14:paraId="0F4DC7BC" w14:textId="77777777" w:rsidR="00D505C1" w:rsidRPr="00F90A64" w:rsidRDefault="00D505C1" w:rsidP="00554832">
            <w:pPr>
              <w:pStyle w:val="tbl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505C1" w:rsidRPr="00F90A64" w14:paraId="4631A8FA" w14:textId="77777777" w:rsidTr="00D5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Merge/>
            <w:tcBorders>
              <w:top w:val="none" w:sz="0" w:space="0" w:color="auto"/>
              <w:left w:val="none" w:sz="0" w:space="0" w:color="auto"/>
              <w:bottom w:val="none" w:sz="0" w:space="0" w:color="auto"/>
            </w:tcBorders>
          </w:tcPr>
          <w:p w14:paraId="080B3619" w14:textId="77777777" w:rsidR="00D505C1" w:rsidRPr="00F90A64" w:rsidRDefault="00D505C1" w:rsidP="00554832">
            <w:pPr>
              <w:pStyle w:val="tblBody"/>
              <w:rPr>
                <w:rFonts w:asciiTheme="minorHAnsi" w:hAnsiTheme="minorHAnsi" w:cstheme="minorHAnsi"/>
                <w:b w:val="0"/>
              </w:rPr>
            </w:pPr>
          </w:p>
        </w:tc>
        <w:tc>
          <w:tcPr>
            <w:tcW w:w="2081" w:type="dxa"/>
            <w:tcBorders>
              <w:top w:val="none" w:sz="0" w:space="0" w:color="auto"/>
              <w:bottom w:val="none" w:sz="0" w:space="0" w:color="auto"/>
            </w:tcBorders>
          </w:tcPr>
          <w:p w14:paraId="312703AC" w14:textId="28ABDCA7" w:rsidR="00D505C1" w:rsidRPr="00F90A64" w:rsidRDefault="00D505C1" w:rsidP="00554832">
            <w:pPr>
              <w:pStyle w:val="tbl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Total phosphorus</w:t>
            </w:r>
          </w:p>
        </w:tc>
        <w:tc>
          <w:tcPr>
            <w:tcW w:w="1323" w:type="dxa"/>
            <w:tcBorders>
              <w:top w:val="none" w:sz="0" w:space="0" w:color="auto"/>
              <w:bottom w:val="none" w:sz="0" w:space="0" w:color="auto"/>
            </w:tcBorders>
          </w:tcPr>
          <w:p w14:paraId="47BA8CFA" w14:textId="13472F0A" w:rsidR="00D505C1" w:rsidRPr="00F90A64" w:rsidRDefault="00D505C1" w:rsidP="00554832">
            <w:pPr>
              <w:pStyle w:val="tbl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Pressure</w:t>
            </w:r>
          </w:p>
        </w:tc>
        <w:tc>
          <w:tcPr>
            <w:tcW w:w="1612" w:type="dxa"/>
            <w:vMerge/>
            <w:tcBorders>
              <w:top w:val="none" w:sz="0" w:space="0" w:color="auto"/>
              <w:bottom w:val="none" w:sz="0" w:space="0" w:color="auto"/>
            </w:tcBorders>
          </w:tcPr>
          <w:p w14:paraId="40C4A5DE" w14:textId="0095E0DD" w:rsidR="00D505C1" w:rsidRPr="00F90A64" w:rsidRDefault="00D505C1" w:rsidP="00554832">
            <w:pPr>
              <w:pStyle w:val="tbl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359" w:type="dxa"/>
            <w:vMerge/>
            <w:tcBorders>
              <w:top w:val="none" w:sz="0" w:space="0" w:color="auto"/>
              <w:bottom w:val="none" w:sz="0" w:space="0" w:color="auto"/>
            </w:tcBorders>
          </w:tcPr>
          <w:p w14:paraId="531BFAF5" w14:textId="295D6FC7" w:rsidR="00D505C1" w:rsidRPr="00F90A64" w:rsidRDefault="00D505C1" w:rsidP="00554832">
            <w:pPr>
              <w:pStyle w:val="tbl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70" w:type="dxa"/>
            <w:vMerge/>
            <w:tcBorders>
              <w:top w:val="none" w:sz="0" w:space="0" w:color="auto"/>
              <w:bottom w:val="none" w:sz="0" w:space="0" w:color="auto"/>
              <w:right w:val="none" w:sz="0" w:space="0" w:color="auto"/>
            </w:tcBorders>
          </w:tcPr>
          <w:p w14:paraId="73776384" w14:textId="572B0B4D" w:rsidR="00D505C1" w:rsidRPr="00F90A64" w:rsidRDefault="00D505C1" w:rsidP="00554832">
            <w:pPr>
              <w:pStyle w:val="tbl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505C1" w:rsidRPr="00F90A64" w14:paraId="7C331AC7" w14:textId="77777777" w:rsidTr="00D505C1">
        <w:tc>
          <w:tcPr>
            <w:cnfStyle w:val="001000000000" w:firstRow="0" w:lastRow="0" w:firstColumn="1" w:lastColumn="0" w:oddVBand="0" w:evenVBand="0" w:oddHBand="0" w:evenHBand="0" w:firstRowFirstColumn="0" w:firstRowLastColumn="0" w:lastRowFirstColumn="0" w:lastRowLastColumn="0"/>
            <w:tcW w:w="1297" w:type="dxa"/>
          </w:tcPr>
          <w:p w14:paraId="74D5166F" w14:textId="77777777" w:rsidR="00D505C1" w:rsidRPr="00F90A64" w:rsidRDefault="00D505C1" w:rsidP="00554832">
            <w:pPr>
              <w:pStyle w:val="tblBody"/>
              <w:rPr>
                <w:rFonts w:asciiTheme="minorHAnsi" w:hAnsiTheme="minorHAnsi" w:cstheme="minorHAnsi"/>
                <w:b w:val="0"/>
              </w:rPr>
            </w:pPr>
            <w:r w:rsidRPr="00F90A64">
              <w:rPr>
                <w:rFonts w:asciiTheme="minorHAnsi" w:hAnsiTheme="minorHAnsi" w:cstheme="minorHAnsi"/>
                <w:b w:val="0"/>
              </w:rPr>
              <w:t>Biodiversity</w:t>
            </w:r>
          </w:p>
        </w:tc>
        <w:tc>
          <w:tcPr>
            <w:tcW w:w="2081" w:type="dxa"/>
          </w:tcPr>
          <w:p w14:paraId="2DCAA4B9" w14:textId="77777777" w:rsidR="00D505C1" w:rsidRPr="00F90A64" w:rsidRDefault="00D505C1" w:rsidP="00554832">
            <w:pPr>
              <w:pStyle w:val="tbl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Total waterbird abundance</w:t>
            </w:r>
          </w:p>
        </w:tc>
        <w:tc>
          <w:tcPr>
            <w:tcW w:w="1323" w:type="dxa"/>
          </w:tcPr>
          <w:p w14:paraId="7118D879" w14:textId="2CE43BC5" w:rsidR="00D505C1" w:rsidRPr="00F90A64" w:rsidRDefault="00D505C1" w:rsidP="00554832">
            <w:pPr>
              <w:pStyle w:val="tbl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Condition</w:t>
            </w:r>
          </w:p>
        </w:tc>
        <w:tc>
          <w:tcPr>
            <w:tcW w:w="1612" w:type="dxa"/>
          </w:tcPr>
          <w:p w14:paraId="521E258C" w14:textId="5ABF1F19" w:rsidR="00D505C1" w:rsidRPr="00F90A64" w:rsidRDefault="00D505C1" w:rsidP="00554832">
            <w:pPr>
              <w:pStyle w:val="tbl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Sum</w:t>
            </w:r>
          </w:p>
        </w:tc>
        <w:tc>
          <w:tcPr>
            <w:tcW w:w="1359" w:type="dxa"/>
          </w:tcPr>
          <w:p w14:paraId="69934B9E" w14:textId="77777777" w:rsidR="00D505C1" w:rsidRPr="00F90A64" w:rsidRDefault="00D505C1" w:rsidP="00554832">
            <w:pPr>
              <w:pStyle w:val="tbl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2012-2016</w:t>
            </w:r>
          </w:p>
        </w:tc>
        <w:tc>
          <w:tcPr>
            <w:tcW w:w="1570" w:type="dxa"/>
          </w:tcPr>
          <w:p w14:paraId="52C8CB7B" w14:textId="77777777" w:rsidR="00D505C1" w:rsidRPr="00F90A64" w:rsidRDefault="00D505C1" w:rsidP="00554832">
            <w:pPr>
              <w:pStyle w:val="tbl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Peel Yalgorup Ramsar Site</w:t>
            </w:r>
          </w:p>
        </w:tc>
      </w:tr>
      <w:tr w:rsidR="00D505C1" w:rsidRPr="00F90A64" w14:paraId="0A024345" w14:textId="77777777" w:rsidTr="00D5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Borders>
              <w:top w:val="none" w:sz="0" w:space="0" w:color="auto"/>
              <w:left w:val="none" w:sz="0" w:space="0" w:color="auto"/>
              <w:bottom w:val="none" w:sz="0" w:space="0" w:color="auto"/>
            </w:tcBorders>
          </w:tcPr>
          <w:p w14:paraId="4F97301D" w14:textId="77777777" w:rsidR="00D505C1" w:rsidRPr="00F90A64" w:rsidRDefault="00D505C1" w:rsidP="00554832">
            <w:pPr>
              <w:pStyle w:val="tblBody"/>
              <w:rPr>
                <w:rFonts w:asciiTheme="minorHAnsi" w:hAnsiTheme="minorHAnsi" w:cstheme="minorHAnsi"/>
                <w:b w:val="0"/>
              </w:rPr>
            </w:pPr>
            <w:r w:rsidRPr="00F90A64">
              <w:rPr>
                <w:rFonts w:asciiTheme="minorHAnsi" w:hAnsiTheme="minorHAnsi" w:cstheme="minorHAnsi"/>
                <w:b w:val="0"/>
              </w:rPr>
              <w:t>Services: provisioning</w:t>
            </w:r>
          </w:p>
        </w:tc>
        <w:tc>
          <w:tcPr>
            <w:tcW w:w="2081" w:type="dxa"/>
            <w:tcBorders>
              <w:top w:val="none" w:sz="0" w:space="0" w:color="auto"/>
              <w:bottom w:val="none" w:sz="0" w:space="0" w:color="auto"/>
            </w:tcBorders>
          </w:tcPr>
          <w:p w14:paraId="761DB10F" w14:textId="77777777" w:rsidR="00D505C1" w:rsidRPr="00F90A64" w:rsidRDefault="00D505C1" w:rsidP="00554832">
            <w:pPr>
              <w:pStyle w:val="tbl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Blue-swimmer crab (catch per unit effort)</w:t>
            </w:r>
          </w:p>
        </w:tc>
        <w:tc>
          <w:tcPr>
            <w:tcW w:w="1323" w:type="dxa"/>
            <w:tcBorders>
              <w:top w:val="none" w:sz="0" w:space="0" w:color="auto"/>
              <w:bottom w:val="none" w:sz="0" w:space="0" w:color="auto"/>
            </w:tcBorders>
          </w:tcPr>
          <w:p w14:paraId="5D236E33" w14:textId="5F593E2A" w:rsidR="00D505C1" w:rsidRPr="00F90A64" w:rsidRDefault="00D505C1" w:rsidP="00554832">
            <w:pPr>
              <w:pStyle w:val="tbl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Condition</w:t>
            </w:r>
          </w:p>
        </w:tc>
        <w:tc>
          <w:tcPr>
            <w:tcW w:w="1612" w:type="dxa"/>
            <w:tcBorders>
              <w:top w:val="none" w:sz="0" w:space="0" w:color="auto"/>
              <w:bottom w:val="none" w:sz="0" w:space="0" w:color="auto"/>
            </w:tcBorders>
          </w:tcPr>
          <w:p w14:paraId="6C1E7532" w14:textId="6135845A" w:rsidR="00D505C1" w:rsidRPr="00F90A64" w:rsidRDefault="00D505C1" w:rsidP="00554832">
            <w:pPr>
              <w:pStyle w:val="tbl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Average</w:t>
            </w:r>
          </w:p>
        </w:tc>
        <w:tc>
          <w:tcPr>
            <w:tcW w:w="1359" w:type="dxa"/>
            <w:tcBorders>
              <w:top w:val="none" w:sz="0" w:space="0" w:color="auto"/>
              <w:bottom w:val="none" w:sz="0" w:space="0" w:color="auto"/>
            </w:tcBorders>
          </w:tcPr>
          <w:p w14:paraId="6782FCD1" w14:textId="77777777" w:rsidR="00D505C1" w:rsidRPr="00F90A64" w:rsidRDefault="00D505C1" w:rsidP="00554832">
            <w:pPr>
              <w:pStyle w:val="tbl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2012-2016</w:t>
            </w:r>
          </w:p>
        </w:tc>
        <w:tc>
          <w:tcPr>
            <w:tcW w:w="1570" w:type="dxa"/>
            <w:tcBorders>
              <w:top w:val="none" w:sz="0" w:space="0" w:color="auto"/>
              <w:bottom w:val="none" w:sz="0" w:space="0" w:color="auto"/>
              <w:right w:val="none" w:sz="0" w:space="0" w:color="auto"/>
            </w:tcBorders>
          </w:tcPr>
          <w:p w14:paraId="2729CF4B" w14:textId="77777777" w:rsidR="00D505C1" w:rsidRPr="00F90A64" w:rsidRDefault="00D505C1" w:rsidP="00554832">
            <w:pPr>
              <w:pStyle w:val="tbl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90A64">
              <w:rPr>
                <w:rFonts w:asciiTheme="minorHAnsi" w:hAnsiTheme="minorHAnsi" w:cstheme="minorHAnsi"/>
              </w:rPr>
              <w:t>Peel-Harvey Estuary</w:t>
            </w:r>
          </w:p>
        </w:tc>
      </w:tr>
    </w:tbl>
    <w:p w14:paraId="63325FEC" w14:textId="77777777" w:rsidR="00EC00C9" w:rsidRDefault="00EC00C9" w:rsidP="001B1863"/>
    <w:p w14:paraId="13DB6B70" w14:textId="10C0DDFC" w:rsidR="001B1863" w:rsidRPr="009B6364" w:rsidRDefault="001B1863" w:rsidP="001B1863">
      <w:r w:rsidRPr="009B6364">
        <w:t xml:space="preserve">The indicators for the </w:t>
      </w:r>
      <w:r w:rsidR="00EE0583">
        <w:t>water quality</w:t>
      </w:r>
      <w:r w:rsidRPr="009B6364">
        <w:t xml:space="preserve"> theme have LAC that are based on comparisons with individual readings, rather than an average or median value:</w:t>
      </w:r>
    </w:p>
    <w:p w14:paraId="63B55218" w14:textId="77777777" w:rsidR="001B1863" w:rsidRPr="009B6364" w:rsidRDefault="001B1863" w:rsidP="00F4328F">
      <w:pPr>
        <w:pStyle w:val="ListParagraph"/>
        <w:numPr>
          <w:ilvl w:val="0"/>
          <w:numId w:val="70"/>
        </w:numPr>
      </w:pPr>
      <w:r w:rsidRPr="009B6364">
        <w:t>pH &gt; 7 at all times</w:t>
      </w:r>
    </w:p>
    <w:p w14:paraId="3E1B5B94" w14:textId="46DA60C0" w:rsidR="001B1863" w:rsidRPr="009B6364" w:rsidRDefault="001B1863" w:rsidP="00F4328F">
      <w:pPr>
        <w:pStyle w:val="ListParagraph"/>
        <w:numPr>
          <w:ilvl w:val="0"/>
          <w:numId w:val="70"/>
        </w:numPr>
      </w:pPr>
      <w:r w:rsidRPr="009B6364">
        <w:t>dissolved oxygen concentrations of 70</w:t>
      </w:r>
      <w:r w:rsidR="00EC00C9">
        <w:t>–</w:t>
      </w:r>
      <w:r w:rsidRPr="009B6364">
        <w:t>80 % saturation</w:t>
      </w:r>
    </w:p>
    <w:p w14:paraId="3A951615" w14:textId="77777777" w:rsidR="001B1863" w:rsidRPr="009B6364" w:rsidRDefault="001B1863" w:rsidP="00F4328F">
      <w:pPr>
        <w:pStyle w:val="ListParagraph"/>
        <w:numPr>
          <w:ilvl w:val="0"/>
          <w:numId w:val="70"/>
        </w:numPr>
      </w:pPr>
      <w:r w:rsidRPr="009B6364">
        <w:t xml:space="preserve">Total phosphorus concentrations &lt; 30 mg/L (maximum) </w:t>
      </w:r>
    </w:p>
    <w:p w14:paraId="047CEAE4" w14:textId="634A6E49" w:rsidR="001B1863" w:rsidRDefault="001B1863" w:rsidP="001B1863">
      <w:r w:rsidRPr="009B6364">
        <w:t xml:space="preserve">Data from </w:t>
      </w:r>
      <w:r w:rsidR="00D505C1">
        <w:t>four</w:t>
      </w:r>
      <w:r w:rsidRPr="009B6364">
        <w:t xml:space="preserve"> sites across the Peel</w:t>
      </w:r>
      <w:r w:rsidR="00DC6A1F">
        <w:t>-</w:t>
      </w:r>
      <w:r w:rsidRPr="009B6364">
        <w:t>Harvey Estuary, collected monthly</w:t>
      </w:r>
      <w:r w:rsidR="002472A0">
        <w:t xml:space="preserve"> (for most parameters)</w:t>
      </w:r>
      <w:r w:rsidRPr="009B6364">
        <w:t xml:space="preserve"> from January 2011 to December 2016, were compared to the LAC and the proportion of samples that were within the LAC calculated (</w:t>
      </w:r>
      <w:r w:rsidR="003B3E35">
        <w:fldChar w:fldCharType="begin"/>
      </w:r>
      <w:r w:rsidR="003B3E35">
        <w:instrText xml:space="preserve"> REF _Ref486502515 \h </w:instrText>
      </w:r>
      <w:r w:rsidR="003B3E35">
        <w:fldChar w:fldCharType="separate"/>
      </w:r>
      <w:r w:rsidR="00FD50A9">
        <w:t xml:space="preserve">Table B </w:t>
      </w:r>
      <w:r w:rsidR="00FD50A9">
        <w:rPr>
          <w:noProof/>
        </w:rPr>
        <w:t>10</w:t>
      </w:r>
      <w:r w:rsidR="003B3E35">
        <w:fldChar w:fldCharType="end"/>
      </w:r>
      <w:r w:rsidRPr="009B6364">
        <w:t>).</w:t>
      </w:r>
    </w:p>
    <w:p w14:paraId="474BD657" w14:textId="02C7C9B3" w:rsidR="001B1863" w:rsidRPr="009B6364" w:rsidRDefault="003B3E35" w:rsidP="001B1863">
      <w:pPr>
        <w:pStyle w:val="Caption"/>
      </w:pPr>
      <w:bookmarkStart w:id="163" w:name="_Ref486502515"/>
      <w:r>
        <w:t xml:space="preserve">Table B </w:t>
      </w:r>
      <w:fldSimple w:instr=" SEQ Table_B \* ARABIC ">
        <w:r w:rsidR="00FD50A9">
          <w:rPr>
            <w:noProof/>
          </w:rPr>
          <w:t>10</w:t>
        </w:r>
      </w:fldSimple>
      <w:bookmarkEnd w:id="163"/>
      <w:r w:rsidR="00FD50A9">
        <w:rPr>
          <w:noProof/>
        </w:rPr>
        <w:t>:</w:t>
      </w:r>
      <w:r>
        <w:t xml:space="preserve"> </w:t>
      </w:r>
      <w:r w:rsidR="001B1863" w:rsidRPr="009B6364">
        <w:t>Proportion</w:t>
      </w:r>
      <w:r w:rsidR="001D13CD">
        <w:t xml:space="preserve"> (on a scale of 0 to 1</w:t>
      </w:r>
      <w:r w:rsidR="001D13CD" w:rsidRPr="001D13CD">
        <w:t>, where 1 = 100 %)</w:t>
      </w:r>
      <w:r w:rsidR="001B1863" w:rsidRPr="009B6364">
        <w:t xml:space="preserve"> of samples at each site that were within Limits of Acceptable change for the three indicators of </w:t>
      </w:r>
      <w:r w:rsidR="00EE0583">
        <w:t>water quality</w:t>
      </w:r>
      <w:r w:rsidR="001B1863" w:rsidRPr="009B6364">
        <w:t xml:space="preserve"> (pH, dssolved oxygen and total phosphorus).</w:t>
      </w:r>
      <w:r w:rsidR="00D505C1">
        <w:t xml:space="preserve"> * Total </w:t>
      </w:r>
      <w:r w:rsidR="002E0E3C">
        <w:t xml:space="preserve">Phosporus data is not available, </w:t>
      </w:r>
      <w:r w:rsidR="00D505C1">
        <w:t xml:space="preserve">but </w:t>
      </w:r>
      <w:r w:rsidR="002E0E3C">
        <w:t xml:space="preserve">all </w:t>
      </w:r>
      <w:r w:rsidR="00D505C1">
        <w:t xml:space="preserve">available data were within the LAC and the years with missing data are assumed to be the same. </w:t>
      </w:r>
    </w:p>
    <w:tbl>
      <w:tblPr>
        <w:tblStyle w:val="LightList-Accent2"/>
        <w:tblW w:w="9322" w:type="dxa"/>
        <w:tblLook w:val="04A0" w:firstRow="1" w:lastRow="0" w:firstColumn="1" w:lastColumn="0" w:noHBand="0" w:noVBand="1"/>
      </w:tblPr>
      <w:tblGrid>
        <w:gridCol w:w="1462"/>
        <w:gridCol w:w="1463"/>
        <w:gridCol w:w="2412"/>
        <w:gridCol w:w="2412"/>
        <w:gridCol w:w="1573"/>
      </w:tblGrid>
      <w:tr w:rsidR="001B1863" w:rsidRPr="005569E2" w14:paraId="07397B66" w14:textId="77777777" w:rsidTr="0055483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noWrap/>
            <w:hideMark/>
          </w:tcPr>
          <w:p w14:paraId="436A9335" w14:textId="77777777" w:rsidR="001B1863" w:rsidRPr="005569E2" w:rsidRDefault="001B1863" w:rsidP="00554832">
            <w:pPr>
              <w:jc w:val="center"/>
              <w:rPr>
                <w:rFonts w:asciiTheme="minorHAnsi" w:eastAsia="Times New Roman" w:hAnsiTheme="minorHAnsi" w:cs="Times New Roman"/>
                <w:b w:val="0"/>
                <w:bCs w:val="0"/>
                <w:sz w:val="18"/>
                <w:szCs w:val="18"/>
                <w:lang w:eastAsia="en-AU"/>
              </w:rPr>
            </w:pPr>
            <w:r w:rsidRPr="005569E2">
              <w:rPr>
                <w:rFonts w:asciiTheme="minorHAnsi" w:eastAsia="Times New Roman" w:hAnsiTheme="minorHAnsi" w:cs="Times New Roman"/>
                <w:sz w:val="18"/>
                <w:szCs w:val="18"/>
                <w:lang w:eastAsia="en-AU"/>
              </w:rPr>
              <w:t>Site</w:t>
            </w:r>
          </w:p>
        </w:tc>
        <w:tc>
          <w:tcPr>
            <w:tcW w:w="1463" w:type="dxa"/>
            <w:noWrap/>
            <w:hideMark/>
          </w:tcPr>
          <w:p w14:paraId="6A9E3CA8" w14:textId="77777777" w:rsidR="001B1863" w:rsidRPr="005569E2" w:rsidRDefault="001B1863" w:rsidP="005548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69E2">
              <w:rPr>
                <w:rFonts w:asciiTheme="minorHAnsi" w:eastAsia="Times New Roman" w:hAnsiTheme="minorHAnsi" w:cs="Times New Roman"/>
                <w:sz w:val="18"/>
                <w:szCs w:val="18"/>
                <w:lang w:eastAsia="en-AU"/>
              </w:rPr>
              <w:t>Year</w:t>
            </w:r>
          </w:p>
        </w:tc>
        <w:tc>
          <w:tcPr>
            <w:tcW w:w="2412" w:type="dxa"/>
            <w:hideMark/>
          </w:tcPr>
          <w:p w14:paraId="5389E228" w14:textId="77777777" w:rsidR="001B1863" w:rsidRPr="005569E2" w:rsidRDefault="001B1863" w:rsidP="005548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69E2">
              <w:rPr>
                <w:rFonts w:asciiTheme="minorHAnsi" w:eastAsia="Times New Roman" w:hAnsiTheme="minorHAnsi" w:cs="Times New Roman"/>
                <w:sz w:val="18"/>
                <w:szCs w:val="18"/>
                <w:lang w:eastAsia="en-AU"/>
              </w:rPr>
              <w:t>pH</w:t>
            </w:r>
          </w:p>
        </w:tc>
        <w:tc>
          <w:tcPr>
            <w:tcW w:w="2412" w:type="dxa"/>
            <w:hideMark/>
          </w:tcPr>
          <w:p w14:paraId="6BB5EC4C" w14:textId="77777777" w:rsidR="001B1863" w:rsidRPr="005569E2" w:rsidRDefault="001B1863" w:rsidP="005548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69E2">
              <w:rPr>
                <w:rFonts w:asciiTheme="minorHAnsi" w:eastAsia="Times New Roman" w:hAnsiTheme="minorHAnsi" w:cs="Times New Roman"/>
                <w:sz w:val="18"/>
                <w:szCs w:val="18"/>
                <w:lang w:eastAsia="en-AU"/>
              </w:rPr>
              <w:t>Dissolved oxygen</w:t>
            </w:r>
          </w:p>
        </w:tc>
        <w:tc>
          <w:tcPr>
            <w:tcW w:w="1573" w:type="dxa"/>
            <w:hideMark/>
          </w:tcPr>
          <w:p w14:paraId="3D3722A9" w14:textId="77777777" w:rsidR="001B1863" w:rsidRPr="005569E2" w:rsidRDefault="001B1863" w:rsidP="005548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69E2">
              <w:rPr>
                <w:rFonts w:asciiTheme="minorHAnsi" w:eastAsia="Times New Roman" w:hAnsiTheme="minorHAnsi" w:cs="Times New Roman"/>
                <w:sz w:val="18"/>
                <w:szCs w:val="18"/>
                <w:lang w:eastAsia="en-AU"/>
              </w:rPr>
              <w:t>Total phosphorus</w:t>
            </w:r>
          </w:p>
        </w:tc>
      </w:tr>
      <w:tr w:rsidR="00425685" w:rsidRPr="009B6364" w14:paraId="782574BB"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0794328B"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PHE01</w:t>
            </w:r>
          </w:p>
        </w:tc>
        <w:tc>
          <w:tcPr>
            <w:tcW w:w="1463" w:type="dxa"/>
            <w:hideMark/>
          </w:tcPr>
          <w:p w14:paraId="5B63B38B"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2012</w:t>
            </w:r>
          </w:p>
        </w:tc>
        <w:tc>
          <w:tcPr>
            <w:tcW w:w="2412" w:type="dxa"/>
            <w:hideMark/>
          </w:tcPr>
          <w:p w14:paraId="1AEBCC6A"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0.85</w:t>
            </w:r>
          </w:p>
        </w:tc>
        <w:tc>
          <w:tcPr>
            <w:tcW w:w="2412" w:type="dxa"/>
            <w:hideMark/>
          </w:tcPr>
          <w:p w14:paraId="630DCE14"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0.23</w:t>
            </w:r>
          </w:p>
        </w:tc>
        <w:tc>
          <w:tcPr>
            <w:tcW w:w="1573" w:type="dxa"/>
            <w:hideMark/>
          </w:tcPr>
          <w:p w14:paraId="23A7D1B9" w14:textId="77777777" w:rsidR="00425685" w:rsidRPr="009B6364" w:rsidRDefault="00425685" w:rsidP="002E0E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r>
      <w:tr w:rsidR="00425685" w:rsidRPr="009B6364" w14:paraId="6325C976" w14:textId="77777777" w:rsidTr="00425685">
        <w:trPr>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4FFC118F"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PHE04</w:t>
            </w:r>
          </w:p>
        </w:tc>
        <w:tc>
          <w:tcPr>
            <w:tcW w:w="1463" w:type="dxa"/>
            <w:hideMark/>
          </w:tcPr>
          <w:p w14:paraId="143A7CE2"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2012</w:t>
            </w:r>
          </w:p>
        </w:tc>
        <w:tc>
          <w:tcPr>
            <w:tcW w:w="2412" w:type="dxa"/>
            <w:hideMark/>
          </w:tcPr>
          <w:p w14:paraId="22D5AD17"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0.85</w:t>
            </w:r>
          </w:p>
        </w:tc>
        <w:tc>
          <w:tcPr>
            <w:tcW w:w="2412" w:type="dxa"/>
            <w:hideMark/>
          </w:tcPr>
          <w:p w14:paraId="7A5E0DAA"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73" w:type="dxa"/>
            <w:hideMark/>
          </w:tcPr>
          <w:p w14:paraId="053F2973" w14:textId="77777777" w:rsidR="00425685" w:rsidRPr="009B6364" w:rsidRDefault="00425685" w:rsidP="002E0E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r>
      <w:tr w:rsidR="00425685" w:rsidRPr="009B6364" w14:paraId="6D155C38"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3BAEA5E9"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PHE07</w:t>
            </w:r>
          </w:p>
        </w:tc>
        <w:tc>
          <w:tcPr>
            <w:tcW w:w="1463" w:type="dxa"/>
            <w:hideMark/>
          </w:tcPr>
          <w:p w14:paraId="361FA0A8"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2012</w:t>
            </w:r>
          </w:p>
        </w:tc>
        <w:tc>
          <w:tcPr>
            <w:tcW w:w="2412" w:type="dxa"/>
            <w:hideMark/>
          </w:tcPr>
          <w:p w14:paraId="76630BAB"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0.85</w:t>
            </w:r>
          </w:p>
        </w:tc>
        <w:tc>
          <w:tcPr>
            <w:tcW w:w="2412" w:type="dxa"/>
            <w:hideMark/>
          </w:tcPr>
          <w:p w14:paraId="50C399A1"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73" w:type="dxa"/>
            <w:hideMark/>
          </w:tcPr>
          <w:p w14:paraId="7AE98EB9" w14:textId="77777777" w:rsidR="00425685" w:rsidRPr="009B6364" w:rsidRDefault="00425685" w:rsidP="002E0E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r>
      <w:tr w:rsidR="00425685" w:rsidRPr="009B6364" w14:paraId="4E774B48" w14:textId="77777777" w:rsidTr="00425685">
        <w:trPr>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677FCAB3"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PHE31</w:t>
            </w:r>
          </w:p>
        </w:tc>
        <w:tc>
          <w:tcPr>
            <w:tcW w:w="1463" w:type="dxa"/>
            <w:hideMark/>
          </w:tcPr>
          <w:p w14:paraId="2C9026B2"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2012</w:t>
            </w:r>
          </w:p>
        </w:tc>
        <w:tc>
          <w:tcPr>
            <w:tcW w:w="2412" w:type="dxa"/>
            <w:hideMark/>
          </w:tcPr>
          <w:p w14:paraId="31294332"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0.85</w:t>
            </w:r>
          </w:p>
        </w:tc>
        <w:tc>
          <w:tcPr>
            <w:tcW w:w="2412" w:type="dxa"/>
            <w:hideMark/>
          </w:tcPr>
          <w:p w14:paraId="1703A86A"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0.38</w:t>
            </w:r>
          </w:p>
        </w:tc>
        <w:tc>
          <w:tcPr>
            <w:tcW w:w="1573" w:type="dxa"/>
            <w:hideMark/>
          </w:tcPr>
          <w:p w14:paraId="0260966B" w14:textId="77777777" w:rsidR="00425685" w:rsidRPr="009B6364" w:rsidRDefault="00425685" w:rsidP="002E0E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r>
      <w:tr w:rsidR="00425685" w:rsidRPr="009B6364" w14:paraId="0C50F421"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518FDCC7"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PHE01</w:t>
            </w:r>
          </w:p>
        </w:tc>
        <w:tc>
          <w:tcPr>
            <w:tcW w:w="1463" w:type="dxa"/>
            <w:hideMark/>
          </w:tcPr>
          <w:p w14:paraId="1715A40C"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2013</w:t>
            </w:r>
          </w:p>
        </w:tc>
        <w:tc>
          <w:tcPr>
            <w:tcW w:w="2412" w:type="dxa"/>
            <w:hideMark/>
          </w:tcPr>
          <w:p w14:paraId="34432D76"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0.92</w:t>
            </w:r>
          </w:p>
        </w:tc>
        <w:tc>
          <w:tcPr>
            <w:tcW w:w="2412" w:type="dxa"/>
            <w:hideMark/>
          </w:tcPr>
          <w:p w14:paraId="1033DE30"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0.15</w:t>
            </w:r>
          </w:p>
        </w:tc>
        <w:tc>
          <w:tcPr>
            <w:tcW w:w="1573" w:type="dxa"/>
            <w:hideMark/>
          </w:tcPr>
          <w:p w14:paraId="30DF9481" w14:textId="77777777" w:rsidR="00425685" w:rsidRPr="009B6364" w:rsidRDefault="00425685" w:rsidP="002E0E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r>
      <w:tr w:rsidR="00425685" w:rsidRPr="009B6364" w14:paraId="4EFB3EC2" w14:textId="77777777" w:rsidTr="00425685">
        <w:trPr>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18B2529C"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PHE04</w:t>
            </w:r>
          </w:p>
        </w:tc>
        <w:tc>
          <w:tcPr>
            <w:tcW w:w="1463" w:type="dxa"/>
            <w:hideMark/>
          </w:tcPr>
          <w:p w14:paraId="0C17DC21"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2013</w:t>
            </w:r>
          </w:p>
        </w:tc>
        <w:tc>
          <w:tcPr>
            <w:tcW w:w="2412" w:type="dxa"/>
            <w:hideMark/>
          </w:tcPr>
          <w:p w14:paraId="0A648CF9"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0.92</w:t>
            </w:r>
          </w:p>
        </w:tc>
        <w:tc>
          <w:tcPr>
            <w:tcW w:w="2412" w:type="dxa"/>
            <w:hideMark/>
          </w:tcPr>
          <w:p w14:paraId="4E80DBA9"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0.15</w:t>
            </w:r>
          </w:p>
        </w:tc>
        <w:tc>
          <w:tcPr>
            <w:tcW w:w="1573" w:type="dxa"/>
            <w:hideMark/>
          </w:tcPr>
          <w:p w14:paraId="4077CCDE" w14:textId="77777777" w:rsidR="00425685" w:rsidRPr="009B6364" w:rsidRDefault="00425685" w:rsidP="002E0E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r>
      <w:tr w:rsidR="00425685" w:rsidRPr="009B6364" w14:paraId="56BA6118"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17A377B7"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PHE07</w:t>
            </w:r>
          </w:p>
        </w:tc>
        <w:tc>
          <w:tcPr>
            <w:tcW w:w="1463" w:type="dxa"/>
            <w:hideMark/>
          </w:tcPr>
          <w:p w14:paraId="753455C9"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2013</w:t>
            </w:r>
          </w:p>
        </w:tc>
        <w:tc>
          <w:tcPr>
            <w:tcW w:w="2412" w:type="dxa"/>
            <w:hideMark/>
          </w:tcPr>
          <w:p w14:paraId="73CBE399"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0.92</w:t>
            </w:r>
          </w:p>
        </w:tc>
        <w:tc>
          <w:tcPr>
            <w:tcW w:w="2412" w:type="dxa"/>
            <w:hideMark/>
          </w:tcPr>
          <w:p w14:paraId="6FE74DDB"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0.15</w:t>
            </w:r>
          </w:p>
        </w:tc>
        <w:tc>
          <w:tcPr>
            <w:tcW w:w="1573" w:type="dxa"/>
            <w:hideMark/>
          </w:tcPr>
          <w:p w14:paraId="17A2AC58" w14:textId="77777777" w:rsidR="00425685" w:rsidRPr="009B6364" w:rsidRDefault="00425685" w:rsidP="002E0E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r>
      <w:tr w:rsidR="00425685" w:rsidRPr="009B6364" w14:paraId="13985DA6" w14:textId="77777777" w:rsidTr="00425685">
        <w:trPr>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472BA73E"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PHE31</w:t>
            </w:r>
          </w:p>
        </w:tc>
        <w:tc>
          <w:tcPr>
            <w:tcW w:w="1463" w:type="dxa"/>
            <w:hideMark/>
          </w:tcPr>
          <w:p w14:paraId="70BBC0F9"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2013</w:t>
            </w:r>
          </w:p>
        </w:tc>
        <w:tc>
          <w:tcPr>
            <w:tcW w:w="2412" w:type="dxa"/>
            <w:hideMark/>
          </w:tcPr>
          <w:p w14:paraId="6DE70D49"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0.92</w:t>
            </w:r>
          </w:p>
        </w:tc>
        <w:tc>
          <w:tcPr>
            <w:tcW w:w="2412" w:type="dxa"/>
            <w:hideMark/>
          </w:tcPr>
          <w:p w14:paraId="53F59AE3"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0.38</w:t>
            </w:r>
          </w:p>
        </w:tc>
        <w:tc>
          <w:tcPr>
            <w:tcW w:w="1573" w:type="dxa"/>
            <w:hideMark/>
          </w:tcPr>
          <w:p w14:paraId="1043C990" w14:textId="77777777" w:rsidR="00425685" w:rsidRPr="009B6364" w:rsidRDefault="00425685" w:rsidP="002E0E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r>
      <w:tr w:rsidR="00425685" w:rsidRPr="009B6364" w14:paraId="5E458AB9"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574D75F5"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PHE01</w:t>
            </w:r>
          </w:p>
        </w:tc>
        <w:tc>
          <w:tcPr>
            <w:tcW w:w="1463" w:type="dxa"/>
            <w:hideMark/>
          </w:tcPr>
          <w:p w14:paraId="51B30AE0"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2014</w:t>
            </w:r>
          </w:p>
        </w:tc>
        <w:tc>
          <w:tcPr>
            <w:tcW w:w="2412" w:type="dxa"/>
            <w:hideMark/>
          </w:tcPr>
          <w:p w14:paraId="5CB5092B"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412" w:type="dxa"/>
            <w:hideMark/>
          </w:tcPr>
          <w:p w14:paraId="282D8FA3"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73" w:type="dxa"/>
            <w:hideMark/>
          </w:tcPr>
          <w:p w14:paraId="76EC31F5" w14:textId="77777777" w:rsidR="00425685" w:rsidRPr="009B6364" w:rsidRDefault="00425685" w:rsidP="002E0E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r>
              <w:rPr>
                <w:rFonts w:asciiTheme="minorHAnsi" w:eastAsia="Times New Roman" w:hAnsiTheme="minorHAnsi" w:cs="Times New Roman"/>
                <w:color w:val="000000"/>
                <w:sz w:val="18"/>
                <w:szCs w:val="18"/>
                <w:lang w:eastAsia="en-AU"/>
              </w:rPr>
              <w:t>*</w:t>
            </w:r>
          </w:p>
        </w:tc>
      </w:tr>
      <w:tr w:rsidR="00425685" w:rsidRPr="009B6364" w14:paraId="1B9E4EDD" w14:textId="77777777" w:rsidTr="00425685">
        <w:trPr>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2CE7CBAD"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PHE04</w:t>
            </w:r>
          </w:p>
        </w:tc>
        <w:tc>
          <w:tcPr>
            <w:tcW w:w="1463" w:type="dxa"/>
            <w:hideMark/>
          </w:tcPr>
          <w:p w14:paraId="537D77F9"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2014</w:t>
            </w:r>
          </w:p>
        </w:tc>
        <w:tc>
          <w:tcPr>
            <w:tcW w:w="2412" w:type="dxa"/>
            <w:hideMark/>
          </w:tcPr>
          <w:p w14:paraId="0F707A47"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412" w:type="dxa"/>
            <w:hideMark/>
          </w:tcPr>
          <w:p w14:paraId="690FC211"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0.09</w:t>
            </w:r>
          </w:p>
        </w:tc>
        <w:tc>
          <w:tcPr>
            <w:tcW w:w="1573" w:type="dxa"/>
            <w:hideMark/>
          </w:tcPr>
          <w:p w14:paraId="1C9502EF" w14:textId="77777777" w:rsidR="00425685" w:rsidRPr="009B6364" w:rsidRDefault="00425685" w:rsidP="002E0E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r>
              <w:rPr>
                <w:rFonts w:asciiTheme="minorHAnsi" w:eastAsia="Times New Roman" w:hAnsiTheme="minorHAnsi" w:cs="Times New Roman"/>
                <w:color w:val="000000"/>
                <w:sz w:val="18"/>
                <w:szCs w:val="18"/>
                <w:lang w:eastAsia="en-AU"/>
              </w:rPr>
              <w:t>*</w:t>
            </w:r>
          </w:p>
        </w:tc>
      </w:tr>
      <w:tr w:rsidR="00425685" w:rsidRPr="009B6364" w14:paraId="6BD08FE6"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23442511"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PHE07</w:t>
            </w:r>
          </w:p>
        </w:tc>
        <w:tc>
          <w:tcPr>
            <w:tcW w:w="1463" w:type="dxa"/>
            <w:hideMark/>
          </w:tcPr>
          <w:p w14:paraId="084EBA2C"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2014</w:t>
            </w:r>
          </w:p>
        </w:tc>
        <w:tc>
          <w:tcPr>
            <w:tcW w:w="2412" w:type="dxa"/>
            <w:hideMark/>
          </w:tcPr>
          <w:p w14:paraId="4F48D7EA"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412" w:type="dxa"/>
            <w:hideMark/>
          </w:tcPr>
          <w:p w14:paraId="3890131C"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73" w:type="dxa"/>
            <w:hideMark/>
          </w:tcPr>
          <w:p w14:paraId="0A39F09E" w14:textId="77777777" w:rsidR="00425685" w:rsidRPr="009B6364" w:rsidRDefault="00425685" w:rsidP="002E0E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r>
              <w:rPr>
                <w:rFonts w:asciiTheme="minorHAnsi" w:eastAsia="Times New Roman" w:hAnsiTheme="minorHAnsi" w:cs="Times New Roman"/>
                <w:color w:val="000000"/>
                <w:sz w:val="18"/>
                <w:szCs w:val="18"/>
                <w:lang w:eastAsia="en-AU"/>
              </w:rPr>
              <w:t>*</w:t>
            </w:r>
          </w:p>
        </w:tc>
      </w:tr>
      <w:tr w:rsidR="00425685" w:rsidRPr="009B6364" w14:paraId="33DA437C" w14:textId="77777777" w:rsidTr="00425685">
        <w:trPr>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3B2D54BB"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PHE31</w:t>
            </w:r>
          </w:p>
        </w:tc>
        <w:tc>
          <w:tcPr>
            <w:tcW w:w="1463" w:type="dxa"/>
            <w:hideMark/>
          </w:tcPr>
          <w:p w14:paraId="55184C3F"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2014</w:t>
            </w:r>
          </w:p>
        </w:tc>
        <w:tc>
          <w:tcPr>
            <w:tcW w:w="2412" w:type="dxa"/>
            <w:hideMark/>
          </w:tcPr>
          <w:p w14:paraId="2031DD36"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412" w:type="dxa"/>
            <w:hideMark/>
          </w:tcPr>
          <w:p w14:paraId="34002FAB"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73" w:type="dxa"/>
            <w:hideMark/>
          </w:tcPr>
          <w:p w14:paraId="06317ECD" w14:textId="77777777" w:rsidR="00425685" w:rsidRPr="009B6364" w:rsidRDefault="00425685" w:rsidP="002E0E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r>
              <w:rPr>
                <w:rFonts w:asciiTheme="minorHAnsi" w:eastAsia="Times New Roman" w:hAnsiTheme="minorHAnsi" w:cs="Times New Roman"/>
                <w:color w:val="000000"/>
                <w:sz w:val="18"/>
                <w:szCs w:val="18"/>
                <w:lang w:eastAsia="en-AU"/>
              </w:rPr>
              <w:t>*</w:t>
            </w:r>
          </w:p>
        </w:tc>
      </w:tr>
      <w:tr w:rsidR="00425685" w:rsidRPr="009B6364" w14:paraId="1CEDFD1F"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575BAAB0"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PHE01</w:t>
            </w:r>
          </w:p>
        </w:tc>
        <w:tc>
          <w:tcPr>
            <w:tcW w:w="1463" w:type="dxa"/>
            <w:hideMark/>
          </w:tcPr>
          <w:p w14:paraId="72AFF614"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2015</w:t>
            </w:r>
          </w:p>
        </w:tc>
        <w:tc>
          <w:tcPr>
            <w:tcW w:w="2412" w:type="dxa"/>
            <w:hideMark/>
          </w:tcPr>
          <w:p w14:paraId="63805CCB"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412" w:type="dxa"/>
            <w:hideMark/>
          </w:tcPr>
          <w:p w14:paraId="4E74B76E"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0.06</w:t>
            </w:r>
          </w:p>
        </w:tc>
        <w:tc>
          <w:tcPr>
            <w:tcW w:w="1573" w:type="dxa"/>
            <w:hideMark/>
          </w:tcPr>
          <w:p w14:paraId="6EADCF13" w14:textId="77777777" w:rsidR="00425685" w:rsidRPr="009B6364" w:rsidRDefault="00425685" w:rsidP="002E0E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r>
              <w:rPr>
                <w:rFonts w:asciiTheme="minorHAnsi" w:eastAsia="Times New Roman" w:hAnsiTheme="minorHAnsi" w:cs="Times New Roman"/>
                <w:color w:val="000000"/>
                <w:sz w:val="18"/>
                <w:szCs w:val="18"/>
                <w:lang w:eastAsia="en-AU"/>
              </w:rPr>
              <w:t>*</w:t>
            </w:r>
          </w:p>
        </w:tc>
      </w:tr>
      <w:tr w:rsidR="00425685" w:rsidRPr="009B6364" w14:paraId="571F4AF9" w14:textId="77777777" w:rsidTr="00425685">
        <w:trPr>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7114536B"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PHE04</w:t>
            </w:r>
          </w:p>
        </w:tc>
        <w:tc>
          <w:tcPr>
            <w:tcW w:w="1463" w:type="dxa"/>
            <w:hideMark/>
          </w:tcPr>
          <w:p w14:paraId="33D122D0"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2015</w:t>
            </w:r>
          </w:p>
        </w:tc>
        <w:tc>
          <w:tcPr>
            <w:tcW w:w="2412" w:type="dxa"/>
            <w:hideMark/>
          </w:tcPr>
          <w:p w14:paraId="79315176"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0.93</w:t>
            </w:r>
          </w:p>
        </w:tc>
        <w:tc>
          <w:tcPr>
            <w:tcW w:w="2412" w:type="dxa"/>
            <w:hideMark/>
          </w:tcPr>
          <w:p w14:paraId="740F1C24"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73" w:type="dxa"/>
            <w:hideMark/>
          </w:tcPr>
          <w:p w14:paraId="02B79016" w14:textId="77777777" w:rsidR="00425685" w:rsidRPr="009B6364" w:rsidRDefault="00425685" w:rsidP="002E0E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r>
              <w:rPr>
                <w:rFonts w:asciiTheme="minorHAnsi" w:eastAsia="Times New Roman" w:hAnsiTheme="minorHAnsi" w:cs="Times New Roman"/>
                <w:color w:val="000000"/>
                <w:sz w:val="18"/>
                <w:szCs w:val="18"/>
                <w:lang w:eastAsia="en-AU"/>
              </w:rPr>
              <w:t>*</w:t>
            </w:r>
          </w:p>
        </w:tc>
      </w:tr>
      <w:tr w:rsidR="00425685" w:rsidRPr="009B6364" w14:paraId="21D0880E"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668C0807"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PHE07</w:t>
            </w:r>
          </w:p>
        </w:tc>
        <w:tc>
          <w:tcPr>
            <w:tcW w:w="1463" w:type="dxa"/>
            <w:hideMark/>
          </w:tcPr>
          <w:p w14:paraId="251CCFA8"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2015</w:t>
            </w:r>
          </w:p>
        </w:tc>
        <w:tc>
          <w:tcPr>
            <w:tcW w:w="2412" w:type="dxa"/>
            <w:hideMark/>
          </w:tcPr>
          <w:p w14:paraId="5D573513"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0.93</w:t>
            </w:r>
          </w:p>
        </w:tc>
        <w:tc>
          <w:tcPr>
            <w:tcW w:w="2412" w:type="dxa"/>
            <w:hideMark/>
          </w:tcPr>
          <w:p w14:paraId="759BF9F5"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73" w:type="dxa"/>
            <w:hideMark/>
          </w:tcPr>
          <w:p w14:paraId="7BD126F5" w14:textId="77777777" w:rsidR="00425685" w:rsidRPr="009B6364" w:rsidRDefault="00425685" w:rsidP="002E0E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r>
              <w:rPr>
                <w:rFonts w:asciiTheme="minorHAnsi" w:eastAsia="Times New Roman" w:hAnsiTheme="minorHAnsi" w:cs="Times New Roman"/>
                <w:color w:val="000000"/>
                <w:sz w:val="18"/>
                <w:szCs w:val="18"/>
                <w:lang w:eastAsia="en-AU"/>
              </w:rPr>
              <w:t>*</w:t>
            </w:r>
          </w:p>
        </w:tc>
      </w:tr>
      <w:tr w:rsidR="00425685" w:rsidRPr="009B6364" w14:paraId="636EE332" w14:textId="77777777" w:rsidTr="00425685">
        <w:trPr>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58004F16"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PHE31</w:t>
            </w:r>
          </w:p>
        </w:tc>
        <w:tc>
          <w:tcPr>
            <w:tcW w:w="1463" w:type="dxa"/>
            <w:hideMark/>
          </w:tcPr>
          <w:p w14:paraId="1EE6DC35"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2015</w:t>
            </w:r>
          </w:p>
        </w:tc>
        <w:tc>
          <w:tcPr>
            <w:tcW w:w="2412" w:type="dxa"/>
            <w:hideMark/>
          </w:tcPr>
          <w:p w14:paraId="199A8F3C"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412" w:type="dxa"/>
            <w:hideMark/>
          </w:tcPr>
          <w:p w14:paraId="5975AA31"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0.25</w:t>
            </w:r>
          </w:p>
        </w:tc>
        <w:tc>
          <w:tcPr>
            <w:tcW w:w="1573" w:type="dxa"/>
            <w:hideMark/>
          </w:tcPr>
          <w:p w14:paraId="120EF8E3" w14:textId="77777777" w:rsidR="00425685" w:rsidRPr="009B6364" w:rsidRDefault="00425685" w:rsidP="002E0E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r>
              <w:rPr>
                <w:rFonts w:asciiTheme="minorHAnsi" w:eastAsia="Times New Roman" w:hAnsiTheme="minorHAnsi" w:cs="Times New Roman"/>
                <w:color w:val="000000"/>
                <w:sz w:val="18"/>
                <w:szCs w:val="18"/>
                <w:lang w:eastAsia="en-AU"/>
              </w:rPr>
              <w:t>*</w:t>
            </w:r>
          </w:p>
        </w:tc>
      </w:tr>
      <w:tr w:rsidR="00425685" w:rsidRPr="009B6364" w14:paraId="0EA30E7B"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300EE0FD"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PHE01</w:t>
            </w:r>
          </w:p>
        </w:tc>
        <w:tc>
          <w:tcPr>
            <w:tcW w:w="1463" w:type="dxa"/>
            <w:hideMark/>
          </w:tcPr>
          <w:p w14:paraId="45DA0BFF"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2016</w:t>
            </w:r>
          </w:p>
        </w:tc>
        <w:tc>
          <w:tcPr>
            <w:tcW w:w="2412" w:type="dxa"/>
            <w:hideMark/>
          </w:tcPr>
          <w:p w14:paraId="590B176B"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412" w:type="dxa"/>
            <w:hideMark/>
          </w:tcPr>
          <w:p w14:paraId="198E3F49"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0.09</w:t>
            </w:r>
          </w:p>
        </w:tc>
        <w:tc>
          <w:tcPr>
            <w:tcW w:w="1573" w:type="dxa"/>
            <w:hideMark/>
          </w:tcPr>
          <w:p w14:paraId="011E9E14" w14:textId="77777777" w:rsidR="00425685" w:rsidRPr="009B6364" w:rsidRDefault="00425685" w:rsidP="002E0E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r>
      <w:tr w:rsidR="00425685" w:rsidRPr="009B6364" w14:paraId="330A55BA" w14:textId="77777777" w:rsidTr="00425685">
        <w:trPr>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206F346B"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PHE04</w:t>
            </w:r>
          </w:p>
        </w:tc>
        <w:tc>
          <w:tcPr>
            <w:tcW w:w="1463" w:type="dxa"/>
            <w:hideMark/>
          </w:tcPr>
          <w:p w14:paraId="653AA088"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2016</w:t>
            </w:r>
          </w:p>
        </w:tc>
        <w:tc>
          <w:tcPr>
            <w:tcW w:w="2412" w:type="dxa"/>
            <w:hideMark/>
          </w:tcPr>
          <w:p w14:paraId="152D77AF"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412" w:type="dxa"/>
            <w:hideMark/>
          </w:tcPr>
          <w:p w14:paraId="0C553085" w14:textId="77777777" w:rsidR="00425685" w:rsidRPr="009B6364" w:rsidRDefault="00425685"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0.05</w:t>
            </w:r>
          </w:p>
        </w:tc>
        <w:tc>
          <w:tcPr>
            <w:tcW w:w="1573" w:type="dxa"/>
            <w:hideMark/>
          </w:tcPr>
          <w:p w14:paraId="3B331DC8" w14:textId="77777777" w:rsidR="00425685" w:rsidRPr="009B6364" w:rsidRDefault="00425685" w:rsidP="002E0E3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r>
      <w:tr w:rsidR="00425685" w:rsidRPr="009B6364" w14:paraId="49EA5BC1"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2E8792C5" w14:textId="77777777" w:rsidR="00425685" w:rsidRPr="005569E2" w:rsidRDefault="00425685"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PHE07</w:t>
            </w:r>
          </w:p>
        </w:tc>
        <w:tc>
          <w:tcPr>
            <w:tcW w:w="1463" w:type="dxa"/>
            <w:hideMark/>
          </w:tcPr>
          <w:p w14:paraId="22164D02"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2016</w:t>
            </w:r>
          </w:p>
        </w:tc>
        <w:tc>
          <w:tcPr>
            <w:tcW w:w="2412" w:type="dxa"/>
            <w:hideMark/>
          </w:tcPr>
          <w:p w14:paraId="4C951D78"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412" w:type="dxa"/>
            <w:hideMark/>
          </w:tcPr>
          <w:p w14:paraId="0F9852F9" w14:textId="77777777" w:rsidR="00425685" w:rsidRPr="009B6364" w:rsidRDefault="00425685"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73" w:type="dxa"/>
            <w:hideMark/>
          </w:tcPr>
          <w:p w14:paraId="61B3CDC8" w14:textId="77777777" w:rsidR="00425685" w:rsidRPr="009B6364" w:rsidRDefault="00425685" w:rsidP="002E0E3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r>
      <w:tr w:rsidR="001B1863" w:rsidRPr="009B6364" w14:paraId="6FE2BF39" w14:textId="77777777" w:rsidTr="00425685">
        <w:trPr>
          <w:trHeight w:val="283"/>
        </w:trPr>
        <w:tc>
          <w:tcPr>
            <w:cnfStyle w:val="001000000000" w:firstRow="0" w:lastRow="0" w:firstColumn="1" w:lastColumn="0" w:oddVBand="0" w:evenVBand="0" w:oddHBand="0" w:evenHBand="0" w:firstRowFirstColumn="0" w:firstRowLastColumn="0" w:lastRowFirstColumn="0" w:lastRowLastColumn="0"/>
            <w:tcW w:w="1462" w:type="dxa"/>
            <w:hideMark/>
          </w:tcPr>
          <w:p w14:paraId="5F1433F9" w14:textId="77777777" w:rsidR="001B1863" w:rsidRPr="005569E2" w:rsidRDefault="001B1863"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PHE31</w:t>
            </w:r>
          </w:p>
        </w:tc>
        <w:tc>
          <w:tcPr>
            <w:tcW w:w="1463" w:type="dxa"/>
            <w:hideMark/>
          </w:tcPr>
          <w:p w14:paraId="251AC3A8"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2016</w:t>
            </w:r>
          </w:p>
        </w:tc>
        <w:tc>
          <w:tcPr>
            <w:tcW w:w="2412" w:type="dxa"/>
            <w:hideMark/>
          </w:tcPr>
          <w:p w14:paraId="0ED0C29A"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412" w:type="dxa"/>
            <w:hideMark/>
          </w:tcPr>
          <w:p w14:paraId="79C634C1"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0.09</w:t>
            </w:r>
          </w:p>
        </w:tc>
        <w:tc>
          <w:tcPr>
            <w:tcW w:w="1573" w:type="dxa"/>
            <w:hideMark/>
          </w:tcPr>
          <w:p w14:paraId="43E2D3C3"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r>
    </w:tbl>
    <w:p w14:paraId="68CED04F" w14:textId="77777777" w:rsidR="001B1863" w:rsidRPr="009B6364" w:rsidRDefault="001B1863" w:rsidP="001B1863"/>
    <w:p w14:paraId="611A6866" w14:textId="5309A1C3" w:rsidR="001B1863" w:rsidRPr="009B6364" w:rsidRDefault="001B1863" w:rsidP="001B1863">
      <w:r>
        <w:lastRenderedPageBreak/>
        <w:t xml:space="preserve">Waterbird abundance is the indicator selected to provide an example of data analysis and aggregation for the biodiversity theme. </w:t>
      </w:r>
      <w:r w:rsidRPr="009B6364">
        <w:t>Waterbird</w:t>
      </w:r>
      <w:r>
        <w:t>s are counted in</w:t>
      </w:r>
      <w:r w:rsidRPr="009B6364">
        <w:t xml:space="preserve"> February each year </w:t>
      </w:r>
      <w:r>
        <w:t>at 25 sites across the Ramsar site and data</w:t>
      </w:r>
      <w:r w:rsidRPr="009B6364">
        <w:t xml:space="preserve"> was provided by BirdLife WA. These counts are part of the national </w:t>
      </w:r>
      <w:r>
        <w:t>S</w:t>
      </w:r>
      <w:r w:rsidRPr="009B6364">
        <w:t xml:space="preserve">horebirds 2020 program and may not capture all species and </w:t>
      </w:r>
      <w:r w:rsidR="00875979">
        <w:t xml:space="preserve">for primarily temporal reasons </w:t>
      </w:r>
      <w:r w:rsidRPr="009B6364">
        <w:t>may also not capture the highest abundance of birds at the site. For this reason, counts were augmented with data from the Atlas of Living Australia. The highest maximum count for each species was extracted (regardless of source) to calculate total waterbird abundance for each segment of the Ramsar site. The totals from each segment were then summed to provide an overall abundance for the Peel-Yalgorup Ramsar site for each year (</w:t>
      </w:r>
      <w:r w:rsidR="003B3E35">
        <w:fldChar w:fldCharType="begin"/>
      </w:r>
      <w:r w:rsidR="003B3E35">
        <w:instrText xml:space="preserve"> REF _Ref486502544 \h </w:instrText>
      </w:r>
      <w:r w:rsidR="003B3E35">
        <w:fldChar w:fldCharType="separate"/>
      </w:r>
      <w:r w:rsidR="00FD50A9">
        <w:t xml:space="preserve">Table B </w:t>
      </w:r>
      <w:r w:rsidR="00FD50A9">
        <w:rPr>
          <w:noProof/>
        </w:rPr>
        <w:t>11</w:t>
      </w:r>
      <w:r w:rsidR="003B3E35">
        <w:fldChar w:fldCharType="end"/>
      </w:r>
      <w:r w:rsidRPr="009B6364">
        <w:t>).</w:t>
      </w:r>
    </w:p>
    <w:p w14:paraId="4D23FB01" w14:textId="7C67FC9C" w:rsidR="001B1863" w:rsidRPr="009B6364" w:rsidRDefault="003B3E35" w:rsidP="003B3E35">
      <w:pPr>
        <w:pStyle w:val="Caption"/>
      </w:pPr>
      <w:bookmarkStart w:id="164" w:name="_Ref486502544"/>
      <w:r>
        <w:t xml:space="preserve">Table B </w:t>
      </w:r>
      <w:fldSimple w:instr=" SEQ Table_B \* ARABIC ">
        <w:r w:rsidR="00FD50A9">
          <w:rPr>
            <w:noProof/>
          </w:rPr>
          <w:t>11</w:t>
        </w:r>
      </w:fldSimple>
      <w:bookmarkEnd w:id="164"/>
      <w:r w:rsidR="00FD50A9">
        <w:rPr>
          <w:noProof/>
        </w:rPr>
        <w:t>:</w:t>
      </w:r>
      <w:r>
        <w:t xml:space="preserve"> </w:t>
      </w:r>
      <w:r w:rsidR="001B1863" w:rsidRPr="009B6364">
        <w:t>Waterbird abundance in the Peel Yalgorup Ramsar site 2012 - 2016 (data from BirdLife WA and Atlas of living australia).</w:t>
      </w:r>
    </w:p>
    <w:tbl>
      <w:tblPr>
        <w:tblStyle w:val="LightList-Accent2"/>
        <w:tblW w:w="9211" w:type="dxa"/>
        <w:tblLook w:val="04A0" w:firstRow="1" w:lastRow="0" w:firstColumn="1" w:lastColumn="0" w:noHBand="0" w:noVBand="1"/>
      </w:tblPr>
      <w:tblGrid>
        <w:gridCol w:w="1462"/>
        <w:gridCol w:w="1462"/>
        <w:gridCol w:w="1463"/>
        <w:gridCol w:w="2412"/>
        <w:gridCol w:w="2412"/>
      </w:tblGrid>
      <w:tr w:rsidR="001B1863" w:rsidRPr="005569E2" w14:paraId="469580D2" w14:textId="77777777" w:rsidTr="0055483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tcPr>
          <w:p w14:paraId="7861290E" w14:textId="77777777" w:rsidR="001B1863" w:rsidRPr="005569E2" w:rsidRDefault="001B1863" w:rsidP="00554832">
            <w:pPr>
              <w:jc w:val="center"/>
              <w:rPr>
                <w:rFonts w:asciiTheme="minorHAnsi" w:eastAsia="Times New Roman" w:hAnsiTheme="minorHAnsi" w:cs="Times New Roman"/>
                <w:sz w:val="18"/>
                <w:szCs w:val="18"/>
                <w:lang w:eastAsia="en-AU"/>
              </w:rPr>
            </w:pPr>
            <w:r w:rsidRPr="005569E2">
              <w:rPr>
                <w:rFonts w:asciiTheme="minorHAnsi" w:eastAsia="Times New Roman" w:hAnsiTheme="minorHAnsi" w:cs="Times New Roman"/>
                <w:sz w:val="18"/>
                <w:szCs w:val="18"/>
                <w:lang w:eastAsia="en-AU"/>
              </w:rPr>
              <w:t>Year</w:t>
            </w:r>
          </w:p>
        </w:tc>
        <w:tc>
          <w:tcPr>
            <w:tcW w:w="1462" w:type="dxa"/>
            <w:noWrap/>
            <w:hideMark/>
          </w:tcPr>
          <w:p w14:paraId="4270FA2B" w14:textId="77777777" w:rsidR="001B1863" w:rsidRPr="005569E2" w:rsidRDefault="001B1863" w:rsidP="005548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69E2">
              <w:rPr>
                <w:rFonts w:asciiTheme="minorHAnsi" w:eastAsia="Times New Roman" w:hAnsiTheme="minorHAnsi" w:cs="Times New Roman"/>
                <w:sz w:val="18"/>
                <w:szCs w:val="18"/>
                <w:lang w:eastAsia="en-AU"/>
              </w:rPr>
              <w:t>Peel-Harvey Estuary</w:t>
            </w:r>
          </w:p>
        </w:tc>
        <w:tc>
          <w:tcPr>
            <w:tcW w:w="1463" w:type="dxa"/>
            <w:noWrap/>
            <w:hideMark/>
          </w:tcPr>
          <w:p w14:paraId="033A15AC" w14:textId="77777777" w:rsidR="001B1863" w:rsidRPr="005569E2" w:rsidRDefault="001B1863" w:rsidP="005548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69E2">
              <w:rPr>
                <w:rFonts w:asciiTheme="minorHAnsi" w:eastAsia="Times New Roman" w:hAnsiTheme="minorHAnsi" w:cs="Times New Roman"/>
                <w:sz w:val="18"/>
                <w:szCs w:val="18"/>
                <w:lang w:eastAsia="en-AU"/>
              </w:rPr>
              <w:t>Yalgorup Lakes</w:t>
            </w:r>
          </w:p>
        </w:tc>
        <w:tc>
          <w:tcPr>
            <w:tcW w:w="2412" w:type="dxa"/>
            <w:hideMark/>
          </w:tcPr>
          <w:p w14:paraId="665E16FD" w14:textId="77777777" w:rsidR="001B1863" w:rsidRPr="005569E2" w:rsidRDefault="001B1863" w:rsidP="005548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69E2">
              <w:rPr>
                <w:rFonts w:asciiTheme="minorHAnsi" w:eastAsia="Times New Roman" w:hAnsiTheme="minorHAnsi" w:cs="Times New Roman"/>
                <w:sz w:val="18"/>
                <w:szCs w:val="18"/>
                <w:lang w:eastAsia="en-AU"/>
              </w:rPr>
              <w:t>Lakes McLarty and Mealup</w:t>
            </w:r>
          </w:p>
        </w:tc>
        <w:tc>
          <w:tcPr>
            <w:tcW w:w="2412" w:type="dxa"/>
            <w:hideMark/>
          </w:tcPr>
          <w:p w14:paraId="42A4C7E5" w14:textId="77777777" w:rsidR="001B1863" w:rsidRPr="005569E2" w:rsidRDefault="001B1863" w:rsidP="005548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69E2">
              <w:rPr>
                <w:rFonts w:asciiTheme="minorHAnsi" w:eastAsia="Times New Roman" w:hAnsiTheme="minorHAnsi" w:cs="Times New Roman"/>
                <w:sz w:val="18"/>
                <w:szCs w:val="18"/>
                <w:lang w:eastAsia="en-AU"/>
              </w:rPr>
              <w:t>Total for Peel-Yalgorup Ramsar site</w:t>
            </w:r>
          </w:p>
        </w:tc>
      </w:tr>
      <w:tr w:rsidR="001B1863" w:rsidRPr="009B6364" w14:paraId="71727578"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62" w:type="dxa"/>
          </w:tcPr>
          <w:p w14:paraId="707BCFF4" w14:textId="77777777" w:rsidR="001B1863" w:rsidRPr="005569E2" w:rsidRDefault="001B1863"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2012</w:t>
            </w:r>
          </w:p>
        </w:tc>
        <w:tc>
          <w:tcPr>
            <w:tcW w:w="1462" w:type="dxa"/>
          </w:tcPr>
          <w:p w14:paraId="58E5B169"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20395</w:t>
            </w:r>
          </w:p>
        </w:tc>
        <w:tc>
          <w:tcPr>
            <w:tcW w:w="1463" w:type="dxa"/>
          </w:tcPr>
          <w:p w14:paraId="7ED3E707"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20913</w:t>
            </w:r>
          </w:p>
        </w:tc>
        <w:tc>
          <w:tcPr>
            <w:tcW w:w="2412" w:type="dxa"/>
          </w:tcPr>
          <w:p w14:paraId="2252E83D"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281</w:t>
            </w:r>
          </w:p>
        </w:tc>
        <w:tc>
          <w:tcPr>
            <w:tcW w:w="2412" w:type="dxa"/>
          </w:tcPr>
          <w:p w14:paraId="61A426D4"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41589</w:t>
            </w:r>
          </w:p>
        </w:tc>
      </w:tr>
      <w:tr w:rsidR="001B1863" w:rsidRPr="009B6364" w14:paraId="1B2BC2C4" w14:textId="77777777" w:rsidTr="00425685">
        <w:trPr>
          <w:trHeight w:val="283"/>
        </w:trPr>
        <w:tc>
          <w:tcPr>
            <w:cnfStyle w:val="001000000000" w:firstRow="0" w:lastRow="0" w:firstColumn="1" w:lastColumn="0" w:oddVBand="0" w:evenVBand="0" w:oddHBand="0" w:evenHBand="0" w:firstRowFirstColumn="0" w:firstRowLastColumn="0" w:lastRowFirstColumn="0" w:lastRowLastColumn="0"/>
            <w:tcW w:w="1462" w:type="dxa"/>
          </w:tcPr>
          <w:p w14:paraId="4F11705B" w14:textId="77777777" w:rsidR="001B1863" w:rsidRPr="005569E2" w:rsidRDefault="001B1863"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2013</w:t>
            </w:r>
          </w:p>
        </w:tc>
        <w:tc>
          <w:tcPr>
            <w:tcW w:w="1462" w:type="dxa"/>
          </w:tcPr>
          <w:p w14:paraId="6B104552"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16958</w:t>
            </w:r>
          </w:p>
        </w:tc>
        <w:tc>
          <w:tcPr>
            <w:tcW w:w="1463" w:type="dxa"/>
          </w:tcPr>
          <w:p w14:paraId="6A405B10"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64811</w:t>
            </w:r>
          </w:p>
        </w:tc>
        <w:tc>
          <w:tcPr>
            <w:tcW w:w="2412" w:type="dxa"/>
          </w:tcPr>
          <w:p w14:paraId="41F273D1"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5924</w:t>
            </w:r>
          </w:p>
        </w:tc>
        <w:tc>
          <w:tcPr>
            <w:tcW w:w="2412" w:type="dxa"/>
          </w:tcPr>
          <w:p w14:paraId="0D51EE33"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87693</w:t>
            </w:r>
          </w:p>
        </w:tc>
      </w:tr>
      <w:tr w:rsidR="001B1863" w:rsidRPr="009B6364" w14:paraId="2223AF61"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62" w:type="dxa"/>
          </w:tcPr>
          <w:p w14:paraId="78DBA16E" w14:textId="77777777" w:rsidR="001B1863" w:rsidRPr="005569E2" w:rsidRDefault="001B1863"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2014</w:t>
            </w:r>
          </w:p>
        </w:tc>
        <w:tc>
          <w:tcPr>
            <w:tcW w:w="1462" w:type="dxa"/>
          </w:tcPr>
          <w:p w14:paraId="1CCCFD10"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20295</w:t>
            </w:r>
          </w:p>
        </w:tc>
        <w:tc>
          <w:tcPr>
            <w:tcW w:w="1463" w:type="dxa"/>
          </w:tcPr>
          <w:p w14:paraId="7F150B47"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18445</w:t>
            </w:r>
          </w:p>
        </w:tc>
        <w:tc>
          <w:tcPr>
            <w:tcW w:w="2412" w:type="dxa"/>
          </w:tcPr>
          <w:p w14:paraId="655E9309"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19698</w:t>
            </w:r>
          </w:p>
        </w:tc>
        <w:tc>
          <w:tcPr>
            <w:tcW w:w="2412" w:type="dxa"/>
          </w:tcPr>
          <w:p w14:paraId="783B9DDA"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58438</w:t>
            </w:r>
          </w:p>
        </w:tc>
      </w:tr>
      <w:tr w:rsidR="001B1863" w:rsidRPr="009B6364" w14:paraId="4E724752" w14:textId="77777777" w:rsidTr="00425685">
        <w:trPr>
          <w:trHeight w:val="283"/>
        </w:trPr>
        <w:tc>
          <w:tcPr>
            <w:cnfStyle w:val="001000000000" w:firstRow="0" w:lastRow="0" w:firstColumn="1" w:lastColumn="0" w:oddVBand="0" w:evenVBand="0" w:oddHBand="0" w:evenHBand="0" w:firstRowFirstColumn="0" w:firstRowLastColumn="0" w:lastRowFirstColumn="0" w:lastRowLastColumn="0"/>
            <w:tcW w:w="1462" w:type="dxa"/>
          </w:tcPr>
          <w:p w14:paraId="4E0BE764" w14:textId="77777777" w:rsidR="001B1863" w:rsidRPr="005569E2" w:rsidRDefault="001B1863"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2015</w:t>
            </w:r>
          </w:p>
        </w:tc>
        <w:tc>
          <w:tcPr>
            <w:tcW w:w="1462" w:type="dxa"/>
          </w:tcPr>
          <w:p w14:paraId="39B8C849"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30475</w:t>
            </w:r>
          </w:p>
        </w:tc>
        <w:tc>
          <w:tcPr>
            <w:tcW w:w="1463" w:type="dxa"/>
          </w:tcPr>
          <w:p w14:paraId="00E87403"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18166</w:t>
            </w:r>
          </w:p>
        </w:tc>
        <w:tc>
          <w:tcPr>
            <w:tcW w:w="2412" w:type="dxa"/>
          </w:tcPr>
          <w:p w14:paraId="70B7423F"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3182</w:t>
            </w:r>
          </w:p>
        </w:tc>
        <w:tc>
          <w:tcPr>
            <w:tcW w:w="2412" w:type="dxa"/>
          </w:tcPr>
          <w:p w14:paraId="41755CB4"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51823</w:t>
            </w:r>
          </w:p>
        </w:tc>
      </w:tr>
      <w:tr w:rsidR="001B1863" w:rsidRPr="009B6364" w14:paraId="72C335B0"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62" w:type="dxa"/>
          </w:tcPr>
          <w:p w14:paraId="1126FE24" w14:textId="77777777" w:rsidR="001B1863" w:rsidRPr="005569E2" w:rsidRDefault="001B1863" w:rsidP="00554832">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2016</w:t>
            </w:r>
          </w:p>
        </w:tc>
        <w:tc>
          <w:tcPr>
            <w:tcW w:w="1462" w:type="dxa"/>
          </w:tcPr>
          <w:p w14:paraId="1FF06D64"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15214</w:t>
            </w:r>
          </w:p>
        </w:tc>
        <w:tc>
          <w:tcPr>
            <w:tcW w:w="1463" w:type="dxa"/>
          </w:tcPr>
          <w:p w14:paraId="65A165A6"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12398</w:t>
            </w:r>
          </w:p>
        </w:tc>
        <w:tc>
          <w:tcPr>
            <w:tcW w:w="2412" w:type="dxa"/>
          </w:tcPr>
          <w:p w14:paraId="7BC586B7"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697</w:t>
            </w:r>
          </w:p>
        </w:tc>
        <w:tc>
          <w:tcPr>
            <w:tcW w:w="2412" w:type="dxa"/>
          </w:tcPr>
          <w:p w14:paraId="63CE0C85"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28309</w:t>
            </w:r>
          </w:p>
        </w:tc>
      </w:tr>
    </w:tbl>
    <w:p w14:paraId="45EF85F1" w14:textId="77777777" w:rsidR="001B1863" w:rsidRDefault="001B1863" w:rsidP="001B1863"/>
    <w:p w14:paraId="10F242B3" w14:textId="77777777" w:rsidR="001B1863" w:rsidRPr="009B6364" w:rsidRDefault="001B1863" w:rsidP="001B1863">
      <w:r>
        <w:t>Commercial crab catch data was used as the indicator for the provisioning services theme. This data was aggregated for the Peel-Harvey Estuary by Fisheries WA and is reported as median catch per unit effort (weight of crabs per trap).</w:t>
      </w:r>
    </w:p>
    <w:p w14:paraId="38F57FD4" w14:textId="5558D37B" w:rsidR="001B1863" w:rsidRPr="009B6364" w:rsidRDefault="003B3E35" w:rsidP="003B3E35">
      <w:pPr>
        <w:pStyle w:val="Caption"/>
      </w:pPr>
      <w:r>
        <w:t xml:space="preserve">Table B </w:t>
      </w:r>
      <w:fldSimple w:instr=" SEQ Table_B \* ARABIC ">
        <w:r w:rsidR="00FD50A9">
          <w:rPr>
            <w:noProof/>
          </w:rPr>
          <w:t>12</w:t>
        </w:r>
      </w:fldSimple>
      <w:r w:rsidR="00FD50A9">
        <w:rPr>
          <w:noProof/>
        </w:rPr>
        <w:t>:</w:t>
      </w:r>
      <w:r>
        <w:t xml:space="preserve"> </w:t>
      </w:r>
      <w:r w:rsidR="001B1863">
        <w:t>Catch per unit effort (CPUE) for blue swimmer crabs in the Peel</w:t>
      </w:r>
      <w:r w:rsidR="00DC6A1F">
        <w:t>-</w:t>
      </w:r>
      <w:r w:rsidR="001B1863">
        <w:t xml:space="preserve">Harvey Estuary (data from </w:t>
      </w:r>
      <w:r w:rsidR="001B1863" w:rsidRPr="009B6364">
        <w:t>Fletcher and Santoro 2015</w:t>
      </w:r>
      <w:r w:rsidR="001B1863">
        <w:t>)</w:t>
      </w:r>
      <w:r w:rsidR="001B1863" w:rsidRPr="009B6364">
        <w:t>.</w:t>
      </w:r>
    </w:p>
    <w:tbl>
      <w:tblPr>
        <w:tblStyle w:val="LightList-Accent2"/>
        <w:tblW w:w="4308" w:type="dxa"/>
        <w:tblLook w:val="04A0" w:firstRow="1" w:lastRow="0" w:firstColumn="1" w:lastColumn="0" w:noHBand="0" w:noVBand="1"/>
      </w:tblPr>
      <w:tblGrid>
        <w:gridCol w:w="1727"/>
        <w:gridCol w:w="2581"/>
      </w:tblGrid>
      <w:tr w:rsidR="00554832" w:rsidRPr="00554832" w14:paraId="1801B44C" w14:textId="77777777" w:rsidTr="00554832">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080" w:type="dxa"/>
            <w:hideMark/>
          </w:tcPr>
          <w:p w14:paraId="3D35C7B3" w14:textId="77777777" w:rsidR="001B1863" w:rsidRPr="00554832" w:rsidRDefault="001B1863" w:rsidP="00554832">
            <w:pPr>
              <w:jc w:val="center"/>
              <w:rPr>
                <w:rFonts w:asciiTheme="minorHAnsi" w:eastAsia="Times New Roman" w:hAnsiTheme="minorHAnsi" w:cs="Times New Roman"/>
                <w:sz w:val="18"/>
                <w:szCs w:val="18"/>
                <w:lang w:eastAsia="en-AU"/>
              </w:rPr>
            </w:pPr>
            <w:r w:rsidRPr="00554832">
              <w:rPr>
                <w:rFonts w:asciiTheme="minorHAnsi" w:eastAsia="Times New Roman" w:hAnsiTheme="minorHAnsi" w:cs="Times New Roman"/>
                <w:sz w:val="18"/>
                <w:szCs w:val="18"/>
                <w:lang w:eastAsia="en-AU"/>
              </w:rPr>
              <w:t>Year</w:t>
            </w:r>
          </w:p>
        </w:tc>
        <w:tc>
          <w:tcPr>
            <w:tcW w:w="1614" w:type="dxa"/>
            <w:hideMark/>
          </w:tcPr>
          <w:p w14:paraId="533AF624" w14:textId="77777777" w:rsidR="001B1863" w:rsidRPr="00554832" w:rsidRDefault="001B1863" w:rsidP="005548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en-AU"/>
              </w:rPr>
            </w:pPr>
            <w:r w:rsidRPr="00554832">
              <w:rPr>
                <w:rFonts w:asciiTheme="minorHAnsi" w:eastAsia="Times New Roman" w:hAnsiTheme="minorHAnsi" w:cs="Times New Roman"/>
                <w:sz w:val="18"/>
                <w:szCs w:val="18"/>
                <w:lang w:eastAsia="en-AU"/>
              </w:rPr>
              <w:t>CPUE (kg / trap)</w:t>
            </w:r>
          </w:p>
        </w:tc>
      </w:tr>
      <w:tr w:rsidR="001B1863" w:rsidRPr="009B6364" w14:paraId="6F7FA373"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0" w:type="dxa"/>
            <w:hideMark/>
          </w:tcPr>
          <w:p w14:paraId="146E8CB2" w14:textId="77777777" w:rsidR="001B1863" w:rsidRPr="00554832" w:rsidRDefault="001B1863" w:rsidP="00554832">
            <w:pPr>
              <w:jc w:val="center"/>
              <w:rPr>
                <w:rFonts w:asciiTheme="minorHAnsi" w:eastAsia="Times New Roman" w:hAnsiTheme="minorHAnsi" w:cs="Times New Roman"/>
                <w:b w:val="0"/>
                <w:color w:val="000000"/>
                <w:sz w:val="18"/>
                <w:szCs w:val="18"/>
                <w:lang w:eastAsia="en-AU"/>
              </w:rPr>
            </w:pPr>
            <w:r w:rsidRPr="00554832">
              <w:rPr>
                <w:rFonts w:asciiTheme="minorHAnsi" w:eastAsia="Times New Roman" w:hAnsiTheme="minorHAnsi" w:cs="Times New Roman"/>
                <w:b w:val="0"/>
                <w:color w:val="000000"/>
                <w:sz w:val="18"/>
                <w:szCs w:val="18"/>
                <w:lang w:eastAsia="en-AU"/>
              </w:rPr>
              <w:t>2010</w:t>
            </w:r>
          </w:p>
        </w:tc>
        <w:tc>
          <w:tcPr>
            <w:tcW w:w="1614" w:type="dxa"/>
            <w:hideMark/>
          </w:tcPr>
          <w:p w14:paraId="70184E45"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1.2</w:t>
            </w:r>
          </w:p>
        </w:tc>
      </w:tr>
      <w:tr w:rsidR="001B1863" w:rsidRPr="009B6364" w14:paraId="1EDE5B42" w14:textId="77777777" w:rsidTr="00425685">
        <w:trPr>
          <w:trHeight w:val="283"/>
        </w:trPr>
        <w:tc>
          <w:tcPr>
            <w:cnfStyle w:val="001000000000" w:firstRow="0" w:lastRow="0" w:firstColumn="1" w:lastColumn="0" w:oddVBand="0" w:evenVBand="0" w:oddHBand="0" w:evenHBand="0" w:firstRowFirstColumn="0" w:firstRowLastColumn="0" w:lastRowFirstColumn="0" w:lastRowLastColumn="0"/>
            <w:tcW w:w="1080" w:type="dxa"/>
            <w:hideMark/>
          </w:tcPr>
          <w:p w14:paraId="0EAE72AF" w14:textId="77777777" w:rsidR="001B1863" w:rsidRPr="00554832" w:rsidRDefault="001B1863" w:rsidP="00554832">
            <w:pPr>
              <w:jc w:val="center"/>
              <w:rPr>
                <w:rFonts w:asciiTheme="minorHAnsi" w:eastAsia="Times New Roman" w:hAnsiTheme="minorHAnsi" w:cs="Times New Roman"/>
                <w:b w:val="0"/>
                <w:color w:val="000000"/>
                <w:sz w:val="18"/>
                <w:szCs w:val="18"/>
                <w:lang w:eastAsia="en-AU"/>
              </w:rPr>
            </w:pPr>
            <w:r w:rsidRPr="00554832">
              <w:rPr>
                <w:rFonts w:asciiTheme="minorHAnsi" w:eastAsia="Times New Roman" w:hAnsiTheme="minorHAnsi" w:cs="Times New Roman"/>
                <w:b w:val="0"/>
                <w:color w:val="000000"/>
                <w:sz w:val="18"/>
                <w:szCs w:val="18"/>
                <w:lang w:eastAsia="en-AU"/>
              </w:rPr>
              <w:t>2011</w:t>
            </w:r>
          </w:p>
        </w:tc>
        <w:tc>
          <w:tcPr>
            <w:tcW w:w="1614" w:type="dxa"/>
            <w:hideMark/>
          </w:tcPr>
          <w:p w14:paraId="55725972"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1.3</w:t>
            </w:r>
          </w:p>
        </w:tc>
      </w:tr>
      <w:tr w:rsidR="001B1863" w:rsidRPr="009B6364" w14:paraId="57EE871E"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0" w:type="dxa"/>
            <w:hideMark/>
          </w:tcPr>
          <w:p w14:paraId="535FBB95" w14:textId="77777777" w:rsidR="001B1863" w:rsidRPr="00554832" w:rsidRDefault="001B1863" w:rsidP="00554832">
            <w:pPr>
              <w:jc w:val="center"/>
              <w:rPr>
                <w:rFonts w:asciiTheme="minorHAnsi" w:eastAsia="Times New Roman" w:hAnsiTheme="minorHAnsi" w:cs="Times New Roman"/>
                <w:b w:val="0"/>
                <w:color w:val="000000"/>
                <w:sz w:val="18"/>
                <w:szCs w:val="18"/>
                <w:lang w:eastAsia="en-AU"/>
              </w:rPr>
            </w:pPr>
            <w:r w:rsidRPr="00554832">
              <w:rPr>
                <w:rFonts w:asciiTheme="minorHAnsi" w:eastAsia="Times New Roman" w:hAnsiTheme="minorHAnsi" w:cs="Times New Roman"/>
                <w:b w:val="0"/>
                <w:color w:val="000000"/>
                <w:sz w:val="18"/>
                <w:szCs w:val="18"/>
                <w:lang w:eastAsia="en-AU"/>
              </w:rPr>
              <w:t>2012</w:t>
            </w:r>
          </w:p>
        </w:tc>
        <w:tc>
          <w:tcPr>
            <w:tcW w:w="1614" w:type="dxa"/>
            <w:hideMark/>
          </w:tcPr>
          <w:p w14:paraId="1AAC1D58"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1.4</w:t>
            </w:r>
          </w:p>
        </w:tc>
      </w:tr>
      <w:tr w:rsidR="001B1863" w:rsidRPr="009B6364" w14:paraId="22A3F217" w14:textId="77777777" w:rsidTr="00425685">
        <w:trPr>
          <w:trHeight w:val="283"/>
        </w:trPr>
        <w:tc>
          <w:tcPr>
            <w:cnfStyle w:val="001000000000" w:firstRow="0" w:lastRow="0" w:firstColumn="1" w:lastColumn="0" w:oddVBand="0" w:evenVBand="0" w:oddHBand="0" w:evenHBand="0" w:firstRowFirstColumn="0" w:firstRowLastColumn="0" w:lastRowFirstColumn="0" w:lastRowLastColumn="0"/>
            <w:tcW w:w="1080" w:type="dxa"/>
            <w:hideMark/>
          </w:tcPr>
          <w:p w14:paraId="74C2750B" w14:textId="77777777" w:rsidR="001B1863" w:rsidRPr="00554832" w:rsidRDefault="001B1863" w:rsidP="00554832">
            <w:pPr>
              <w:jc w:val="center"/>
              <w:rPr>
                <w:rFonts w:asciiTheme="minorHAnsi" w:eastAsia="Times New Roman" w:hAnsiTheme="minorHAnsi" w:cs="Times New Roman"/>
                <w:b w:val="0"/>
                <w:color w:val="000000"/>
                <w:sz w:val="18"/>
                <w:szCs w:val="18"/>
                <w:lang w:eastAsia="en-AU"/>
              </w:rPr>
            </w:pPr>
            <w:r w:rsidRPr="00554832">
              <w:rPr>
                <w:rFonts w:asciiTheme="minorHAnsi" w:eastAsia="Times New Roman" w:hAnsiTheme="minorHAnsi" w:cs="Times New Roman"/>
                <w:b w:val="0"/>
                <w:color w:val="000000"/>
                <w:sz w:val="18"/>
                <w:szCs w:val="18"/>
                <w:lang w:eastAsia="en-AU"/>
              </w:rPr>
              <w:t>2013</w:t>
            </w:r>
          </w:p>
        </w:tc>
        <w:tc>
          <w:tcPr>
            <w:tcW w:w="1614" w:type="dxa"/>
            <w:hideMark/>
          </w:tcPr>
          <w:p w14:paraId="63111D75"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1.4</w:t>
            </w:r>
          </w:p>
        </w:tc>
      </w:tr>
      <w:tr w:rsidR="001B1863" w:rsidRPr="009B6364" w14:paraId="5599C691" w14:textId="77777777" w:rsidTr="004256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0" w:type="dxa"/>
            <w:hideMark/>
          </w:tcPr>
          <w:p w14:paraId="068B1501" w14:textId="77777777" w:rsidR="001B1863" w:rsidRPr="00554832" w:rsidRDefault="001B1863" w:rsidP="00554832">
            <w:pPr>
              <w:jc w:val="center"/>
              <w:rPr>
                <w:rFonts w:asciiTheme="minorHAnsi" w:eastAsia="Times New Roman" w:hAnsiTheme="minorHAnsi" w:cs="Times New Roman"/>
                <w:b w:val="0"/>
                <w:color w:val="000000"/>
                <w:sz w:val="18"/>
                <w:szCs w:val="18"/>
                <w:lang w:eastAsia="en-AU"/>
              </w:rPr>
            </w:pPr>
            <w:r w:rsidRPr="00554832">
              <w:rPr>
                <w:rFonts w:asciiTheme="minorHAnsi" w:eastAsia="Times New Roman" w:hAnsiTheme="minorHAnsi" w:cs="Times New Roman"/>
                <w:b w:val="0"/>
                <w:color w:val="000000"/>
                <w:sz w:val="18"/>
                <w:szCs w:val="18"/>
                <w:lang w:eastAsia="en-AU"/>
              </w:rPr>
              <w:t>2014</w:t>
            </w:r>
          </w:p>
        </w:tc>
        <w:tc>
          <w:tcPr>
            <w:tcW w:w="1614" w:type="dxa"/>
            <w:hideMark/>
          </w:tcPr>
          <w:p w14:paraId="20B18721"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1.3</w:t>
            </w:r>
          </w:p>
        </w:tc>
      </w:tr>
      <w:tr w:rsidR="001B1863" w:rsidRPr="009B6364" w14:paraId="671011BD" w14:textId="77777777" w:rsidTr="00425685">
        <w:trPr>
          <w:trHeight w:val="283"/>
        </w:trPr>
        <w:tc>
          <w:tcPr>
            <w:cnfStyle w:val="001000000000" w:firstRow="0" w:lastRow="0" w:firstColumn="1" w:lastColumn="0" w:oddVBand="0" w:evenVBand="0" w:oddHBand="0" w:evenHBand="0" w:firstRowFirstColumn="0" w:firstRowLastColumn="0" w:lastRowFirstColumn="0" w:lastRowLastColumn="0"/>
            <w:tcW w:w="1080" w:type="dxa"/>
            <w:hideMark/>
          </w:tcPr>
          <w:p w14:paraId="076390C1" w14:textId="77777777" w:rsidR="001B1863" w:rsidRPr="00554832" w:rsidRDefault="001B1863" w:rsidP="00554832">
            <w:pPr>
              <w:jc w:val="center"/>
              <w:rPr>
                <w:rFonts w:asciiTheme="minorHAnsi" w:eastAsia="Times New Roman" w:hAnsiTheme="minorHAnsi" w:cs="Times New Roman"/>
                <w:b w:val="0"/>
                <w:color w:val="000000"/>
                <w:sz w:val="18"/>
                <w:szCs w:val="18"/>
                <w:lang w:eastAsia="en-AU"/>
              </w:rPr>
            </w:pPr>
            <w:r w:rsidRPr="00554832">
              <w:rPr>
                <w:rFonts w:asciiTheme="minorHAnsi" w:eastAsia="Times New Roman" w:hAnsiTheme="minorHAnsi" w:cs="Times New Roman"/>
                <w:b w:val="0"/>
                <w:color w:val="000000"/>
                <w:sz w:val="18"/>
                <w:szCs w:val="18"/>
                <w:lang w:eastAsia="en-AU"/>
              </w:rPr>
              <w:t>2015</w:t>
            </w:r>
          </w:p>
        </w:tc>
        <w:tc>
          <w:tcPr>
            <w:tcW w:w="1614" w:type="dxa"/>
            <w:hideMark/>
          </w:tcPr>
          <w:p w14:paraId="11B4FB0E"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1.4</w:t>
            </w:r>
          </w:p>
        </w:tc>
      </w:tr>
    </w:tbl>
    <w:p w14:paraId="6E856EB4" w14:textId="77777777" w:rsidR="001B1863" w:rsidRDefault="001B1863" w:rsidP="001B1863"/>
    <w:p w14:paraId="0FF4D093" w14:textId="77777777" w:rsidR="001B1863" w:rsidRPr="004E7EB5" w:rsidRDefault="001B1863" w:rsidP="001B1863">
      <w:pPr>
        <w:rPr>
          <w:b/>
          <w:i/>
          <w:color w:val="8C863E" w:themeColor="background2" w:themeShade="80"/>
          <w:sz w:val="24"/>
          <w:szCs w:val="24"/>
        </w:rPr>
      </w:pPr>
      <w:r w:rsidRPr="004E7EB5">
        <w:rPr>
          <w:b/>
          <w:i/>
          <w:color w:val="8C863E" w:themeColor="background2" w:themeShade="80"/>
          <w:sz w:val="24"/>
          <w:szCs w:val="24"/>
        </w:rPr>
        <w:t>Assumptions and Knowledge gaps</w:t>
      </w:r>
    </w:p>
    <w:p w14:paraId="3DF26182" w14:textId="77777777" w:rsidR="001B1863" w:rsidRDefault="001B1863" w:rsidP="001B1863">
      <w:r>
        <w:t>There are a large number of assumptions associated with the analysis and aggregation of data for the three example themes:</w:t>
      </w:r>
    </w:p>
    <w:p w14:paraId="1693845B" w14:textId="77777777" w:rsidR="001B1863" w:rsidRDefault="001B1863" w:rsidP="00F4328F">
      <w:pPr>
        <w:pStyle w:val="ListParagraph"/>
        <w:numPr>
          <w:ilvl w:val="0"/>
          <w:numId w:val="71"/>
        </w:numPr>
      </w:pPr>
      <w:r>
        <w:t xml:space="preserve">The water quality data was analysed with the assumption that </w:t>
      </w:r>
      <w:r w:rsidRPr="008E63F7">
        <w:t xml:space="preserve">the </w:t>
      </w:r>
      <w:r>
        <w:t>four</w:t>
      </w:r>
      <w:r w:rsidRPr="008E63F7">
        <w:t xml:space="preserve"> </w:t>
      </w:r>
      <w:r>
        <w:t>sites</w:t>
      </w:r>
      <w:r w:rsidRPr="008E63F7">
        <w:t xml:space="preserve"> in Peel-Harvey were randomly located and </w:t>
      </w:r>
      <w:r>
        <w:t>representative of the waterbody as a whole.</w:t>
      </w:r>
    </w:p>
    <w:p w14:paraId="34495F84" w14:textId="7B02F789" w:rsidR="001B1863" w:rsidRDefault="001B1863" w:rsidP="00F4328F">
      <w:pPr>
        <w:pStyle w:val="ListParagraph"/>
        <w:numPr>
          <w:ilvl w:val="0"/>
          <w:numId w:val="71"/>
        </w:numPr>
      </w:pPr>
      <w:r>
        <w:t>The waterbird data has an assumption that it represents the annual maximum count for the site, which is unlikely to be true as the timing of the survey is selected to be best at a national scale, when an earlier count would better reflect maximum numbers at this location. Although all waterbirds are counted in the survey, the monitoring program is focused on shorebirds and other species may not be well represented by either the location or the timing of surveys.</w:t>
      </w:r>
      <w:r w:rsidR="0082666C">
        <w:t xml:space="preserve"> As such there is a low level of confidence the data. In a full application of the IECA this would have been identified as an issue and additional data collected to assess waterbird abundances at appropriate temporal scales.</w:t>
      </w:r>
    </w:p>
    <w:p w14:paraId="7DE2173A" w14:textId="1E709138" w:rsidR="001B1863" w:rsidRDefault="001B1863" w:rsidP="00F4328F">
      <w:pPr>
        <w:pStyle w:val="ListParagraph"/>
        <w:numPr>
          <w:ilvl w:val="0"/>
          <w:numId w:val="71"/>
        </w:numPr>
      </w:pPr>
      <w:r>
        <w:lastRenderedPageBreak/>
        <w:t xml:space="preserve">The assumption for the commercial crab indicator is that </w:t>
      </w:r>
      <w:r w:rsidRPr="008E63F7">
        <w:t xml:space="preserve">the data is a census and that the numbers given are relevant to and representative of </w:t>
      </w:r>
      <w:r>
        <w:t>the Peel-</w:t>
      </w:r>
      <w:r w:rsidRPr="008E63F7">
        <w:t xml:space="preserve">Harvey </w:t>
      </w:r>
      <w:r>
        <w:t>E</w:t>
      </w:r>
      <w:r w:rsidRPr="008E63F7">
        <w:t>stuary</w:t>
      </w:r>
      <w:r>
        <w:t>.</w:t>
      </w:r>
      <w:r w:rsidR="0082666C">
        <w:t xml:space="preserve"> Again in a full application this is probably a value for which additional data would be collected, one that considers population character structure (i.e. age class distributions). </w:t>
      </w:r>
    </w:p>
    <w:p w14:paraId="65A208D3" w14:textId="048D7371" w:rsidR="001B1863" w:rsidRDefault="001B1863" w:rsidP="001B1863">
      <w:pPr>
        <w:pStyle w:val="Heading2"/>
        <w:numPr>
          <w:ilvl w:val="0"/>
          <w:numId w:val="0"/>
        </w:numPr>
      </w:pPr>
      <w:bookmarkStart w:id="165" w:name="_Toc493774253"/>
      <w:bookmarkStart w:id="166" w:name="_Toc479582054"/>
      <w:r w:rsidRPr="004E7EB5">
        <w:t>Step 7: Harmonis</w:t>
      </w:r>
      <w:r>
        <w:t>e</w:t>
      </w:r>
      <w:r w:rsidR="00A1493F">
        <w:t xml:space="preserve"> and </w:t>
      </w:r>
      <w:r>
        <w:t>Integrate</w:t>
      </w:r>
      <w:bookmarkEnd w:id="165"/>
      <w:r>
        <w:t xml:space="preserve"> </w:t>
      </w:r>
      <w:bookmarkEnd w:id="166"/>
    </w:p>
    <w:p w14:paraId="14397121" w14:textId="1EC72E56" w:rsidR="001B1863" w:rsidRDefault="001B1863" w:rsidP="001B1863">
      <w:r>
        <w:t>Data from the three themes illustrate</w:t>
      </w:r>
      <w:r w:rsidR="00875979">
        <w:t>d</w:t>
      </w:r>
      <w:r>
        <w:t xml:space="preserve"> in Step 6 have been integrated to provide IECA scores by comparing the aggregated data with the Limits of Acceptable Change, and for waterbird abundance, a comparison with the Ramsar listing criteria of regularly supporting &gt; 20,000 waterbirds across the entire site.</w:t>
      </w:r>
    </w:p>
    <w:p w14:paraId="7AB5B6BB" w14:textId="5F62E5E8" w:rsidR="001B1863" w:rsidRDefault="001B1863" w:rsidP="001B1863">
      <w:r>
        <w:t xml:space="preserve">For </w:t>
      </w:r>
      <w:r w:rsidR="00EE0583">
        <w:t>water quality</w:t>
      </w:r>
      <w:r>
        <w:t xml:space="preserve">, the proportion of samples that were within </w:t>
      </w:r>
      <w:r w:rsidR="00A266BE">
        <w:t>LAC</w:t>
      </w:r>
      <w:r>
        <w:t xml:space="preserve"> were averaged across the three </w:t>
      </w:r>
      <w:r w:rsidR="00A266BE">
        <w:t xml:space="preserve">threat </w:t>
      </w:r>
      <w:r>
        <w:t xml:space="preserve">indicators, the four sites and the five sample years to derive an </w:t>
      </w:r>
      <w:r w:rsidR="00A266BE">
        <w:t>Level 1 Integration IECA</w:t>
      </w:r>
      <w:r>
        <w:t xml:space="preserve"> score for </w:t>
      </w:r>
      <w:r w:rsidR="00EE0583">
        <w:t>Water quality</w:t>
      </w:r>
      <w:r>
        <w:t xml:space="preserve"> of 0.69 (</w:t>
      </w:r>
      <w:r w:rsidR="008D2F4F">
        <w:fldChar w:fldCharType="begin"/>
      </w:r>
      <w:r w:rsidR="008D2F4F">
        <w:instrText xml:space="preserve"> REF _Ref486501287 \h </w:instrText>
      </w:r>
      <w:r w:rsidR="008D2F4F">
        <w:fldChar w:fldCharType="separate"/>
      </w:r>
      <w:r w:rsidR="00FD50A9">
        <w:t xml:space="preserve">Table B </w:t>
      </w:r>
      <w:r w:rsidR="00FD50A9">
        <w:rPr>
          <w:noProof/>
        </w:rPr>
        <w:t>13</w:t>
      </w:r>
      <w:r w:rsidR="008D2F4F">
        <w:fldChar w:fldCharType="end"/>
      </w:r>
      <w:r>
        <w:t>).</w:t>
      </w:r>
    </w:p>
    <w:p w14:paraId="28302988" w14:textId="2095781E" w:rsidR="001B1863" w:rsidRDefault="008D2F4F" w:rsidP="008D2F4F">
      <w:pPr>
        <w:pStyle w:val="Caption"/>
      </w:pPr>
      <w:bookmarkStart w:id="167" w:name="_Ref486501287"/>
      <w:r>
        <w:t xml:space="preserve">Table B </w:t>
      </w:r>
      <w:fldSimple w:instr=" SEQ Table_B \* ARABIC ">
        <w:r w:rsidR="00FD50A9">
          <w:rPr>
            <w:noProof/>
          </w:rPr>
          <w:t>13</w:t>
        </w:r>
      </w:fldSimple>
      <w:bookmarkEnd w:id="167"/>
      <w:r w:rsidR="00FD50A9">
        <w:rPr>
          <w:noProof/>
        </w:rPr>
        <w:t>:</w:t>
      </w:r>
      <w:r>
        <w:t xml:space="preserve"> </w:t>
      </w:r>
      <w:r w:rsidR="00EE0583">
        <w:t>Water quality</w:t>
      </w:r>
      <w:r w:rsidR="001B1863" w:rsidRPr="00E94485">
        <w:t xml:space="preserve"> </w:t>
      </w:r>
      <w:r w:rsidR="00425685">
        <w:t>Threat</w:t>
      </w:r>
      <w:r w:rsidR="00AF1266">
        <w:t xml:space="preserve"> </w:t>
      </w:r>
      <w:r w:rsidR="001B1863">
        <w:t xml:space="preserve">Score dervied </w:t>
      </w:r>
      <w:r w:rsidR="00AF1266">
        <w:t>for pH</w:t>
      </w:r>
      <w:r w:rsidR="00A266BE">
        <w:t>, Dissolved oxygen and total phosphorus</w:t>
      </w:r>
      <w:r w:rsidR="001B1863">
        <w:t xml:space="preserve"> across four sites and five years</w:t>
      </w:r>
      <w:r w:rsidR="001B1863" w:rsidRPr="00E94485">
        <w:t>.</w:t>
      </w:r>
      <w:r w:rsidR="00AF1266">
        <w:t xml:space="preserve"> In a full application other water quality data may be included. </w:t>
      </w:r>
    </w:p>
    <w:tbl>
      <w:tblPr>
        <w:tblStyle w:val="LightList-Accent2"/>
        <w:tblW w:w="9039" w:type="dxa"/>
        <w:tblLayout w:type="fixed"/>
        <w:tblLook w:val="04A0" w:firstRow="1" w:lastRow="0" w:firstColumn="1" w:lastColumn="0" w:noHBand="0" w:noVBand="1"/>
      </w:tblPr>
      <w:tblGrid>
        <w:gridCol w:w="1462"/>
        <w:gridCol w:w="1056"/>
        <w:gridCol w:w="1276"/>
        <w:gridCol w:w="1559"/>
        <w:gridCol w:w="1559"/>
        <w:gridCol w:w="2127"/>
      </w:tblGrid>
      <w:tr w:rsidR="00425685" w:rsidRPr="00554832" w14:paraId="6D649D54" w14:textId="77777777" w:rsidTr="00F928A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noWrap/>
            <w:hideMark/>
          </w:tcPr>
          <w:p w14:paraId="75D7F611" w14:textId="77777777" w:rsidR="00425685" w:rsidRPr="005569E2" w:rsidRDefault="00425685" w:rsidP="00F928A8">
            <w:pPr>
              <w:jc w:val="center"/>
              <w:rPr>
                <w:rFonts w:asciiTheme="minorHAnsi" w:eastAsia="Times New Roman" w:hAnsiTheme="minorHAnsi" w:cs="Times New Roman"/>
                <w:b w:val="0"/>
                <w:bCs w:val="0"/>
                <w:sz w:val="18"/>
                <w:szCs w:val="18"/>
                <w:lang w:eastAsia="en-AU"/>
              </w:rPr>
            </w:pPr>
            <w:r w:rsidRPr="005569E2">
              <w:rPr>
                <w:rFonts w:asciiTheme="minorHAnsi" w:eastAsia="Times New Roman" w:hAnsiTheme="minorHAnsi" w:cs="Times New Roman"/>
                <w:sz w:val="18"/>
                <w:szCs w:val="18"/>
                <w:lang w:eastAsia="en-AU"/>
              </w:rPr>
              <w:t>Site</w:t>
            </w:r>
          </w:p>
        </w:tc>
        <w:tc>
          <w:tcPr>
            <w:tcW w:w="1056" w:type="dxa"/>
            <w:noWrap/>
            <w:hideMark/>
          </w:tcPr>
          <w:p w14:paraId="7907E67B" w14:textId="77777777" w:rsidR="00425685" w:rsidRPr="00554832" w:rsidRDefault="00425685" w:rsidP="00F928A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4832">
              <w:rPr>
                <w:rFonts w:asciiTheme="minorHAnsi" w:eastAsia="Times New Roman" w:hAnsiTheme="minorHAnsi" w:cs="Times New Roman"/>
                <w:sz w:val="18"/>
                <w:szCs w:val="18"/>
                <w:lang w:eastAsia="en-AU"/>
              </w:rPr>
              <w:t>Year</w:t>
            </w:r>
          </w:p>
        </w:tc>
        <w:tc>
          <w:tcPr>
            <w:tcW w:w="1276" w:type="dxa"/>
            <w:hideMark/>
          </w:tcPr>
          <w:p w14:paraId="3F21EF19" w14:textId="77777777" w:rsidR="00425685" w:rsidRPr="00554832" w:rsidRDefault="00425685" w:rsidP="00F928A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4832">
              <w:rPr>
                <w:rFonts w:asciiTheme="minorHAnsi" w:eastAsia="Times New Roman" w:hAnsiTheme="minorHAnsi" w:cs="Times New Roman"/>
                <w:sz w:val="18"/>
                <w:szCs w:val="18"/>
                <w:lang w:eastAsia="en-AU"/>
              </w:rPr>
              <w:t>pH</w:t>
            </w:r>
          </w:p>
        </w:tc>
        <w:tc>
          <w:tcPr>
            <w:tcW w:w="1559" w:type="dxa"/>
            <w:hideMark/>
          </w:tcPr>
          <w:p w14:paraId="13DE7A03" w14:textId="77777777" w:rsidR="00425685" w:rsidRPr="00554832" w:rsidRDefault="00425685" w:rsidP="00F928A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4832">
              <w:rPr>
                <w:rFonts w:asciiTheme="minorHAnsi" w:eastAsia="Times New Roman" w:hAnsiTheme="minorHAnsi" w:cs="Times New Roman"/>
                <w:sz w:val="18"/>
                <w:szCs w:val="18"/>
                <w:lang w:eastAsia="en-AU"/>
              </w:rPr>
              <w:t>Dissolved oxygen</w:t>
            </w:r>
          </w:p>
        </w:tc>
        <w:tc>
          <w:tcPr>
            <w:tcW w:w="1559" w:type="dxa"/>
            <w:hideMark/>
          </w:tcPr>
          <w:p w14:paraId="58FB7617" w14:textId="77777777" w:rsidR="00425685" w:rsidRPr="00554832" w:rsidRDefault="00425685" w:rsidP="00F928A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4832">
              <w:rPr>
                <w:rFonts w:asciiTheme="minorHAnsi" w:eastAsia="Times New Roman" w:hAnsiTheme="minorHAnsi" w:cs="Times New Roman"/>
                <w:sz w:val="18"/>
                <w:szCs w:val="18"/>
                <w:lang w:eastAsia="en-AU"/>
              </w:rPr>
              <w:t>Total phosphorus</w:t>
            </w:r>
          </w:p>
        </w:tc>
        <w:tc>
          <w:tcPr>
            <w:tcW w:w="2127" w:type="dxa"/>
          </w:tcPr>
          <w:p w14:paraId="098B5A1A" w14:textId="77777777" w:rsidR="00425685" w:rsidRDefault="00425685" w:rsidP="00F928A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en-AU"/>
              </w:rPr>
            </w:pPr>
            <w:r>
              <w:rPr>
                <w:rFonts w:asciiTheme="minorHAnsi" w:eastAsia="Times New Roman" w:hAnsiTheme="minorHAnsi" w:cs="Times New Roman"/>
                <w:sz w:val="18"/>
                <w:szCs w:val="18"/>
                <w:lang w:eastAsia="en-AU"/>
              </w:rPr>
              <w:t xml:space="preserve">Water quality </w:t>
            </w:r>
          </w:p>
          <w:p w14:paraId="41EE489E" w14:textId="420C49F2" w:rsidR="00425685" w:rsidRPr="00554832" w:rsidRDefault="00425685" w:rsidP="00F928A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en-AU"/>
              </w:rPr>
            </w:pPr>
            <w:r>
              <w:rPr>
                <w:rFonts w:asciiTheme="minorHAnsi" w:eastAsia="Times New Roman" w:hAnsiTheme="minorHAnsi" w:cs="Times New Roman"/>
                <w:sz w:val="18"/>
                <w:szCs w:val="18"/>
                <w:lang w:eastAsia="en-AU"/>
              </w:rPr>
              <w:t>Integration Level 1</w:t>
            </w:r>
          </w:p>
        </w:tc>
      </w:tr>
      <w:tr w:rsidR="00425685" w:rsidRPr="009B6364" w14:paraId="052087FE" w14:textId="77777777" w:rsidTr="00F928A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08905F10"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PHE01</w:t>
            </w:r>
          </w:p>
        </w:tc>
        <w:tc>
          <w:tcPr>
            <w:tcW w:w="1056" w:type="dxa"/>
            <w:hideMark/>
          </w:tcPr>
          <w:p w14:paraId="259B982C"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2012</w:t>
            </w:r>
          </w:p>
        </w:tc>
        <w:tc>
          <w:tcPr>
            <w:tcW w:w="1276" w:type="dxa"/>
            <w:hideMark/>
          </w:tcPr>
          <w:p w14:paraId="5D2992A9"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0.85</w:t>
            </w:r>
          </w:p>
        </w:tc>
        <w:tc>
          <w:tcPr>
            <w:tcW w:w="1559" w:type="dxa"/>
            <w:hideMark/>
          </w:tcPr>
          <w:p w14:paraId="1EEC4150"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0.23</w:t>
            </w:r>
          </w:p>
        </w:tc>
        <w:tc>
          <w:tcPr>
            <w:tcW w:w="1559" w:type="dxa"/>
            <w:hideMark/>
          </w:tcPr>
          <w:p w14:paraId="6892691C"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53D74936" w14:textId="77777777" w:rsidR="00425685" w:rsidRPr="00E94485"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0.69</w:t>
            </w:r>
          </w:p>
        </w:tc>
      </w:tr>
      <w:tr w:rsidR="00425685" w:rsidRPr="009B6364" w14:paraId="4C4559C5" w14:textId="77777777" w:rsidTr="00F928A8">
        <w:trPr>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4C0DD9EA"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PHE04</w:t>
            </w:r>
          </w:p>
        </w:tc>
        <w:tc>
          <w:tcPr>
            <w:tcW w:w="1056" w:type="dxa"/>
            <w:hideMark/>
          </w:tcPr>
          <w:p w14:paraId="4A6DBA27"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2012</w:t>
            </w:r>
          </w:p>
        </w:tc>
        <w:tc>
          <w:tcPr>
            <w:tcW w:w="1276" w:type="dxa"/>
            <w:hideMark/>
          </w:tcPr>
          <w:p w14:paraId="6E8B4355"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0.85</w:t>
            </w:r>
          </w:p>
        </w:tc>
        <w:tc>
          <w:tcPr>
            <w:tcW w:w="1559" w:type="dxa"/>
            <w:hideMark/>
          </w:tcPr>
          <w:p w14:paraId="6FA2F38F"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59" w:type="dxa"/>
            <w:hideMark/>
          </w:tcPr>
          <w:p w14:paraId="5966B380"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54012DC2" w14:textId="77777777" w:rsidR="00425685" w:rsidRPr="00E94485"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0.62</w:t>
            </w:r>
          </w:p>
        </w:tc>
      </w:tr>
      <w:tr w:rsidR="00425685" w:rsidRPr="009B6364" w14:paraId="293A440F" w14:textId="77777777" w:rsidTr="00F928A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1B91C2CB"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PHE07</w:t>
            </w:r>
          </w:p>
        </w:tc>
        <w:tc>
          <w:tcPr>
            <w:tcW w:w="1056" w:type="dxa"/>
            <w:hideMark/>
          </w:tcPr>
          <w:p w14:paraId="41EAB29F"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2012</w:t>
            </w:r>
          </w:p>
        </w:tc>
        <w:tc>
          <w:tcPr>
            <w:tcW w:w="1276" w:type="dxa"/>
            <w:hideMark/>
          </w:tcPr>
          <w:p w14:paraId="63D36589"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0.85</w:t>
            </w:r>
          </w:p>
        </w:tc>
        <w:tc>
          <w:tcPr>
            <w:tcW w:w="1559" w:type="dxa"/>
            <w:hideMark/>
          </w:tcPr>
          <w:p w14:paraId="3FEB2890"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59" w:type="dxa"/>
            <w:hideMark/>
          </w:tcPr>
          <w:p w14:paraId="3B7FF674"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371E8753" w14:textId="77777777" w:rsidR="00425685" w:rsidRPr="00E94485"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0.62</w:t>
            </w:r>
          </w:p>
        </w:tc>
      </w:tr>
      <w:tr w:rsidR="00425685" w:rsidRPr="009B6364" w14:paraId="251CDF9F" w14:textId="77777777" w:rsidTr="00F928A8">
        <w:trPr>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3B51C32C"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PHE31</w:t>
            </w:r>
          </w:p>
        </w:tc>
        <w:tc>
          <w:tcPr>
            <w:tcW w:w="1056" w:type="dxa"/>
            <w:hideMark/>
          </w:tcPr>
          <w:p w14:paraId="4AB95303"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2012</w:t>
            </w:r>
          </w:p>
        </w:tc>
        <w:tc>
          <w:tcPr>
            <w:tcW w:w="1276" w:type="dxa"/>
            <w:hideMark/>
          </w:tcPr>
          <w:p w14:paraId="42B286BC"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0.85</w:t>
            </w:r>
          </w:p>
        </w:tc>
        <w:tc>
          <w:tcPr>
            <w:tcW w:w="1559" w:type="dxa"/>
            <w:hideMark/>
          </w:tcPr>
          <w:p w14:paraId="55E7C2AC"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0.38</w:t>
            </w:r>
          </w:p>
        </w:tc>
        <w:tc>
          <w:tcPr>
            <w:tcW w:w="1559" w:type="dxa"/>
            <w:hideMark/>
          </w:tcPr>
          <w:p w14:paraId="37241B4C"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7F381224" w14:textId="77777777" w:rsidR="00425685" w:rsidRPr="00E94485"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0.74</w:t>
            </w:r>
          </w:p>
        </w:tc>
      </w:tr>
      <w:tr w:rsidR="00425685" w:rsidRPr="009B6364" w14:paraId="375DB941" w14:textId="77777777" w:rsidTr="00F928A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5FBBA9DB"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PHE01</w:t>
            </w:r>
          </w:p>
        </w:tc>
        <w:tc>
          <w:tcPr>
            <w:tcW w:w="1056" w:type="dxa"/>
            <w:hideMark/>
          </w:tcPr>
          <w:p w14:paraId="3D702142"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2013</w:t>
            </w:r>
          </w:p>
        </w:tc>
        <w:tc>
          <w:tcPr>
            <w:tcW w:w="1276" w:type="dxa"/>
            <w:hideMark/>
          </w:tcPr>
          <w:p w14:paraId="11B8ADA2"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0.92</w:t>
            </w:r>
          </w:p>
        </w:tc>
        <w:tc>
          <w:tcPr>
            <w:tcW w:w="1559" w:type="dxa"/>
            <w:hideMark/>
          </w:tcPr>
          <w:p w14:paraId="74E9CC5B"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0.15</w:t>
            </w:r>
          </w:p>
        </w:tc>
        <w:tc>
          <w:tcPr>
            <w:tcW w:w="1559" w:type="dxa"/>
            <w:hideMark/>
          </w:tcPr>
          <w:p w14:paraId="4851BB37"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02880613" w14:textId="77777777" w:rsidR="00425685" w:rsidRPr="00E94485"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0.69</w:t>
            </w:r>
          </w:p>
        </w:tc>
      </w:tr>
      <w:tr w:rsidR="00425685" w:rsidRPr="009B6364" w14:paraId="775B80DE" w14:textId="77777777" w:rsidTr="00F928A8">
        <w:trPr>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2198CEDB"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PHE04</w:t>
            </w:r>
          </w:p>
        </w:tc>
        <w:tc>
          <w:tcPr>
            <w:tcW w:w="1056" w:type="dxa"/>
            <w:hideMark/>
          </w:tcPr>
          <w:p w14:paraId="7E4462AC"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2013</w:t>
            </w:r>
          </w:p>
        </w:tc>
        <w:tc>
          <w:tcPr>
            <w:tcW w:w="1276" w:type="dxa"/>
            <w:hideMark/>
          </w:tcPr>
          <w:p w14:paraId="208A6CC1"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0.92</w:t>
            </w:r>
          </w:p>
        </w:tc>
        <w:tc>
          <w:tcPr>
            <w:tcW w:w="1559" w:type="dxa"/>
            <w:hideMark/>
          </w:tcPr>
          <w:p w14:paraId="797ADCC9"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0.15</w:t>
            </w:r>
          </w:p>
        </w:tc>
        <w:tc>
          <w:tcPr>
            <w:tcW w:w="1559" w:type="dxa"/>
            <w:hideMark/>
          </w:tcPr>
          <w:p w14:paraId="7974FF74"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18790FB0" w14:textId="77777777" w:rsidR="00425685" w:rsidRPr="00E94485"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0.69</w:t>
            </w:r>
          </w:p>
        </w:tc>
      </w:tr>
      <w:tr w:rsidR="00425685" w:rsidRPr="009B6364" w14:paraId="4DAE37A1" w14:textId="77777777" w:rsidTr="00F928A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0C6BABC1"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PHE07</w:t>
            </w:r>
          </w:p>
        </w:tc>
        <w:tc>
          <w:tcPr>
            <w:tcW w:w="1056" w:type="dxa"/>
            <w:hideMark/>
          </w:tcPr>
          <w:p w14:paraId="19A8BC32"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2013</w:t>
            </w:r>
          </w:p>
        </w:tc>
        <w:tc>
          <w:tcPr>
            <w:tcW w:w="1276" w:type="dxa"/>
            <w:hideMark/>
          </w:tcPr>
          <w:p w14:paraId="79487CAA"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0.92</w:t>
            </w:r>
          </w:p>
        </w:tc>
        <w:tc>
          <w:tcPr>
            <w:tcW w:w="1559" w:type="dxa"/>
            <w:hideMark/>
          </w:tcPr>
          <w:p w14:paraId="6CE36FEE"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0.15</w:t>
            </w:r>
          </w:p>
        </w:tc>
        <w:tc>
          <w:tcPr>
            <w:tcW w:w="1559" w:type="dxa"/>
            <w:hideMark/>
          </w:tcPr>
          <w:p w14:paraId="6C49E622"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6A0E9D1C" w14:textId="77777777" w:rsidR="00425685" w:rsidRPr="00E94485"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0.69</w:t>
            </w:r>
          </w:p>
        </w:tc>
      </w:tr>
      <w:tr w:rsidR="00425685" w:rsidRPr="009B6364" w14:paraId="647DE620" w14:textId="77777777" w:rsidTr="00F928A8">
        <w:trPr>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2F98EA04"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PHE31</w:t>
            </w:r>
          </w:p>
        </w:tc>
        <w:tc>
          <w:tcPr>
            <w:tcW w:w="1056" w:type="dxa"/>
            <w:hideMark/>
          </w:tcPr>
          <w:p w14:paraId="18565CB8"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2013</w:t>
            </w:r>
          </w:p>
        </w:tc>
        <w:tc>
          <w:tcPr>
            <w:tcW w:w="1276" w:type="dxa"/>
            <w:hideMark/>
          </w:tcPr>
          <w:p w14:paraId="442FBA56"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0.92</w:t>
            </w:r>
          </w:p>
        </w:tc>
        <w:tc>
          <w:tcPr>
            <w:tcW w:w="1559" w:type="dxa"/>
            <w:hideMark/>
          </w:tcPr>
          <w:p w14:paraId="760C579F"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0.38</w:t>
            </w:r>
          </w:p>
        </w:tc>
        <w:tc>
          <w:tcPr>
            <w:tcW w:w="1559" w:type="dxa"/>
            <w:hideMark/>
          </w:tcPr>
          <w:p w14:paraId="528A5B8F"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20E74CE6" w14:textId="77777777" w:rsidR="00425685" w:rsidRPr="00E94485"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0.77</w:t>
            </w:r>
          </w:p>
        </w:tc>
      </w:tr>
      <w:tr w:rsidR="00425685" w:rsidRPr="009B6364" w14:paraId="63164C26" w14:textId="77777777" w:rsidTr="00F928A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4CF239E8"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PHE01</w:t>
            </w:r>
          </w:p>
        </w:tc>
        <w:tc>
          <w:tcPr>
            <w:tcW w:w="1056" w:type="dxa"/>
            <w:hideMark/>
          </w:tcPr>
          <w:p w14:paraId="03A462C9"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2014</w:t>
            </w:r>
          </w:p>
        </w:tc>
        <w:tc>
          <w:tcPr>
            <w:tcW w:w="1276" w:type="dxa"/>
            <w:hideMark/>
          </w:tcPr>
          <w:p w14:paraId="546E62E7"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1559" w:type="dxa"/>
            <w:hideMark/>
          </w:tcPr>
          <w:p w14:paraId="29D5265D"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59" w:type="dxa"/>
            <w:hideMark/>
          </w:tcPr>
          <w:p w14:paraId="712D8D95"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7B9D7820" w14:textId="77777777" w:rsidR="00425685" w:rsidRPr="00E94485"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0.67</w:t>
            </w:r>
          </w:p>
        </w:tc>
      </w:tr>
      <w:tr w:rsidR="00425685" w:rsidRPr="009B6364" w14:paraId="15501641" w14:textId="77777777" w:rsidTr="00F928A8">
        <w:trPr>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697436A1"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PHE04</w:t>
            </w:r>
          </w:p>
        </w:tc>
        <w:tc>
          <w:tcPr>
            <w:tcW w:w="1056" w:type="dxa"/>
            <w:hideMark/>
          </w:tcPr>
          <w:p w14:paraId="2A609CC0"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2014</w:t>
            </w:r>
          </w:p>
        </w:tc>
        <w:tc>
          <w:tcPr>
            <w:tcW w:w="1276" w:type="dxa"/>
            <w:hideMark/>
          </w:tcPr>
          <w:p w14:paraId="576A388E"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1559" w:type="dxa"/>
            <w:hideMark/>
          </w:tcPr>
          <w:p w14:paraId="21089261"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0.09</w:t>
            </w:r>
          </w:p>
        </w:tc>
        <w:tc>
          <w:tcPr>
            <w:tcW w:w="1559" w:type="dxa"/>
            <w:hideMark/>
          </w:tcPr>
          <w:p w14:paraId="60E45134"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320C1A0C" w14:textId="77777777" w:rsidR="00425685" w:rsidRPr="00E94485"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0.70</w:t>
            </w:r>
          </w:p>
        </w:tc>
      </w:tr>
      <w:tr w:rsidR="00425685" w:rsidRPr="009B6364" w14:paraId="75E256A9" w14:textId="77777777" w:rsidTr="00F928A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3C727190"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PHE07</w:t>
            </w:r>
          </w:p>
        </w:tc>
        <w:tc>
          <w:tcPr>
            <w:tcW w:w="1056" w:type="dxa"/>
            <w:hideMark/>
          </w:tcPr>
          <w:p w14:paraId="0D7B72C3"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2014</w:t>
            </w:r>
          </w:p>
        </w:tc>
        <w:tc>
          <w:tcPr>
            <w:tcW w:w="1276" w:type="dxa"/>
            <w:hideMark/>
          </w:tcPr>
          <w:p w14:paraId="53EE6753"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1559" w:type="dxa"/>
            <w:hideMark/>
          </w:tcPr>
          <w:p w14:paraId="7BFEB5BD"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59" w:type="dxa"/>
            <w:hideMark/>
          </w:tcPr>
          <w:p w14:paraId="758F04A6"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0AB25137" w14:textId="77777777" w:rsidR="00425685" w:rsidRPr="00E94485"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0.67</w:t>
            </w:r>
          </w:p>
        </w:tc>
      </w:tr>
      <w:tr w:rsidR="00425685" w:rsidRPr="009B6364" w14:paraId="481031E4" w14:textId="77777777" w:rsidTr="00F928A8">
        <w:trPr>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07238DA1"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PHE31</w:t>
            </w:r>
          </w:p>
        </w:tc>
        <w:tc>
          <w:tcPr>
            <w:tcW w:w="1056" w:type="dxa"/>
            <w:hideMark/>
          </w:tcPr>
          <w:p w14:paraId="79FD131B"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2014</w:t>
            </w:r>
          </w:p>
        </w:tc>
        <w:tc>
          <w:tcPr>
            <w:tcW w:w="1276" w:type="dxa"/>
            <w:hideMark/>
          </w:tcPr>
          <w:p w14:paraId="7CD2E6CB"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1559" w:type="dxa"/>
            <w:hideMark/>
          </w:tcPr>
          <w:p w14:paraId="41ED00D8"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59" w:type="dxa"/>
            <w:hideMark/>
          </w:tcPr>
          <w:p w14:paraId="3C462520"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6A0B217A" w14:textId="77777777" w:rsidR="00425685" w:rsidRPr="00E94485"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0.67</w:t>
            </w:r>
          </w:p>
        </w:tc>
      </w:tr>
      <w:tr w:rsidR="00425685" w:rsidRPr="009B6364" w14:paraId="2FAF418C" w14:textId="77777777" w:rsidTr="00F928A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3056D93C"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PHE01</w:t>
            </w:r>
          </w:p>
        </w:tc>
        <w:tc>
          <w:tcPr>
            <w:tcW w:w="1056" w:type="dxa"/>
            <w:hideMark/>
          </w:tcPr>
          <w:p w14:paraId="0ED8B1BC"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2015</w:t>
            </w:r>
          </w:p>
        </w:tc>
        <w:tc>
          <w:tcPr>
            <w:tcW w:w="1276" w:type="dxa"/>
            <w:hideMark/>
          </w:tcPr>
          <w:p w14:paraId="2A273218"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1559" w:type="dxa"/>
            <w:hideMark/>
          </w:tcPr>
          <w:p w14:paraId="3CB9906B"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0.06</w:t>
            </w:r>
          </w:p>
        </w:tc>
        <w:tc>
          <w:tcPr>
            <w:tcW w:w="1559" w:type="dxa"/>
            <w:hideMark/>
          </w:tcPr>
          <w:p w14:paraId="35E64093"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5D4809DD" w14:textId="77777777" w:rsidR="00425685" w:rsidRPr="00E94485"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0.69</w:t>
            </w:r>
          </w:p>
        </w:tc>
      </w:tr>
      <w:tr w:rsidR="00425685" w:rsidRPr="009B6364" w14:paraId="53C9EB7E" w14:textId="77777777" w:rsidTr="00F928A8">
        <w:trPr>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71725EAA"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PHE04</w:t>
            </w:r>
          </w:p>
        </w:tc>
        <w:tc>
          <w:tcPr>
            <w:tcW w:w="1056" w:type="dxa"/>
            <w:hideMark/>
          </w:tcPr>
          <w:p w14:paraId="4BA6928C"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2015</w:t>
            </w:r>
          </w:p>
        </w:tc>
        <w:tc>
          <w:tcPr>
            <w:tcW w:w="1276" w:type="dxa"/>
            <w:hideMark/>
          </w:tcPr>
          <w:p w14:paraId="5050E930"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0.93</w:t>
            </w:r>
          </w:p>
        </w:tc>
        <w:tc>
          <w:tcPr>
            <w:tcW w:w="1559" w:type="dxa"/>
            <w:hideMark/>
          </w:tcPr>
          <w:p w14:paraId="4B0EB898"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59" w:type="dxa"/>
            <w:hideMark/>
          </w:tcPr>
          <w:p w14:paraId="0ECC771D"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5502497C" w14:textId="77777777" w:rsidR="00425685" w:rsidRPr="00E94485"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0.64</w:t>
            </w:r>
          </w:p>
        </w:tc>
      </w:tr>
      <w:tr w:rsidR="00425685" w:rsidRPr="009B6364" w14:paraId="6FAEFE87" w14:textId="77777777" w:rsidTr="00F928A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045C2BA0"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PHE07</w:t>
            </w:r>
          </w:p>
        </w:tc>
        <w:tc>
          <w:tcPr>
            <w:tcW w:w="1056" w:type="dxa"/>
            <w:hideMark/>
          </w:tcPr>
          <w:p w14:paraId="5F024D59"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2015</w:t>
            </w:r>
          </w:p>
        </w:tc>
        <w:tc>
          <w:tcPr>
            <w:tcW w:w="1276" w:type="dxa"/>
            <w:hideMark/>
          </w:tcPr>
          <w:p w14:paraId="765E4052"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0.93</w:t>
            </w:r>
          </w:p>
        </w:tc>
        <w:tc>
          <w:tcPr>
            <w:tcW w:w="1559" w:type="dxa"/>
            <w:hideMark/>
          </w:tcPr>
          <w:p w14:paraId="18D686B2"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59" w:type="dxa"/>
            <w:hideMark/>
          </w:tcPr>
          <w:p w14:paraId="78FA2CB5"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309217FC" w14:textId="77777777" w:rsidR="00425685" w:rsidRPr="00E94485"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0.64</w:t>
            </w:r>
          </w:p>
        </w:tc>
      </w:tr>
      <w:tr w:rsidR="00425685" w:rsidRPr="009B6364" w14:paraId="19767E39" w14:textId="77777777" w:rsidTr="00F928A8">
        <w:trPr>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27677509"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PHE31</w:t>
            </w:r>
          </w:p>
        </w:tc>
        <w:tc>
          <w:tcPr>
            <w:tcW w:w="1056" w:type="dxa"/>
            <w:hideMark/>
          </w:tcPr>
          <w:p w14:paraId="470194A3"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2015</w:t>
            </w:r>
          </w:p>
        </w:tc>
        <w:tc>
          <w:tcPr>
            <w:tcW w:w="1276" w:type="dxa"/>
            <w:hideMark/>
          </w:tcPr>
          <w:p w14:paraId="22B01E2A"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1559" w:type="dxa"/>
            <w:hideMark/>
          </w:tcPr>
          <w:p w14:paraId="5981E8C7"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0.25</w:t>
            </w:r>
          </w:p>
        </w:tc>
        <w:tc>
          <w:tcPr>
            <w:tcW w:w="1559" w:type="dxa"/>
            <w:hideMark/>
          </w:tcPr>
          <w:p w14:paraId="67CC0AFC"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tcPr>
          <w:p w14:paraId="19CE4695" w14:textId="77777777" w:rsidR="00425685" w:rsidRPr="00E94485"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0.75</w:t>
            </w:r>
          </w:p>
        </w:tc>
      </w:tr>
      <w:tr w:rsidR="00425685" w:rsidRPr="009B6364" w14:paraId="577D5647" w14:textId="77777777" w:rsidTr="00A266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71D51E1B"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PHE01</w:t>
            </w:r>
          </w:p>
        </w:tc>
        <w:tc>
          <w:tcPr>
            <w:tcW w:w="1056" w:type="dxa"/>
            <w:hideMark/>
          </w:tcPr>
          <w:p w14:paraId="17F0E401"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2016</w:t>
            </w:r>
          </w:p>
        </w:tc>
        <w:tc>
          <w:tcPr>
            <w:tcW w:w="1276" w:type="dxa"/>
            <w:hideMark/>
          </w:tcPr>
          <w:p w14:paraId="0F67A6F3"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1559" w:type="dxa"/>
            <w:hideMark/>
          </w:tcPr>
          <w:p w14:paraId="167C6EAE"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0.09</w:t>
            </w:r>
          </w:p>
        </w:tc>
        <w:tc>
          <w:tcPr>
            <w:tcW w:w="1559" w:type="dxa"/>
            <w:hideMark/>
          </w:tcPr>
          <w:p w14:paraId="3EAEB7BE"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shd w:val="clear" w:color="auto" w:fill="auto"/>
          </w:tcPr>
          <w:p w14:paraId="4FCBC625" w14:textId="77777777" w:rsidR="00425685" w:rsidRPr="00E94485"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0.70</w:t>
            </w:r>
          </w:p>
        </w:tc>
      </w:tr>
      <w:tr w:rsidR="00425685" w:rsidRPr="009B6364" w14:paraId="20FF169C" w14:textId="77777777" w:rsidTr="00A266BE">
        <w:trPr>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7E63BDA7"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PHE04</w:t>
            </w:r>
          </w:p>
        </w:tc>
        <w:tc>
          <w:tcPr>
            <w:tcW w:w="1056" w:type="dxa"/>
            <w:hideMark/>
          </w:tcPr>
          <w:p w14:paraId="536FA408"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2016</w:t>
            </w:r>
          </w:p>
        </w:tc>
        <w:tc>
          <w:tcPr>
            <w:tcW w:w="1276" w:type="dxa"/>
            <w:hideMark/>
          </w:tcPr>
          <w:p w14:paraId="7CF4A430"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1559" w:type="dxa"/>
            <w:hideMark/>
          </w:tcPr>
          <w:p w14:paraId="504BCB1C"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0.05</w:t>
            </w:r>
          </w:p>
        </w:tc>
        <w:tc>
          <w:tcPr>
            <w:tcW w:w="1559" w:type="dxa"/>
            <w:hideMark/>
          </w:tcPr>
          <w:p w14:paraId="06BBCCD0"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shd w:val="clear" w:color="auto" w:fill="auto"/>
          </w:tcPr>
          <w:p w14:paraId="6DAD00A8" w14:textId="77777777" w:rsidR="00425685" w:rsidRPr="00E94485"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0.68</w:t>
            </w:r>
          </w:p>
        </w:tc>
      </w:tr>
      <w:tr w:rsidR="00425685" w:rsidRPr="009B6364" w14:paraId="67FDE2CC" w14:textId="77777777" w:rsidTr="00A266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75130F99"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PHE07</w:t>
            </w:r>
          </w:p>
        </w:tc>
        <w:tc>
          <w:tcPr>
            <w:tcW w:w="1056" w:type="dxa"/>
            <w:hideMark/>
          </w:tcPr>
          <w:p w14:paraId="774A51DF"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2016</w:t>
            </w:r>
          </w:p>
        </w:tc>
        <w:tc>
          <w:tcPr>
            <w:tcW w:w="1276" w:type="dxa"/>
            <w:hideMark/>
          </w:tcPr>
          <w:p w14:paraId="7933CA6D"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1559" w:type="dxa"/>
            <w:hideMark/>
          </w:tcPr>
          <w:p w14:paraId="52E99F86"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0.00</w:t>
            </w:r>
          </w:p>
        </w:tc>
        <w:tc>
          <w:tcPr>
            <w:tcW w:w="1559" w:type="dxa"/>
            <w:hideMark/>
          </w:tcPr>
          <w:p w14:paraId="6799AF1E" w14:textId="77777777" w:rsidR="00425685" w:rsidRPr="009B6364"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shd w:val="clear" w:color="auto" w:fill="auto"/>
          </w:tcPr>
          <w:p w14:paraId="0DE01121" w14:textId="77777777" w:rsidR="00425685" w:rsidRPr="00E94485" w:rsidRDefault="00425685"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0.67</w:t>
            </w:r>
          </w:p>
        </w:tc>
      </w:tr>
      <w:tr w:rsidR="00425685" w:rsidRPr="009B6364" w14:paraId="6B8E6B7A" w14:textId="77777777" w:rsidTr="00A266BE">
        <w:trPr>
          <w:trHeight w:val="315"/>
        </w:trPr>
        <w:tc>
          <w:tcPr>
            <w:cnfStyle w:val="001000000000" w:firstRow="0" w:lastRow="0" w:firstColumn="1" w:lastColumn="0" w:oddVBand="0" w:evenVBand="0" w:oddHBand="0" w:evenHBand="0" w:firstRowFirstColumn="0" w:firstRowLastColumn="0" w:lastRowFirstColumn="0" w:lastRowLastColumn="0"/>
            <w:tcW w:w="1462" w:type="dxa"/>
            <w:hideMark/>
          </w:tcPr>
          <w:p w14:paraId="11F294B6" w14:textId="77777777" w:rsidR="00425685" w:rsidRPr="005569E2" w:rsidRDefault="00425685" w:rsidP="00F928A8">
            <w:pPr>
              <w:jc w:val="center"/>
              <w:rPr>
                <w:rFonts w:asciiTheme="minorHAnsi" w:eastAsia="Times New Roman" w:hAnsiTheme="minorHAnsi" w:cs="Times New Roman"/>
                <w:b w:val="0"/>
                <w:color w:val="000000"/>
                <w:sz w:val="18"/>
                <w:szCs w:val="18"/>
                <w:lang w:eastAsia="en-AU"/>
              </w:rPr>
            </w:pPr>
            <w:r w:rsidRPr="005569E2">
              <w:rPr>
                <w:rFonts w:asciiTheme="minorHAnsi" w:eastAsia="Times New Roman" w:hAnsiTheme="minorHAnsi" w:cs="Times New Roman"/>
                <w:b w:val="0"/>
                <w:color w:val="000000"/>
                <w:sz w:val="18"/>
                <w:szCs w:val="18"/>
                <w:lang w:eastAsia="en-AU"/>
              </w:rPr>
              <w:t>PHE31</w:t>
            </w:r>
          </w:p>
        </w:tc>
        <w:tc>
          <w:tcPr>
            <w:tcW w:w="1056" w:type="dxa"/>
            <w:hideMark/>
          </w:tcPr>
          <w:p w14:paraId="223FD379"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2016</w:t>
            </w:r>
          </w:p>
        </w:tc>
        <w:tc>
          <w:tcPr>
            <w:tcW w:w="1276" w:type="dxa"/>
            <w:hideMark/>
          </w:tcPr>
          <w:p w14:paraId="05A09C22"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1559" w:type="dxa"/>
            <w:hideMark/>
          </w:tcPr>
          <w:p w14:paraId="7D92694A"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0.09</w:t>
            </w:r>
          </w:p>
        </w:tc>
        <w:tc>
          <w:tcPr>
            <w:tcW w:w="1559" w:type="dxa"/>
            <w:hideMark/>
          </w:tcPr>
          <w:p w14:paraId="74DE2AC6" w14:textId="77777777" w:rsidR="00425685" w:rsidRPr="009B6364"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1.00</w:t>
            </w:r>
          </w:p>
        </w:tc>
        <w:tc>
          <w:tcPr>
            <w:tcW w:w="2127" w:type="dxa"/>
            <w:shd w:val="clear" w:color="auto" w:fill="auto"/>
          </w:tcPr>
          <w:p w14:paraId="0A1BE78B" w14:textId="77777777" w:rsidR="00425685" w:rsidRPr="00E94485"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E94485">
              <w:rPr>
                <w:rFonts w:eastAsia="Times New Roman" w:cs="Times New Roman"/>
                <w:color w:val="000000"/>
                <w:sz w:val="18"/>
                <w:szCs w:val="18"/>
                <w:lang w:eastAsia="en-AU"/>
              </w:rPr>
              <w:t>0.70</w:t>
            </w:r>
          </w:p>
        </w:tc>
      </w:tr>
      <w:tr w:rsidR="00D26D2D" w:rsidRPr="009B6364" w14:paraId="5DA0B5B5" w14:textId="77777777" w:rsidTr="00A266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tcPr>
          <w:p w14:paraId="414E0DB8" w14:textId="1FEBC1BC" w:rsidR="00D26D2D" w:rsidRPr="00D26D2D" w:rsidRDefault="00D26D2D" w:rsidP="00D26D2D">
            <w:pPr>
              <w:jc w:val="center"/>
              <w:rPr>
                <w:rFonts w:asciiTheme="minorHAnsi" w:eastAsia="Times New Roman" w:hAnsiTheme="minorHAnsi" w:cs="Times New Roman"/>
                <w:color w:val="000000"/>
                <w:sz w:val="18"/>
                <w:szCs w:val="18"/>
                <w:lang w:eastAsia="en-AU"/>
              </w:rPr>
            </w:pPr>
            <w:r>
              <w:rPr>
                <w:rFonts w:asciiTheme="minorHAnsi" w:eastAsia="Times New Roman" w:hAnsiTheme="minorHAnsi" w:cs="Times New Roman"/>
                <w:color w:val="000000"/>
                <w:sz w:val="18"/>
                <w:szCs w:val="18"/>
                <w:lang w:eastAsia="en-AU"/>
              </w:rPr>
              <w:t xml:space="preserve">Aggregated </w:t>
            </w:r>
            <w:r w:rsidRPr="00D26D2D">
              <w:rPr>
                <w:rFonts w:asciiTheme="minorHAnsi" w:eastAsia="Times New Roman" w:hAnsiTheme="minorHAnsi" w:cs="Times New Roman"/>
                <w:color w:val="000000"/>
                <w:sz w:val="18"/>
                <w:szCs w:val="18"/>
                <w:lang w:eastAsia="en-AU"/>
              </w:rPr>
              <w:t>indicator score</w:t>
            </w:r>
          </w:p>
        </w:tc>
        <w:tc>
          <w:tcPr>
            <w:tcW w:w="1056" w:type="dxa"/>
          </w:tcPr>
          <w:p w14:paraId="6A71338B" w14:textId="77777777" w:rsidR="00D26D2D" w:rsidRPr="009B6364" w:rsidRDefault="00D26D2D"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p>
        </w:tc>
        <w:tc>
          <w:tcPr>
            <w:tcW w:w="1276" w:type="dxa"/>
          </w:tcPr>
          <w:p w14:paraId="13D34453" w14:textId="7967C2E8" w:rsidR="00D26D2D" w:rsidRPr="00D26D2D" w:rsidRDefault="00D26D2D"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18"/>
                <w:lang w:eastAsia="en-AU"/>
              </w:rPr>
            </w:pPr>
            <w:r w:rsidRPr="00D26D2D">
              <w:rPr>
                <w:rFonts w:asciiTheme="minorHAnsi" w:eastAsia="Times New Roman" w:hAnsiTheme="minorHAnsi" w:cs="Times New Roman"/>
                <w:b/>
                <w:color w:val="000000"/>
                <w:sz w:val="18"/>
                <w:szCs w:val="18"/>
                <w:lang w:eastAsia="en-AU"/>
              </w:rPr>
              <w:t>0.95</w:t>
            </w:r>
          </w:p>
        </w:tc>
        <w:tc>
          <w:tcPr>
            <w:tcW w:w="1559" w:type="dxa"/>
          </w:tcPr>
          <w:p w14:paraId="2AF0DC0D" w14:textId="3CF83028" w:rsidR="00D26D2D" w:rsidRPr="00D26D2D" w:rsidRDefault="00D26D2D"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18"/>
                <w:lang w:eastAsia="en-AU"/>
              </w:rPr>
            </w:pPr>
            <w:r w:rsidRPr="00D26D2D">
              <w:rPr>
                <w:rFonts w:asciiTheme="minorHAnsi" w:eastAsia="Times New Roman" w:hAnsiTheme="minorHAnsi" w:cs="Times New Roman"/>
                <w:b/>
                <w:color w:val="000000"/>
                <w:sz w:val="18"/>
                <w:szCs w:val="18"/>
                <w:lang w:eastAsia="en-AU"/>
              </w:rPr>
              <w:t>0.1</w:t>
            </w:r>
          </w:p>
        </w:tc>
        <w:tc>
          <w:tcPr>
            <w:tcW w:w="1559" w:type="dxa"/>
          </w:tcPr>
          <w:p w14:paraId="7536A587" w14:textId="185C46F3" w:rsidR="00D26D2D" w:rsidRPr="00D26D2D" w:rsidRDefault="00D26D2D" w:rsidP="00F928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18"/>
                <w:lang w:eastAsia="en-AU"/>
              </w:rPr>
            </w:pPr>
            <w:r w:rsidRPr="00D26D2D">
              <w:rPr>
                <w:rFonts w:asciiTheme="minorHAnsi" w:eastAsia="Times New Roman" w:hAnsiTheme="minorHAnsi" w:cs="Times New Roman"/>
                <w:b/>
                <w:color w:val="000000"/>
                <w:sz w:val="18"/>
                <w:szCs w:val="18"/>
                <w:lang w:eastAsia="en-AU"/>
              </w:rPr>
              <w:t>1.0</w:t>
            </w:r>
          </w:p>
        </w:tc>
        <w:tc>
          <w:tcPr>
            <w:tcW w:w="2127" w:type="dxa"/>
            <w:shd w:val="clear" w:color="auto" w:fill="auto"/>
          </w:tcPr>
          <w:p w14:paraId="4C791ED5" w14:textId="77777777" w:rsidR="00D26D2D" w:rsidRPr="00E94485" w:rsidRDefault="00D26D2D" w:rsidP="00F928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p>
        </w:tc>
      </w:tr>
      <w:tr w:rsidR="00425685" w:rsidRPr="009B6364" w14:paraId="29BF2277" w14:textId="77777777" w:rsidTr="00425685">
        <w:trPr>
          <w:trHeight w:val="315"/>
        </w:trPr>
        <w:tc>
          <w:tcPr>
            <w:cnfStyle w:val="001000000000" w:firstRow="0" w:lastRow="0" w:firstColumn="1" w:lastColumn="0" w:oddVBand="0" w:evenVBand="0" w:oddHBand="0" w:evenHBand="0" w:firstRowFirstColumn="0" w:firstRowLastColumn="0" w:lastRowFirstColumn="0" w:lastRowLastColumn="0"/>
            <w:tcW w:w="6912" w:type="dxa"/>
            <w:gridSpan w:val="5"/>
          </w:tcPr>
          <w:p w14:paraId="359DAAC8" w14:textId="41AFCD89" w:rsidR="00425685" w:rsidRPr="005569E2" w:rsidRDefault="00425685" w:rsidP="00A266BE">
            <w:pPr>
              <w:jc w:val="left"/>
              <w:rPr>
                <w:rFonts w:asciiTheme="minorHAnsi" w:eastAsia="Times New Roman" w:hAnsiTheme="minorHAnsi" w:cs="Times New Roman"/>
                <w:color w:val="000000"/>
                <w:sz w:val="18"/>
                <w:szCs w:val="18"/>
                <w:lang w:eastAsia="en-AU"/>
              </w:rPr>
            </w:pPr>
            <w:r w:rsidRPr="005569E2">
              <w:rPr>
                <w:rFonts w:asciiTheme="minorHAnsi" w:eastAsia="Times New Roman" w:hAnsiTheme="minorHAnsi" w:cs="Times New Roman"/>
                <w:color w:val="000000"/>
                <w:sz w:val="18"/>
                <w:szCs w:val="18"/>
                <w:lang w:eastAsia="en-AU"/>
              </w:rPr>
              <w:t xml:space="preserve">Integrated </w:t>
            </w:r>
            <w:r>
              <w:rPr>
                <w:rFonts w:asciiTheme="minorHAnsi" w:eastAsia="Times New Roman" w:hAnsiTheme="minorHAnsi" w:cs="Times New Roman"/>
                <w:color w:val="000000"/>
                <w:sz w:val="18"/>
                <w:szCs w:val="18"/>
                <w:lang w:eastAsia="en-AU"/>
              </w:rPr>
              <w:t>water quality</w:t>
            </w:r>
            <w:r w:rsidRPr="005569E2">
              <w:rPr>
                <w:rFonts w:asciiTheme="minorHAnsi" w:eastAsia="Times New Roman" w:hAnsiTheme="minorHAnsi" w:cs="Times New Roman"/>
                <w:color w:val="000000"/>
                <w:sz w:val="18"/>
                <w:szCs w:val="18"/>
                <w:lang w:eastAsia="en-AU"/>
              </w:rPr>
              <w:t xml:space="preserve"> score</w:t>
            </w:r>
            <w:r>
              <w:rPr>
                <w:rFonts w:asciiTheme="minorHAnsi" w:eastAsia="Times New Roman" w:hAnsiTheme="minorHAnsi" w:cs="Times New Roman"/>
                <w:color w:val="000000"/>
                <w:sz w:val="18"/>
                <w:szCs w:val="18"/>
                <w:lang w:eastAsia="en-AU"/>
              </w:rPr>
              <w:t xml:space="preserve"> for Peel-Harvey Estuary (Level 1 integration) </w:t>
            </w:r>
          </w:p>
        </w:tc>
        <w:tc>
          <w:tcPr>
            <w:tcW w:w="2127" w:type="dxa"/>
            <w:shd w:val="clear" w:color="auto" w:fill="F6F4E1" w:themeFill="accent3" w:themeFillTint="33"/>
          </w:tcPr>
          <w:p w14:paraId="7CAD91CB" w14:textId="77777777" w:rsidR="00425685" w:rsidRPr="00E94485" w:rsidRDefault="00425685" w:rsidP="00F928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18"/>
                <w:lang w:eastAsia="en-AU"/>
              </w:rPr>
            </w:pPr>
            <w:r w:rsidRPr="00E94485">
              <w:rPr>
                <w:rFonts w:asciiTheme="minorHAnsi" w:eastAsia="Times New Roman" w:hAnsiTheme="minorHAnsi" w:cs="Times New Roman"/>
                <w:b/>
                <w:color w:val="000000"/>
                <w:sz w:val="18"/>
                <w:szCs w:val="18"/>
                <w:lang w:eastAsia="en-AU"/>
              </w:rPr>
              <w:t>0.69</w:t>
            </w:r>
          </w:p>
        </w:tc>
      </w:tr>
    </w:tbl>
    <w:p w14:paraId="77C40D36" w14:textId="77777777" w:rsidR="00425685" w:rsidRDefault="00425685" w:rsidP="00425685"/>
    <w:p w14:paraId="6A7CBF11" w14:textId="5F591D86" w:rsidR="001B1863" w:rsidRDefault="001B1863" w:rsidP="001B1863">
      <w:r>
        <w:t>The Biodiversity score is calculated by comparing total abundance with the LAC</w:t>
      </w:r>
      <w:r w:rsidR="00D4651E">
        <w:t>; “</w:t>
      </w:r>
      <w:r>
        <w:t>&gt; 20,000 waterbirds in four out of five years”, applied to each segment. In order to be recognised as a wetland of international importan</w:t>
      </w:r>
      <w:r w:rsidR="00875979">
        <w:t>ce</w:t>
      </w:r>
      <w:r>
        <w:t xml:space="preserve"> under the Ramsar Convention, a wetland must meet at least one of nine listing criteria. The Peel Yalgorup Ramsar </w:t>
      </w:r>
      <w:r>
        <w:lastRenderedPageBreak/>
        <w:t>site meets (among others) criterion 5 (regularly supports &gt; 20,000 waterbirds). Compliance with this listing criterion has also been applied in deriving an integrated IECA score for biodiversity. In this instance, compliance with the LAC is assigned a score of 1 and non-compliance is assigned a score of 0 (</w:t>
      </w:r>
      <w:r w:rsidR="003B3E35">
        <w:fldChar w:fldCharType="begin"/>
      </w:r>
      <w:r w:rsidR="003B3E35">
        <w:instrText xml:space="preserve"> REF _Ref486502644 \h </w:instrText>
      </w:r>
      <w:r w:rsidR="003B3E35">
        <w:fldChar w:fldCharType="separate"/>
      </w:r>
      <w:r w:rsidR="00FD50A9">
        <w:t xml:space="preserve">Table B </w:t>
      </w:r>
      <w:r w:rsidR="00FD50A9">
        <w:rPr>
          <w:noProof/>
        </w:rPr>
        <w:t>14</w:t>
      </w:r>
      <w:r w:rsidR="003B3E35">
        <w:fldChar w:fldCharType="end"/>
      </w:r>
      <w:r>
        <w:t>).</w:t>
      </w:r>
    </w:p>
    <w:p w14:paraId="35593F42" w14:textId="77777777" w:rsidR="00AA3144" w:rsidRDefault="00F928A8" w:rsidP="001B1863">
      <w:r>
        <w:t>C</w:t>
      </w:r>
      <w:r w:rsidR="00744F28">
        <w:t>hange in ecological character is typically assessed at the whole of the Ramsar site, and applications of the criteria are also assessed at the whole of site scale. Therefore</w:t>
      </w:r>
      <w:r>
        <w:t xml:space="preserve">, for the purpose of illustrating the application of the Framework, the appropriate scale of assessment for waterbird abundance </w:t>
      </w:r>
      <w:r w:rsidR="00AA3144">
        <w:t xml:space="preserve">in relation to meeting criterion 5 </w:t>
      </w:r>
      <w:r>
        <w:t xml:space="preserve">is the whole of the assessment unit (Ramsar site). </w:t>
      </w:r>
    </w:p>
    <w:p w14:paraId="73EB9481" w14:textId="03040DDE" w:rsidR="001B1863" w:rsidRPr="000A2610" w:rsidRDefault="00AA3144" w:rsidP="001B1863">
      <w:pPr>
        <w:rPr>
          <w:sz w:val="19"/>
          <w:szCs w:val="19"/>
        </w:rPr>
      </w:pPr>
      <w:r>
        <w:t xml:space="preserve">In a full application at the site, addition </w:t>
      </w:r>
      <w:r w:rsidR="00F928A8">
        <w:t xml:space="preserve">for other elements of biodiversity (i.e. vegetation, migratory species, etc.) would be aggregated to the appropriate scale then integrated to provide an output for the theme. </w:t>
      </w:r>
    </w:p>
    <w:p w14:paraId="1B96B628" w14:textId="76EA1D53" w:rsidR="001B1863" w:rsidRPr="009B6364" w:rsidRDefault="003B3E35" w:rsidP="003B3E35">
      <w:pPr>
        <w:pStyle w:val="Caption"/>
      </w:pPr>
      <w:bookmarkStart w:id="168" w:name="_Ref486502644"/>
      <w:r>
        <w:t xml:space="preserve">Table B </w:t>
      </w:r>
      <w:fldSimple w:instr=" SEQ Table_B \* ARABIC ">
        <w:r w:rsidR="00FD50A9">
          <w:rPr>
            <w:noProof/>
          </w:rPr>
          <w:t>14</w:t>
        </w:r>
      </w:fldSimple>
      <w:bookmarkEnd w:id="168"/>
      <w:r w:rsidR="00FD50A9">
        <w:rPr>
          <w:noProof/>
        </w:rPr>
        <w:t>:</w:t>
      </w:r>
      <w:r>
        <w:t xml:space="preserve"> </w:t>
      </w:r>
      <w:r w:rsidR="001B1863" w:rsidRPr="009B6364">
        <w:t>Waterbird abundance in the Peel Yalgorup Ramsar site 2012 - 2016 (data from BirdLife WA and Atlas of living australia).</w:t>
      </w:r>
    </w:p>
    <w:tbl>
      <w:tblPr>
        <w:tblStyle w:val="LightList-Accent2"/>
        <w:tblW w:w="9211" w:type="dxa"/>
        <w:tblLook w:val="04A0" w:firstRow="1" w:lastRow="0" w:firstColumn="1" w:lastColumn="0" w:noHBand="0" w:noVBand="1"/>
      </w:tblPr>
      <w:tblGrid>
        <w:gridCol w:w="1694"/>
        <w:gridCol w:w="1462"/>
        <w:gridCol w:w="1463"/>
        <w:gridCol w:w="2294"/>
        <w:gridCol w:w="2298"/>
      </w:tblGrid>
      <w:tr w:rsidR="00554832" w:rsidRPr="00554832" w14:paraId="553ACCE3" w14:textId="77777777" w:rsidTr="0055483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tcPr>
          <w:p w14:paraId="7FD6DC11" w14:textId="77777777" w:rsidR="001B1863" w:rsidRPr="00554832" w:rsidRDefault="001B1863" w:rsidP="00554832">
            <w:pPr>
              <w:jc w:val="center"/>
              <w:rPr>
                <w:rFonts w:asciiTheme="minorHAnsi" w:eastAsia="Times New Roman" w:hAnsiTheme="minorHAnsi" w:cs="Times New Roman"/>
                <w:sz w:val="18"/>
                <w:szCs w:val="18"/>
                <w:lang w:eastAsia="en-AU"/>
              </w:rPr>
            </w:pPr>
            <w:r w:rsidRPr="00554832">
              <w:rPr>
                <w:rFonts w:asciiTheme="minorHAnsi" w:eastAsia="Times New Roman" w:hAnsiTheme="minorHAnsi" w:cs="Times New Roman"/>
                <w:sz w:val="18"/>
                <w:szCs w:val="18"/>
                <w:lang w:eastAsia="en-AU"/>
              </w:rPr>
              <w:t>Year</w:t>
            </w:r>
          </w:p>
        </w:tc>
        <w:tc>
          <w:tcPr>
            <w:tcW w:w="1462" w:type="dxa"/>
            <w:noWrap/>
            <w:hideMark/>
          </w:tcPr>
          <w:p w14:paraId="70C57993" w14:textId="77777777" w:rsidR="001B1863" w:rsidRPr="00554832" w:rsidRDefault="001B1863" w:rsidP="005548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4832">
              <w:rPr>
                <w:rFonts w:asciiTheme="minorHAnsi" w:eastAsia="Times New Roman" w:hAnsiTheme="minorHAnsi" w:cs="Times New Roman"/>
                <w:sz w:val="18"/>
                <w:szCs w:val="18"/>
                <w:lang w:eastAsia="en-AU"/>
              </w:rPr>
              <w:t>Peel-Harvey Estuary</w:t>
            </w:r>
          </w:p>
        </w:tc>
        <w:tc>
          <w:tcPr>
            <w:tcW w:w="1463" w:type="dxa"/>
            <w:noWrap/>
            <w:hideMark/>
          </w:tcPr>
          <w:p w14:paraId="62D5F0EA" w14:textId="77777777" w:rsidR="001B1863" w:rsidRPr="00554832" w:rsidRDefault="001B1863" w:rsidP="005548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4832">
              <w:rPr>
                <w:rFonts w:asciiTheme="minorHAnsi" w:eastAsia="Times New Roman" w:hAnsiTheme="minorHAnsi" w:cs="Times New Roman"/>
                <w:sz w:val="18"/>
                <w:szCs w:val="18"/>
                <w:lang w:eastAsia="en-AU"/>
              </w:rPr>
              <w:t>Yalgorup Lakes</w:t>
            </w:r>
          </w:p>
        </w:tc>
        <w:tc>
          <w:tcPr>
            <w:tcW w:w="2412" w:type="dxa"/>
            <w:hideMark/>
          </w:tcPr>
          <w:p w14:paraId="44882C3B" w14:textId="77777777" w:rsidR="001B1863" w:rsidRPr="00554832" w:rsidRDefault="001B1863" w:rsidP="005548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4832">
              <w:rPr>
                <w:rFonts w:asciiTheme="minorHAnsi" w:eastAsia="Times New Roman" w:hAnsiTheme="minorHAnsi" w:cs="Times New Roman"/>
                <w:sz w:val="18"/>
                <w:szCs w:val="18"/>
                <w:lang w:eastAsia="en-AU"/>
              </w:rPr>
              <w:t>Lakes McLarty and Mealup</w:t>
            </w:r>
          </w:p>
        </w:tc>
        <w:tc>
          <w:tcPr>
            <w:tcW w:w="2412" w:type="dxa"/>
            <w:hideMark/>
          </w:tcPr>
          <w:p w14:paraId="3715AA80" w14:textId="77777777" w:rsidR="001B1863" w:rsidRPr="00554832" w:rsidRDefault="001B1863" w:rsidP="005548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en-AU"/>
              </w:rPr>
            </w:pPr>
            <w:r w:rsidRPr="00554832">
              <w:rPr>
                <w:rFonts w:asciiTheme="minorHAnsi" w:eastAsia="Times New Roman" w:hAnsiTheme="minorHAnsi" w:cs="Times New Roman"/>
                <w:sz w:val="18"/>
                <w:szCs w:val="18"/>
                <w:lang w:eastAsia="en-AU"/>
              </w:rPr>
              <w:t>Total for Peel-Yalgorup Ramsar site</w:t>
            </w:r>
          </w:p>
        </w:tc>
      </w:tr>
      <w:tr w:rsidR="001B1863" w:rsidRPr="009B6364" w14:paraId="0EEBFFFF" w14:textId="77777777" w:rsidTr="005548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tcPr>
          <w:p w14:paraId="4BD2F8E1" w14:textId="77777777" w:rsidR="001B1863" w:rsidRPr="00B33A37" w:rsidRDefault="001B1863" w:rsidP="00554832">
            <w:pPr>
              <w:jc w:val="center"/>
              <w:rPr>
                <w:rFonts w:asciiTheme="minorHAnsi" w:eastAsia="Times New Roman" w:hAnsiTheme="minorHAnsi" w:cs="Times New Roman"/>
                <w:b w:val="0"/>
                <w:color w:val="000000"/>
                <w:sz w:val="18"/>
                <w:szCs w:val="18"/>
                <w:lang w:eastAsia="en-AU"/>
              </w:rPr>
            </w:pPr>
            <w:r w:rsidRPr="00B33A37">
              <w:rPr>
                <w:rFonts w:asciiTheme="minorHAnsi" w:eastAsia="Times New Roman" w:hAnsiTheme="minorHAnsi" w:cs="Times New Roman"/>
                <w:b w:val="0"/>
                <w:color w:val="000000"/>
                <w:sz w:val="18"/>
                <w:szCs w:val="18"/>
                <w:lang w:eastAsia="en-AU"/>
              </w:rPr>
              <w:t>2012</w:t>
            </w:r>
          </w:p>
        </w:tc>
        <w:tc>
          <w:tcPr>
            <w:tcW w:w="1462" w:type="dxa"/>
          </w:tcPr>
          <w:p w14:paraId="77A2B676"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20395</w:t>
            </w:r>
          </w:p>
        </w:tc>
        <w:tc>
          <w:tcPr>
            <w:tcW w:w="1463" w:type="dxa"/>
          </w:tcPr>
          <w:p w14:paraId="383ECE32"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20913</w:t>
            </w:r>
          </w:p>
        </w:tc>
        <w:tc>
          <w:tcPr>
            <w:tcW w:w="2412" w:type="dxa"/>
          </w:tcPr>
          <w:p w14:paraId="5C791B45"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281</w:t>
            </w:r>
          </w:p>
        </w:tc>
        <w:tc>
          <w:tcPr>
            <w:tcW w:w="2412" w:type="dxa"/>
          </w:tcPr>
          <w:p w14:paraId="2D180E5E"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41589</w:t>
            </w:r>
          </w:p>
        </w:tc>
      </w:tr>
      <w:tr w:rsidR="001B1863" w:rsidRPr="009B6364" w14:paraId="27B22199" w14:textId="77777777" w:rsidTr="00554832">
        <w:trPr>
          <w:trHeight w:val="315"/>
        </w:trPr>
        <w:tc>
          <w:tcPr>
            <w:cnfStyle w:val="001000000000" w:firstRow="0" w:lastRow="0" w:firstColumn="1" w:lastColumn="0" w:oddVBand="0" w:evenVBand="0" w:oddHBand="0" w:evenHBand="0" w:firstRowFirstColumn="0" w:firstRowLastColumn="0" w:lastRowFirstColumn="0" w:lastRowLastColumn="0"/>
            <w:tcW w:w="1462" w:type="dxa"/>
          </w:tcPr>
          <w:p w14:paraId="0EC896EE" w14:textId="77777777" w:rsidR="001B1863" w:rsidRPr="00B33A37" w:rsidRDefault="001B1863" w:rsidP="00554832">
            <w:pPr>
              <w:jc w:val="center"/>
              <w:rPr>
                <w:rFonts w:asciiTheme="minorHAnsi" w:eastAsia="Times New Roman" w:hAnsiTheme="minorHAnsi" w:cs="Times New Roman"/>
                <w:b w:val="0"/>
                <w:color w:val="000000"/>
                <w:sz w:val="18"/>
                <w:szCs w:val="18"/>
                <w:lang w:eastAsia="en-AU"/>
              </w:rPr>
            </w:pPr>
            <w:r w:rsidRPr="00B33A37">
              <w:rPr>
                <w:rFonts w:asciiTheme="minorHAnsi" w:eastAsia="Times New Roman" w:hAnsiTheme="minorHAnsi" w:cs="Times New Roman"/>
                <w:b w:val="0"/>
                <w:color w:val="000000"/>
                <w:sz w:val="18"/>
                <w:szCs w:val="18"/>
                <w:lang w:eastAsia="en-AU"/>
              </w:rPr>
              <w:t>2013</w:t>
            </w:r>
          </w:p>
        </w:tc>
        <w:tc>
          <w:tcPr>
            <w:tcW w:w="1462" w:type="dxa"/>
          </w:tcPr>
          <w:p w14:paraId="4052F244"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16958</w:t>
            </w:r>
          </w:p>
        </w:tc>
        <w:tc>
          <w:tcPr>
            <w:tcW w:w="1463" w:type="dxa"/>
          </w:tcPr>
          <w:p w14:paraId="4924F152"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64811</w:t>
            </w:r>
          </w:p>
        </w:tc>
        <w:tc>
          <w:tcPr>
            <w:tcW w:w="2412" w:type="dxa"/>
          </w:tcPr>
          <w:p w14:paraId="294AAFBB"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5924</w:t>
            </w:r>
          </w:p>
        </w:tc>
        <w:tc>
          <w:tcPr>
            <w:tcW w:w="2412" w:type="dxa"/>
          </w:tcPr>
          <w:p w14:paraId="314463B7"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87693</w:t>
            </w:r>
          </w:p>
        </w:tc>
      </w:tr>
      <w:tr w:rsidR="001B1863" w:rsidRPr="009B6364" w14:paraId="30F63C4F" w14:textId="77777777" w:rsidTr="005548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tcPr>
          <w:p w14:paraId="77BFB44F" w14:textId="77777777" w:rsidR="001B1863" w:rsidRPr="00B33A37" w:rsidRDefault="001B1863" w:rsidP="00554832">
            <w:pPr>
              <w:jc w:val="center"/>
              <w:rPr>
                <w:rFonts w:asciiTheme="minorHAnsi" w:eastAsia="Times New Roman" w:hAnsiTheme="minorHAnsi" w:cs="Times New Roman"/>
                <w:b w:val="0"/>
                <w:color w:val="000000"/>
                <w:sz w:val="18"/>
                <w:szCs w:val="18"/>
                <w:lang w:eastAsia="en-AU"/>
              </w:rPr>
            </w:pPr>
            <w:r w:rsidRPr="00B33A37">
              <w:rPr>
                <w:rFonts w:asciiTheme="minorHAnsi" w:eastAsia="Times New Roman" w:hAnsiTheme="minorHAnsi" w:cs="Times New Roman"/>
                <w:b w:val="0"/>
                <w:color w:val="000000"/>
                <w:sz w:val="18"/>
                <w:szCs w:val="18"/>
                <w:lang w:eastAsia="en-AU"/>
              </w:rPr>
              <w:t>2014</w:t>
            </w:r>
          </w:p>
        </w:tc>
        <w:tc>
          <w:tcPr>
            <w:tcW w:w="1462" w:type="dxa"/>
          </w:tcPr>
          <w:p w14:paraId="107530B7"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20295</w:t>
            </w:r>
          </w:p>
        </w:tc>
        <w:tc>
          <w:tcPr>
            <w:tcW w:w="1463" w:type="dxa"/>
          </w:tcPr>
          <w:p w14:paraId="7ADA9340"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18445</w:t>
            </w:r>
          </w:p>
        </w:tc>
        <w:tc>
          <w:tcPr>
            <w:tcW w:w="2412" w:type="dxa"/>
          </w:tcPr>
          <w:p w14:paraId="2E4FF5FD"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19698</w:t>
            </w:r>
          </w:p>
        </w:tc>
        <w:tc>
          <w:tcPr>
            <w:tcW w:w="2412" w:type="dxa"/>
          </w:tcPr>
          <w:p w14:paraId="4C9CA86D"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58438</w:t>
            </w:r>
          </w:p>
        </w:tc>
      </w:tr>
      <w:tr w:rsidR="001B1863" w:rsidRPr="009B6364" w14:paraId="4E5E3C4C" w14:textId="77777777" w:rsidTr="00554832">
        <w:trPr>
          <w:trHeight w:val="315"/>
        </w:trPr>
        <w:tc>
          <w:tcPr>
            <w:cnfStyle w:val="001000000000" w:firstRow="0" w:lastRow="0" w:firstColumn="1" w:lastColumn="0" w:oddVBand="0" w:evenVBand="0" w:oddHBand="0" w:evenHBand="0" w:firstRowFirstColumn="0" w:firstRowLastColumn="0" w:lastRowFirstColumn="0" w:lastRowLastColumn="0"/>
            <w:tcW w:w="1462" w:type="dxa"/>
          </w:tcPr>
          <w:p w14:paraId="71746CF3" w14:textId="77777777" w:rsidR="001B1863" w:rsidRPr="00B33A37" w:rsidRDefault="001B1863" w:rsidP="00554832">
            <w:pPr>
              <w:jc w:val="center"/>
              <w:rPr>
                <w:rFonts w:asciiTheme="minorHAnsi" w:eastAsia="Times New Roman" w:hAnsiTheme="minorHAnsi" w:cs="Times New Roman"/>
                <w:b w:val="0"/>
                <w:color w:val="000000"/>
                <w:sz w:val="18"/>
                <w:szCs w:val="18"/>
                <w:lang w:eastAsia="en-AU"/>
              </w:rPr>
            </w:pPr>
            <w:r w:rsidRPr="00B33A37">
              <w:rPr>
                <w:rFonts w:asciiTheme="minorHAnsi" w:eastAsia="Times New Roman" w:hAnsiTheme="minorHAnsi" w:cs="Times New Roman"/>
                <w:b w:val="0"/>
                <w:color w:val="000000"/>
                <w:sz w:val="18"/>
                <w:szCs w:val="18"/>
                <w:lang w:eastAsia="en-AU"/>
              </w:rPr>
              <w:t>2015</w:t>
            </w:r>
          </w:p>
        </w:tc>
        <w:tc>
          <w:tcPr>
            <w:tcW w:w="1462" w:type="dxa"/>
          </w:tcPr>
          <w:p w14:paraId="1A84A6B5"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30475</w:t>
            </w:r>
          </w:p>
        </w:tc>
        <w:tc>
          <w:tcPr>
            <w:tcW w:w="1463" w:type="dxa"/>
          </w:tcPr>
          <w:p w14:paraId="6DFC2DF7"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18166</w:t>
            </w:r>
          </w:p>
        </w:tc>
        <w:tc>
          <w:tcPr>
            <w:tcW w:w="2412" w:type="dxa"/>
          </w:tcPr>
          <w:p w14:paraId="7E7C501E"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3182</w:t>
            </w:r>
          </w:p>
        </w:tc>
        <w:tc>
          <w:tcPr>
            <w:tcW w:w="2412" w:type="dxa"/>
          </w:tcPr>
          <w:p w14:paraId="021A849D"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51823</w:t>
            </w:r>
          </w:p>
        </w:tc>
      </w:tr>
      <w:tr w:rsidR="001B1863" w:rsidRPr="009B6364" w14:paraId="3EF1CFA2" w14:textId="77777777" w:rsidTr="005548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2" w:type="dxa"/>
          </w:tcPr>
          <w:p w14:paraId="103C1179" w14:textId="77777777" w:rsidR="001B1863" w:rsidRPr="00B33A37" w:rsidRDefault="001B1863" w:rsidP="00554832">
            <w:pPr>
              <w:jc w:val="center"/>
              <w:rPr>
                <w:rFonts w:asciiTheme="minorHAnsi" w:eastAsia="Times New Roman" w:hAnsiTheme="minorHAnsi" w:cs="Times New Roman"/>
                <w:b w:val="0"/>
                <w:color w:val="000000"/>
                <w:sz w:val="18"/>
                <w:szCs w:val="18"/>
                <w:lang w:eastAsia="en-AU"/>
              </w:rPr>
            </w:pPr>
            <w:r w:rsidRPr="00B33A37">
              <w:rPr>
                <w:rFonts w:asciiTheme="minorHAnsi" w:eastAsia="Times New Roman" w:hAnsiTheme="minorHAnsi" w:cs="Times New Roman"/>
                <w:b w:val="0"/>
                <w:color w:val="000000"/>
                <w:sz w:val="18"/>
                <w:szCs w:val="18"/>
                <w:lang w:eastAsia="en-AU"/>
              </w:rPr>
              <w:t>2016</w:t>
            </w:r>
          </w:p>
        </w:tc>
        <w:tc>
          <w:tcPr>
            <w:tcW w:w="1462" w:type="dxa"/>
          </w:tcPr>
          <w:p w14:paraId="6B76FB9D"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15214</w:t>
            </w:r>
          </w:p>
        </w:tc>
        <w:tc>
          <w:tcPr>
            <w:tcW w:w="1463" w:type="dxa"/>
          </w:tcPr>
          <w:p w14:paraId="4E9F99C4"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12398</w:t>
            </w:r>
          </w:p>
        </w:tc>
        <w:tc>
          <w:tcPr>
            <w:tcW w:w="2412" w:type="dxa"/>
          </w:tcPr>
          <w:p w14:paraId="5BDAC50D"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697</w:t>
            </w:r>
          </w:p>
        </w:tc>
        <w:tc>
          <w:tcPr>
            <w:tcW w:w="2412" w:type="dxa"/>
          </w:tcPr>
          <w:p w14:paraId="72C65D2F"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28309</w:t>
            </w:r>
          </w:p>
        </w:tc>
      </w:tr>
      <w:tr w:rsidR="001B1863" w:rsidRPr="009B6364" w14:paraId="242D2C83" w14:textId="77777777" w:rsidTr="00554832">
        <w:trPr>
          <w:trHeight w:val="315"/>
        </w:trPr>
        <w:tc>
          <w:tcPr>
            <w:cnfStyle w:val="001000000000" w:firstRow="0" w:lastRow="0" w:firstColumn="1" w:lastColumn="0" w:oddVBand="0" w:evenVBand="0" w:oddHBand="0" w:evenHBand="0" w:firstRowFirstColumn="0" w:firstRowLastColumn="0" w:lastRowFirstColumn="0" w:lastRowLastColumn="0"/>
            <w:tcW w:w="1462" w:type="dxa"/>
          </w:tcPr>
          <w:p w14:paraId="5DB7418E" w14:textId="685B4C4A" w:rsidR="001B1863" w:rsidRPr="00B33A37" w:rsidRDefault="00F928A8" w:rsidP="00F928A8">
            <w:pPr>
              <w:jc w:val="center"/>
              <w:rPr>
                <w:rFonts w:asciiTheme="minorHAnsi" w:eastAsia="Times New Roman" w:hAnsiTheme="minorHAnsi" w:cs="Times New Roman"/>
                <w:b w:val="0"/>
                <w:color w:val="000000"/>
                <w:sz w:val="18"/>
                <w:szCs w:val="18"/>
                <w:lang w:eastAsia="en-AU"/>
              </w:rPr>
            </w:pPr>
            <w:r>
              <w:rPr>
                <w:rFonts w:asciiTheme="minorHAnsi" w:eastAsia="Times New Roman" w:hAnsiTheme="minorHAnsi" w:cs="Times New Roman"/>
                <w:b w:val="0"/>
                <w:color w:val="000000"/>
                <w:sz w:val="18"/>
                <w:szCs w:val="18"/>
                <w:lang w:eastAsia="en-AU"/>
              </w:rPr>
              <w:t>Ecosystem/segment score</w:t>
            </w:r>
          </w:p>
        </w:tc>
        <w:tc>
          <w:tcPr>
            <w:tcW w:w="1462" w:type="dxa"/>
          </w:tcPr>
          <w:p w14:paraId="5A5ADE45"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Pr>
                <w:rFonts w:asciiTheme="minorHAnsi" w:eastAsia="Times New Roman" w:hAnsiTheme="minorHAnsi" w:cs="Times New Roman"/>
                <w:color w:val="000000"/>
                <w:sz w:val="18"/>
                <w:szCs w:val="18"/>
                <w:lang w:eastAsia="en-AU"/>
              </w:rPr>
              <w:t>0</w:t>
            </w:r>
          </w:p>
        </w:tc>
        <w:tc>
          <w:tcPr>
            <w:tcW w:w="1463" w:type="dxa"/>
          </w:tcPr>
          <w:p w14:paraId="6B0DD64E"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Pr>
                <w:rFonts w:asciiTheme="minorHAnsi" w:eastAsia="Times New Roman" w:hAnsiTheme="minorHAnsi" w:cs="Times New Roman"/>
                <w:color w:val="000000"/>
                <w:sz w:val="18"/>
                <w:szCs w:val="18"/>
                <w:lang w:eastAsia="en-AU"/>
              </w:rPr>
              <w:t>0</w:t>
            </w:r>
          </w:p>
        </w:tc>
        <w:tc>
          <w:tcPr>
            <w:tcW w:w="2412" w:type="dxa"/>
          </w:tcPr>
          <w:p w14:paraId="0CE354FE"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Pr>
                <w:rFonts w:asciiTheme="minorHAnsi" w:eastAsia="Times New Roman" w:hAnsiTheme="minorHAnsi" w:cs="Times New Roman"/>
                <w:color w:val="000000"/>
                <w:sz w:val="18"/>
                <w:szCs w:val="18"/>
                <w:lang w:eastAsia="en-AU"/>
              </w:rPr>
              <w:t>0</w:t>
            </w:r>
          </w:p>
        </w:tc>
        <w:tc>
          <w:tcPr>
            <w:tcW w:w="2412" w:type="dxa"/>
          </w:tcPr>
          <w:p w14:paraId="084041E9"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Pr>
                <w:rFonts w:asciiTheme="minorHAnsi" w:eastAsia="Times New Roman" w:hAnsiTheme="minorHAnsi" w:cs="Times New Roman"/>
                <w:color w:val="000000"/>
                <w:sz w:val="18"/>
                <w:szCs w:val="18"/>
                <w:lang w:eastAsia="en-AU"/>
              </w:rPr>
              <w:t>1</w:t>
            </w:r>
          </w:p>
        </w:tc>
      </w:tr>
      <w:tr w:rsidR="001B1863" w:rsidRPr="009B6364" w14:paraId="2B76DA1C" w14:textId="77777777" w:rsidTr="005548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99" w:type="dxa"/>
            <w:gridSpan w:val="4"/>
          </w:tcPr>
          <w:p w14:paraId="2073DFF2" w14:textId="32768385" w:rsidR="001B1863" w:rsidRPr="000A2610" w:rsidRDefault="00744F28" w:rsidP="00F928A8">
            <w:pPr>
              <w:jc w:val="left"/>
              <w:rPr>
                <w:rFonts w:asciiTheme="minorHAnsi" w:eastAsia="Times New Roman" w:hAnsiTheme="minorHAnsi" w:cs="Times New Roman"/>
                <w:b w:val="0"/>
                <w:color w:val="000000"/>
                <w:sz w:val="18"/>
                <w:szCs w:val="18"/>
                <w:lang w:eastAsia="en-AU"/>
              </w:rPr>
            </w:pPr>
            <w:r>
              <w:rPr>
                <w:rFonts w:asciiTheme="minorHAnsi" w:eastAsia="Times New Roman" w:hAnsiTheme="minorHAnsi" w:cs="Times New Roman"/>
                <w:color w:val="000000"/>
                <w:sz w:val="18"/>
                <w:szCs w:val="18"/>
                <w:lang w:eastAsia="en-AU"/>
              </w:rPr>
              <w:t>Waterbird abundance</w:t>
            </w:r>
            <w:r w:rsidR="00F928A8">
              <w:rPr>
                <w:rFonts w:asciiTheme="minorHAnsi" w:eastAsia="Times New Roman" w:hAnsiTheme="minorHAnsi" w:cs="Times New Roman"/>
                <w:color w:val="000000"/>
                <w:sz w:val="18"/>
                <w:szCs w:val="18"/>
                <w:lang w:eastAsia="en-AU"/>
              </w:rPr>
              <w:t xml:space="preserve"> aggregated</w:t>
            </w:r>
            <w:r w:rsidR="00292202">
              <w:rPr>
                <w:rFonts w:asciiTheme="minorHAnsi" w:eastAsia="Times New Roman" w:hAnsiTheme="minorHAnsi" w:cs="Times New Roman"/>
                <w:color w:val="000000"/>
                <w:sz w:val="18"/>
                <w:szCs w:val="18"/>
                <w:lang w:eastAsia="en-AU"/>
              </w:rPr>
              <w:t xml:space="preserve"> and harmonised</w:t>
            </w:r>
            <w:r w:rsidR="00F928A8">
              <w:rPr>
                <w:rFonts w:asciiTheme="minorHAnsi" w:eastAsia="Times New Roman" w:hAnsiTheme="minorHAnsi" w:cs="Times New Roman"/>
                <w:color w:val="000000"/>
                <w:sz w:val="18"/>
                <w:szCs w:val="18"/>
                <w:lang w:eastAsia="en-AU"/>
              </w:rPr>
              <w:t xml:space="preserve"> </w:t>
            </w:r>
            <w:r w:rsidR="0082666C">
              <w:rPr>
                <w:rFonts w:asciiTheme="minorHAnsi" w:eastAsia="Times New Roman" w:hAnsiTheme="minorHAnsi" w:cs="Times New Roman"/>
                <w:color w:val="000000"/>
                <w:sz w:val="18"/>
                <w:szCs w:val="18"/>
                <w:lang w:eastAsia="en-AU"/>
              </w:rPr>
              <w:t xml:space="preserve">– whole of assessment unit </w:t>
            </w:r>
          </w:p>
        </w:tc>
        <w:tc>
          <w:tcPr>
            <w:tcW w:w="2412" w:type="dxa"/>
          </w:tcPr>
          <w:p w14:paraId="18631059" w14:textId="1B3EC8AB" w:rsidR="001B1863" w:rsidRPr="000A2610" w:rsidRDefault="00744F28"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000000"/>
                <w:sz w:val="18"/>
                <w:szCs w:val="18"/>
                <w:lang w:eastAsia="en-AU"/>
              </w:rPr>
            </w:pPr>
            <w:r>
              <w:rPr>
                <w:rFonts w:asciiTheme="minorHAnsi" w:eastAsia="Times New Roman" w:hAnsiTheme="minorHAnsi" w:cs="Times New Roman"/>
                <w:b/>
                <w:color w:val="000000"/>
                <w:sz w:val="18"/>
                <w:szCs w:val="18"/>
                <w:lang w:eastAsia="en-AU"/>
              </w:rPr>
              <w:t>1</w:t>
            </w:r>
          </w:p>
        </w:tc>
      </w:tr>
    </w:tbl>
    <w:p w14:paraId="099A2B5B" w14:textId="77777777" w:rsidR="001B1863" w:rsidRDefault="001B1863" w:rsidP="001B1863"/>
    <w:p w14:paraId="7A7E0AF6" w14:textId="3EF3BD10" w:rsidR="001B1863" w:rsidRDefault="001B1863" w:rsidP="001B1863">
      <w:r>
        <w:t xml:space="preserve">The </w:t>
      </w:r>
      <w:r w:rsidR="00A266BE">
        <w:t>LAC</w:t>
      </w:r>
      <w:r>
        <w:t xml:space="preserve"> for commercial crab catches is “m</w:t>
      </w:r>
      <w:r w:rsidRPr="000A2610">
        <w:t>edian CPUE for blue swimmer crabs should not drop below 1.0 kg/trap lift per annum (based on commercial fishing).</w:t>
      </w:r>
      <w:r>
        <w:t>” The integrated score is calculated by averaging compliance with the LAC over the five year assessment period. C</w:t>
      </w:r>
      <w:r w:rsidRPr="00FE67D5">
        <w:t>ompliance with the LAC is assigned a score of 1 and non-compliance is assigned a score of 0</w:t>
      </w:r>
      <w:r>
        <w:t xml:space="preserve"> (</w:t>
      </w:r>
      <w:r w:rsidR="003B3E35">
        <w:fldChar w:fldCharType="begin"/>
      </w:r>
      <w:r w:rsidR="003B3E35">
        <w:instrText xml:space="preserve"> REF _Ref486502668 \h </w:instrText>
      </w:r>
      <w:r w:rsidR="003B3E35">
        <w:fldChar w:fldCharType="separate"/>
      </w:r>
      <w:r w:rsidR="003B3E35">
        <w:t xml:space="preserve">Table B </w:t>
      </w:r>
      <w:r w:rsidR="003B3E35">
        <w:rPr>
          <w:noProof/>
        </w:rPr>
        <w:t>15</w:t>
      </w:r>
      <w:r w:rsidR="003B3E35">
        <w:fldChar w:fldCharType="end"/>
      </w:r>
      <w:r>
        <w:t>).</w:t>
      </w:r>
    </w:p>
    <w:p w14:paraId="50777574" w14:textId="17A508DD" w:rsidR="001B1863" w:rsidRPr="009B6364" w:rsidRDefault="003B3E35" w:rsidP="003B3E35">
      <w:pPr>
        <w:pStyle w:val="Caption"/>
      </w:pPr>
      <w:bookmarkStart w:id="169" w:name="_Ref486502668"/>
      <w:r>
        <w:t xml:space="preserve">Table B </w:t>
      </w:r>
      <w:fldSimple w:instr=" SEQ Table_B \* ARABIC ">
        <w:r w:rsidR="00FD50A9">
          <w:rPr>
            <w:noProof/>
          </w:rPr>
          <w:t>15</w:t>
        </w:r>
      </w:fldSimple>
      <w:bookmarkEnd w:id="169"/>
      <w:r w:rsidR="0036657A">
        <w:rPr>
          <w:noProof/>
        </w:rPr>
        <w:t>:</w:t>
      </w:r>
      <w:r>
        <w:t xml:space="preserve"> </w:t>
      </w:r>
      <w:r w:rsidR="00E52ED5">
        <w:t xml:space="preserve">Level 1 </w:t>
      </w:r>
      <w:r w:rsidR="001B1863">
        <w:t>Integrated IECA score for services</w:t>
      </w:r>
      <w:r w:rsidR="001B1863" w:rsidRPr="009B6364">
        <w:t>.</w:t>
      </w:r>
    </w:p>
    <w:tbl>
      <w:tblPr>
        <w:tblStyle w:val="LightList-Accent2"/>
        <w:tblW w:w="5000" w:type="pct"/>
        <w:tblLook w:val="04A0" w:firstRow="1" w:lastRow="0" w:firstColumn="1" w:lastColumn="0" w:noHBand="0" w:noVBand="1"/>
      </w:tblPr>
      <w:tblGrid>
        <w:gridCol w:w="2257"/>
        <w:gridCol w:w="3375"/>
        <w:gridCol w:w="3374"/>
      </w:tblGrid>
      <w:tr w:rsidR="00554832" w:rsidRPr="00554832" w14:paraId="52A5A014" w14:textId="77777777" w:rsidTr="00E52ED5">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53" w:type="pct"/>
            <w:hideMark/>
          </w:tcPr>
          <w:p w14:paraId="11E1C72C" w14:textId="77777777" w:rsidR="001B1863" w:rsidRPr="00554832" w:rsidRDefault="001B1863" w:rsidP="00554832">
            <w:pPr>
              <w:jc w:val="center"/>
              <w:rPr>
                <w:rFonts w:asciiTheme="minorHAnsi" w:eastAsia="Times New Roman" w:hAnsiTheme="minorHAnsi" w:cs="Times New Roman"/>
                <w:sz w:val="18"/>
                <w:szCs w:val="18"/>
                <w:lang w:eastAsia="en-AU"/>
              </w:rPr>
            </w:pPr>
            <w:r w:rsidRPr="00554832">
              <w:rPr>
                <w:rFonts w:asciiTheme="minorHAnsi" w:eastAsia="Times New Roman" w:hAnsiTheme="minorHAnsi" w:cs="Times New Roman"/>
                <w:sz w:val="18"/>
                <w:szCs w:val="18"/>
                <w:lang w:eastAsia="en-AU"/>
              </w:rPr>
              <w:t>Year</w:t>
            </w:r>
          </w:p>
        </w:tc>
        <w:tc>
          <w:tcPr>
            <w:tcW w:w="1873" w:type="pct"/>
            <w:hideMark/>
          </w:tcPr>
          <w:p w14:paraId="1DA2A945" w14:textId="77777777" w:rsidR="001B1863" w:rsidRPr="00554832" w:rsidRDefault="001B1863" w:rsidP="005548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en-AU"/>
              </w:rPr>
            </w:pPr>
            <w:r w:rsidRPr="00554832">
              <w:rPr>
                <w:rFonts w:asciiTheme="minorHAnsi" w:eastAsia="Times New Roman" w:hAnsiTheme="minorHAnsi" w:cs="Times New Roman"/>
                <w:sz w:val="18"/>
                <w:szCs w:val="18"/>
                <w:lang w:eastAsia="en-AU"/>
              </w:rPr>
              <w:t>CPUE (kg / trap)</w:t>
            </w:r>
          </w:p>
        </w:tc>
        <w:tc>
          <w:tcPr>
            <w:tcW w:w="1873" w:type="pct"/>
          </w:tcPr>
          <w:p w14:paraId="04447E15" w14:textId="2479085F" w:rsidR="001B1863" w:rsidRPr="00554832" w:rsidRDefault="001B1863" w:rsidP="00C2605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en-AU"/>
              </w:rPr>
            </w:pPr>
            <w:r w:rsidRPr="00554832">
              <w:rPr>
                <w:rFonts w:asciiTheme="minorHAnsi" w:eastAsia="Times New Roman" w:hAnsiTheme="minorHAnsi" w:cs="Times New Roman"/>
                <w:sz w:val="18"/>
                <w:szCs w:val="18"/>
                <w:lang w:eastAsia="en-AU"/>
              </w:rPr>
              <w:t xml:space="preserve">Crab </w:t>
            </w:r>
            <w:r w:rsidR="00C2605E">
              <w:rPr>
                <w:rFonts w:asciiTheme="minorHAnsi" w:eastAsia="Times New Roman" w:hAnsiTheme="minorHAnsi" w:cs="Times New Roman"/>
                <w:sz w:val="18"/>
                <w:szCs w:val="18"/>
                <w:lang w:eastAsia="en-AU"/>
              </w:rPr>
              <w:t>indicator</w:t>
            </w:r>
          </w:p>
        </w:tc>
      </w:tr>
      <w:tr w:rsidR="001B1863" w:rsidRPr="009B6364" w14:paraId="0B9A008B" w14:textId="77777777" w:rsidTr="00E52ED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3" w:type="pct"/>
            <w:hideMark/>
          </w:tcPr>
          <w:p w14:paraId="36FAFECD" w14:textId="77777777" w:rsidR="001B1863" w:rsidRPr="00B33A37" w:rsidRDefault="001B1863" w:rsidP="00554832">
            <w:pPr>
              <w:jc w:val="center"/>
              <w:rPr>
                <w:rFonts w:asciiTheme="minorHAnsi" w:eastAsia="Times New Roman" w:hAnsiTheme="minorHAnsi" w:cs="Times New Roman"/>
                <w:b w:val="0"/>
                <w:color w:val="000000"/>
                <w:sz w:val="18"/>
                <w:szCs w:val="18"/>
                <w:lang w:eastAsia="en-AU"/>
              </w:rPr>
            </w:pPr>
            <w:r w:rsidRPr="00B33A37">
              <w:rPr>
                <w:rFonts w:asciiTheme="minorHAnsi" w:eastAsia="Times New Roman" w:hAnsiTheme="minorHAnsi" w:cs="Times New Roman"/>
                <w:b w:val="0"/>
                <w:color w:val="000000"/>
                <w:sz w:val="18"/>
                <w:szCs w:val="18"/>
                <w:lang w:eastAsia="en-AU"/>
              </w:rPr>
              <w:t>2011</w:t>
            </w:r>
          </w:p>
        </w:tc>
        <w:tc>
          <w:tcPr>
            <w:tcW w:w="1873" w:type="pct"/>
            <w:hideMark/>
          </w:tcPr>
          <w:p w14:paraId="560DC8A7"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1.3</w:t>
            </w:r>
          </w:p>
        </w:tc>
        <w:tc>
          <w:tcPr>
            <w:tcW w:w="1873" w:type="pct"/>
          </w:tcPr>
          <w:p w14:paraId="69D781C3"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Pr>
                <w:rFonts w:asciiTheme="minorHAnsi" w:eastAsia="Times New Roman" w:hAnsiTheme="minorHAnsi" w:cs="Times New Roman"/>
                <w:color w:val="000000"/>
                <w:sz w:val="18"/>
                <w:szCs w:val="18"/>
                <w:lang w:eastAsia="en-AU"/>
              </w:rPr>
              <w:t>1</w:t>
            </w:r>
          </w:p>
        </w:tc>
      </w:tr>
      <w:tr w:rsidR="001B1863" w:rsidRPr="009B6364" w14:paraId="788D47C6" w14:textId="77777777" w:rsidTr="00E52ED5">
        <w:trPr>
          <w:trHeight w:val="315"/>
        </w:trPr>
        <w:tc>
          <w:tcPr>
            <w:cnfStyle w:val="001000000000" w:firstRow="0" w:lastRow="0" w:firstColumn="1" w:lastColumn="0" w:oddVBand="0" w:evenVBand="0" w:oddHBand="0" w:evenHBand="0" w:firstRowFirstColumn="0" w:firstRowLastColumn="0" w:lastRowFirstColumn="0" w:lastRowLastColumn="0"/>
            <w:tcW w:w="1253" w:type="pct"/>
            <w:hideMark/>
          </w:tcPr>
          <w:p w14:paraId="2E137AC9" w14:textId="77777777" w:rsidR="001B1863" w:rsidRPr="00B33A37" w:rsidRDefault="001B1863" w:rsidP="00554832">
            <w:pPr>
              <w:jc w:val="center"/>
              <w:rPr>
                <w:rFonts w:asciiTheme="minorHAnsi" w:eastAsia="Times New Roman" w:hAnsiTheme="minorHAnsi" w:cs="Times New Roman"/>
                <w:b w:val="0"/>
                <w:color w:val="000000"/>
                <w:sz w:val="18"/>
                <w:szCs w:val="18"/>
                <w:lang w:eastAsia="en-AU"/>
              </w:rPr>
            </w:pPr>
            <w:r w:rsidRPr="00B33A37">
              <w:rPr>
                <w:rFonts w:asciiTheme="minorHAnsi" w:eastAsia="Times New Roman" w:hAnsiTheme="minorHAnsi" w:cs="Times New Roman"/>
                <w:b w:val="0"/>
                <w:color w:val="000000"/>
                <w:sz w:val="18"/>
                <w:szCs w:val="18"/>
                <w:lang w:eastAsia="en-AU"/>
              </w:rPr>
              <w:t>2012</w:t>
            </w:r>
          </w:p>
        </w:tc>
        <w:tc>
          <w:tcPr>
            <w:tcW w:w="1873" w:type="pct"/>
            <w:hideMark/>
          </w:tcPr>
          <w:p w14:paraId="3C5A43E4"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1.4</w:t>
            </w:r>
          </w:p>
        </w:tc>
        <w:tc>
          <w:tcPr>
            <w:tcW w:w="1873" w:type="pct"/>
          </w:tcPr>
          <w:p w14:paraId="6DEB579E"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Pr>
                <w:rFonts w:asciiTheme="minorHAnsi" w:eastAsia="Times New Roman" w:hAnsiTheme="minorHAnsi" w:cs="Times New Roman"/>
                <w:color w:val="000000"/>
                <w:sz w:val="18"/>
                <w:szCs w:val="18"/>
                <w:lang w:eastAsia="en-AU"/>
              </w:rPr>
              <w:t>1</w:t>
            </w:r>
          </w:p>
        </w:tc>
      </w:tr>
      <w:tr w:rsidR="001B1863" w:rsidRPr="009B6364" w14:paraId="597FB341" w14:textId="77777777" w:rsidTr="00E52ED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3" w:type="pct"/>
            <w:hideMark/>
          </w:tcPr>
          <w:p w14:paraId="5F076F0A" w14:textId="77777777" w:rsidR="001B1863" w:rsidRPr="00B33A37" w:rsidRDefault="001B1863" w:rsidP="00554832">
            <w:pPr>
              <w:jc w:val="center"/>
              <w:rPr>
                <w:rFonts w:asciiTheme="minorHAnsi" w:eastAsia="Times New Roman" w:hAnsiTheme="minorHAnsi" w:cs="Times New Roman"/>
                <w:b w:val="0"/>
                <w:color w:val="000000"/>
                <w:sz w:val="18"/>
                <w:szCs w:val="18"/>
                <w:lang w:eastAsia="en-AU"/>
              </w:rPr>
            </w:pPr>
            <w:r w:rsidRPr="00B33A37">
              <w:rPr>
                <w:rFonts w:asciiTheme="minorHAnsi" w:eastAsia="Times New Roman" w:hAnsiTheme="minorHAnsi" w:cs="Times New Roman"/>
                <w:b w:val="0"/>
                <w:color w:val="000000"/>
                <w:sz w:val="18"/>
                <w:szCs w:val="18"/>
                <w:lang w:eastAsia="en-AU"/>
              </w:rPr>
              <w:t>2013</w:t>
            </w:r>
          </w:p>
        </w:tc>
        <w:tc>
          <w:tcPr>
            <w:tcW w:w="1873" w:type="pct"/>
            <w:hideMark/>
          </w:tcPr>
          <w:p w14:paraId="3B3BB311"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1.4</w:t>
            </w:r>
          </w:p>
        </w:tc>
        <w:tc>
          <w:tcPr>
            <w:tcW w:w="1873" w:type="pct"/>
          </w:tcPr>
          <w:p w14:paraId="7C51643F"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Pr>
                <w:rFonts w:asciiTheme="minorHAnsi" w:eastAsia="Times New Roman" w:hAnsiTheme="minorHAnsi" w:cs="Times New Roman"/>
                <w:color w:val="000000"/>
                <w:sz w:val="18"/>
                <w:szCs w:val="18"/>
                <w:lang w:eastAsia="en-AU"/>
              </w:rPr>
              <w:t>1</w:t>
            </w:r>
          </w:p>
        </w:tc>
      </w:tr>
      <w:tr w:rsidR="001B1863" w:rsidRPr="009B6364" w14:paraId="4A148DDB" w14:textId="77777777" w:rsidTr="00E52ED5">
        <w:trPr>
          <w:trHeight w:val="315"/>
        </w:trPr>
        <w:tc>
          <w:tcPr>
            <w:cnfStyle w:val="001000000000" w:firstRow="0" w:lastRow="0" w:firstColumn="1" w:lastColumn="0" w:oddVBand="0" w:evenVBand="0" w:oddHBand="0" w:evenHBand="0" w:firstRowFirstColumn="0" w:firstRowLastColumn="0" w:lastRowFirstColumn="0" w:lastRowLastColumn="0"/>
            <w:tcW w:w="1253" w:type="pct"/>
            <w:hideMark/>
          </w:tcPr>
          <w:p w14:paraId="130CB3E3" w14:textId="77777777" w:rsidR="001B1863" w:rsidRPr="00B33A37" w:rsidRDefault="001B1863" w:rsidP="00554832">
            <w:pPr>
              <w:jc w:val="center"/>
              <w:rPr>
                <w:rFonts w:asciiTheme="minorHAnsi" w:eastAsia="Times New Roman" w:hAnsiTheme="minorHAnsi" w:cs="Times New Roman"/>
                <w:b w:val="0"/>
                <w:color w:val="000000"/>
                <w:sz w:val="18"/>
                <w:szCs w:val="18"/>
                <w:lang w:eastAsia="en-AU"/>
              </w:rPr>
            </w:pPr>
            <w:r w:rsidRPr="00B33A37">
              <w:rPr>
                <w:rFonts w:asciiTheme="minorHAnsi" w:eastAsia="Times New Roman" w:hAnsiTheme="minorHAnsi" w:cs="Times New Roman"/>
                <w:b w:val="0"/>
                <w:color w:val="000000"/>
                <w:sz w:val="18"/>
                <w:szCs w:val="18"/>
                <w:lang w:eastAsia="en-AU"/>
              </w:rPr>
              <w:t>2014</w:t>
            </w:r>
          </w:p>
        </w:tc>
        <w:tc>
          <w:tcPr>
            <w:tcW w:w="1873" w:type="pct"/>
            <w:hideMark/>
          </w:tcPr>
          <w:p w14:paraId="695DB4D3"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1.3</w:t>
            </w:r>
          </w:p>
        </w:tc>
        <w:tc>
          <w:tcPr>
            <w:tcW w:w="1873" w:type="pct"/>
          </w:tcPr>
          <w:p w14:paraId="4AEEE6AE" w14:textId="77777777" w:rsidR="001B1863" w:rsidRPr="009B6364"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en-AU"/>
              </w:rPr>
            </w:pPr>
            <w:r>
              <w:rPr>
                <w:rFonts w:asciiTheme="minorHAnsi" w:eastAsia="Times New Roman" w:hAnsiTheme="minorHAnsi" w:cs="Times New Roman"/>
                <w:color w:val="000000"/>
                <w:sz w:val="18"/>
                <w:szCs w:val="18"/>
                <w:lang w:eastAsia="en-AU"/>
              </w:rPr>
              <w:t>1</w:t>
            </w:r>
          </w:p>
        </w:tc>
      </w:tr>
      <w:tr w:rsidR="001B1863" w:rsidRPr="009B6364" w14:paraId="786228ED" w14:textId="77777777" w:rsidTr="00E52ED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3" w:type="pct"/>
            <w:hideMark/>
          </w:tcPr>
          <w:p w14:paraId="1192F2F0" w14:textId="77777777" w:rsidR="001B1863" w:rsidRPr="00B33A37" w:rsidRDefault="001B1863" w:rsidP="00554832">
            <w:pPr>
              <w:jc w:val="center"/>
              <w:rPr>
                <w:rFonts w:asciiTheme="minorHAnsi" w:eastAsia="Times New Roman" w:hAnsiTheme="minorHAnsi" w:cs="Times New Roman"/>
                <w:b w:val="0"/>
                <w:color w:val="000000"/>
                <w:sz w:val="18"/>
                <w:szCs w:val="18"/>
                <w:lang w:eastAsia="en-AU"/>
              </w:rPr>
            </w:pPr>
            <w:r w:rsidRPr="00B33A37">
              <w:rPr>
                <w:rFonts w:asciiTheme="minorHAnsi" w:eastAsia="Times New Roman" w:hAnsiTheme="minorHAnsi" w:cs="Times New Roman"/>
                <w:b w:val="0"/>
                <w:color w:val="000000"/>
                <w:sz w:val="18"/>
                <w:szCs w:val="18"/>
                <w:lang w:eastAsia="en-AU"/>
              </w:rPr>
              <w:t>2015</w:t>
            </w:r>
          </w:p>
        </w:tc>
        <w:tc>
          <w:tcPr>
            <w:tcW w:w="1873" w:type="pct"/>
            <w:hideMark/>
          </w:tcPr>
          <w:p w14:paraId="4D7E95A3"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sidRPr="009B6364">
              <w:rPr>
                <w:rFonts w:asciiTheme="minorHAnsi" w:eastAsia="Times New Roman" w:hAnsiTheme="minorHAnsi" w:cs="Times New Roman"/>
                <w:color w:val="000000"/>
                <w:sz w:val="18"/>
                <w:szCs w:val="18"/>
                <w:lang w:eastAsia="en-AU"/>
              </w:rPr>
              <w:t>1.4</w:t>
            </w:r>
          </w:p>
        </w:tc>
        <w:tc>
          <w:tcPr>
            <w:tcW w:w="1873" w:type="pct"/>
          </w:tcPr>
          <w:p w14:paraId="0C3F6DC0" w14:textId="77777777" w:rsidR="001B1863" w:rsidRPr="009B6364" w:rsidRDefault="001B1863" w:rsidP="0055483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eastAsia="en-AU"/>
              </w:rPr>
            </w:pPr>
            <w:r>
              <w:rPr>
                <w:rFonts w:asciiTheme="minorHAnsi" w:eastAsia="Times New Roman" w:hAnsiTheme="minorHAnsi" w:cs="Times New Roman"/>
                <w:color w:val="000000"/>
                <w:sz w:val="18"/>
                <w:szCs w:val="18"/>
                <w:lang w:eastAsia="en-AU"/>
              </w:rPr>
              <w:t>1</w:t>
            </w:r>
          </w:p>
        </w:tc>
      </w:tr>
      <w:tr w:rsidR="001B1863" w:rsidRPr="009B6364" w14:paraId="7378B40A" w14:textId="77777777" w:rsidTr="00E52ED5">
        <w:trPr>
          <w:trHeight w:val="315"/>
        </w:trPr>
        <w:tc>
          <w:tcPr>
            <w:cnfStyle w:val="001000000000" w:firstRow="0" w:lastRow="0" w:firstColumn="1" w:lastColumn="0" w:oddVBand="0" w:evenVBand="0" w:oddHBand="0" w:evenHBand="0" w:firstRowFirstColumn="0" w:firstRowLastColumn="0" w:lastRowFirstColumn="0" w:lastRowLastColumn="0"/>
            <w:tcW w:w="3127" w:type="pct"/>
            <w:gridSpan w:val="2"/>
          </w:tcPr>
          <w:p w14:paraId="68C9058E" w14:textId="4644E25A" w:rsidR="001B1863" w:rsidRPr="009B6364" w:rsidRDefault="00E52ED5" w:rsidP="00554832">
            <w:pPr>
              <w:jc w:val="left"/>
              <w:rPr>
                <w:rFonts w:asciiTheme="minorHAnsi" w:eastAsia="Times New Roman" w:hAnsiTheme="minorHAnsi" w:cs="Times New Roman"/>
                <w:color w:val="000000"/>
                <w:sz w:val="18"/>
                <w:szCs w:val="18"/>
                <w:lang w:eastAsia="en-AU"/>
              </w:rPr>
            </w:pPr>
            <w:r>
              <w:rPr>
                <w:rFonts w:asciiTheme="minorHAnsi" w:eastAsia="Times New Roman" w:hAnsiTheme="minorHAnsi" w:cs="Times New Roman"/>
                <w:color w:val="000000"/>
                <w:sz w:val="18"/>
                <w:szCs w:val="18"/>
                <w:lang w:eastAsia="en-AU"/>
              </w:rPr>
              <w:t xml:space="preserve">Level 1 </w:t>
            </w:r>
            <w:r w:rsidR="001B1863">
              <w:rPr>
                <w:rFonts w:asciiTheme="minorHAnsi" w:eastAsia="Times New Roman" w:hAnsiTheme="minorHAnsi" w:cs="Times New Roman"/>
                <w:color w:val="000000"/>
                <w:sz w:val="18"/>
                <w:szCs w:val="18"/>
                <w:lang w:eastAsia="en-AU"/>
              </w:rPr>
              <w:t>Integrated services score</w:t>
            </w:r>
          </w:p>
        </w:tc>
        <w:tc>
          <w:tcPr>
            <w:tcW w:w="1873" w:type="pct"/>
          </w:tcPr>
          <w:p w14:paraId="02E7035D" w14:textId="77777777" w:rsidR="001B1863" w:rsidRPr="00FE67D5" w:rsidRDefault="001B1863" w:rsidP="005548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 w:val="18"/>
                <w:szCs w:val="18"/>
                <w:lang w:eastAsia="en-AU"/>
              </w:rPr>
            </w:pPr>
            <w:r w:rsidRPr="00FE67D5">
              <w:rPr>
                <w:rFonts w:asciiTheme="minorHAnsi" w:eastAsia="Times New Roman" w:hAnsiTheme="minorHAnsi" w:cs="Times New Roman"/>
                <w:b/>
                <w:color w:val="000000"/>
                <w:sz w:val="18"/>
                <w:szCs w:val="18"/>
                <w:lang w:eastAsia="en-AU"/>
              </w:rPr>
              <w:t>1</w:t>
            </w:r>
          </w:p>
        </w:tc>
      </w:tr>
    </w:tbl>
    <w:p w14:paraId="789FD8BF" w14:textId="77777777" w:rsidR="001B1863" w:rsidRDefault="001B1863" w:rsidP="001B1863"/>
    <w:p w14:paraId="27A8E103" w14:textId="25318F64" w:rsidR="00A266BE" w:rsidRDefault="00AA3144" w:rsidP="001B1863">
      <w:r>
        <w:t xml:space="preserve">As stated above, </w:t>
      </w:r>
      <w:r w:rsidR="00A266BE">
        <w:t xml:space="preserve">a full application of IECA </w:t>
      </w:r>
      <w:r>
        <w:t>would capture</w:t>
      </w:r>
      <w:r w:rsidR="00A266BE">
        <w:t xml:space="preserve"> ad</w:t>
      </w:r>
      <w:r w:rsidR="00292202">
        <w:t>ditional data, including data on the hydrology of the lakes (groundwater and surface water), salinity, vegetation, phytoplankton</w:t>
      </w:r>
      <w:r w:rsidR="00D14A4B">
        <w:t xml:space="preserve">, threatened species, invasive species, </w:t>
      </w:r>
      <w:r w:rsidR="00292202">
        <w:t>macroalgae</w:t>
      </w:r>
      <w:r w:rsidR="00D14A4B">
        <w:t>, recreational impacts and other threating processes</w:t>
      </w:r>
      <w:r w:rsidR="00292202">
        <w:t xml:space="preserve">. </w:t>
      </w:r>
      <w:r w:rsidR="00D14A4B">
        <w:t>Many of these are monitored and contribute to assessing the ecological character of the site; but were not included in this example. In a full application, some n</w:t>
      </w:r>
      <w:r>
        <w:t>ew data would be collected, for example to assess saltmarsh in the Peel-Harvey Estuary, and possibly new thresholds set (i.e. update some of the LAC to meet current national guidelines, DEWHA 2008).</w:t>
      </w:r>
      <w:r w:rsidR="00292202">
        <w:t xml:space="preserve"> </w:t>
      </w:r>
      <w:r w:rsidR="00D14A4B">
        <w:fldChar w:fldCharType="begin"/>
      </w:r>
      <w:r w:rsidR="00D14A4B">
        <w:instrText xml:space="preserve"> REF _Ref486603814 \h </w:instrText>
      </w:r>
      <w:r w:rsidR="00D14A4B">
        <w:fldChar w:fldCharType="separate"/>
      </w:r>
      <w:r w:rsidR="00D14A4B">
        <w:t xml:space="preserve">Figure B </w:t>
      </w:r>
      <w:r w:rsidR="00D14A4B">
        <w:rPr>
          <w:noProof/>
        </w:rPr>
        <w:t>7</w:t>
      </w:r>
      <w:r w:rsidR="00D14A4B">
        <w:fldChar w:fldCharType="end"/>
      </w:r>
      <w:r w:rsidR="00D14A4B">
        <w:t xml:space="preserve"> and </w:t>
      </w:r>
      <w:r w:rsidR="00D14A4B">
        <w:lastRenderedPageBreak/>
        <w:fldChar w:fldCharType="begin"/>
      </w:r>
      <w:r w:rsidR="00D14A4B">
        <w:instrText xml:space="preserve"> REF _Ref486603816 \h </w:instrText>
      </w:r>
      <w:r w:rsidR="00D14A4B">
        <w:fldChar w:fldCharType="separate"/>
      </w:r>
      <w:r w:rsidR="00D14A4B">
        <w:t xml:space="preserve">Figure B </w:t>
      </w:r>
      <w:r w:rsidR="00D14A4B">
        <w:rPr>
          <w:noProof/>
        </w:rPr>
        <w:t>8</w:t>
      </w:r>
      <w:r w:rsidR="00D14A4B">
        <w:fldChar w:fldCharType="end"/>
      </w:r>
      <w:r w:rsidR="00D14A4B">
        <w:t xml:space="preserve"> present a possible set of indicators relating to assessment of condition, and threats to, the priority ecological values of the site. </w:t>
      </w:r>
    </w:p>
    <w:p w14:paraId="706673C6" w14:textId="1152C800" w:rsidR="003258E4" w:rsidRDefault="00064AA7" w:rsidP="001B1863">
      <w:r>
        <w:rPr>
          <w:noProof/>
          <w:lang w:eastAsia="en-AU"/>
        </w:rPr>
        <w:drawing>
          <wp:inline distT="0" distB="0" distL="0" distR="0" wp14:anchorId="2FCF625F" wp14:editId="11AC27A4">
            <wp:extent cx="5731510" cy="517080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 integrated levels.png"/>
                    <pic:cNvPicPr/>
                  </pic:nvPicPr>
                  <pic:blipFill>
                    <a:blip r:embed="rId105">
                      <a:extLst>
                        <a:ext uri="{28A0092B-C50C-407E-A947-70E740481C1C}">
                          <a14:useLocalDpi xmlns:a14="http://schemas.microsoft.com/office/drawing/2010/main" val="0"/>
                        </a:ext>
                      </a:extLst>
                    </a:blip>
                    <a:stretch>
                      <a:fillRect/>
                    </a:stretch>
                  </pic:blipFill>
                  <pic:spPr>
                    <a:xfrm>
                      <a:off x="0" y="0"/>
                      <a:ext cx="5731510" cy="5170805"/>
                    </a:xfrm>
                    <a:prstGeom prst="rect">
                      <a:avLst/>
                    </a:prstGeom>
                  </pic:spPr>
                </pic:pic>
              </a:graphicData>
            </a:graphic>
          </wp:inline>
        </w:drawing>
      </w:r>
    </w:p>
    <w:p w14:paraId="7E0DB25E" w14:textId="00067383" w:rsidR="003258E4" w:rsidRDefault="003258E4" w:rsidP="003258E4">
      <w:pPr>
        <w:pStyle w:val="Caption"/>
      </w:pPr>
      <w:bookmarkStart w:id="170" w:name="_Ref486603814"/>
      <w:r>
        <w:t xml:space="preserve">Figure B </w:t>
      </w:r>
      <w:fldSimple w:instr=" SEQ Figure_B \* ARABIC ">
        <w:r w:rsidR="00CB6D08">
          <w:rPr>
            <w:noProof/>
          </w:rPr>
          <w:t>7</w:t>
        </w:r>
      </w:fldSimple>
      <w:bookmarkEnd w:id="170"/>
      <w:r w:rsidR="00FD50A9">
        <w:rPr>
          <w:noProof/>
        </w:rPr>
        <w:t>:</w:t>
      </w:r>
      <w:r>
        <w:t xml:space="preserve"> Illustration of integration </w:t>
      </w:r>
      <w:r w:rsidR="00064AA7">
        <w:t>for</w:t>
      </w:r>
      <w:r>
        <w:t xml:space="preserve"> condition </w:t>
      </w:r>
      <w:r w:rsidR="00064AA7">
        <w:t>indicators</w:t>
      </w:r>
      <w:r>
        <w:t xml:space="preserve"> for the Peel-Yalgorup Ramsar site. Shaded boxes represent the output for indicators used in the case </w:t>
      </w:r>
      <w:r w:rsidR="00064AA7">
        <w:t>STUDY;</w:t>
      </w:r>
      <w:r>
        <w:t xml:space="preserve"> the white boxes </w:t>
      </w:r>
      <w:r w:rsidR="00DC259F">
        <w:t>are</w:t>
      </w:r>
      <w:r>
        <w:t xml:space="preserve"> an example of the </w:t>
      </w:r>
      <w:r w:rsidR="00DC259F">
        <w:t>possible</w:t>
      </w:r>
      <w:r>
        <w:t xml:space="preserve"> range of condition indicators that could be included in an assessment – which would change the Level 1 and 2 Integrated scores.</w:t>
      </w:r>
    </w:p>
    <w:p w14:paraId="672A84FB" w14:textId="77777777" w:rsidR="00064AA7" w:rsidRDefault="00064AA7" w:rsidP="001B1863">
      <w:pPr>
        <w:rPr>
          <w:noProof/>
          <w:lang w:eastAsia="en-AU"/>
        </w:rPr>
      </w:pPr>
    </w:p>
    <w:p w14:paraId="25747648" w14:textId="47B9FEFB" w:rsidR="003258E4" w:rsidRDefault="00064AA7" w:rsidP="001B1863">
      <w:r>
        <w:rPr>
          <w:noProof/>
          <w:lang w:eastAsia="en-AU"/>
        </w:rPr>
        <w:lastRenderedPageBreak/>
        <w:drawing>
          <wp:inline distT="0" distB="0" distL="0" distR="0" wp14:anchorId="4577C63D" wp14:editId="66CD25A8">
            <wp:extent cx="5731510" cy="379857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 integrated threat levels.png"/>
                    <pic:cNvPicPr/>
                  </pic:nvPicPr>
                  <pic:blipFill>
                    <a:blip r:embed="rId106">
                      <a:extLst>
                        <a:ext uri="{28A0092B-C50C-407E-A947-70E740481C1C}">
                          <a14:useLocalDpi xmlns:a14="http://schemas.microsoft.com/office/drawing/2010/main" val="0"/>
                        </a:ext>
                      </a:extLst>
                    </a:blip>
                    <a:stretch>
                      <a:fillRect/>
                    </a:stretch>
                  </pic:blipFill>
                  <pic:spPr>
                    <a:xfrm>
                      <a:off x="0" y="0"/>
                      <a:ext cx="5731510" cy="3798570"/>
                    </a:xfrm>
                    <a:prstGeom prst="rect">
                      <a:avLst/>
                    </a:prstGeom>
                  </pic:spPr>
                </pic:pic>
              </a:graphicData>
            </a:graphic>
          </wp:inline>
        </w:drawing>
      </w:r>
    </w:p>
    <w:p w14:paraId="3D68D530" w14:textId="591B5610" w:rsidR="00CB6D08" w:rsidRDefault="00CB6D08" w:rsidP="00CB6D08">
      <w:pPr>
        <w:pStyle w:val="Caption"/>
      </w:pPr>
      <w:bookmarkStart w:id="171" w:name="_Ref486603816"/>
      <w:r>
        <w:t xml:space="preserve">Figure B </w:t>
      </w:r>
      <w:fldSimple w:instr=" SEQ Figure_B \* ARABIC ">
        <w:r>
          <w:rPr>
            <w:noProof/>
          </w:rPr>
          <w:t>8</w:t>
        </w:r>
      </w:fldSimple>
      <w:bookmarkEnd w:id="171"/>
      <w:r w:rsidR="00FD50A9">
        <w:rPr>
          <w:noProof/>
        </w:rPr>
        <w:t>:</w:t>
      </w:r>
      <w:r>
        <w:t xml:space="preserve"> Illustration of integration for threat indicators for the Peel-Yalgorup Ramsar site. Shaded boxes represent the output for indicators used in the case STUDY; the white boxes </w:t>
      </w:r>
      <w:r w:rsidR="00DC259F">
        <w:t>are</w:t>
      </w:r>
      <w:r>
        <w:t xml:space="preserve"> an example of the </w:t>
      </w:r>
      <w:r w:rsidR="00DC259F">
        <w:t>possible</w:t>
      </w:r>
      <w:r>
        <w:t xml:space="preserve"> range of threat indicators that could be included in an assessment – which would change the Level 1 and 2 Integrated scores.</w:t>
      </w:r>
    </w:p>
    <w:p w14:paraId="653C810D" w14:textId="58E75305" w:rsidR="00064AA7" w:rsidRDefault="00064AA7" w:rsidP="00CB6D08">
      <w:pPr>
        <w:pStyle w:val="Caption"/>
      </w:pPr>
    </w:p>
    <w:p w14:paraId="6D4591E6" w14:textId="77777777" w:rsidR="001B1863" w:rsidRPr="004E7EB5" w:rsidRDefault="001B1863" w:rsidP="001B1863">
      <w:pPr>
        <w:rPr>
          <w:b/>
          <w:i/>
          <w:color w:val="8C863E" w:themeColor="background2" w:themeShade="80"/>
          <w:sz w:val="24"/>
          <w:szCs w:val="24"/>
        </w:rPr>
      </w:pPr>
      <w:r w:rsidRPr="004E7EB5">
        <w:rPr>
          <w:b/>
          <w:i/>
          <w:color w:val="8C863E" w:themeColor="background2" w:themeShade="80"/>
          <w:sz w:val="24"/>
          <w:szCs w:val="24"/>
        </w:rPr>
        <w:t>Assumptions and Knowledge gaps</w:t>
      </w:r>
    </w:p>
    <w:p w14:paraId="20FB268F" w14:textId="611A7C47" w:rsidR="001B1863" w:rsidRDefault="001B1863" w:rsidP="001B1863">
      <w:r w:rsidRPr="00E52ED5">
        <w:t>All the assumptions listed under Step 6 (Analysis and aggregation) apply equally to this integration step. In addition, there is an assumption that the Limits of Acceptable Change adequately establish a benchmark for this site.</w:t>
      </w:r>
    </w:p>
    <w:p w14:paraId="5E02F51E" w14:textId="7DBA5C4B" w:rsidR="001B1863" w:rsidRPr="00B33A37" w:rsidRDefault="001B1863" w:rsidP="00B33A37">
      <w:pPr>
        <w:shd w:val="clear" w:color="auto" w:fill="D7E5E4" w:themeFill="accent2" w:themeFillTint="66"/>
        <w:rPr>
          <w:b/>
        </w:rPr>
      </w:pPr>
      <w:r w:rsidRPr="00B33A37">
        <w:rPr>
          <w:b/>
        </w:rPr>
        <w:t xml:space="preserve">It must be stressed that this case study is simply illustrating how the steps in the IECA </w:t>
      </w:r>
      <w:r w:rsidR="003A47AE">
        <w:rPr>
          <w:b/>
        </w:rPr>
        <w:t>F</w:t>
      </w:r>
      <w:r w:rsidRPr="00B33A37">
        <w:rPr>
          <w:b/>
        </w:rPr>
        <w:t xml:space="preserve">ramework can be applied to a Ramsar wetland. The scores calculated do not reflect the </w:t>
      </w:r>
      <w:r w:rsidR="009B0B32">
        <w:rPr>
          <w:b/>
        </w:rPr>
        <w:t xml:space="preserve">actual </w:t>
      </w:r>
      <w:r w:rsidRPr="00B33A37">
        <w:rPr>
          <w:b/>
        </w:rPr>
        <w:t>condition of the site and do not account for a large number of critical components, processes and services.</w:t>
      </w:r>
    </w:p>
    <w:p w14:paraId="4DED66A4" w14:textId="430C6ED2" w:rsidR="00957B0C" w:rsidRDefault="00957B0C" w:rsidP="00957B0C">
      <w:pPr>
        <w:pStyle w:val="Heading2"/>
        <w:numPr>
          <w:ilvl w:val="0"/>
          <w:numId w:val="0"/>
        </w:numPr>
      </w:pPr>
      <w:bookmarkStart w:id="172" w:name="_Toc493774254"/>
      <w:r w:rsidRPr="004E7EB5">
        <w:t xml:space="preserve">Step </w:t>
      </w:r>
      <w:r>
        <w:t>8</w:t>
      </w:r>
      <w:r w:rsidRPr="004E7EB5">
        <w:t xml:space="preserve">: </w:t>
      </w:r>
      <w:r>
        <w:t>Report Card</w:t>
      </w:r>
      <w:bookmarkEnd w:id="172"/>
      <w:r>
        <w:t xml:space="preserve"> </w:t>
      </w:r>
    </w:p>
    <w:p w14:paraId="1654CD98" w14:textId="1108C1A0" w:rsidR="000750A5" w:rsidRDefault="009B0B32" w:rsidP="00957B0C">
      <w:r>
        <w:t xml:space="preserve">The final step in the IECA Framework is to develop a report card. For a Ramsar site, the audience for a report card would vary, but </w:t>
      </w:r>
      <w:r w:rsidR="00A07287">
        <w:t xml:space="preserve">one of the </w:t>
      </w:r>
      <w:r>
        <w:t>primary audience</w:t>
      </w:r>
      <w:r w:rsidR="00A07287">
        <w:t>s</w:t>
      </w:r>
      <w:r>
        <w:t xml:space="preserve"> is the general public. In developing a report card for the general public the objectives would include promoting awareness of the Ramsar Convention, the values and benefits associated with the site, and the current or trends in condition and threat to </w:t>
      </w:r>
      <w:r w:rsidR="000750A5">
        <w:t xml:space="preserve">the priority values. </w:t>
      </w:r>
    </w:p>
    <w:p w14:paraId="4F04570A" w14:textId="19A62574" w:rsidR="00957B0C" w:rsidRDefault="000750A5" w:rsidP="00957B0C">
      <w:r>
        <w:t xml:space="preserve">An example of a report card was not produced as too few indicators were included in the case study. </w:t>
      </w:r>
    </w:p>
    <w:p w14:paraId="78B78AB5" w14:textId="050B6EEE" w:rsidR="0072297A" w:rsidRDefault="001B1863" w:rsidP="001B1863">
      <w:pPr>
        <w:pStyle w:val="Heading1"/>
        <w:numPr>
          <w:ilvl w:val="0"/>
          <w:numId w:val="0"/>
        </w:numPr>
      </w:pPr>
      <w:bookmarkStart w:id="173" w:name="_Toc493774255"/>
      <w:r>
        <w:t>References cited</w:t>
      </w:r>
      <w:bookmarkEnd w:id="173"/>
    </w:p>
    <w:p w14:paraId="54D23E81" w14:textId="77777777" w:rsidR="001B1863" w:rsidRDefault="001B1863" w:rsidP="001B1863">
      <w:r>
        <w:t>DEC (Department of Environment and Conservation) (2008). Littoral vegetation monitoring of the Peel-Yalgorup Ramsar Site. Unpublished report to the Peel-Harvey Catchment Council.</w:t>
      </w:r>
    </w:p>
    <w:p w14:paraId="20B4BD2C" w14:textId="77777777" w:rsidR="001B1863" w:rsidRDefault="001B1863" w:rsidP="001B1863">
      <w:r w:rsidRPr="00B80E79">
        <w:lastRenderedPageBreak/>
        <w:t xml:space="preserve">Department of Sustainability, Environment, Water, Population and Communities, </w:t>
      </w:r>
      <w:r>
        <w:t>(</w:t>
      </w:r>
      <w:r w:rsidRPr="00B80E79">
        <w:t>2012</w:t>
      </w:r>
      <w:r>
        <w:t>).</w:t>
      </w:r>
      <w:r w:rsidRPr="00B80E79">
        <w:t xml:space="preserve"> Limits of acceptable change - Fact sheet, Commonwealth of Australia, Canberra.</w:t>
      </w:r>
    </w:p>
    <w:p w14:paraId="50CA0073" w14:textId="77777777" w:rsidR="001B1863" w:rsidRDefault="001B1863" w:rsidP="001B1863">
      <w:r w:rsidRPr="00B80E79">
        <w:t>Environmental Protection Authority (2008) Water Quality Improvement Plan for the Rivers and Estuary of the Peel-Harvey System - Phosphorus Management, Environmental Protection Authority, Perth, Western Australia</w:t>
      </w:r>
      <w:r>
        <w:t>.</w:t>
      </w:r>
    </w:p>
    <w:p w14:paraId="70800FD8" w14:textId="77777777" w:rsidR="001B1863" w:rsidRDefault="001B1863" w:rsidP="001B1863">
      <w:r>
        <w:t xml:space="preserve">Fletcher, W.J. and Santoro, K. (eds). (2015). </w:t>
      </w:r>
      <w:r w:rsidRPr="00B80E79">
        <w:rPr>
          <w:i/>
        </w:rPr>
        <w:t>Status Reports of the Fisheries and Aquatic Resources of Western Australia 2014/15: The State of the Fisheries</w:t>
      </w:r>
      <w:r>
        <w:t>. Department of Fisheries, Western Australia.</w:t>
      </w:r>
    </w:p>
    <w:p w14:paraId="7BECCA06" w14:textId="5A6D89F0" w:rsidR="001B1863" w:rsidRDefault="001B1863" w:rsidP="001B1863">
      <w:r w:rsidRPr="00B80E79">
        <w:t xml:space="preserve">Hale, J. </w:t>
      </w:r>
      <w:r>
        <w:t>(</w:t>
      </w:r>
      <w:r w:rsidRPr="00B80E79">
        <w:t>2010</w:t>
      </w:r>
      <w:r>
        <w:t>).</w:t>
      </w:r>
      <w:r w:rsidRPr="00B80E79">
        <w:t xml:space="preserve"> Peel-Yalgorup Ramsar Littoral and Fringing Vegetation Monitoring: Review. A report to the Peel</w:t>
      </w:r>
      <w:r w:rsidR="00DC6A1F">
        <w:t>-</w:t>
      </w:r>
      <w:r w:rsidRPr="00B80E79">
        <w:t>Harvey Catchment Council.</w:t>
      </w:r>
    </w:p>
    <w:p w14:paraId="460F526C" w14:textId="478FD145" w:rsidR="001B1863" w:rsidRDefault="001B1863" w:rsidP="001B1863">
      <w:r w:rsidRPr="00B80E79">
        <w:t xml:space="preserve">Hale, J. and Butcher, R. </w:t>
      </w:r>
      <w:r>
        <w:t>(</w:t>
      </w:r>
      <w:r w:rsidRPr="00B80E79">
        <w:t>2007</w:t>
      </w:r>
      <w:r>
        <w:t>).</w:t>
      </w:r>
      <w:r w:rsidRPr="00B80E79">
        <w:t xml:space="preserve"> Ecological Character Description of the Peel-Yalgorup </w:t>
      </w:r>
      <w:r w:rsidR="00DC6A1F">
        <w:t>Ramsar Site, Report to the Peel-</w:t>
      </w:r>
      <w:r w:rsidRPr="00B80E79">
        <w:t>Harvey Catchment Council and the Department of Environment and Conservation, Perth, Western Australia</w:t>
      </w:r>
      <w:r>
        <w:t>.</w:t>
      </w:r>
    </w:p>
    <w:p w14:paraId="54D9D805" w14:textId="77777777" w:rsidR="001B1863" w:rsidRDefault="001B1863" w:rsidP="001B1863">
      <w:r w:rsidRPr="00B80E79">
        <w:t xml:space="preserve">Hale, J. and Kobryn H. </w:t>
      </w:r>
      <w:r>
        <w:t>(</w:t>
      </w:r>
      <w:r w:rsidRPr="00B80E79">
        <w:t>2009</w:t>
      </w:r>
      <w:r>
        <w:t>).</w:t>
      </w:r>
      <w:r w:rsidRPr="00B80E79">
        <w:t xml:space="preserve"> Peel-Yalgorup Ramsar Wetlands Monitoring: Littoral and Fringing Vegetation Mapping.</w:t>
      </w:r>
    </w:p>
    <w:p w14:paraId="4441090A" w14:textId="3124D13F" w:rsidR="001B1863" w:rsidRDefault="001B1863" w:rsidP="001B1863">
      <w:r w:rsidRPr="00B80E79">
        <w:t>Peel</w:t>
      </w:r>
      <w:r w:rsidR="00DC6A1F">
        <w:t>-</w:t>
      </w:r>
      <w:r w:rsidRPr="00B80E79">
        <w:t xml:space="preserve">Harvey Catchment Council </w:t>
      </w:r>
      <w:r>
        <w:t>(</w:t>
      </w:r>
      <w:r w:rsidRPr="00B80E79">
        <w:t>2017</w:t>
      </w:r>
      <w:r>
        <w:t>).</w:t>
      </w:r>
      <w:r w:rsidRPr="00B80E79">
        <w:t xml:space="preserve"> Peel -Yalgorup System Ramsar TAG, Factsheet, Peel-Harvey Catchment Council, Mandurah.</w:t>
      </w:r>
    </w:p>
    <w:p w14:paraId="0E049A94" w14:textId="77777777" w:rsidR="001B1863" w:rsidRDefault="001B1863" w:rsidP="001B1863">
      <w:r w:rsidRPr="00B80E79">
        <w:t xml:space="preserve">Peel-Harvey Catchment Council </w:t>
      </w:r>
      <w:r>
        <w:t>(</w:t>
      </w:r>
      <w:r w:rsidRPr="00B80E79">
        <w:t>2009</w:t>
      </w:r>
      <w:r>
        <w:t>).</w:t>
      </w:r>
      <w:r w:rsidRPr="00B80E79">
        <w:t xml:space="preserve"> Peel-Yalgorup Ramsar Site Management Plan, Peel-Harvey Catchment Council, Mandurah.</w:t>
      </w:r>
    </w:p>
    <w:p w14:paraId="61AAE05A" w14:textId="77777777" w:rsidR="001B1863" w:rsidRDefault="001B1863" w:rsidP="001B1863">
      <w:r w:rsidRPr="00B80E79">
        <w:t xml:space="preserve">Peel-Harvey Catchment Council </w:t>
      </w:r>
      <w:r>
        <w:t>(</w:t>
      </w:r>
      <w:r w:rsidRPr="00B80E79">
        <w:t>2010</w:t>
      </w:r>
      <w:r>
        <w:t>).</w:t>
      </w:r>
      <w:r w:rsidRPr="00B80E79">
        <w:t xml:space="preserve"> Lake Mealup Recovery Program: Adaptive Management Plan; a report prepared by Juan Luis Montoya for the Peel-Harvey Catchment Council, Mandurah, Western Australia</w:t>
      </w:r>
      <w:r>
        <w:t>.</w:t>
      </w:r>
    </w:p>
    <w:p w14:paraId="736DCC8F" w14:textId="77777777" w:rsidR="001B1863" w:rsidRDefault="001B1863" w:rsidP="001B1863">
      <w:r>
        <w:t>Smith, R. (2009). Report on 2009 littoral and fringing vegetation monitoring within the Peel-Yalgorup System Ramsar site, Ekologica Pty. Ltd.</w:t>
      </w:r>
    </w:p>
    <w:p w14:paraId="0A3C5828" w14:textId="77777777" w:rsidR="001B1863" w:rsidRPr="00A64197" w:rsidRDefault="001B1863" w:rsidP="0072297A"/>
    <w:p w14:paraId="34513286" w14:textId="77777777" w:rsidR="0072297A" w:rsidRPr="00D87458" w:rsidRDefault="0072297A" w:rsidP="0072297A"/>
    <w:p w14:paraId="2A0C0065" w14:textId="77777777" w:rsidR="0072297A" w:rsidRDefault="0072297A" w:rsidP="0072297A">
      <w:r>
        <w:br w:type="page"/>
      </w:r>
    </w:p>
    <w:p w14:paraId="5BF4E65F" w14:textId="5FEFCD5D" w:rsidR="0072297A" w:rsidRPr="004E7EB5" w:rsidRDefault="0072297A" w:rsidP="0072297A">
      <w:pPr>
        <w:pStyle w:val="Heading1"/>
        <w:numPr>
          <w:ilvl w:val="0"/>
          <w:numId w:val="0"/>
        </w:numPr>
        <w:ind w:left="432" w:hanging="432"/>
      </w:pPr>
      <w:bookmarkStart w:id="174" w:name="_Toc493774256"/>
      <w:r w:rsidRPr="004E7EB5">
        <w:lastRenderedPageBreak/>
        <w:t xml:space="preserve">Appendix </w:t>
      </w:r>
      <w:r w:rsidR="00145E76">
        <w:t>C</w:t>
      </w:r>
      <w:r w:rsidRPr="004E7EB5">
        <w:t xml:space="preserve">: </w:t>
      </w:r>
      <w:r>
        <w:t xml:space="preserve">CICES </w:t>
      </w:r>
      <w:r w:rsidR="00723864">
        <w:t>– a standard approach to classifying services</w:t>
      </w:r>
      <w:bookmarkEnd w:id="174"/>
    </w:p>
    <w:p w14:paraId="5B12929E" w14:textId="32853896" w:rsidR="00216CC8" w:rsidRDefault="00216CC8" w:rsidP="00216CC8">
      <w:r>
        <w:t xml:space="preserve">There are a range of ecosystem service classifications available, however the Common International Classification of Ecosystem Services (CICES) has been chosen for IECA to introduce a level of consistency in the approach to classifying ecosystem services. Consistency in the use of standard terms/classifications is a key feature of IECA. In regard to services, adopting CICES will ultimately aid in environmental accounting, mapping and valuing ecosystem services and ecosystems assessments more generally.  </w:t>
      </w:r>
    </w:p>
    <w:p w14:paraId="728F9B20" w14:textId="6D4D2519" w:rsidR="00216CC8" w:rsidRDefault="00723864" w:rsidP="00216CC8">
      <w:r>
        <w:t>The resources supporting the CICES were a key consideration in adopting this system</w:t>
      </w:r>
      <w:r w:rsidR="00EE7837">
        <w:t xml:space="preserve"> for IECA. CICES</w:t>
      </w:r>
      <w:r>
        <w:t xml:space="preserve"> provides an online Bayesian Belief Network which allows a comparison of</w:t>
      </w:r>
      <w:r w:rsidRPr="00723864">
        <w:t xml:space="preserve"> </w:t>
      </w:r>
      <w:r>
        <w:t xml:space="preserve">the </w:t>
      </w:r>
      <w:r w:rsidRPr="00723864">
        <w:t xml:space="preserve">categories at the class level in CICES </w:t>
      </w:r>
      <w:r>
        <w:t xml:space="preserve">to </w:t>
      </w:r>
      <w:r w:rsidRPr="00723864">
        <w:t>the ecosystem services listed in the M</w:t>
      </w:r>
      <w:r>
        <w:t xml:space="preserve">illennium Ecosystem </w:t>
      </w:r>
      <w:r w:rsidRPr="00723864">
        <w:t>A</w:t>
      </w:r>
      <w:r w:rsidR="0099357F">
        <w:t>ssessment (MA)</w:t>
      </w:r>
      <w:r w:rsidRPr="00723864">
        <w:t>,</w:t>
      </w:r>
      <w:r w:rsidR="0099357F" w:rsidRPr="0099357F">
        <w:t xml:space="preserve"> The Economics of Ecosystems and Biodiversity</w:t>
      </w:r>
      <w:r w:rsidR="0099357F">
        <w:t xml:space="preserve"> (</w:t>
      </w:r>
      <w:r w:rsidRPr="00723864">
        <w:t>TEEB</w:t>
      </w:r>
      <w:r w:rsidR="0099357F">
        <w:t>)</w:t>
      </w:r>
      <w:r w:rsidRPr="00723864">
        <w:t xml:space="preserve">, </w:t>
      </w:r>
      <w:r w:rsidR="0099357F">
        <w:t xml:space="preserve">and </w:t>
      </w:r>
      <w:r w:rsidRPr="00723864">
        <w:t>the U</w:t>
      </w:r>
      <w:r>
        <w:t>nited Kingdom</w:t>
      </w:r>
      <w:r w:rsidRPr="00723864">
        <w:t xml:space="preserve"> </w:t>
      </w:r>
      <w:r w:rsidR="0099357F">
        <w:t>National Ecosystem Assessment UK NEA).</w:t>
      </w:r>
      <w:r w:rsidR="001E650E">
        <w:t xml:space="preserve"> This will enable users to have a degree of confidence that services are the same between the different classifications.</w:t>
      </w:r>
      <w:r w:rsidR="0099357F">
        <w:t xml:space="preserve"> See </w:t>
      </w:r>
      <w:hyperlink r:id="rId107" w:history="1">
        <w:r w:rsidR="0099357F" w:rsidRPr="009F39BC">
          <w:rPr>
            <w:rStyle w:val="Hyperlink"/>
          </w:rPr>
          <w:t>https://cices.eu/the-equivalences-between-cices-and-the-classifications-used-by-the-ma-and-teeb/</w:t>
        </w:r>
      </w:hyperlink>
      <w:r>
        <w:t xml:space="preserve"> </w:t>
      </w:r>
      <w:r w:rsidR="0099357F">
        <w:t>.</w:t>
      </w:r>
    </w:p>
    <w:p w14:paraId="07EE3F3B" w14:textId="335DD52B" w:rsidR="007672C5" w:rsidRDefault="00216CC8" w:rsidP="00216CC8">
      <w:pPr>
        <w:pStyle w:val="Caption"/>
      </w:pPr>
      <w:r>
        <w:t xml:space="preserve">Table C </w:t>
      </w:r>
      <w:fldSimple w:instr=" SEQ Table_C \* ARABIC ">
        <w:r w:rsidR="005F359C">
          <w:rPr>
            <w:noProof/>
          </w:rPr>
          <w:t>1</w:t>
        </w:r>
      </w:fldSimple>
      <w:r>
        <w:t xml:space="preserve">: </w:t>
      </w:r>
      <w:r w:rsidR="007672C5">
        <w:t>Top three levels of CICES. See</w:t>
      </w:r>
      <w:r w:rsidR="0099357F">
        <w:t xml:space="preserve"> the CICES website (</w:t>
      </w:r>
      <w:hyperlink r:id="rId108" w:history="1">
        <w:r w:rsidR="007672C5" w:rsidRPr="007816DD">
          <w:rPr>
            <w:rStyle w:val="Hyperlink"/>
          </w:rPr>
          <w:t>http://cices.eu/</w:t>
        </w:r>
      </w:hyperlink>
      <w:r w:rsidR="0099357F">
        <w:t xml:space="preserve">) </w:t>
      </w:r>
      <w:r w:rsidR="007672C5">
        <w:t>for Latest full version of the classification with examples.</w:t>
      </w:r>
    </w:p>
    <w:tbl>
      <w:tblPr>
        <w:tblStyle w:val="ListTable3-Accent211"/>
        <w:tblW w:w="0" w:type="auto"/>
        <w:tblLook w:val="04A0" w:firstRow="1" w:lastRow="0" w:firstColumn="1" w:lastColumn="0" w:noHBand="0" w:noVBand="1"/>
      </w:tblPr>
      <w:tblGrid>
        <w:gridCol w:w="2022"/>
        <w:gridCol w:w="3235"/>
        <w:gridCol w:w="3759"/>
      </w:tblGrid>
      <w:tr w:rsidR="007672C5" w:rsidRPr="00CA2FE8" w14:paraId="583D4177" w14:textId="77777777" w:rsidTr="007672C5">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057" w:type="dxa"/>
            <w:hideMark/>
          </w:tcPr>
          <w:p w14:paraId="59FC70FB" w14:textId="77777777" w:rsidR="007672C5" w:rsidRPr="00CA2FE8" w:rsidRDefault="007672C5" w:rsidP="007672C5">
            <w:pPr>
              <w:rPr>
                <w:rFonts w:asciiTheme="minorHAnsi" w:hAnsiTheme="minorHAnsi" w:cstheme="minorHAnsi"/>
                <w:b w:val="0"/>
                <w:bCs w:val="0"/>
              </w:rPr>
            </w:pPr>
            <w:r w:rsidRPr="00CA2FE8">
              <w:rPr>
                <w:rFonts w:asciiTheme="minorHAnsi" w:hAnsiTheme="minorHAnsi" w:cstheme="minorHAnsi"/>
              </w:rPr>
              <w:t>Section</w:t>
            </w:r>
          </w:p>
        </w:tc>
        <w:tc>
          <w:tcPr>
            <w:tcW w:w="3320" w:type="dxa"/>
            <w:hideMark/>
          </w:tcPr>
          <w:p w14:paraId="44873004" w14:textId="77777777" w:rsidR="007672C5" w:rsidRPr="00CA2FE8" w:rsidRDefault="007672C5" w:rsidP="007672C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CA2FE8">
              <w:rPr>
                <w:rFonts w:asciiTheme="minorHAnsi" w:hAnsiTheme="minorHAnsi" w:cstheme="minorHAnsi"/>
              </w:rPr>
              <w:t>Division</w:t>
            </w:r>
          </w:p>
        </w:tc>
        <w:tc>
          <w:tcPr>
            <w:tcW w:w="3865" w:type="dxa"/>
            <w:hideMark/>
          </w:tcPr>
          <w:p w14:paraId="1149D356" w14:textId="77777777" w:rsidR="007672C5" w:rsidRPr="00CA2FE8" w:rsidRDefault="007672C5" w:rsidP="007672C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CA2FE8">
              <w:rPr>
                <w:rFonts w:asciiTheme="minorHAnsi" w:hAnsiTheme="minorHAnsi" w:cstheme="minorHAnsi"/>
              </w:rPr>
              <w:t>Group</w:t>
            </w:r>
          </w:p>
        </w:tc>
      </w:tr>
      <w:tr w:rsidR="007672C5" w:rsidRPr="00CA2FE8" w14:paraId="1258A023" w14:textId="77777777" w:rsidTr="007672C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57" w:type="dxa"/>
            <w:vMerge w:val="restart"/>
            <w:hideMark/>
          </w:tcPr>
          <w:p w14:paraId="4105470D" w14:textId="77777777" w:rsidR="007672C5" w:rsidRPr="00CA2FE8" w:rsidRDefault="007672C5" w:rsidP="007672C5">
            <w:pPr>
              <w:rPr>
                <w:rFonts w:asciiTheme="minorHAnsi" w:hAnsiTheme="minorHAnsi" w:cstheme="minorHAnsi"/>
                <w:b w:val="0"/>
                <w:bCs w:val="0"/>
              </w:rPr>
            </w:pPr>
            <w:r w:rsidRPr="00CA2FE8">
              <w:rPr>
                <w:rFonts w:asciiTheme="minorHAnsi" w:hAnsiTheme="minorHAnsi" w:cstheme="minorHAnsi"/>
              </w:rPr>
              <w:t>Provisioning</w:t>
            </w:r>
          </w:p>
          <w:p w14:paraId="028388E1" w14:textId="77777777" w:rsidR="007672C5" w:rsidRPr="00CA2FE8" w:rsidRDefault="007672C5" w:rsidP="007672C5">
            <w:pPr>
              <w:rPr>
                <w:rFonts w:asciiTheme="minorHAnsi" w:hAnsiTheme="minorHAnsi" w:cstheme="minorHAnsi"/>
              </w:rPr>
            </w:pPr>
            <w:r w:rsidRPr="00CA2FE8">
              <w:rPr>
                <w:rFonts w:asciiTheme="minorHAnsi" w:hAnsiTheme="minorHAnsi" w:cstheme="minorHAnsi"/>
              </w:rPr>
              <w:t> </w:t>
            </w:r>
          </w:p>
          <w:p w14:paraId="0B26DA56" w14:textId="77777777" w:rsidR="007672C5" w:rsidRPr="00CA2FE8" w:rsidRDefault="007672C5" w:rsidP="007672C5">
            <w:pPr>
              <w:rPr>
                <w:rFonts w:asciiTheme="minorHAnsi" w:hAnsiTheme="minorHAnsi" w:cstheme="minorHAnsi"/>
              </w:rPr>
            </w:pPr>
            <w:r w:rsidRPr="00CA2FE8">
              <w:rPr>
                <w:rFonts w:asciiTheme="minorHAnsi" w:hAnsiTheme="minorHAnsi" w:cstheme="minorHAnsi"/>
              </w:rPr>
              <w:t> </w:t>
            </w:r>
          </w:p>
          <w:p w14:paraId="6C92CA5E" w14:textId="77777777" w:rsidR="007672C5" w:rsidRPr="00CA2FE8" w:rsidRDefault="007672C5" w:rsidP="007672C5">
            <w:pPr>
              <w:rPr>
                <w:rFonts w:asciiTheme="minorHAnsi" w:hAnsiTheme="minorHAnsi" w:cstheme="minorHAnsi"/>
              </w:rPr>
            </w:pPr>
            <w:r w:rsidRPr="00CA2FE8">
              <w:rPr>
                <w:rFonts w:asciiTheme="minorHAnsi" w:hAnsiTheme="minorHAnsi" w:cstheme="minorHAnsi"/>
              </w:rPr>
              <w:t> </w:t>
            </w:r>
          </w:p>
          <w:p w14:paraId="566A60AA" w14:textId="77777777" w:rsidR="007672C5" w:rsidRPr="00CA2FE8" w:rsidRDefault="007672C5" w:rsidP="007672C5">
            <w:pPr>
              <w:rPr>
                <w:rFonts w:asciiTheme="minorHAnsi" w:hAnsiTheme="minorHAnsi" w:cstheme="minorHAnsi"/>
              </w:rPr>
            </w:pPr>
            <w:r w:rsidRPr="00CA2FE8">
              <w:rPr>
                <w:rFonts w:asciiTheme="minorHAnsi" w:hAnsiTheme="minorHAnsi" w:cstheme="minorHAnsi"/>
              </w:rPr>
              <w:t> </w:t>
            </w:r>
          </w:p>
          <w:p w14:paraId="4A0B334C" w14:textId="77777777" w:rsidR="007672C5" w:rsidRPr="00CA2FE8" w:rsidRDefault="007672C5" w:rsidP="007672C5">
            <w:pPr>
              <w:rPr>
                <w:rFonts w:asciiTheme="minorHAnsi" w:hAnsiTheme="minorHAnsi" w:cstheme="minorHAnsi"/>
                <w:b w:val="0"/>
                <w:bCs w:val="0"/>
              </w:rPr>
            </w:pPr>
            <w:r w:rsidRPr="00CA2FE8">
              <w:rPr>
                <w:rFonts w:asciiTheme="minorHAnsi" w:hAnsiTheme="minorHAnsi" w:cstheme="minorHAnsi"/>
              </w:rPr>
              <w:t> </w:t>
            </w:r>
          </w:p>
        </w:tc>
        <w:tc>
          <w:tcPr>
            <w:tcW w:w="3320" w:type="dxa"/>
            <w:vMerge w:val="restart"/>
            <w:hideMark/>
          </w:tcPr>
          <w:p w14:paraId="2ABBC6C6" w14:textId="77777777" w:rsidR="007672C5" w:rsidRPr="00CA2FE8" w:rsidRDefault="007672C5" w:rsidP="007672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Nutrition</w:t>
            </w:r>
          </w:p>
          <w:p w14:paraId="00C55D72" w14:textId="77777777" w:rsidR="007672C5" w:rsidRPr="00CA2FE8" w:rsidRDefault="007672C5" w:rsidP="007672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b/>
                <w:bCs/>
              </w:rPr>
              <w:t> </w:t>
            </w:r>
          </w:p>
        </w:tc>
        <w:tc>
          <w:tcPr>
            <w:tcW w:w="3865" w:type="dxa"/>
            <w:hideMark/>
          </w:tcPr>
          <w:p w14:paraId="2E9E84C7" w14:textId="77777777" w:rsidR="007672C5" w:rsidRPr="00CA2FE8" w:rsidRDefault="007672C5" w:rsidP="007672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Biomass</w:t>
            </w:r>
          </w:p>
        </w:tc>
      </w:tr>
      <w:tr w:rsidR="007672C5" w:rsidRPr="00CA2FE8" w14:paraId="429D5FA5" w14:textId="77777777" w:rsidTr="007672C5">
        <w:trPr>
          <w:trHeight w:val="285"/>
        </w:trPr>
        <w:tc>
          <w:tcPr>
            <w:cnfStyle w:val="001000000000" w:firstRow="0" w:lastRow="0" w:firstColumn="1" w:lastColumn="0" w:oddVBand="0" w:evenVBand="0" w:oddHBand="0" w:evenHBand="0" w:firstRowFirstColumn="0" w:firstRowLastColumn="0" w:lastRowFirstColumn="0" w:lastRowLastColumn="0"/>
            <w:tcW w:w="2057" w:type="dxa"/>
            <w:vMerge/>
            <w:hideMark/>
          </w:tcPr>
          <w:p w14:paraId="6D041586" w14:textId="77777777" w:rsidR="007672C5" w:rsidRPr="00CA2FE8" w:rsidRDefault="007672C5" w:rsidP="007672C5">
            <w:pPr>
              <w:rPr>
                <w:rFonts w:asciiTheme="minorHAnsi" w:hAnsiTheme="minorHAnsi" w:cstheme="minorHAnsi"/>
              </w:rPr>
            </w:pPr>
          </w:p>
        </w:tc>
        <w:tc>
          <w:tcPr>
            <w:tcW w:w="3320" w:type="dxa"/>
            <w:vMerge/>
            <w:hideMark/>
          </w:tcPr>
          <w:p w14:paraId="50BA9DB8" w14:textId="77777777" w:rsidR="007672C5" w:rsidRPr="00CA2FE8" w:rsidRDefault="007672C5" w:rsidP="007672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c>
          <w:tcPr>
            <w:tcW w:w="3865" w:type="dxa"/>
            <w:hideMark/>
          </w:tcPr>
          <w:p w14:paraId="22416A72" w14:textId="77777777" w:rsidR="007672C5" w:rsidRPr="00CA2FE8" w:rsidRDefault="007672C5" w:rsidP="007672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Water</w:t>
            </w:r>
          </w:p>
        </w:tc>
      </w:tr>
      <w:tr w:rsidR="007672C5" w:rsidRPr="00CA2FE8" w14:paraId="2D981F2B" w14:textId="77777777" w:rsidTr="007672C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57" w:type="dxa"/>
            <w:vMerge/>
            <w:hideMark/>
          </w:tcPr>
          <w:p w14:paraId="2A6B1AAE" w14:textId="77777777" w:rsidR="007672C5" w:rsidRPr="00CA2FE8" w:rsidRDefault="007672C5" w:rsidP="007672C5">
            <w:pPr>
              <w:rPr>
                <w:rFonts w:asciiTheme="minorHAnsi" w:hAnsiTheme="minorHAnsi" w:cstheme="minorHAnsi"/>
              </w:rPr>
            </w:pPr>
          </w:p>
        </w:tc>
        <w:tc>
          <w:tcPr>
            <w:tcW w:w="3320" w:type="dxa"/>
            <w:vMerge w:val="restart"/>
            <w:hideMark/>
          </w:tcPr>
          <w:p w14:paraId="69EB419A" w14:textId="77777777" w:rsidR="007672C5" w:rsidRPr="00CA2FE8" w:rsidRDefault="007672C5" w:rsidP="007672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Materials</w:t>
            </w:r>
          </w:p>
          <w:p w14:paraId="01409A39" w14:textId="77777777" w:rsidR="007672C5" w:rsidRPr="00CA2FE8" w:rsidRDefault="007672C5" w:rsidP="007672C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 </w:t>
            </w:r>
          </w:p>
        </w:tc>
        <w:tc>
          <w:tcPr>
            <w:tcW w:w="3865" w:type="dxa"/>
            <w:hideMark/>
          </w:tcPr>
          <w:p w14:paraId="2669380D" w14:textId="77777777" w:rsidR="007672C5" w:rsidRPr="00CA2FE8" w:rsidRDefault="007672C5" w:rsidP="007672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Biomass, Fibre</w:t>
            </w:r>
          </w:p>
        </w:tc>
      </w:tr>
      <w:tr w:rsidR="007672C5" w:rsidRPr="00CA2FE8" w14:paraId="47470CC1" w14:textId="77777777" w:rsidTr="007672C5">
        <w:trPr>
          <w:trHeight w:val="315"/>
        </w:trPr>
        <w:tc>
          <w:tcPr>
            <w:cnfStyle w:val="001000000000" w:firstRow="0" w:lastRow="0" w:firstColumn="1" w:lastColumn="0" w:oddVBand="0" w:evenVBand="0" w:oddHBand="0" w:evenHBand="0" w:firstRowFirstColumn="0" w:firstRowLastColumn="0" w:lastRowFirstColumn="0" w:lastRowLastColumn="0"/>
            <w:tcW w:w="2057" w:type="dxa"/>
            <w:vMerge/>
            <w:hideMark/>
          </w:tcPr>
          <w:p w14:paraId="3FF08ECC" w14:textId="77777777" w:rsidR="007672C5" w:rsidRPr="00CA2FE8" w:rsidRDefault="007672C5" w:rsidP="007672C5">
            <w:pPr>
              <w:rPr>
                <w:rFonts w:asciiTheme="minorHAnsi" w:hAnsiTheme="minorHAnsi" w:cstheme="minorHAnsi"/>
              </w:rPr>
            </w:pPr>
          </w:p>
        </w:tc>
        <w:tc>
          <w:tcPr>
            <w:tcW w:w="3320" w:type="dxa"/>
            <w:vMerge/>
            <w:hideMark/>
          </w:tcPr>
          <w:p w14:paraId="0AA305F6" w14:textId="77777777" w:rsidR="007672C5" w:rsidRPr="00CA2FE8" w:rsidRDefault="007672C5" w:rsidP="007672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65" w:type="dxa"/>
            <w:hideMark/>
          </w:tcPr>
          <w:p w14:paraId="2B286212" w14:textId="77777777" w:rsidR="007672C5" w:rsidRPr="00CA2FE8" w:rsidRDefault="007672C5" w:rsidP="007672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Water</w:t>
            </w:r>
          </w:p>
        </w:tc>
      </w:tr>
      <w:tr w:rsidR="007672C5" w:rsidRPr="00CA2FE8" w14:paraId="18BA56CE" w14:textId="77777777" w:rsidTr="007672C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57" w:type="dxa"/>
            <w:vMerge/>
            <w:hideMark/>
          </w:tcPr>
          <w:p w14:paraId="0BC11525" w14:textId="77777777" w:rsidR="007672C5" w:rsidRPr="00CA2FE8" w:rsidRDefault="007672C5" w:rsidP="007672C5">
            <w:pPr>
              <w:rPr>
                <w:rFonts w:asciiTheme="minorHAnsi" w:hAnsiTheme="minorHAnsi" w:cstheme="minorHAnsi"/>
              </w:rPr>
            </w:pPr>
          </w:p>
        </w:tc>
        <w:tc>
          <w:tcPr>
            <w:tcW w:w="3320" w:type="dxa"/>
            <w:vMerge w:val="restart"/>
            <w:hideMark/>
          </w:tcPr>
          <w:p w14:paraId="0954D56E" w14:textId="77777777" w:rsidR="007672C5" w:rsidRPr="00CA2FE8" w:rsidRDefault="007672C5" w:rsidP="007672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Energy</w:t>
            </w:r>
          </w:p>
          <w:p w14:paraId="168C9E27" w14:textId="77777777" w:rsidR="007672C5" w:rsidRPr="00CA2FE8" w:rsidRDefault="007672C5" w:rsidP="007672C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 </w:t>
            </w:r>
          </w:p>
        </w:tc>
        <w:tc>
          <w:tcPr>
            <w:tcW w:w="3865" w:type="dxa"/>
            <w:hideMark/>
          </w:tcPr>
          <w:p w14:paraId="2B9BF2B2" w14:textId="77777777" w:rsidR="007672C5" w:rsidRPr="00CA2FE8" w:rsidRDefault="007672C5" w:rsidP="007672C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Biomass-based energy sources</w:t>
            </w:r>
          </w:p>
        </w:tc>
      </w:tr>
      <w:tr w:rsidR="007672C5" w:rsidRPr="00CA2FE8" w14:paraId="5AED7F73" w14:textId="77777777" w:rsidTr="007672C5">
        <w:trPr>
          <w:trHeight w:val="315"/>
        </w:trPr>
        <w:tc>
          <w:tcPr>
            <w:cnfStyle w:val="001000000000" w:firstRow="0" w:lastRow="0" w:firstColumn="1" w:lastColumn="0" w:oddVBand="0" w:evenVBand="0" w:oddHBand="0" w:evenHBand="0" w:firstRowFirstColumn="0" w:firstRowLastColumn="0" w:lastRowFirstColumn="0" w:lastRowLastColumn="0"/>
            <w:tcW w:w="2057" w:type="dxa"/>
            <w:vMerge/>
            <w:hideMark/>
          </w:tcPr>
          <w:p w14:paraId="3FA0E2E5" w14:textId="77777777" w:rsidR="007672C5" w:rsidRPr="00CA2FE8" w:rsidRDefault="007672C5" w:rsidP="007672C5">
            <w:pPr>
              <w:rPr>
                <w:rFonts w:asciiTheme="minorHAnsi" w:hAnsiTheme="minorHAnsi" w:cstheme="minorHAnsi"/>
              </w:rPr>
            </w:pPr>
          </w:p>
        </w:tc>
        <w:tc>
          <w:tcPr>
            <w:tcW w:w="3320" w:type="dxa"/>
            <w:vMerge/>
            <w:hideMark/>
          </w:tcPr>
          <w:p w14:paraId="1A2D3EAA" w14:textId="77777777" w:rsidR="007672C5" w:rsidRPr="00CA2FE8" w:rsidRDefault="007672C5" w:rsidP="007672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65" w:type="dxa"/>
            <w:hideMark/>
          </w:tcPr>
          <w:p w14:paraId="54C9C092" w14:textId="77777777" w:rsidR="007672C5" w:rsidRPr="00CA2FE8" w:rsidRDefault="007672C5" w:rsidP="007672C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 xml:space="preserve">Mechanical energy </w:t>
            </w:r>
          </w:p>
        </w:tc>
      </w:tr>
      <w:tr w:rsidR="007672C5" w:rsidRPr="00CA2FE8" w14:paraId="560627B3" w14:textId="77777777" w:rsidTr="007672C5">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057" w:type="dxa"/>
            <w:vMerge w:val="restart"/>
            <w:hideMark/>
          </w:tcPr>
          <w:p w14:paraId="643F3385" w14:textId="77777777" w:rsidR="007672C5" w:rsidRPr="00CA2FE8" w:rsidRDefault="007672C5" w:rsidP="007672C5">
            <w:pPr>
              <w:jc w:val="left"/>
              <w:rPr>
                <w:rFonts w:asciiTheme="minorHAnsi" w:hAnsiTheme="minorHAnsi" w:cstheme="minorHAnsi"/>
                <w:b w:val="0"/>
                <w:bCs w:val="0"/>
              </w:rPr>
            </w:pPr>
            <w:r w:rsidRPr="00CA2FE8">
              <w:rPr>
                <w:rFonts w:asciiTheme="minorHAnsi" w:hAnsiTheme="minorHAnsi" w:cstheme="minorHAnsi"/>
              </w:rPr>
              <w:t>Regulation &amp; Maintenance</w:t>
            </w:r>
          </w:p>
          <w:p w14:paraId="67A85FDD" w14:textId="77777777" w:rsidR="007672C5" w:rsidRPr="00CA2FE8" w:rsidRDefault="007672C5" w:rsidP="007672C5">
            <w:pPr>
              <w:rPr>
                <w:rFonts w:asciiTheme="minorHAnsi" w:hAnsiTheme="minorHAnsi" w:cstheme="minorHAnsi"/>
              </w:rPr>
            </w:pPr>
            <w:r w:rsidRPr="00CA2FE8">
              <w:rPr>
                <w:rFonts w:asciiTheme="minorHAnsi" w:hAnsiTheme="minorHAnsi" w:cstheme="minorHAnsi"/>
              </w:rPr>
              <w:t> </w:t>
            </w:r>
          </w:p>
          <w:p w14:paraId="4172865D" w14:textId="77777777" w:rsidR="007672C5" w:rsidRPr="00CA2FE8" w:rsidRDefault="007672C5" w:rsidP="007672C5">
            <w:pPr>
              <w:rPr>
                <w:rFonts w:asciiTheme="minorHAnsi" w:hAnsiTheme="minorHAnsi" w:cstheme="minorHAnsi"/>
              </w:rPr>
            </w:pPr>
            <w:r w:rsidRPr="00CA2FE8">
              <w:rPr>
                <w:rFonts w:asciiTheme="minorHAnsi" w:hAnsiTheme="minorHAnsi" w:cstheme="minorHAnsi"/>
              </w:rPr>
              <w:t> </w:t>
            </w:r>
          </w:p>
          <w:p w14:paraId="619978E5" w14:textId="77777777" w:rsidR="007672C5" w:rsidRPr="00CA2FE8" w:rsidRDefault="007672C5" w:rsidP="007672C5">
            <w:pPr>
              <w:rPr>
                <w:rFonts w:asciiTheme="minorHAnsi" w:hAnsiTheme="minorHAnsi" w:cstheme="minorHAnsi"/>
              </w:rPr>
            </w:pPr>
            <w:r w:rsidRPr="00CA2FE8">
              <w:rPr>
                <w:rFonts w:asciiTheme="minorHAnsi" w:hAnsiTheme="minorHAnsi" w:cstheme="minorHAnsi"/>
              </w:rPr>
              <w:t> </w:t>
            </w:r>
          </w:p>
          <w:p w14:paraId="57BFE499" w14:textId="77777777" w:rsidR="007672C5" w:rsidRPr="00CA2FE8" w:rsidRDefault="007672C5" w:rsidP="007672C5">
            <w:pPr>
              <w:rPr>
                <w:rFonts w:asciiTheme="minorHAnsi" w:hAnsiTheme="minorHAnsi" w:cstheme="minorHAnsi"/>
              </w:rPr>
            </w:pPr>
            <w:r w:rsidRPr="00CA2FE8">
              <w:rPr>
                <w:rFonts w:asciiTheme="minorHAnsi" w:hAnsiTheme="minorHAnsi" w:cstheme="minorHAnsi"/>
              </w:rPr>
              <w:t> </w:t>
            </w:r>
          </w:p>
          <w:p w14:paraId="77B1A1A3" w14:textId="77777777" w:rsidR="007672C5" w:rsidRPr="00CA2FE8" w:rsidRDefault="007672C5" w:rsidP="007672C5">
            <w:pPr>
              <w:rPr>
                <w:rFonts w:asciiTheme="minorHAnsi" w:hAnsiTheme="minorHAnsi" w:cstheme="minorHAnsi"/>
              </w:rPr>
            </w:pPr>
            <w:r w:rsidRPr="00CA2FE8">
              <w:rPr>
                <w:rFonts w:asciiTheme="minorHAnsi" w:hAnsiTheme="minorHAnsi" w:cstheme="minorHAnsi"/>
              </w:rPr>
              <w:t> </w:t>
            </w:r>
          </w:p>
          <w:p w14:paraId="7492E52B" w14:textId="77777777" w:rsidR="007672C5" w:rsidRPr="00CA2FE8" w:rsidRDefault="007672C5" w:rsidP="007672C5">
            <w:pPr>
              <w:rPr>
                <w:rFonts w:asciiTheme="minorHAnsi" w:hAnsiTheme="minorHAnsi" w:cstheme="minorHAnsi"/>
              </w:rPr>
            </w:pPr>
            <w:r w:rsidRPr="00CA2FE8">
              <w:rPr>
                <w:rFonts w:asciiTheme="minorHAnsi" w:hAnsiTheme="minorHAnsi" w:cstheme="minorHAnsi"/>
              </w:rPr>
              <w:t> </w:t>
            </w:r>
          </w:p>
          <w:p w14:paraId="426EA5AC" w14:textId="77777777" w:rsidR="007672C5" w:rsidRPr="00CA2FE8" w:rsidRDefault="007672C5" w:rsidP="007672C5">
            <w:pPr>
              <w:rPr>
                <w:rFonts w:asciiTheme="minorHAnsi" w:hAnsiTheme="minorHAnsi" w:cstheme="minorHAnsi"/>
              </w:rPr>
            </w:pPr>
            <w:r w:rsidRPr="00CA2FE8">
              <w:rPr>
                <w:rFonts w:asciiTheme="minorHAnsi" w:hAnsiTheme="minorHAnsi" w:cstheme="minorHAnsi"/>
              </w:rPr>
              <w:t> </w:t>
            </w:r>
          </w:p>
          <w:p w14:paraId="29D6857D" w14:textId="77777777" w:rsidR="007672C5" w:rsidRPr="00CA2FE8" w:rsidRDefault="007672C5" w:rsidP="007672C5">
            <w:pPr>
              <w:rPr>
                <w:rFonts w:asciiTheme="minorHAnsi" w:hAnsiTheme="minorHAnsi" w:cstheme="minorHAnsi"/>
              </w:rPr>
            </w:pPr>
            <w:r w:rsidRPr="00CA2FE8">
              <w:rPr>
                <w:rFonts w:asciiTheme="minorHAnsi" w:hAnsiTheme="minorHAnsi" w:cstheme="minorHAnsi"/>
              </w:rPr>
              <w:t> </w:t>
            </w:r>
          </w:p>
          <w:p w14:paraId="25CBC342" w14:textId="77777777" w:rsidR="007672C5" w:rsidRPr="00CA2FE8" w:rsidRDefault="007672C5" w:rsidP="007672C5">
            <w:pPr>
              <w:rPr>
                <w:rFonts w:asciiTheme="minorHAnsi" w:hAnsiTheme="minorHAnsi" w:cstheme="minorHAnsi"/>
                <w:b w:val="0"/>
                <w:bCs w:val="0"/>
              </w:rPr>
            </w:pPr>
            <w:r w:rsidRPr="00CA2FE8">
              <w:rPr>
                <w:rFonts w:asciiTheme="minorHAnsi" w:hAnsiTheme="minorHAnsi" w:cstheme="minorHAnsi"/>
              </w:rPr>
              <w:t> </w:t>
            </w:r>
          </w:p>
        </w:tc>
        <w:tc>
          <w:tcPr>
            <w:tcW w:w="3320" w:type="dxa"/>
            <w:vMerge w:val="restart"/>
            <w:hideMark/>
          </w:tcPr>
          <w:p w14:paraId="150E9352" w14:textId="77777777" w:rsidR="007672C5" w:rsidRPr="00CA2FE8" w:rsidRDefault="007672C5" w:rsidP="007672C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Mediation of waste, toxics and other nuisances</w:t>
            </w:r>
          </w:p>
          <w:p w14:paraId="6B366A2F" w14:textId="77777777" w:rsidR="007672C5" w:rsidRPr="00CA2FE8" w:rsidRDefault="007672C5" w:rsidP="007672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 </w:t>
            </w:r>
          </w:p>
        </w:tc>
        <w:tc>
          <w:tcPr>
            <w:tcW w:w="3865" w:type="dxa"/>
            <w:hideMark/>
          </w:tcPr>
          <w:p w14:paraId="21946C29" w14:textId="77777777" w:rsidR="007672C5" w:rsidRPr="00CA2FE8" w:rsidRDefault="007672C5" w:rsidP="007672C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Mediation by biota</w:t>
            </w:r>
          </w:p>
        </w:tc>
      </w:tr>
      <w:tr w:rsidR="007672C5" w:rsidRPr="00CA2FE8" w14:paraId="1EF63676" w14:textId="77777777" w:rsidTr="007672C5">
        <w:trPr>
          <w:trHeight w:val="420"/>
        </w:trPr>
        <w:tc>
          <w:tcPr>
            <w:cnfStyle w:val="001000000000" w:firstRow="0" w:lastRow="0" w:firstColumn="1" w:lastColumn="0" w:oddVBand="0" w:evenVBand="0" w:oddHBand="0" w:evenHBand="0" w:firstRowFirstColumn="0" w:firstRowLastColumn="0" w:lastRowFirstColumn="0" w:lastRowLastColumn="0"/>
            <w:tcW w:w="2057" w:type="dxa"/>
            <w:vMerge/>
            <w:hideMark/>
          </w:tcPr>
          <w:p w14:paraId="452DF0D1" w14:textId="77777777" w:rsidR="007672C5" w:rsidRPr="00CA2FE8" w:rsidRDefault="007672C5" w:rsidP="007672C5">
            <w:pPr>
              <w:rPr>
                <w:rFonts w:asciiTheme="minorHAnsi" w:hAnsiTheme="minorHAnsi" w:cstheme="minorHAnsi"/>
              </w:rPr>
            </w:pPr>
          </w:p>
        </w:tc>
        <w:tc>
          <w:tcPr>
            <w:tcW w:w="3320" w:type="dxa"/>
            <w:vMerge/>
            <w:hideMark/>
          </w:tcPr>
          <w:p w14:paraId="0E7C6642" w14:textId="77777777" w:rsidR="007672C5" w:rsidRPr="00CA2FE8" w:rsidRDefault="007672C5" w:rsidP="007672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65" w:type="dxa"/>
            <w:hideMark/>
          </w:tcPr>
          <w:p w14:paraId="556BADC5" w14:textId="77777777" w:rsidR="007672C5" w:rsidRPr="00CA2FE8" w:rsidRDefault="007672C5" w:rsidP="007672C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Mediation by ecosystems</w:t>
            </w:r>
          </w:p>
        </w:tc>
      </w:tr>
      <w:tr w:rsidR="007672C5" w:rsidRPr="00CA2FE8" w14:paraId="6D9F8662" w14:textId="77777777" w:rsidTr="007672C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57" w:type="dxa"/>
            <w:vMerge/>
            <w:hideMark/>
          </w:tcPr>
          <w:p w14:paraId="669402D0" w14:textId="77777777" w:rsidR="007672C5" w:rsidRPr="00CA2FE8" w:rsidRDefault="007672C5" w:rsidP="007672C5">
            <w:pPr>
              <w:rPr>
                <w:rFonts w:asciiTheme="minorHAnsi" w:hAnsiTheme="minorHAnsi" w:cstheme="minorHAnsi"/>
              </w:rPr>
            </w:pPr>
          </w:p>
        </w:tc>
        <w:tc>
          <w:tcPr>
            <w:tcW w:w="3320" w:type="dxa"/>
            <w:vMerge w:val="restart"/>
            <w:hideMark/>
          </w:tcPr>
          <w:p w14:paraId="573CDD5F" w14:textId="77777777" w:rsidR="007672C5" w:rsidRPr="00CA2FE8" w:rsidRDefault="007672C5" w:rsidP="007672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Mediation of flows</w:t>
            </w:r>
          </w:p>
          <w:p w14:paraId="5505705C" w14:textId="77777777" w:rsidR="007672C5" w:rsidRPr="00CA2FE8" w:rsidRDefault="007672C5" w:rsidP="007672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 </w:t>
            </w:r>
          </w:p>
          <w:p w14:paraId="4CB45402" w14:textId="77777777" w:rsidR="007672C5" w:rsidRPr="00CA2FE8" w:rsidRDefault="007672C5" w:rsidP="007672C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 </w:t>
            </w:r>
          </w:p>
        </w:tc>
        <w:tc>
          <w:tcPr>
            <w:tcW w:w="3865" w:type="dxa"/>
            <w:hideMark/>
          </w:tcPr>
          <w:p w14:paraId="3D07C1B8" w14:textId="77777777" w:rsidR="007672C5" w:rsidRPr="00CA2FE8" w:rsidRDefault="007672C5" w:rsidP="007672C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Mass flows</w:t>
            </w:r>
          </w:p>
        </w:tc>
      </w:tr>
      <w:tr w:rsidR="007672C5" w:rsidRPr="00CA2FE8" w14:paraId="21B41B56" w14:textId="77777777" w:rsidTr="007672C5">
        <w:trPr>
          <w:trHeight w:val="315"/>
        </w:trPr>
        <w:tc>
          <w:tcPr>
            <w:cnfStyle w:val="001000000000" w:firstRow="0" w:lastRow="0" w:firstColumn="1" w:lastColumn="0" w:oddVBand="0" w:evenVBand="0" w:oddHBand="0" w:evenHBand="0" w:firstRowFirstColumn="0" w:firstRowLastColumn="0" w:lastRowFirstColumn="0" w:lastRowLastColumn="0"/>
            <w:tcW w:w="2057" w:type="dxa"/>
            <w:vMerge/>
            <w:hideMark/>
          </w:tcPr>
          <w:p w14:paraId="1BF355F0" w14:textId="77777777" w:rsidR="007672C5" w:rsidRPr="00CA2FE8" w:rsidRDefault="007672C5" w:rsidP="007672C5">
            <w:pPr>
              <w:rPr>
                <w:rFonts w:asciiTheme="minorHAnsi" w:hAnsiTheme="minorHAnsi" w:cstheme="minorHAnsi"/>
              </w:rPr>
            </w:pPr>
          </w:p>
        </w:tc>
        <w:tc>
          <w:tcPr>
            <w:tcW w:w="3320" w:type="dxa"/>
            <w:vMerge/>
            <w:hideMark/>
          </w:tcPr>
          <w:p w14:paraId="6134A716" w14:textId="77777777" w:rsidR="007672C5" w:rsidRPr="00CA2FE8" w:rsidRDefault="007672C5" w:rsidP="007672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65" w:type="dxa"/>
            <w:hideMark/>
          </w:tcPr>
          <w:p w14:paraId="3BFADB19" w14:textId="77777777" w:rsidR="007672C5" w:rsidRPr="00CA2FE8" w:rsidRDefault="007672C5" w:rsidP="007672C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Liquid flows</w:t>
            </w:r>
          </w:p>
        </w:tc>
      </w:tr>
      <w:tr w:rsidR="007672C5" w:rsidRPr="00CA2FE8" w14:paraId="5A6B8461" w14:textId="77777777" w:rsidTr="007672C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57" w:type="dxa"/>
            <w:vMerge/>
            <w:hideMark/>
          </w:tcPr>
          <w:p w14:paraId="15897023" w14:textId="77777777" w:rsidR="007672C5" w:rsidRPr="00CA2FE8" w:rsidRDefault="007672C5" w:rsidP="007672C5">
            <w:pPr>
              <w:rPr>
                <w:rFonts w:asciiTheme="minorHAnsi" w:hAnsiTheme="minorHAnsi" w:cstheme="minorHAnsi"/>
              </w:rPr>
            </w:pPr>
          </w:p>
        </w:tc>
        <w:tc>
          <w:tcPr>
            <w:tcW w:w="3320" w:type="dxa"/>
            <w:vMerge/>
            <w:hideMark/>
          </w:tcPr>
          <w:p w14:paraId="549FA38A" w14:textId="77777777" w:rsidR="007672C5" w:rsidRPr="00CA2FE8" w:rsidRDefault="007672C5" w:rsidP="007672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65" w:type="dxa"/>
            <w:hideMark/>
          </w:tcPr>
          <w:p w14:paraId="0B51C126" w14:textId="77777777" w:rsidR="007672C5" w:rsidRPr="00CA2FE8" w:rsidRDefault="007672C5" w:rsidP="007672C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Gaseous / air flows</w:t>
            </w:r>
          </w:p>
        </w:tc>
      </w:tr>
      <w:tr w:rsidR="007672C5" w:rsidRPr="00CA2FE8" w14:paraId="2EC5960C" w14:textId="77777777" w:rsidTr="007672C5">
        <w:trPr>
          <w:trHeight w:val="615"/>
        </w:trPr>
        <w:tc>
          <w:tcPr>
            <w:cnfStyle w:val="001000000000" w:firstRow="0" w:lastRow="0" w:firstColumn="1" w:lastColumn="0" w:oddVBand="0" w:evenVBand="0" w:oddHBand="0" w:evenHBand="0" w:firstRowFirstColumn="0" w:firstRowLastColumn="0" w:lastRowFirstColumn="0" w:lastRowLastColumn="0"/>
            <w:tcW w:w="2057" w:type="dxa"/>
            <w:vMerge/>
            <w:hideMark/>
          </w:tcPr>
          <w:p w14:paraId="69C25234" w14:textId="77777777" w:rsidR="007672C5" w:rsidRPr="00CA2FE8" w:rsidRDefault="007672C5" w:rsidP="007672C5">
            <w:pPr>
              <w:rPr>
                <w:rFonts w:asciiTheme="minorHAnsi" w:hAnsiTheme="minorHAnsi" w:cstheme="minorHAnsi"/>
              </w:rPr>
            </w:pPr>
          </w:p>
        </w:tc>
        <w:tc>
          <w:tcPr>
            <w:tcW w:w="3320" w:type="dxa"/>
            <w:vMerge w:val="restart"/>
            <w:hideMark/>
          </w:tcPr>
          <w:p w14:paraId="5ED89458" w14:textId="77777777" w:rsidR="007672C5" w:rsidRPr="00CA2FE8" w:rsidRDefault="007672C5" w:rsidP="007672C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Maintenance of physical, chemical, biological conditions</w:t>
            </w:r>
          </w:p>
          <w:p w14:paraId="35BFCCAF" w14:textId="77777777" w:rsidR="007672C5" w:rsidRPr="00CA2FE8" w:rsidRDefault="007672C5" w:rsidP="007672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 </w:t>
            </w:r>
          </w:p>
          <w:p w14:paraId="1A1C31D0" w14:textId="77777777" w:rsidR="007672C5" w:rsidRPr="00CA2FE8" w:rsidRDefault="007672C5" w:rsidP="007672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 </w:t>
            </w:r>
          </w:p>
          <w:p w14:paraId="46AFC30B" w14:textId="77777777" w:rsidR="007672C5" w:rsidRPr="00CA2FE8" w:rsidRDefault="007672C5" w:rsidP="007672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 </w:t>
            </w:r>
          </w:p>
          <w:p w14:paraId="5FDA459A" w14:textId="77777777" w:rsidR="007672C5" w:rsidRPr="00CA2FE8" w:rsidRDefault="007672C5" w:rsidP="007672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 </w:t>
            </w:r>
          </w:p>
        </w:tc>
        <w:tc>
          <w:tcPr>
            <w:tcW w:w="3865" w:type="dxa"/>
            <w:hideMark/>
          </w:tcPr>
          <w:p w14:paraId="53ACFF28" w14:textId="77777777" w:rsidR="007672C5" w:rsidRPr="00CA2FE8" w:rsidRDefault="007672C5" w:rsidP="007672C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Lifecycle maintenance, habitat and gene pool protection</w:t>
            </w:r>
          </w:p>
        </w:tc>
      </w:tr>
      <w:tr w:rsidR="007672C5" w:rsidRPr="00CA2FE8" w14:paraId="7F3F9F7C" w14:textId="77777777" w:rsidTr="007672C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57" w:type="dxa"/>
            <w:vMerge/>
            <w:hideMark/>
          </w:tcPr>
          <w:p w14:paraId="6D1A0F24" w14:textId="77777777" w:rsidR="007672C5" w:rsidRPr="00CA2FE8" w:rsidRDefault="007672C5" w:rsidP="007672C5">
            <w:pPr>
              <w:rPr>
                <w:rFonts w:asciiTheme="minorHAnsi" w:hAnsiTheme="minorHAnsi" w:cstheme="minorHAnsi"/>
              </w:rPr>
            </w:pPr>
          </w:p>
        </w:tc>
        <w:tc>
          <w:tcPr>
            <w:tcW w:w="3320" w:type="dxa"/>
            <w:vMerge/>
            <w:hideMark/>
          </w:tcPr>
          <w:p w14:paraId="1BC3CE8B" w14:textId="77777777" w:rsidR="007672C5" w:rsidRPr="00CA2FE8" w:rsidRDefault="007672C5" w:rsidP="007672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65" w:type="dxa"/>
            <w:hideMark/>
          </w:tcPr>
          <w:p w14:paraId="41D764B7" w14:textId="77777777" w:rsidR="007672C5" w:rsidRPr="00CA2FE8" w:rsidRDefault="007672C5" w:rsidP="007672C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Pest and disease control</w:t>
            </w:r>
          </w:p>
        </w:tc>
      </w:tr>
      <w:tr w:rsidR="007672C5" w:rsidRPr="00CA2FE8" w14:paraId="7538BFFE" w14:textId="77777777" w:rsidTr="007672C5">
        <w:trPr>
          <w:trHeight w:val="315"/>
        </w:trPr>
        <w:tc>
          <w:tcPr>
            <w:cnfStyle w:val="001000000000" w:firstRow="0" w:lastRow="0" w:firstColumn="1" w:lastColumn="0" w:oddVBand="0" w:evenVBand="0" w:oddHBand="0" w:evenHBand="0" w:firstRowFirstColumn="0" w:firstRowLastColumn="0" w:lastRowFirstColumn="0" w:lastRowLastColumn="0"/>
            <w:tcW w:w="2057" w:type="dxa"/>
            <w:vMerge/>
            <w:hideMark/>
          </w:tcPr>
          <w:p w14:paraId="46D6648A" w14:textId="77777777" w:rsidR="007672C5" w:rsidRPr="00CA2FE8" w:rsidRDefault="007672C5" w:rsidP="007672C5">
            <w:pPr>
              <w:rPr>
                <w:rFonts w:asciiTheme="minorHAnsi" w:hAnsiTheme="minorHAnsi" w:cstheme="minorHAnsi"/>
              </w:rPr>
            </w:pPr>
          </w:p>
        </w:tc>
        <w:tc>
          <w:tcPr>
            <w:tcW w:w="3320" w:type="dxa"/>
            <w:vMerge/>
            <w:hideMark/>
          </w:tcPr>
          <w:p w14:paraId="29DBCBCA" w14:textId="77777777" w:rsidR="007672C5" w:rsidRPr="00CA2FE8" w:rsidRDefault="007672C5" w:rsidP="007672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65" w:type="dxa"/>
            <w:hideMark/>
          </w:tcPr>
          <w:p w14:paraId="7025CD10" w14:textId="77777777" w:rsidR="007672C5" w:rsidRPr="00CA2FE8" w:rsidRDefault="007672C5" w:rsidP="007672C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Soil formation and composition</w:t>
            </w:r>
          </w:p>
        </w:tc>
      </w:tr>
      <w:tr w:rsidR="007672C5" w:rsidRPr="00CA2FE8" w14:paraId="31736C4B" w14:textId="77777777" w:rsidTr="007672C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57" w:type="dxa"/>
            <w:vMerge/>
            <w:hideMark/>
          </w:tcPr>
          <w:p w14:paraId="1D2A63BE" w14:textId="77777777" w:rsidR="007672C5" w:rsidRPr="00CA2FE8" w:rsidRDefault="007672C5" w:rsidP="007672C5">
            <w:pPr>
              <w:rPr>
                <w:rFonts w:asciiTheme="minorHAnsi" w:hAnsiTheme="minorHAnsi" w:cstheme="minorHAnsi"/>
              </w:rPr>
            </w:pPr>
          </w:p>
        </w:tc>
        <w:tc>
          <w:tcPr>
            <w:tcW w:w="3320" w:type="dxa"/>
            <w:vMerge/>
            <w:hideMark/>
          </w:tcPr>
          <w:p w14:paraId="7E413C39" w14:textId="77777777" w:rsidR="007672C5" w:rsidRPr="00CA2FE8" w:rsidRDefault="007672C5" w:rsidP="007672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65" w:type="dxa"/>
            <w:hideMark/>
          </w:tcPr>
          <w:p w14:paraId="27B04C7F" w14:textId="77777777" w:rsidR="007672C5" w:rsidRPr="00CA2FE8" w:rsidRDefault="007672C5" w:rsidP="007672C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Water conditions</w:t>
            </w:r>
          </w:p>
        </w:tc>
      </w:tr>
      <w:tr w:rsidR="007672C5" w:rsidRPr="00CA2FE8" w14:paraId="074732B8" w14:textId="77777777" w:rsidTr="007672C5">
        <w:trPr>
          <w:trHeight w:val="405"/>
        </w:trPr>
        <w:tc>
          <w:tcPr>
            <w:cnfStyle w:val="001000000000" w:firstRow="0" w:lastRow="0" w:firstColumn="1" w:lastColumn="0" w:oddVBand="0" w:evenVBand="0" w:oddHBand="0" w:evenHBand="0" w:firstRowFirstColumn="0" w:firstRowLastColumn="0" w:lastRowFirstColumn="0" w:lastRowLastColumn="0"/>
            <w:tcW w:w="2057" w:type="dxa"/>
            <w:vMerge/>
            <w:hideMark/>
          </w:tcPr>
          <w:p w14:paraId="340E5004" w14:textId="77777777" w:rsidR="007672C5" w:rsidRPr="00CA2FE8" w:rsidRDefault="007672C5" w:rsidP="007672C5">
            <w:pPr>
              <w:rPr>
                <w:rFonts w:asciiTheme="minorHAnsi" w:hAnsiTheme="minorHAnsi" w:cstheme="minorHAnsi"/>
              </w:rPr>
            </w:pPr>
          </w:p>
        </w:tc>
        <w:tc>
          <w:tcPr>
            <w:tcW w:w="3320" w:type="dxa"/>
            <w:vMerge/>
            <w:hideMark/>
          </w:tcPr>
          <w:p w14:paraId="242069F8" w14:textId="77777777" w:rsidR="007672C5" w:rsidRPr="00CA2FE8" w:rsidRDefault="007672C5" w:rsidP="007672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65" w:type="dxa"/>
            <w:hideMark/>
          </w:tcPr>
          <w:p w14:paraId="0A8E11A2" w14:textId="77777777" w:rsidR="007672C5" w:rsidRPr="00CA2FE8" w:rsidRDefault="007672C5" w:rsidP="007672C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Atmospheric composition and climate regulation</w:t>
            </w:r>
          </w:p>
        </w:tc>
      </w:tr>
      <w:tr w:rsidR="007672C5" w:rsidRPr="00CA2FE8" w14:paraId="5A55D185" w14:textId="77777777" w:rsidTr="007672C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057" w:type="dxa"/>
            <w:vMerge w:val="restart"/>
            <w:hideMark/>
          </w:tcPr>
          <w:p w14:paraId="51717F87" w14:textId="77777777" w:rsidR="007672C5" w:rsidRPr="00CA2FE8" w:rsidRDefault="007672C5" w:rsidP="007672C5">
            <w:pPr>
              <w:jc w:val="left"/>
              <w:rPr>
                <w:rFonts w:asciiTheme="minorHAnsi" w:hAnsiTheme="minorHAnsi" w:cstheme="minorHAnsi"/>
                <w:b w:val="0"/>
                <w:bCs w:val="0"/>
              </w:rPr>
            </w:pPr>
            <w:r w:rsidRPr="00CA2FE8">
              <w:rPr>
                <w:rFonts w:asciiTheme="minorHAnsi" w:hAnsiTheme="minorHAnsi" w:cstheme="minorHAnsi"/>
              </w:rPr>
              <w:t>Cultural</w:t>
            </w:r>
          </w:p>
          <w:p w14:paraId="0A365136" w14:textId="77777777" w:rsidR="007672C5" w:rsidRPr="00CA2FE8" w:rsidRDefault="007672C5" w:rsidP="007672C5">
            <w:pPr>
              <w:rPr>
                <w:rFonts w:asciiTheme="minorHAnsi" w:hAnsiTheme="minorHAnsi" w:cstheme="minorHAnsi"/>
              </w:rPr>
            </w:pPr>
            <w:r w:rsidRPr="00CA2FE8">
              <w:rPr>
                <w:rFonts w:asciiTheme="minorHAnsi" w:hAnsiTheme="minorHAnsi" w:cstheme="minorHAnsi"/>
              </w:rPr>
              <w:t> </w:t>
            </w:r>
          </w:p>
          <w:p w14:paraId="60D63F0F" w14:textId="77777777" w:rsidR="007672C5" w:rsidRPr="00CA2FE8" w:rsidRDefault="007672C5" w:rsidP="007672C5">
            <w:pPr>
              <w:rPr>
                <w:rFonts w:asciiTheme="minorHAnsi" w:hAnsiTheme="minorHAnsi" w:cstheme="minorHAnsi"/>
              </w:rPr>
            </w:pPr>
            <w:r w:rsidRPr="00CA2FE8">
              <w:rPr>
                <w:rFonts w:asciiTheme="minorHAnsi" w:hAnsiTheme="minorHAnsi" w:cstheme="minorHAnsi"/>
              </w:rPr>
              <w:t> </w:t>
            </w:r>
          </w:p>
          <w:p w14:paraId="163E165E" w14:textId="77777777" w:rsidR="007672C5" w:rsidRPr="00CA2FE8" w:rsidRDefault="007672C5" w:rsidP="007672C5">
            <w:pPr>
              <w:rPr>
                <w:rFonts w:asciiTheme="minorHAnsi" w:hAnsiTheme="minorHAnsi" w:cstheme="minorHAnsi"/>
                <w:b w:val="0"/>
                <w:bCs w:val="0"/>
              </w:rPr>
            </w:pPr>
            <w:r w:rsidRPr="00CA2FE8">
              <w:rPr>
                <w:rFonts w:asciiTheme="minorHAnsi" w:hAnsiTheme="minorHAnsi" w:cstheme="minorHAnsi"/>
              </w:rPr>
              <w:t> </w:t>
            </w:r>
          </w:p>
        </w:tc>
        <w:tc>
          <w:tcPr>
            <w:tcW w:w="3320" w:type="dxa"/>
            <w:vMerge w:val="restart"/>
            <w:hideMark/>
          </w:tcPr>
          <w:p w14:paraId="66ECC78C" w14:textId="77777777" w:rsidR="007672C5" w:rsidRPr="00CA2FE8" w:rsidRDefault="007672C5" w:rsidP="007672C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Physical and intellectual interactions with ecosystems and land-/seascapes [environmental settings]</w:t>
            </w:r>
          </w:p>
          <w:p w14:paraId="24B036EE" w14:textId="77777777" w:rsidR="007672C5" w:rsidRPr="00CA2FE8" w:rsidRDefault="007672C5" w:rsidP="007672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 </w:t>
            </w:r>
          </w:p>
        </w:tc>
        <w:tc>
          <w:tcPr>
            <w:tcW w:w="3865" w:type="dxa"/>
            <w:hideMark/>
          </w:tcPr>
          <w:p w14:paraId="1737FF9C" w14:textId="77777777" w:rsidR="007672C5" w:rsidRPr="00CA2FE8" w:rsidRDefault="007672C5" w:rsidP="007672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Physical and experiential interactions</w:t>
            </w:r>
          </w:p>
        </w:tc>
      </w:tr>
      <w:tr w:rsidR="007672C5" w:rsidRPr="00CA2FE8" w14:paraId="01E7409D" w14:textId="77777777" w:rsidTr="007672C5">
        <w:trPr>
          <w:trHeight w:val="315"/>
        </w:trPr>
        <w:tc>
          <w:tcPr>
            <w:cnfStyle w:val="001000000000" w:firstRow="0" w:lastRow="0" w:firstColumn="1" w:lastColumn="0" w:oddVBand="0" w:evenVBand="0" w:oddHBand="0" w:evenHBand="0" w:firstRowFirstColumn="0" w:firstRowLastColumn="0" w:lastRowFirstColumn="0" w:lastRowLastColumn="0"/>
            <w:tcW w:w="2057" w:type="dxa"/>
            <w:vMerge/>
            <w:hideMark/>
          </w:tcPr>
          <w:p w14:paraId="2953D0F5" w14:textId="77777777" w:rsidR="007672C5" w:rsidRPr="00CA2FE8" w:rsidRDefault="007672C5" w:rsidP="007672C5">
            <w:pPr>
              <w:rPr>
                <w:rFonts w:asciiTheme="minorHAnsi" w:hAnsiTheme="minorHAnsi" w:cstheme="minorHAnsi"/>
              </w:rPr>
            </w:pPr>
          </w:p>
        </w:tc>
        <w:tc>
          <w:tcPr>
            <w:tcW w:w="3320" w:type="dxa"/>
            <w:vMerge/>
            <w:hideMark/>
          </w:tcPr>
          <w:p w14:paraId="0F84013A" w14:textId="77777777" w:rsidR="007672C5" w:rsidRPr="00CA2FE8" w:rsidRDefault="007672C5" w:rsidP="007672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65" w:type="dxa"/>
            <w:hideMark/>
          </w:tcPr>
          <w:p w14:paraId="562FC6B7" w14:textId="77777777" w:rsidR="007672C5" w:rsidRPr="00CA2FE8" w:rsidRDefault="007672C5" w:rsidP="007672C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Intellectual and representational interactions</w:t>
            </w:r>
          </w:p>
        </w:tc>
      </w:tr>
      <w:tr w:rsidR="007672C5" w:rsidRPr="00CA2FE8" w14:paraId="59DF7474" w14:textId="77777777" w:rsidTr="007672C5">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057" w:type="dxa"/>
            <w:vMerge/>
            <w:hideMark/>
          </w:tcPr>
          <w:p w14:paraId="1FA66A41" w14:textId="77777777" w:rsidR="007672C5" w:rsidRPr="00CA2FE8" w:rsidRDefault="007672C5" w:rsidP="007672C5">
            <w:pPr>
              <w:rPr>
                <w:rFonts w:asciiTheme="minorHAnsi" w:hAnsiTheme="minorHAnsi" w:cstheme="minorHAnsi"/>
              </w:rPr>
            </w:pPr>
          </w:p>
        </w:tc>
        <w:tc>
          <w:tcPr>
            <w:tcW w:w="3320" w:type="dxa"/>
            <w:vMerge w:val="restart"/>
            <w:hideMark/>
          </w:tcPr>
          <w:p w14:paraId="4E470154" w14:textId="77777777" w:rsidR="007672C5" w:rsidRPr="00CA2FE8" w:rsidRDefault="007672C5" w:rsidP="007672C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Spiritual, symbolic and other interactions with ecosystems and land-/sea</w:t>
            </w:r>
            <w:r>
              <w:rPr>
                <w:rFonts w:asciiTheme="minorHAnsi" w:hAnsiTheme="minorHAnsi" w:cstheme="minorHAnsi"/>
              </w:rPr>
              <w:t>scapes [environmental settings]</w:t>
            </w:r>
          </w:p>
        </w:tc>
        <w:tc>
          <w:tcPr>
            <w:tcW w:w="3865" w:type="dxa"/>
            <w:hideMark/>
          </w:tcPr>
          <w:p w14:paraId="150AC976" w14:textId="77777777" w:rsidR="007672C5" w:rsidRPr="00CA2FE8" w:rsidRDefault="007672C5" w:rsidP="007672C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Spiritual and/or emblematic</w:t>
            </w:r>
          </w:p>
        </w:tc>
      </w:tr>
      <w:tr w:rsidR="007672C5" w:rsidRPr="00CA2FE8" w14:paraId="413F4F1E" w14:textId="77777777" w:rsidTr="007672C5">
        <w:trPr>
          <w:trHeight w:val="665"/>
        </w:trPr>
        <w:tc>
          <w:tcPr>
            <w:cnfStyle w:val="001000000000" w:firstRow="0" w:lastRow="0" w:firstColumn="1" w:lastColumn="0" w:oddVBand="0" w:evenVBand="0" w:oddHBand="0" w:evenHBand="0" w:firstRowFirstColumn="0" w:firstRowLastColumn="0" w:lastRowFirstColumn="0" w:lastRowLastColumn="0"/>
            <w:tcW w:w="2057" w:type="dxa"/>
            <w:vMerge/>
            <w:hideMark/>
          </w:tcPr>
          <w:p w14:paraId="6C837602" w14:textId="77777777" w:rsidR="007672C5" w:rsidRPr="00CA2FE8" w:rsidRDefault="007672C5" w:rsidP="007672C5">
            <w:pPr>
              <w:rPr>
                <w:rFonts w:asciiTheme="minorHAnsi" w:hAnsiTheme="minorHAnsi" w:cstheme="minorHAnsi"/>
              </w:rPr>
            </w:pPr>
          </w:p>
        </w:tc>
        <w:tc>
          <w:tcPr>
            <w:tcW w:w="3320" w:type="dxa"/>
            <w:vMerge/>
            <w:hideMark/>
          </w:tcPr>
          <w:p w14:paraId="0A530BD6" w14:textId="77777777" w:rsidR="007672C5" w:rsidRPr="00CA2FE8" w:rsidRDefault="007672C5" w:rsidP="007672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65" w:type="dxa"/>
            <w:hideMark/>
          </w:tcPr>
          <w:p w14:paraId="2EF9D3CE" w14:textId="77777777" w:rsidR="007672C5" w:rsidRPr="00CA2FE8" w:rsidRDefault="007672C5" w:rsidP="007672C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2FE8">
              <w:rPr>
                <w:rFonts w:asciiTheme="minorHAnsi" w:hAnsiTheme="minorHAnsi" w:cstheme="minorHAnsi"/>
              </w:rPr>
              <w:t>Other cultural outputs</w:t>
            </w:r>
          </w:p>
        </w:tc>
      </w:tr>
    </w:tbl>
    <w:p w14:paraId="211DF101" w14:textId="77777777" w:rsidR="0072297A" w:rsidRDefault="0072297A" w:rsidP="00545524"/>
    <w:p w14:paraId="2DDB72DD" w14:textId="77777777" w:rsidR="0072297A" w:rsidRDefault="0072297A" w:rsidP="00987890">
      <w:pPr>
        <w:pStyle w:val="Heading1"/>
        <w:numPr>
          <w:ilvl w:val="0"/>
          <w:numId w:val="0"/>
        </w:numPr>
        <w:ind w:left="432" w:hanging="432"/>
        <w:sectPr w:rsidR="0072297A" w:rsidSect="00CA2773">
          <w:pgSz w:w="11906" w:h="16838"/>
          <w:pgMar w:top="1440" w:right="1440" w:bottom="1440" w:left="1440" w:header="708" w:footer="708" w:gutter="0"/>
          <w:cols w:space="708"/>
          <w:docGrid w:linePitch="360"/>
        </w:sectPr>
      </w:pPr>
    </w:p>
    <w:p w14:paraId="7C24A166" w14:textId="2901B5D2" w:rsidR="0072297A" w:rsidRPr="004E7EB5" w:rsidRDefault="0072297A" w:rsidP="0072297A">
      <w:pPr>
        <w:pStyle w:val="Heading1"/>
        <w:numPr>
          <w:ilvl w:val="0"/>
          <w:numId w:val="0"/>
        </w:numPr>
        <w:ind w:left="432" w:hanging="432"/>
      </w:pPr>
      <w:bookmarkStart w:id="175" w:name="_Toc493774257"/>
      <w:r w:rsidRPr="004E7EB5">
        <w:lastRenderedPageBreak/>
        <w:t xml:space="preserve">Appendix </w:t>
      </w:r>
      <w:r w:rsidR="00145E76">
        <w:t>D</w:t>
      </w:r>
      <w:r w:rsidRPr="004E7EB5">
        <w:t xml:space="preserve">: </w:t>
      </w:r>
      <w:r>
        <w:t>Example set of Components, Processes, Functions and Services</w:t>
      </w:r>
      <w:bookmarkEnd w:id="175"/>
    </w:p>
    <w:p w14:paraId="14B3730E" w14:textId="4A2F0124" w:rsidR="0072297A" w:rsidRDefault="0036657A" w:rsidP="0036657A">
      <w:pPr>
        <w:pStyle w:val="Caption"/>
      </w:pPr>
      <w:r>
        <w:t xml:space="preserve">Table D </w:t>
      </w:r>
      <w:fldSimple w:instr=" SEQ Table_D \* ARABIC ">
        <w:r>
          <w:rPr>
            <w:noProof/>
          </w:rPr>
          <w:t>1</w:t>
        </w:r>
      </w:fldSimple>
      <w:r>
        <w:t xml:space="preserve">: </w:t>
      </w:r>
      <w:r w:rsidR="00AD6716">
        <w:t xml:space="preserve">Examples of components, processes, functions and services associated with aquatic ecosystems. </w:t>
      </w:r>
      <w:r w:rsidR="007672C5">
        <w:t>Modified from National Guidelines for Developing Ecological Character Descriptions for Ramsar Sites</w:t>
      </w:r>
      <w:r w:rsidR="006B4464">
        <w:t xml:space="preserve"> </w:t>
      </w:r>
      <w:r w:rsidR="009951E4">
        <w:fldChar w:fldCharType="begin"/>
      </w:r>
      <w:r w:rsidR="009951E4">
        <w:instrText xml:space="preserve"> ADDIN ZOTERO_ITEM CSL_CITATION {"citationID":"2ftkru9c2k","properties":{"formattedCitation":"(DEWHA 2008)","plainCitation":"(DEWHA 2008)"},"citationItems":[{"id":3317,"uris":["http://zotero.org/users/3119797/items/2FEDVCUP"],"uri":["http://zotero.org/users/3119797/items/2FEDVCUP"],"itemData":{"id":3317,"type":"article","title":"National framework and guidance for describing the ecological character of Australian Ramsar Wetlands: Module 2 of the National Guidelines for Ramsar Wetlands - implementing the Ramsar Convention in Australia. Dept. of the Environment, Water, Heritage and the Arts, Canberra.","author":[{"family":"DEWHA","given":""}],"issued":{"date-parts":[["2008"]]}}}],"schema":"https://github.com/citation-style-language/schema/raw/master/csl-citation.json"} </w:instrText>
      </w:r>
      <w:r w:rsidR="009951E4">
        <w:fldChar w:fldCharType="separate"/>
      </w:r>
      <w:r w:rsidR="009951E4" w:rsidRPr="009951E4">
        <w:rPr>
          <w:rFonts w:cs="Calibri"/>
        </w:rPr>
        <w:t>(DEWHA 2008)</w:t>
      </w:r>
      <w:r w:rsidR="009951E4">
        <w:fldChar w:fldCharType="end"/>
      </w:r>
      <w:r w:rsidR="00416292">
        <w:t xml:space="preserve"> and cited references</w:t>
      </w:r>
      <w:r w:rsidR="00AD6716">
        <w:t xml:space="preserve"> (not necessarily an exhaustive list).</w:t>
      </w:r>
    </w:p>
    <w:tbl>
      <w:tblPr>
        <w:tblStyle w:val="LightList-Accent2"/>
        <w:tblW w:w="0" w:type="auto"/>
        <w:tblBorders>
          <w:top w:val="single" w:sz="4" w:space="0" w:color="9CBEBD" w:themeColor="accent2"/>
          <w:left w:val="single" w:sz="4" w:space="0" w:color="9CBEBD" w:themeColor="accent2"/>
          <w:bottom w:val="single" w:sz="4" w:space="0" w:color="9CBEBD" w:themeColor="accent2"/>
          <w:right w:val="single" w:sz="4" w:space="0" w:color="9CBEBD" w:themeColor="accent2"/>
          <w:insideH w:val="single" w:sz="4" w:space="0" w:color="9CBEBD" w:themeColor="accent2"/>
          <w:insideV w:val="single" w:sz="4" w:space="0" w:color="9CBEBD" w:themeColor="accent2"/>
        </w:tblBorders>
        <w:tblLook w:val="04A0" w:firstRow="1" w:lastRow="0" w:firstColumn="1" w:lastColumn="0" w:noHBand="0" w:noVBand="1"/>
      </w:tblPr>
      <w:tblGrid>
        <w:gridCol w:w="2318"/>
        <w:gridCol w:w="6698"/>
      </w:tblGrid>
      <w:tr w:rsidR="0036657A" w14:paraId="518AAB9C" w14:textId="77777777" w:rsidTr="00E8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EF3A103" w14:textId="513BBCD3" w:rsidR="0036657A" w:rsidRDefault="0036657A" w:rsidP="0072297A">
            <w:r>
              <w:t>Component, process, function, service</w:t>
            </w:r>
          </w:p>
        </w:tc>
        <w:tc>
          <w:tcPr>
            <w:tcW w:w="6866" w:type="dxa"/>
          </w:tcPr>
          <w:p w14:paraId="2374C3DD" w14:textId="5EED39AF" w:rsidR="0036657A" w:rsidRDefault="0036657A" w:rsidP="0072297A">
            <w:pPr>
              <w:cnfStyle w:val="100000000000" w:firstRow="1" w:lastRow="0" w:firstColumn="0" w:lastColumn="0" w:oddVBand="0" w:evenVBand="0" w:oddHBand="0" w:evenHBand="0" w:firstRowFirstColumn="0" w:firstRowLastColumn="0" w:lastRowFirstColumn="0" w:lastRowLastColumn="0"/>
            </w:pPr>
            <w:r>
              <w:t>Example</w:t>
            </w:r>
          </w:p>
        </w:tc>
      </w:tr>
      <w:tr w:rsidR="0036657A" w14:paraId="0D6CF7A3"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none" w:sz="0" w:space="0" w:color="auto"/>
              <w:left w:val="none" w:sz="0" w:space="0" w:color="auto"/>
              <w:bottom w:val="none" w:sz="0" w:space="0" w:color="auto"/>
              <w:right w:val="none" w:sz="0" w:space="0" w:color="auto"/>
            </w:tcBorders>
            <w:shd w:val="clear" w:color="auto" w:fill="EBF2F1" w:themeFill="accent2" w:themeFillTint="33"/>
          </w:tcPr>
          <w:p w14:paraId="7715766C" w14:textId="4AC73348" w:rsidR="0036657A" w:rsidRDefault="0036657A" w:rsidP="0072297A">
            <w:r>
              <w:t xml:space="preserve">Component </w:t>
            </w:r>
          </w:p>
        </w:tc>
      </w:tr>
      <w:tr w:rsidR="0036657A" w14:paraId="537F1C61"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val="restart"/>
          </w:tcPr>
          <w:p w14:paraId="659E72E6" w14:textId="041C76CD" w:rsidR="0036657A" w:rsidRPr="002D6513" w:rsidRDefault="0036657A" w:rsidP="00FF46BE">
            <w:pPr>
              <w:rPr>
                <w:b w:val="0"/>
              </w:rPr>
            </w:pPr>
            <w:r>
              <w:rPr>
                <w:b w:val="0"/>
              </w:rPr>
              <w:t xml:space="preserve">Climatic components </w:t>
            </w:r>
          </w:p>
        </w:tc>
        <w:tc>
          <w:tcPr>
            <w:tcW w:w="6866" w:type="dxa"/>
          </w:tcPr>
          <w:p w14:paraId="0AAABF72" w14:textId="4AC0771F" w:rsidR="0036657A" w:rsidRDefault="0036657A" w:rsidP="006B4464">
            <w:pPr>
              <w:cnfStyle w:val="000000000000" w:firstRow="0" w:lastRow="0" w:firstColumn="0" w:lastColumn="0" w:oddVBand="0" w:evenVBand="0" w:oddHBand="0" w:evenHBand="0" w:firstRowFirstColumn="0" w:firstRowLastColumn="0" w:lastRowFirstColumn="0" w:lastRowLastColumn="0"/>
            </w:pPr>
            <w:r>
              <w:t>Precipitation</w:t>
            </w:r>
          </w:p>
        </w:tc>
      </w:tr>
      <w:tr w:rsidR="0036657A" w14:paraId="71668DE0"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3EECF9C7" w14:textId="77777777" w:rsidR="0036657A" w:rsidRPr="002D6513" w:rsidRDefault="0036657A" w:rsidP="007672C5">
            <w:pPr>
              <w:rPr>
                <w:b w:val="0"/>
              </w:rPr>
            </w:pPr>
          </w:p>
        </w:tc>
        <w:tc>
          <w:tcPr>
            <w:tcW w:w="6866" w:type="dxa"/>
            <w:tcBorders>
              <w:top w:val="none" w:sz="0" w:space="0" w:color="auto"/>
              <w:bottom w:val="none" w:sz="0" w:space="0" w:color="auto"/>
              <w:right w:val="none" w:sz="0" w:space="0" w:color="auto"/>
            </w:tcBorders>
          </w:tcPr>
          <w:p w14:paraId="24371D2A" w14:textId="51C861E9" w:rsidR="0036657A" w:rsidRDefault="0036657A" w:rsidP="0072297A">
            <w:pPr>
              <w:cnfStyle w:val="000000100000" w:firstRow="0" w:lastRow="0" w:firstColumn="0" w:lastColumn="0" w:oddVBand="0" w:evenVBand="0" w:oddHBand="1" w:evenHBand="0" w:firstRowFirstColumn="0" w:firstRowLastColumn="0" w:lastRowFirstColumn="0" w:lastRowLastColumn="0"/>
            </w:pPr>
            <w:r>
              <w:t>Temperature</w:t>
            </w:r>
          </w:p>
        </w:tc>
      </w:tr>
      <w:tr w:rsidR="0036657A" w14:paraId="0D26156E"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tcPr>
          <w:p w14:paraId="3D20DD5C" w14:textId="77777777" w:rsidR="0036657A" w:rsidRPr="002D6513" w:rsidRDefault="0036657A" w:rsidP="007672C5">
            <w:pPr>
              <w:rPr>
                <w:b w:val="0"/>
              </w:rPr>
            </w:pPr>
          </w:p>
        </w:tc>
        <w:tc>
          <w:tcPr>
            <w:tcW w:w="6866" w:type="dxa"/>
          </w:tcPr>
          <w:p w14:paraId="30D8EDC3" w14:textId="0AF48E7A" w:rsidR="0036657A" w:rsidRDefault="0036657A" w:rsidP="0072297A">
            <w:pPr>
              <w:cnfStyle w:val="000000000000" w:firstRow="0" w:lastRow="0" w:firstColumn="0" w:lastColumn="0" w:oddVBand="0" w:evenVBand="0" w:oddHBand="0" w:evenHBand="0" w:firstRowFirstColumn="0" w:firstRowLastColumn="0" w:lastRowFirstColumn="0" w:lastRowLastColumn="0"/>
            </w:pPr>
            <w:r>
              <w:t>Evaporation (may be considered a process)</w:t>
            </w:r>
          </w:p>
        </w:tc>
      </w:tr>
      <w:tr w:rsidR="0036657A" w14:paraId="7183D75D"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577C6F63" w14:textId="77777777" w:rsidR="0036657A" w:rsidRPr="002D6513" w:rsidRDefault="0036657A" w:rsidP="007672C5">
            <w:pPr>
              <w:rPr>
                <w:b w:val="0"/>
              </w:rPr>
            </w:pPr>
          </w:p>
        </w:tc>
        <w:tc>
          <w:tcPr>
            <w:tcW w:w="6866" w:type="dxa"/>
            <w:tcBorders>
              <w:top w:val="none" w:sz="0" w:space="0" w:color="auto"/>
              <w:bottom w:val="none" w:sz="0" w:space="0" w:color="auto"/>
              <w:right w:val="none" w:sz="0" w:space="0" w:color="auto"/>
            </w:tcBorders>
          </w:tcPr>
          <w:p w14:paraId="5BCA0DE4" w14:textId="05AE11AA" w:rsidR="0036657A" w:rsidRDefault="0036657A" w:rsidP="0072297A">
            <w:pPr>
              <w:cnfStyle w:val="000000100000" w:firstRow="0" w:lastRow="0" w:firstColumn="0" w:lastColumn="0" w:oddVBand="0" w:evenVBand="0" w:oddHBand="1" w:evenHBand="0" w:firstRowFirstColumn="0" w:firstRowLastColumn="0" w:lastRowFirstColumn="0" w:lastRowLastColumn="0"/>
            </w:pPr>
            <w:r>
              <w:t>Wind</w:t>
            </w:r>
          </w:p>
        </w:tc>
      </w:tr>
      <w:tr w:rsidR="0036657A" w14:paraId="5F5ED3C8"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val="restart"/>
          </w:tcPr>
          <w:p w14:paraId="2864D8FF" w14:textId="6D153B3A" w:rsidR="0036657A" w:rsidRPr="002D6513" w:rsidRDefault="0036657A" w:rsidP="00FF46BE">
            <w:pPr>
              <w:rPr>
                <w:b w:val="0"/>
              </w:rPr>
            </w:pPr>
            <w:r>
              <w:rPr>
                <w:b w:val="0"/>
              </w:rPr>
              <w:t>Geomorphic features – physical form</w:t>
            </w:r>
          </w:p>
        </w:tc>
        <w:tc>
          <w:tcPr>
            <w:tcW w:w="6866" w:type="dxa"/>
          </w:tcPr>
          <w:p w14:paraId="3FE56BA1" w14:textId="4A8B2C45" w:rsidR="0036657A" w:rsidRDefault="0036657A" w:rsidP="006B4464">
            <w:pPr>
              <w:cnfStyle w:val="000000000000" w:firstRow="0" w:lastRow="0" w:firstColumn="0" w:lastColumn="0" w:oddVBand="0" w:evenVBand="0" w:oddHBand="0" w:evenHBand="0" w:firstRowFirstColumn="0" w:firstRowLastColumn="0" w:lastRowFirstColumn="0" w:lastRowLastColumn="0"/>
            </w:pPr>
            <w:r>
              <w:t xml:space="preserve">Area </w:t>
            </w:r>
          </w:p>
        </w:tc>
      </w:tr>
      <w:tr w:rsidR="0036657A" w14:paraId="68FDEB3C" w14:textId="77777777" w:rsidTr="0036657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53EF86C2" w14:textId="77777777" w:rsidR="0036657A" w:rsidRPr="002D6513" w:rsidRDefault="0036657A" w:rsidP="0072297A">
            <w:pPr>
              <w:rPr>
                <w:b w:val="0"/>
              </w:rPr>
            </w:pPr>
          </w:p>
        </w:tc>
        <w:tc>
          <w:tcPr>
            <w:tcW w:w="6866" w:type="dxa"/>
            <w:tcBorders>
              <w:top w:val="none" w:sz="0" w:space="0" w:color="auto"/>
              <w:bottom w:val="none" w:sz="0" w:space="0" w:color="auto"/>
              <w:right w:val="none" w:sz="0" w:space="0" w:color="auto"/>
            </w:tcBorders>
          </w:tcPr>
          <w:p w14:paraId="271197EB" w14:textId="17F26EA3" w:rsidR="0036657A" w:rsidRDefault="0036657A" w:rsidP="006B4464">
            <w:pPr>
              <w:cnfStyle w:val="000000100000" w:firstRow="0" w:lastRow="0" w:firstColumn="0" w:lastColumn="0" w:oddVBand="0" w:evenVBand="0" w:oddHBand="1" w:evenHBand="0" w:firstRowFirstColumn="0" w:firstRowLastColumn="0" w:lastRowFirstColumn="0" w:lastRowLastColumn="0"/>
            </w:pPr>
            <w:r>
              <w:t>Depth</w:t>
            </w:r>
          </w:p>
        </w:tc>
      </w:tr>
      <w:tr w:rsidR="0036657A" w14:paraId="27DF5FB1"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tcPr>
          <w:p w14:paraId="223020E2" w14:textId="77777777" w:rsidR="0036657A" w:rsidRPr="002D6513" w:rsidRDefault="0036657A" w:rsidP="0072297A">
            <w:pPr>
              <w:rPr>
                <w:b w:val="0"/>
              </w:rPr>
            </w:pPr>
          </w:p>
        </w:tc>
        <w:tc>
          <w:tcPr>
            <w:tcW w:w="6866" w:type="dxa"/>
          </w:tcPr>
          <w:p w14:paraId="2B6A4B81" w14:textId="43253C04" w:rsidR="0036657A" w:rsidRDefault="0036657A" w:rsidP="006B4464">
            <w:pPr>
              <w:cnfStyle w:val="000000000000" w:firstRow="0" w:lastRow="0" w:firstColumn="0" w:lastColumn="0" w:oddVBand="0" w:evenVBand="0" w:oddHBand="0" w:evenHBand="0" w:firstRowFirstColumn="0" w:firstRowLastColumn="0" w:lastRowFirstColumn="0" w:lastRowLastColumn="0"/>
            </w:pPr>
            <w:r>
              <w:t xml:space="preserve">Aquatic ecosystem shape </w:t>
            </w:r>
          </w:p>
        </w:tc>
      </w:tr>
      <w:tr w:rsidR="0036657A" w14:paraId="3D69D524"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1DDC6A33" w14:textId="77777777" w:rsidR="0036657A" w:rsidRPr="002D6513" w:rsidRDefault="0036657A" w:rsidP="0072297A">
            <w:pPr>
              <w:rPr>
                <w:b w:val="0"/>
              </w:rPr>
            </w:pPr>
          </w:p>
        </w:tc>
        <w:tc>
          <w:tcPr>
            <w:tcW w:w="6866" w:type="dxa"/>
            <w:tcBorders>
              <w:top w:val="none" w:sz="0" w:space="0" w:color="auto"/>
              <w:bottom w:val="none" w:sz="0" w:space="0" w:color="auto"/>
              <w:right w:val="none" w:sz="0" w:space="0" w:color="auto"/>
            </w:tcBorders>
          </w:tcPr>
          <w:p w14:paraId="2BE2F8A6" w14:textId="58A047E1" w:rsidR="0036657A" w:rsidRDefault="0036657A" w:rsidP="007672C5">
            <w:pPr>
              <w:cnfStyle w:val="000000100000" w:firstRow="0" w:lastRow="0" w:firstColumn="0" w:lastColumn="0" w:oddVBand="0" w:evenVBand="0" w:oddHBand="1" w:evenHBand="0" w:firstRowFirstColumn="0" w:firstRowLastColumn="0" w:lastRowFirstColumn="0" w:lastRowLastColumn="0"/>
            </w:pPr>
            <w:r>
              <w:t>Bathymetry</w:t>
            </w:r>
          </w:p>
        </w:tc>
      </w:tr>
      <w:tr w:rsidR="0036657A" w14:paraId="78C72183"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tcPr>
          <w:p w14:paraId="29D6C66F" w14:textId="77777777" w:rsidR="0036657A" w:rsidRPr="002D6513" w:rsidRDefault="0036657A" w:rsidP="0072297A">
            <w:pPr>
              <w:rPr>
                <w:b w:val="0"/>
              </w:rPr>
            </w:pPr>
          </w:p>
        </w:tc>
        <w:tc>
          <w:tcPr>
            <w:tcW w:w="6866" w:type="dxa"/>
          </w:tcPr>
          <w:p w14:paraId="2F8768AA" w14:textId="067C32C8" w:rsidR="0036657A" w:rsidRDefault="0036657A" w:rsidP="007672C5">
            <w:pPr>
              <w:cnfStyle w:val="000000000000" w:firstRow="0" w:lastRow="0" w:firstColumn="0" w:lastColumn="0" w:oddVBand="0" w:evenVBand="0" w:oddHBand="0" w:evenHBand="0" w:firstRowFirstColumn="0" w:firstRowLastColumn="0" w:lastRowFirstColumn="0" w:lastRowLastColumn="0"/>
            </w:pPr>
            <w:r>
              <w:t>Shoreline characteristics</w:t>
            </w:r>
          </w:p>
        </w:tc>
      </w:tr>
      <w:tr w:rsidR="0036657A" w14:paraId="530D52D8"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1699019E" w14:textId="77777777" w:rsidR="0036657A" w:rsidRPr="002D6513" w:rsidRDefault="0036657A" w:rsidP="0072297A">
            <w:pPr>
              <w:rPr>
                <w:b w:val="0"/>
              </w:rPr>
            </w:pPr>
          </w:p>
        </w:tc>
        <w:tc>
          <w:tcPr>
            <w:tcW w:w="6866" w:type="dxa"/>
            <w:tcBorders>
              <w:top w:val="none" w:sz="0" w:space="0" w:color="auto"/>
              <w:bottom w:val="none" w:sz="0" w:space="0" w:color="auto"/>
              <w:right w:val="none" w:sz="0" w:space="0" w:color="auto"/>
            </w:tcBorders>
          </w:tcPr>
          <w:p w14:paraId="06DFCECD" w14:textId="63996FD3" w:rsidR="0036657A" w:rsidRDefault="0036657A" w:rsidP="00AD6716">
            <w:pPr>
              <w:cnfStyle w:val="000000100000" w:firstRow="0" w:lastRow="0" w:firstColumn="0" w:lastColumn="0" w:oddVBand="0" w:evenVBand="0" w:oddHBand="1" w:evenHBand="0" w:firstRowFirstColumn="0" w:firstRowLastColumn="0" w:lastRowFirstColumn="0" w:lastRowLastColumn="0"/>
            </w:pPr>
            <w:r>
              <w:t xml:space="preserve">Channel type – braided, wandering, meandering, etc. </w:t>
            </w:r>
          </w:p>
        </w:tc>
      </w:tr>
      <w:tr w:rsidR="0036657A" w14:paraId="5BCDD376"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tcPr>
          <w:p w14:paraId="2F4AED7B" w14:textId="77777777" w:rsidR="0036657A" w:rsidRPr="002D6513" w:rsidRDefault="0036657A" w:rsidP="0072297A">
            <w:pPr>
              <w:rPr>
                <w:b w:val="0"/>
              </w:rPr>
            </w:pPr>
          </w:p>
        </w:tc>
        <w:tc>
          <w:tcPr>
            <w:tcW w:w="6866" w:type="dxa"/>
          </w:tcPr>
          <w:p w14:paraId="688545A6" w14:textId="0F08A3DE" w:rsidR="0036657A" w:rsidRDefault="0036657A" w:rsidP="007672C5">
            <w:pPr>
              <w:cnfStyle w:val="000000000000" w:firstRow="0" w:lastRow="0" w:firstColumn="0" w:lastColumn="0" w:oddVBand="0" w:evenVBand="0" w:oddHBand="0" w:evenHBand="0" w:firstRowFirstColumn="0" w:firstRowLastColumn="0" w:lastRowFirstColumn="0" w:lastRowLastColumn="0"/>
            </w:pPr>
            <w:r>
              <w:t>Channel bank characteristics – height, slope, etc.</w:t>
            </w:r>
          </w:p>
        </w:tc>
      </w:tr>
      <w:tr w:rsidR="0036657A" w14:paraId="7CD1AEA9"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2AF9DFB5" w14:textId="77777777" w:rsidR="0036657A" w:rsidRPr="002D6513" w:rsidRDefault="0036657A" w:rsidP="0072297A">
            <w:pPr>
              <w:rPr>
                <w:b w:val="0"/>
              </w:rPr>
            </w:pPr>
          </w:p>
        </w:tc>
        <w:tc>
          <w:tcPr>
            <w:tcW w:w="6866" w:type="dxa"/>
            <w:tcBorders>
              <w:top w:val="none" w:sz="0" w:space="0" w:color="auto"/>
              <w:bottom w:val="none" w:sz="0" w:space="0" w:color="auto"/>
              <w:right w:val="none" w:sz="0" w:space="0" w:color="auto"/>
            </w:tcBorders>
          </w:tcPr>
          <w:p w14:paraId="4F07E464" w14:textId="1A54A759" w:rsidR="0036657A" w:rsidRDefault="0036657A" w:rsidP="007D47CE">
            <w:pPr>
              <w:cnfStyle w:val="000000100000" w:firstRow="0" w:lastRow="0" w:firstColumn="0" w:lastColumn="0" w:oddVBand="0" w:evenVBand="0" w:oddHBand="1" w:evenHBand="0" w:firstRowFirstColumn="0" w:firstRowLastColumn="0" w:lastRowFirstColumn="0" w:lastRowLastColumn="0"/>
            </w:pPr>
            <w:r>
              <w:t>Topography/morphology</w:t>
            </w:r>
          </w:p>
        </w:tc>
      </w:tr>
      <w:tr w:rsidR="0036657A" w14:paraId="709FC132"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tcPr>
          <w:p w14:paraId="1E8AF29C" w14:textId="77777777" w:rsidR="0036657A" w:rsidRPr="002D6513" w:rsidRDefault="0036657A" w:rsidP="0072297A">
            <w:pPr>
              <w:rPr>
                <w:b w:val="0"/>
              </w:rPr>
            </w:pPr>
          </w:p>
        </w:tc>
        <w:tc>
          <w:tcPr>
            <w:tcW w:w="6866" w:type="dxa"/>
          </w:tcPr>
          <w:p w14:paraId="538A02F1" w14:textId="26C8DDA0" w:rsidR="0036657A" w:rsidRDefault="0036657A" w:rsidP="009951E4">
            <w:pPr>
              <w:cnfStyle w:val="000000000000" w:firstRow="0" w:lastRow="0" w:firstColumn="0" w:lastColumn="0" w:oddVBand="0" w:evenVBand="0" w:oddHBand="0" w:evenHBand="0" w:firstRowFirstColumn="0" w:firstRowLastColumn="0" w:lastRowFirstColumn="0" w:lastRowLastColumn="0"/>
            </w:pPr>
            <w:r>
              <w:t xml:space="preserve">Floodplain fluvial type – </w:t>
            </w:r>
            <w:r>
              <w:fldChar w:fldCharType="begin"/>
            </w:r>
            <w:r>
              <w:instrText xml:space="preserve"> ADDIN ZOTERO_ITEM CSL_CITATION {"citationID":"t1j92043i","properties":{"formattedCitation":"(Nanson and Croke 1992)","plainCitation":"(Nanson and Croke 1992)"},"citationItems":[{"id":3446,"uris":["http://zotero.org/users/3119797/items/HNWN6WIH"],"uri":["http://zotero.org/users/3119797/items/HNWN6WIH"],"itemData":{"id":3446,"type":"article-journal","title":"A genetic classification of floodplains.","container-title":"Geomorphology","page":"459-486","volume":"4","issue":"6","author":[{"family":"Nanson","given":"G.C."},{"family":"Croke","given":"J.C."}],"issued":{"date-parts":[["1992"]]}}}],"schema":"https://github.com/citation-style-language/schema/raw/master/csl-citation.json"} </w:instrText>
            </w:r>
            <w:r>
              <w:fldChar w:fldCharType="separate"/>
            </w:r>
            <w:r w:rsidRPr="009951E4">
              <w:rPr>
                <w:rFonts w:cs="Calibri"/>
              </w:rPr>
              <w:t>(</w:t>
            </w:r>
            <w:r>
              <w:t xml:space="preserve"> see</w:t>
            </w:r>
            <w:r w:rsidRPr="009951E4">
              <w:rPr>
                <w:rFonts w:cs="Calibri"/>
              </w:rPr>
              <w:t xml:space="preserve"> Nanson and Croke 1992)</w:t>
            </w:r>
            <w:r>
              <w:fldChar w:fldCharType="end"/>
            </w:r>
          </w:p>
        </w:tc>
      </w:tr>
      <w:tr w:rsidR="0036657A" w14:paraId="448728CC"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Borders>
              <w:top w:val="none" w:sz="0" w:space="0" w:color="auto"/>
              <w:left w:val="none" w:sz="0" w:space="0" w:color="auto"/>
              <w:bottom w:val="none" w:sz="0" w:space="0" w:color="auto"/>
            </w:tcBorders>
          </w:tcPr>
          <w:p w14:paraId="4CD92A6C" w14:textId="0BD0DE57" w:rsidR="0036657A" w:rsidRDefault="0036657A" w:rsidP="006D757F">
            <w:pPr>
              <w:rPr>
                <w:b w:val="0"/>
              </w:rPr>
            </w:pPr>
            <w:r>
              <w:rPr>
                <w:b w:val="0"/>
              </w:rPr>
              <w:t>Hydrological components</w:t>
            </w:r>
          </w:p>
        </w:tc>
        <w:tc>
          <w:tcPr>
            <w:tcW w:w="6866" w:type="dxa"/>
            <w:tcBorders>
              <w:top w:val="none" w:sz="0" w:space="0" w:color="auto"/>
              <w:bottom w:val="none" w:sz="0" w:space="0" w:color="auto"/>
              <w:right w:val="none" w:sz="0" w:space="0" w:color="auto"/>
            </w:tcBorders>
          </w:tcPr>
          <w:p w14:paraId="423D4B86" w14:textId="67231F42" w:rsidR="0036657A" w:rsidRDefault="0036657A" w:rsidP="006D757F">
            <w:pPr>
              <w:cnfStyle w:val="000000100000" w:firstRow="0" w:lastRow="0" w:firstColumn="0" w:lastColumn="0" w:oddVBand="0" w:evenVBand="0" w:oddHBand="1" w:evenHBand="0" w:firstRowFirstColumn="0" w:firstRowLastColumn="0" w:lastRowFirstColumn="0" w:lastRowLastColumn="0"/>
            </w:pPr>
            <w:r>
              <w:t>Timing/season</w:t>
            </w:r>
          </w:p>
        </w:tc>
      </w:tr>
      <w:tr w:rsidR="0036657A" w14:paraId="344DF1BC"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tcPr>
          <w:p w14:paraId="64092C8F" w14:textId="38861B44" w:rsidR="0036657A" w:rsidRDefault="0036657A" w:rsidP="006D757F">
            <w:pPr>
              <w:rPr>
                <w:b w:val="0"/>
              </w:rPr>
            </w:pPr>
          </w:p>
        </w:tc>
        <w:tc>
          <w:tcPr>
            <w:tcW w:w="6866" w:type="dxa"/>
          </w:tcPr>
          <w:p w14:paraId="4EFF5432" w14:textId="49731AAA" w:rsidR="0036657A" w:rsidRDefault="0036657A" w:rsidP="006D757F">
            <w:pPr>
              <w:cnfStyle w:val="000000000000" w:firstRow="0" w:lastRow="0" w:firstColumn="0" w:lastColumn="0" w:oddVBand="0" w:evenVBand="0" w:oddHBand="0" w:evenHBand="0" w:firstRowFirstColumn="0" w:firstRowLastColumn="0" w:lastRowFirstColumn="0" w:lastRowLastColumn="0"/>
            </w:pPr>
            <w:r>
              <w:t>Frequency of inundation</w:t>
            </w:r>
          </w:p>
        </w:tc>
      </w:tr>
      <w:tr w:rsidR="0036657A" w14:paraId="550342AB"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120EF116" w14:textId="62F325BD" w:rsidR="0036657A" w:rsidRDefault="0036657A" w:rsidP="006D757F">
            <w:pPr>
              <w:rPr>
                <w:b w:val="0"/>
              </w:rPr>
            </w:pPr>
          </w:p>
        </w:tc>
        <w:tc>
          <w:tcPr>
            <w:tcW w:w="6866" w:type="dxa"/>
            <w:tcBorders>
              <w:top w:val="none" w:sz="0" w:space="0" w:color="auto"/>
              <w:bottom w:val="none" w:sz="0" w:space="0" w:color="auto"/>
              <w:right w:val="none" w:sz="0" w:space="0" w:color="auto"/>
            </w:tcBorders>
          </w:tcPr>
          <w:p w14:paraId="6243904A" w14:textId="5FD2D6FB" w:rsidR="0036657A" w:rsidRDefault="0036657A" w:rsidP="006D757F">
            <w:pPr>
              <w:cnfStyle w:val="000000100000" w:firstRow="0" w:lastRow="0" w:firstColumn="0" w:lastColumn="0" w:oddVBand="0" w:evenVBand="0" w:oddHBand="1" w:evenHBand="0" w:firstRowFirstColumn="0" w:firstRowLastColumn="0" w:lastRowFirstColumn="0" w:lastRowLastColumn="0"/>
            </w:pPr>
            <w:r>
              <w:t>Duration of inundation</w:t>
            </w:r>
          </w:p>
        </w:tc>
      </w:tr>
      <w:tr w:rsidR="0036657A" w14:paraId="2C1641A6"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tcPr>
          <w:p w14:paraId="3A98B8BF" w14:textId="688B6943" w:rsidR="0036657A" w:rsidRDefault="0036657A" w:rsidP="006D757F">
            <w:pPr>
              <w:rPr>
                <w:b w:val="0"/>
              </w:rPr>
            </w:pPr>
          </w:p>
        </w:tc>
        <w:tc>
          <w:tcPr>
            <w:tcW w:w="6866" w:type="dxa"/>
          </w:tcPr>
          <w:p w14:paraId="0FF45965" w14:textId="082A9DA4" w:rsidR="0036657A" w:rsidRDefault="0036657A" w:rsidP="006D757F">
            <w:pPr>
              <w:cnfStyle w:val="000000000000" w:firstRow="0" w:lastRow="0" w:firstColumn="0" w:lastColumn="0" w:oddVBand="0" w:evenVBand="0" w:oddHBand="0" w:evenHBand="0" w:firstRowFirstColumn="0" w:firstRowLastColumn="0" w:lastRowFirstColumn="0" w:lastRowLastColumn="0"/>
            </w:pPr>
            <w:r>
              <w:t>Cease to flow/zero flow attributes in terms of frequency, timing and duration</w:t>
            </w:r>
          </w:p>
        </w:tc>
      </w:tr>
      <w:tr w:rsidR="0036657A" w14:paraId="3CC3E6A9"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119858F4" w14:textId="77777777" w:rsidR="0036657A" w:rsidRDefault="0036657A" w:rsidP="006D757F">
            <w:pPr>
              <w:rPr>
                <w:b w:val="0"/>
              </w:rPr>
            </w:pPr>
          </w:p>
        </w:tc>
        <w:tc>
          <w:tcPr>
            <w:tcW w:w="6866" w:type="dxa"/>
            <w:tcBorders>
              <w:top w:val="none" w:sz="0" w:space="0" w:color="auto"/>
              <w:bottom w:val="none" w:sz="0" w:space="0" w:color="auto"/>
              <w:right w:val="none" w:sz="0" w:space="0" w:color="auto"/>
            </w:tcBorders>
          </w:tcPr>
          <w:p w14:paraId="1C993646" w14:textId="3814825E" w:rsidR="0036657A" w:rsidRDefault="0036657A" w:rsidP="00B15361">
            <w:pPr>
              <w:cnfStyle w:val="000000100000" w:firstRow="0" w:lastRow="0" w:firstColumn="0" w:lastColumn="0" w:oddVBand="0" w:evenVBand="0" w:oddHBand="1" w:evenHBand="0" w:firstRowFirstColumn="0" w:firstRowLastColumn="0" w:lastRowFirstColumn="0" w:lastRowLastColumn="0"/>
            </w:pPr>
            <w:r>
              <w:t>Volume</w:t>
            </w:r>
          </w:p>
        </w:tc>
      </w:tr>
      <w:tr w:rsidR="0036657A" w14:paraId="1AE5BB21"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tcPr>
          <w:p w14:paraId="7E5CD668" w14:textId="77777777" w:rsidR="0036657A" w:rsidRDefault="0036657A" w:rsidP="006D757F">
            <w:pPr>
              <w:rPr>
                <w:b w:val="0"/>
              </w:rPr>
            </w:pPr>
          </w:p>
        </w:tc>
        <w:tc>
          <w:tcPr>
            <w:tcW w:w="6866" w:type="dxa"/>
          </w:tcPr>
          <w:p w14:paraId="4A9A4213" w14:textId="005C83A3" w:rsidR="0036657A" w:rsidRDefault="0036657A" w:rsidP="006D757F">
            <w:pPr>
              <w:cnfStyle w:val="000000000000" w:firstRow="0" w:lastRow="0" w:firstColumn="0" w:lastColumn="0" w:oddVBand="0" w:evenVBand="0" w:oddHBand="0" w:evenHBand="0" w:firstRowFirstColumn="0" w:firstRowLastColumn="0" w:lastRowFirstColumn="0" w:lastRowLastColumn="0"/>
            </w:pPr>
            <w:r>
              <w:t>Tidal regime</w:t>
            </w:r>
          </w:p>
        </w:tc>
      </w:tr>
      <w:tr w:rsidR="0036657A" w14:paraId="28DBB056"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467DF51F" w14:textId="77777777" w:rsidR="0036657A" w:rsidRDefault="0036657A" w:rsidP="006D757F">
            <w:pPr>
              <w:rPr>
                <w:b w:val="0"/>
              </w:rPr>
            </w:pPr>
          </w:p>
        </w:tc>
        <w:tc>
          <w:tcPr>
            <w:tcW w:w="6866" w:type="dxa"/>
            <w:tcBorders>
              <w:top w:val="none" w:sz="0" w:space="0" w:color="auto"/>
              <w:bottom w:val="none" w:sz="0" w:space="0" w:color="auto"/>
              <w:right w:val="none" w:sz="0" w:space="0" w:color="auto"/>
            </w:tcBorders>
          </w:tcPr>
          <w:p w14:paraId="6931717D" w14:textId="4B96FD88" w:rsidR="0036657A" w:rsidRDefault="0036657A" w:rsidP="006D757F">
            <w:pPr>
              <w:cnfStyle w:val="000000100000" w:firstRow="0" w:lastRow="0" w:firstColumn="0" w:lastColumn="0" w:oddVBand="0" w:evenVBand="0" w:oddHBand="1" w:evenHBand="0" w:firstRowFirstColumn="0" w:firstRowLastColumn="0" w:lastRowFirstColumn="0" w:lastRowLastColumn="0"/>
            </w:pPr>
            <w:r>
              <w:t>Depth to aquifer</w:t>
            </w:r>
          </w:p>
        </w:tc>
      </w:tr>
      <w:tr w:rsidR="0036657A" w14:paraId="2E714CAB"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tcPr>
          <w:p w14:paraId="60044CF8" w14:textId="77777777" w:rsidR="0036657A" w:rsidRDefault="0036657A" w:rsidP="006D757F">
            <w:pPr>
              <w:rPr>
                <w:b w:val="0"/>
              </w:rPr>
            </w:pPr>
          </w:p>
        </w:tc>
        <w:tc>
          <w:tcPr>
            <w:tcW w:w="6866" w:type="dxa"/>
          </w:tcPr>
          <w:p w14:paraId="2009AE52" w14:textId="6BA00802" w:rsidR="0036657A" w:rsidRDefault="0036657A" w:rsidP="006D757F">
            <w:pPr>
              <w:cnfStyle w:val="000000000000" w:firstRow="0" w:lastRow="0" w:firstColumn="0" w:lastColumn="0" w:oddVBand="0" w:evenVBand="0" w:oddHBand="0" w:evenHBand="0" w:firstRowFirstColumn="0" w:firstRowLastColumn="0" w:lastRowFirstColumn="0" w:lastRowLastColumn="0"/>
            </w:pPr>
            <w:r>
              <w:t>Aquifer type</w:t>
            </w:r>
          </w:p>
        </w:tc>
      </w:tr>
      <w:tr w:rsidR="0036657A" w14:paraId="4FF44AA2"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Borders>
              <w:top w:val="none" w:sz="0" w:space="0" w:color="auto"/>
              <w:left w:val="none" w:sz="0" w:space="0" w:color="auto"/>
              <w:bottom w:val="none" w:sz="0" w:space="0" w:color="auto"/>
            </w:tcBorders>
          </w:tcPr>
          <w:p w14:paraId="73DB69B9" w14:textId="4B493956" w:rsidR="0036657A" w:rsidRPr="002D6513" w:rsidRDefault="0036657A" w:rsidP="00FF46BE">
            <w:pPr>
              <w:jc w:val="left"/>
              <w:rPr>
                <w:b w:val="0"/>
              </w:rPr>
            </w:pPr>
            <w:r w:rsidRPr="002D6513">
              <w:rPr>
                <w:b w:val="0"/>
              </w:rPr>
              <w:t>Soils</w:t>
            </w:r>
            <w:r>
              <w:rPr>
                <w:b w:val="0"/>
              </w:rPr>
              <w:t xml:space="preserve"> and substrate characteristics</w:t>
            </w:r>
          </w:p>
        </w:tc>
        <w:tc>
          <w:tcPr>
            <w:tcW w:w="6866" w:type="dxa"/>
            <w:tcBorders>
              <w:top w:val="none" w:sz="0" w:space="0" w:color="auto"/>
              <w:bottom w:val="none" w:sz="0" w:space="0" w:color="auto"/>
              <w:right w:val="none" w:sz="0" w:space="0" w:color="auto"/>
            </w:tcBorders>
          </w:tcPr>
          <w:p w14:paraId="4373E3BB" w14:textId="078D74EE" w:rsidR="0036657A" w:rsidRDefault="0036657A" w:rsidP="007672C5">
            <w:pPr>
              <w:cnfStyle w:val="000000100000" w:firstRow="0" w:lastRow="0" w:firstColumn="0" w:lastColumn="0" w:oddVBand="0" w:evenVBand="0" w:oddHBand="1" w:evenHBand="0" w:firstRowFirstColumn="0" w:firstRowLastColumn="0" w:lastRowFirstColumn="0" w:lastRowLastColumn="0"/>
            </w:pPr>
            <w:r>
              <w:t>Substrate composition  - silt, sand, pebbles, cobbles, boulders, etc.</w:t>
            </w:r>
          </w:p>
        </w:tc>
      </w:tr>
      <w:tr w:rsidR="0036657A" w14:paraId="514EF605"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tcPr>
          <w:p w14:paraId="703646F8" w14:textId="7A5934BD" w:rsidR="0036657A" w:rsidRPr="002D6513" w:rsidRDefault="0036657A" w:rsidP="002D6513">
            <w:pPr>
              <w:rPr>
                <w:b w:val="0"/>
              </w:rPr>
            </w:pPr>
          </w:p>
        </w:tc>
        <w:tc>
          <w:tcPr>
            <w:tcW w:w="6866" w:type="dxa"/>
          </w:tcPr>
          <w:p w14:paraId="6D4D80B1" w14:textId="7C31ECDD" w:rsidR="0036657A" w:rsidRDefault="0036657A" w:rsidP="00E86CA4">
            <w:pPr>
              <w:cnfStyle w:val="000000000000" w:firstRow="0" w:lastRow="0" w:firstColumn="0" w:lastColumn="0" w:oddVBand="0" w:evenVBand="0" w:oddHBand="0" w:evenHBand="0" w:firstRowFirstColumn="0" w:firstRowLastColumn="0" w:lastRowFirstColumn="0" w:lastRowLastColumn="0"/>
            </w:pPr>
            <w:r>
              <w:t xml:space="preserve">Site and soil profile characterisation </w:t>
            </w:r>
          </w:p>
        </w:tc>
      </w:tr>
      <w:tr w:rsidR="0036657A" w14:paraId="01699BC6"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4729C00A" w14:textId="77777777" w:rsidR="0036657A" w:rsidRPr="002D6513" w:rsidRDefault="0036657A" w:rsidP="0072297A">
            <w:pPr>
              <w:rPr>
                <w:b w:val="0"/>
              </w:rPr>
            </w:pPr>
          </w:p>
        </w:tc>
        <w:tc>
          <w:tcPr>
            <w:tcW w:w="6866" w:type="dxa"/>
            <w:tcBorders>
              <w:top w:val="none" w:sz="0" w:space="0" w:color="auto"/>
              <w:bottom w:val="none" w:sz="0" w:space="0" w:color="auto"/>
              <w:right w:val="none" w:sz="0" w:space="0" w:color="auto"/>
            </w:tcBorders>
          </w:tcPr>
          <w:p w14:paraId="27B90E62" w14:textId="128C3DB8" w:rsidR="0036657A" w:rsidRDefault="0036657A" w:rsidP="007672C5">
            <w:pPr>
              <w:cnfStyle w:val="000000100000" w:firstRow="0" w:lastRow="0" w:firstColumn="0" w:lastColumn="0" w:oddVBand="0" w:evenVBand="0" w:oddHBand="1" w:evenHBand="0" w:firstRowFirstColumn="0" w:firstRowLastColumn="0" w:lastRowFirstColumn="0" w:lastRowLastColumn="0"/>
            </w:pPr>
            <w:r>
              <w:t>Soil physical properties (e.g. structure, texture, consistency and profile)</w:t>
            </w:r>
          </w:p>
        </w:tc>
      </w:tr>
      <w:tr w:rsidR="0036657A" w14:paraId="68870245"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tcPr>
          <w:p w14:paraId="69C5D32E" w14:textId="77777777" w:rsidR="0036657A" w:rsidRPr="002D6513" w:rsidRDefault="0036657A" w:rsidP="0072297A">
            <w:pPr>
              <w:rPr>
                <w:b w:val="0"/>
              </w:rPr>
            </w:pPr>
          </w:p>
        </w:tc>
        <w:tc>
          <w:tcPr>
            <w:tcW w:w="6866" w:type="dxa"/>
          </w:tcPr>
          <w:p w14:paraId="65437908" w14:textId="2A1A6506" w:rsidR="0036657A" w:rsidRDefault="0036657A" w:rsidP="007672C5">
            <w:pPr>
              <w:cnfStyle w:val="000000000000" w:firstRow="0" w:lastRow="0" w:firstColumn="0" w:lastColumn="0" w:oddVBand="0" w:evenVBand="0" w:oddHBand="0" w:evenHBand="0" w:firstRowFirstColumn="0" w:firstRowLastColumn="0" w:lastRowFirstColumn="0" w:lastRowLastColumn="0"/>
            </w:pPr>
            <w:r>
              <w:t>Soil chemical properties (e.g. organic content, nutrients, sulfides, acid neutralising capacity, salts and pH)</w:t>
            </w:r>
          </w:p>
        </w:tc>
      </w:tr>
      <w:tr w:rsidR="0036657A" w14:paraId="713EAB2C"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55B0ADC0" w14:textId="77777777" w:rsidR="0036657A" w:rsidRPr="002D6513" w:rsidRDefault="0036657A" w:rsidP="0072297A">
            <w:pPr>
              <w:rPr>
                <w:b w:val="0"/>
              </w:rPr>
            </w:pPr>
          </w:p>
        </w:tc>
        <w:tc>
          <w:tcPr>
            <w:tcW w:w="6866" w:type="dxa"/>
            <w:tcBorders>
              <w:top w:val="none" w:sz="0" w:space="0" w:color="auto"/>
              <w:bottom w:val="none" w:sz="0" w:space="0" w:color="auto"/>
              <w:right w:val="none" w:sz="0" w:space="0" w:color="auto"/>
            </w:tcBorders>
          </w:tcPr>
          <w:p w14:paraId="76067836" w14:textId="284D660D" w:rsidR="0036657A" w:rsidRDefault="0036657A" w:rsidP="007672C5">
            <w:pPr>
              <w:cnfStyle w:val="000000100000" w:firstRow="0" w:lastRow="0" w:firstColumn="0" w:lastColumn="0" w:oddVBand="0" w:evenVBand="0" w:oddHBand="1" w:evenHBand="0" w:firstRowFirstColumn="0" w:firstRowLastColumn="0" w:lastRowFirstColumn="0" w:lastRowLastColumn="0"/>
            </w:pPr>
            <w:r>
              <w:t>Soil biological properties (e.g. soil organisms such as bacteria and fungi, invertebrates – shellfish, mites and worms)</w:t>
            </w:r>
          </w:p>
        </w:tc>
      </w:tr>
      <w:tr w:rsidR="0036657A" w14:paraId="1167E5CB"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val="restart"/>
          </w:tcPr>
          <w:p w14:paraId="69A697E4" w14:textId="723A3F1D" w:rsidR="0036657A" w:rsidRPr="002D6513" w:rsidRDefault="0036657A" w:rsidP="0072297A">
            <w:pPr>
              <w:rPr>
                <w:b w:val="0"/>
              </w:rPr>
            </w:pPr>
            <w:r w:rsidRPr="002D6513">
              <w:rPr>
                <w:b w:val="0"/>
              </w:rPr>
              <w:t>Physico-chemical water</w:t>
            </w:r>
            <w:r>
              <w:rPr>
                <w:b w:val="0"/>
              </w:rPr>
              <w:t xml:space="preserve"> quality</w:t>
            </w:r>
          </w:p>
        </w:tc>
        <w:tc>
          <w:tcPr>
            <w:tcW w:w="6866" w:type="dxa"/>
          </w:tcPr>
          <w:p w14:paraId="371DE85C" w14:textId="3064C56A" w:rsidR="0036657A" w:rsidRDefault="0036657A" w:rsidP="007672C5">
            <w:pPr>
              <w:cnfStyle w:val="000000000000" w:firstRow="0" w:lastRow="0" w:firstColumn="0" w:lastColumn="0" w:oddVBand="0" w:evenVBand="0" w:oddHBand="0" w:evenHBand="0" w:firstRowFirstColumn="0" w:firstRowLastColumn="0" w:lastRowFirstColumn="0" w:lastRowLastColumn="0"/>
            </w:pPr>
            <w:r>
              <w:t>Nutrients (e.g. nitrogen, phosphorus)</w:t>
            </w:r>
          </w:p>
        </w:tc>
      </w:tr>
      <w:tr w:rsidR="0036657A" w14:paraId="3E78CD90"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6DB316B8" w14:textId="77777777" w:rsidR="0036657A" w:rsidRPr="002D6513" w:rsidRDefault="0036657A" w:rsidP="0072297A">
            <w:pPr>
              <w:rPr>
                <w:b w:val="0"/>
              </w:rPr>
            </w:pPr>
          </w:p>
        </w:tc>
        <w:tc>
          <w:tcPr>
            <w:tcW w:w="6866" w:type="dxa"/>
            <w:tcBorders>
              <w:top w:val="none" w:sz="0" w:space="0" w:color="auto"/>
              <w:bottom w:val="none" w:sz="0" w:space="0" w:color="auto"/>
              <w:right w:val="none" w:sz="0" w:space="0" w:color="auto"/>
            </w:tcBorders>
          </w:tcPr>
          <w:p w14:paraId="0A7B7D0B" w14:textId="352B16FD" w:rsidR="0036657A" w:rsidRDefault="0036657A" w:rsidP="007672C5">
            <w:pPr>
              <w:cnfStyle w:val="000000100000" w:firstRow="0" w:lastRow="0" w:firstColumn="0" w:lastColumn="0" w:oddVBand="0" w:evenVBand="0" w:oddHBand="1" w:evenHBand="0" w:firstRowFirstColumn="0" w:firstRowLastColumn="0" w:lastRowFirstColumn="0" w:lastRowLastColumn="0"/>
            </w:pPr>
            <w:r>
              <w:t>Electrical conductivity</w:t>
            </w:r>
          </w:p>
        </w:tc>
      </w:tr>
      <w:tr w:rsidR="0036657A" w14:paraId="2455892E"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tcPr>
          <w:p w14:paraId="4450EDF9" w14:textId="77777777" w:rsidR="0036657A" w:rsidRPr="002D6513" w:rsidRDefault="0036657A" w:rsidP="0072297A">
            <w:pPr>
              <w:rPr>
                <w:b w:val="0"/>
              </w:rPr>
            </w:pPr>
          </w:p>
        </w:tc>
        <w:tc>
          <w:tcPr>
            <w:tcW w:w="6866" w:type="dxa"/>
          </w:tcPr>
          <w:p w14:paraId="6FC64517" w14:textId="511DAB7F" w:rsidR="0036657A" w:rsidRDefault="0036657A" w:rsidP="007672C5">
            <w:pPr>
              <w:cnfStyle w:val="000000000000" w:firstRow="0" w:lastRow="0" w:firstColumn="0" w:lastColumn="0" w:oddVBand="0" w:evenVBand="0" w:oddHBand="0" w:evenHBand="0" w:firstRowFirstColumn="0" w:firstRowLastColumn="0" w:lastRowFirstColumn="0" w:lastRowLastColumn="0"/>
            </w:pPr>
            <w:r>
              <w:t>Cations and anions</w:t>
            </w:r>
          </w:p>
        </w:tc>
      </w:tr>
      <w:tr w:rsidR="0036657A" w14:paraId="3F032AAA"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74D90499" w14:textId="77777777" w:rsidR="0036657A" w:rsidRPr="002D6513" w:rsidRDefault="0036657A" w:rsidP="0072297A">
            <w:pPr>
              <w:rPr>
                <w:b w:val="0"/>
              </w:rPr>
            </w:pPr>
          </w:p>
        </w:tc>
        <w:tc>
          <w:tcPr>
            <w:tcW w:w="6866" w:type="dxa"/>
            <w:tcBorders>
              <w:top w:val="none" w:sz="0" w:space="0" w:color="auto"/>
              <w:bottom w:val="none" w:sz="0" w:space="0" w:color="auto"/>
              <w:right w:val="none" w:sz="0" w:space="0" w:color="auto"/>
            </w:tcBorders>
          </w:tcPr>
          <w:p w14:paraId="44926395" w14:textId="13D6384B" w:rsidR="0036657A" w:rsidRDefault="0036657A" w:rsidP="007672C5">
            <w:pPr>
              <w:cnfStyle w:val="000000100000" w:firstRow="0" w:lastRow="0" w:firstColumn="0" w:lastColumn="0" w:oddVBand="0" w:evenVBand="0" w:oddHBand="1" w:evenHBand="0" w:firstRowFirstColumn="0" w:firstRowLastColumn="0" w:lastRowFirstColumn="0" w:lastRowLastColumn="0"/>
            </w:pPr>
            <w:r>
              <w:t>Turbidity</w:t>
            </w:r>
          </w:p>
        </w:tc>
      </w:tr>
      <w:tr w:rsidR="0036657A" w14:paraId="4B60DC89"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tcPr>
          <w:p w14:paraId="2EA4280E" w14:textId="77777777" w:rsidR="0036657A" w:rsidRPr="002D6513" w:rsidRDefault="0036657A" w:rsidP="0072297A">
            <w:pPr>
              <w:rPr>
                <w:b w:val="0"/>
              </w:rPr>
            </w:pPr>
          </w:p>
        </w:tc>
        <w:tc>
          <w:tcPr>
            <w:tcW w:w="6866" w:type="dxa"/>
          </w:tcPr>
          <w:p w14:paraId="6AA15C5A" w14:textId="582ABF5A" w:rsidR="0036657A" w:rsidRDefault="0036657A" w:rsidP="007672C5">
            <w:pPr>
              <w:cnfStyle w:val="000000000000" w:firstRow="0" w:lastRow="0" w:firstColumn="0" w:lastColumn="0" w:oddVBand="0" w:evenVBand="0" w:oddHBand="0" w:evenHBand="0" w:firstRowFirstColumn="0" w:firstRowLastColumn="0" w:lastRowFirstColumn="0" w:lastRowLastColumn="0"/>
            </w:pPr>
            <w:r>
              <w:t>Temperature</w:t>
            </w:r>
          </w:p>
        </w:tc>
      </w:tr>
      <w:tr w:rsidR="0036657A" w14:paraId="752EAC43"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3BF783CB" w14:textId="77777777" w:rsidR="0036657A" w:rsidRPr="002D6513" w:rsidRDefault="0036657A" w:rsidP="0072297A">
            <w:pPr>
              <w:rPr>
                <w:b w:val="0"/>
              </w:rPr>
            </w:pPr>
          </w:p>
        </w:tc>
        <w:tc>
          <w:tcPr>
            <w:tcW w:w="6866" w:type="dxa"/>
            <w:tcBorders>
              <w:top w:val="none" w:sz="0" w:space="0" w:color="auto"/>
              <w:bottom w:val="none" w:sz="0" w:space="0" w:color="auto"/>
              <w:right w:val="none" w:sz="0" w:space="0" w:color="auto"/>
            </w:tcBorders>
          </w:tcPr>
          <w:p w14:paraId="2187E37B" w14:textId="74647456" w:rsidR="0036657A" w:rsidRDefault="0036657A" w:rsidP="007672C5">
            <w:pPr>
              <w:cnfStyle w:val="000000100000" w:firstRow="0" w:lastRow="0" w:firstColumn="0" w:lastColumn="0" w:oddVBand="0" w:evenVBand="0" w:oddHBand="1" w:evenHBand="0" w:firstRowFirstColumn="0" w:firstRowLastColumn="0" w:lastRowFirstColumn="0" w:lastRowLastColumn="0"/>
            </w:pPr>
            <w:r>
              <w:t>Dissolved oxygen</w:t>
            </w:r>
          </w:p>
        </w:tc>
      </w:tr>
      <w:tr w:rsidR="0036657A" w14:paraId="1C8DA111"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tcPr>
          <w:p w14:paraId="3984855B" w14:textId="77777777" w:rsidR="0036657A" w:rsidRPr="002D6513" w:rsidRDefault="0036657A" w:rsidP="0072297A">
            <w:pPr>
              <w:rPr>
                <w:b w:val="0"/>
              </w:rPr>
            </w:pPr>
          </w:p>
        </w:tc>
        <w:tc>
          <w:tcPr>
            <w:tcW w:w="6866" w:type="dxa"/>
          </w:tcPr>
          <w:p w14:paraId="2BFCCE93" w14:textId="4CCFF5D6" w:rsidR="0036657A" w:rsidRDefault="0036657A" w:rsidP="007672C5">
            <w:pPr>
              <w:cnfStyle w:val="000000000000" w:firstRow="0" w:lastRow="0" w:firstColumn="0" w:lastColumn="0" w:oddVBand="0" w:evenVBand="0" w:oddHBand="0" w:evenHBand="0" w:firstRowFirstColumn="0" w:firstRowLastColumn="0" w:lastRowFirstColumn="0" w:lastRowLastColumn="0"/>
            </w:pPr>
            <w:r>
              <w:t>pH</w:t>
            </w:r>
          </w:p>
        </w:tc>
      </w:tr>
      <w:tr w:rsidR="0036657A" w14:paraId="5F9E21C5"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404B03DC" w14:textId="77777777" w:rsidR="0036657A" w:rsidRPr="002D6513" w:rsidRDefault="0036657A" w:rsidP="0072297A">
            <w:pPr>
              <w:rPr>
                <w:b w:val="0"/>
              </w:rPr>
            </w:pPr>
          </w:p>
        </w:tc>
        <w:tc>
          <w:tcPr>
            <w:tcW w:w="6866" w:type="dxa"/>
            <w:tcBorders>
              <w:top w:val="none" w:sz="0" w:space="0" w:color="auto"/>
              <w:bottom w:val="none" w:sz="0" w:space="0" w:color="auto"/>
              <w:right w:val="none" w:sz="0" w:space="0" w:color="auto"/>
            </w:tcBorders>
          </w:tcPr>
          <w:p w14:paraId="18DFDFEC" w14:textId="11196FF5" w:rsidR="0036657A" w:rsidRDefault="0036657A" w:rsidP="007672C5">
            <w:pPr>
              <w:cnfStyle w:val="000000100000" w:firstRow="0" w:lastRow="0" w:firstColumn="0" w:lastColumn="0" w:oddVBand="0" w:evenVBand="0" w:oddHBand="1" w:evenHBand="0" w:firstRowFirstColumn="0" w:firstRowLastColumn="0" w:lastRowFirstColumn="0" w:lastRowLastColumn="0"/>
            </w:pPr>
            <w:r>
              <w:t>Light attenuation</w:t>
            </w:r>
          </w:p>
        </w:tc>
      </w:tr>
      <w:tr w:rsidR="0036657A" w14:paraId="470AE2C2"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val="restart"/>
          </w:tcPr>
          <w:p w14:paraId="38241788" w14:textId="05B62CD6" w:rsidR="0036657A" w:rsidRPr="002D6513" w:rsidRDefault="0036657A" w:rsidP="002D6513">
            <w:pPr>
              <w:jc w:val="left"/>
              <w:rPr>
                <w:b w:val="0"/>
              </w:rPr>
            </w:pPr>
            <w:r w:rsidRPr="002D6513">
              <w:rPr>
                <w:b w:val="0"/>
              </w:rPr>
              <w:t>Biota</w:t>
            </w:r>
            <w:r>
              <w:rPr>
                <w:b w:val="0"/>
              </w:rPr>
              <w:t xml:space="preserve"> – abundance, species, composition</w:t>
            </w:r>
          </w:p>
        </w:tc>
        <w:tc>
          <w:tcPr>
            <w:tcW w:w="6866" w:type="dxa"/>
          </w:tcPr>
          <w:p w14:paraId="5BA794F8" w14:textId="1B379173" w:rsidR="0036657A" w:rsidRDefault="0036657A" w:rsidP="00416292">
            <w:pPr>
              <w:jc w:val="left"/>
              <w:cnfStyle w:val="000000000000" w:firstRow="0" w:lastRow="0" w:firstColumn="0" w:lastColumn="0" w:oddVBand="0" w:evenVBand="0" w:oddHBand="0" w:evenHBand="0" w:firstRowFirstColumn="0" w:firstRowLastColumn="0" w:lastRowFirstColumn="0" w:lastRowLastColumn="0"/>
            </w:pPr>
            <w:r>
              <w:t>Algae and phytoplankton, including diatoms -  diversity, abundance, extent, composition</w:t>
            </w:r>
          </w:p>
        </w:tc>
      </w:tr>
      <w:tr w:rsidR="0036657A" w14:paraId="079D9562"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192E83EF" w14:textId="77777777" w:rsidR="0036657A" w:rsidRPr="002D6513" w:rsidRDefault="0036657A" w:rsidP="0072297A">
            <w:pPr>
              <w:rPr>
                <w:b w:val="0"/>
              </w:rPr>
            </w:pPr>
          </w:p>
        </w:tc>
        <w:tc>
          <w:tcPr>
            <w:tcW w:w="6866" w:type="dxa"/>
            <w:tcBorders>
              <w:top w:val="none" w:sz="0" w:space="0" w:color="auto"/>
              <w:bottom w:val="none" w:sz="0" w:space="0" w:color="auto"/>
              <w:right w:val="none" w:sz="0" w:space="0" w:color="auto"/>
            </w:tcBorders>
          </w:tcPr>
          <w:p w14:paraId="28881515" w14:textId="3DD3A818" w:rsidR="0036657A" w:rsidRDefault="0036657A" w:rsidP="00416292">
            <w:pPr>
              <w:jc w:val="left"/>
              <w:cnfStyle w:val="000000100000" w:firstRow="0" w:lastRow="0" w:firstColumn="0" w:lastColumn="0" w:oddVBand="0" w:evenVBand="0" w:oddHBand="1" w:evenHBand="0" w:firstRowFirstColumn="0" w:firstRowLastColumn="0" w:lastRowFirstColumn="0" w:lastRowLastColumn="0"/>
            </w:pPr>
            <w:r>
              <w:t>Aquatic invertebrates (e.g. zooplankton, macroinvertebrates) -  diversity, abundance, extent, composition</w:t>
            </w:r>
          </w:p>
        </w:tc>
      </w:tr>
      <w:tr w:rsidR="0036657A" w14:paraId="05CB165C" w14:textId="77777777" w:rsidTr="00E80C12">
        <w:tc>
          <w:tcPr>
            <w:cnfStyle w:val="001000000000" w:firstRow="0" w:lastRow="0" w:firstColumn="1" w:lastColumn="0" w:oddVBand="0" w:evenVBand="0" w:oddHBand="0" w:evenHBand="0" w:firstRowFirstColumn="0" w:firstRowLastColumn="0" w:lastRowFirstColumn="0" w:lastRowLastColumn="0"/>
            <w:tcW w:w="2376" w:type="dxa"/>
            <w:vMerge/>
          </w:tcPr>
          <w:p w14:paraId="7009BD2C" w14:textId="77777777" w:rsidR="0036657A" w:rsidRPr="002D6513" w:rsidRDefault="0036657A" w:rsidP="0072297A">
            <w:pPr>
              <w:rPr>
                <w:b w:val="0"/>
              </w:rPr>
            </w:pPr>
          </w:p>
        </w:tc>
        <w:tc>
          <w:tcPr>
            <w:tcW w:w="6866" w:type="dxa"/>
          </w:tcPr>
          <w:p w14:paraId="40AB46E2" w14:textId="32C8F554" w:rsidR="0036657A" w:rsidRDefault="0036657A" w:rsidP="007672C5">
            <w:pPr>
              <w:cnfStyle w:val="000000000000" w:firstRow="0" w:lastRow="0" w:firstColumn="0" w:lastColumn="0" w:oddVBand="0" w:evenVBand="0" w:oddHBand="0" w:evenHBand="0" w:firstRowFirstColumn="0" w:firstRowLastColumn="0" w:lastRowFirstColumn="0" w:lastRowLastColumn="0"/>
            </w:pPr>
            <w:r>
              <w:t>Aquatic vegetation – diversity, abundance, extent, composition</w:t>
            </w:r>
          </w:p>
        </w:tc>
      </w:tr>
      <w:tr w:rsidR="0036657A" w14:paraId="1202B495"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0C6B1723" w14:textId="77777777" w:rsidR="0036657A" w:rsidRPr="002D6513" w:rsidRDefault="0036657A" w:rsidP="0072297A">
            <w:pPr>
              <w:rPr>
                <w:b w:val="0"/>
              </w:rPr>
            </w:pPr>
          </w:p>
        </w:tc>
        <w:tc>
          <w:tcPr>
            <w:tcW w:w="6866" w:type="dxa"/>
            <w:tcBorders>
              <w:top w:val="none" w:sz="0" w:space="0" w:color="auto"/>
              <w:bottom w:val="none" w:sz="0" w:space="0" w:color="auto"/>
              <w:right w:val="none" w:sz="0" w:space="0" w:color="auto"/>
            </w:tcBorders>
          </w:tcPr>
          <w:p w14:paraId="036342B4" w14:textId="044A93A3" w:rsidR="0036657A" w:rsidRDefault="0036657A" w:rsidP="00416292">
            <w:pPr>
              <w:jc w:val="left"/>
              <w:cnfStyle w:val="000000100000" w:firstRow="0" w:lastRow="0" w:firstColumn="0" w:lastColumn="0" w:oddVBand="0" w:evenVBand="0" w:oddHBand="1" w:evenHBand="0" w:firstRowFirstColumn="0" w:firstRowLastColumn="0" w:lastRowFirstColumn="0" w:lastRowLastColumn="0"/>
            </w:pPr>
            <w:r>
              <w:t xml:space="preserve">Vertebrate fauna (e.g. fish, amphibians, reptiles, waterbirds, mammals) - diversity, abundance, extent, composition </w:t>
            </w:r>
          </w:p>
        </w:tc>
      </w:tr>
      <w:tr w:rsidR="0036657A" w14:paraId="3B2F1A5F" w14:textId="77777777" w:rsidTr="00E80C12">
        <w:tc>
          <w:tcPr>
            <w:cnfStyle w:val="001000000000" w:firstRow="0" w:lastRow="0" w:firstColumn="1" w:lastColumn="0" w:oddVBand="0" w:evenVBand="0" w:oddHBand="0" w:evenHBand="0" w:firstRowFirstColumn="0" w:firstRowLastColumn="0" w:lastRowFirstColumn="0" w:lastRowLastColumn="0"/>
            <w:tcW w:w="2376" w:type="dxa"/>
          </w:tcPr>
          <w:p w14:paraId="56F8C3C6" w14:textId="7A99D37D" w:rsidR="0036657A" w:rsidRPr="002D6513" w:rsidRDefault="0036657A" w:rsidP="0072297A">
            <w:pPr>
              <w:rPr>
                <w:b w:val="0"/>
              </w:rPr>
            </w:pPr>
            <w:r>
              <w:rPr>
                <w:b w:val="0"/>
              </w:rPr>
              <w:lastRenderedPageBreak/>
              <w:t xml:space="preserve">Ecosystem type – ANAE </w:t>
            </w:r>
          </w:p>
        </w:tc>
        <w:tc>
          <w:tcPr>
            <w:tcW w:w="6866" w:type="dxa"/>
          </w:tcPr>
          <w:p w14:paraId="207B7473" w14:textId="46210E88" w:rsidR="0036657A" w:rsidRDefault="0036657A" w:rsidP="00416292">
            <w:pPr>
              <w:cnfStyle w:val="000000000000" w:firstRow="0" w:lastRow="0" w:firstColumn="0" w:lastColumn="0" w:oddVBand="0" w:evenVBand="0" w:oddHBand="0" w:evenHBand="0" w:firstRowFirstColumn="0" w:firstRowLastColumn="0" w:lastRowFirstColumn="0" w:lastRowLastColumn="0"/>
            </w:pPr>
            <w:r>
              <w:t xml:space="preserve">Aquatic ecosystem type and extent – see </w:t>
            </w:r>
            <w:r>
              <w:fldChar w:fldCharType="begin"/>
            </w:r>
            <w:r>
              <w:instrText xml:space="preserve"> ADDIN ZOTERO_ITEM CSL_CITATION {"citationID":"1t3s31l3ei","properties":{"formattedCitation":"(AETG 2012b)","plainCitation":"(AETG 2012b)"},"citationItems":[{"id":3418,"uris":["http://zotero.org/users/3119797/items/T9PIE5QB"],"uri":["http://zotero.org/users/3119797/items/T9PIE5QB"],"itemData":{"id":3418,"type":"article","title":"Aquatic Ecosystems Toolkit. Module 2. Interim Australian National Aquatic Ecosystem Classification Framework. Australian Government Department of Sustainability, Environment, Water, Population and Communities, Canberra. http://www.environment.gov.au/water/publications/environmental/ecosystems/ae-toolkit-mod-2.html","author":[{"family":"AETG","given":""}],"issued":{"date-parts":[["2012"]]}}}],"schema":"https://github.com/citation-style-language/schema/raw/master/csl-citation.json"} </w:instrText>
            </w:r>
            <w:r>
              <w:fldChar w:fldCharType="separate"/>
            </w:r>
            <w:r w:rsidRPr="00416292">
              <w:rPr>
                <w:rFonts w:cs="Calibri"/>
              </w:rPr>
              <w:t>(AETG 2012b</w:t>
            </w:r>
            <w:r>
              <w:rPr>
                <w:rFonts w:cs="Calibri"/>
              </w:rPr>
              <w:t xml:space="preserve">, </w:t>
            </w:r>
            <w:r>
              <w:fldChar w:fldCharType="end"/>
            </w:r>
            <w:r>
              <w:t xml:space="preserve"> </w:t>
            </w:r>
            <w:r>
              <w:fldChar w:fldCharType="begin"/>
            </w:r>
            <w:r>
              <w:instrText xml:space="preserve"> ADDIN ZOTERO_ITEM CSL_CITATION {"citationID":"1gevn2ojlg","properties":{"formattedCitation":"(Brooks et al. 2013)","plainCitation":"(Brooks et al. 2013)"},"citationItems":[{"id":120,"uris":["http://zotero.org/users/3119797/items/MDN83TD9"],"uri":["http://zotero.org/users/3119797/items/MDN83TD9"],"itemData":{"id":120,"type":"article","title":"Murray-Darling Basin Aquatic Ecosystem Classification: Stage 2 report. Peter Cottingham &amp; Associates report to the Commonwealth Environmental Water Office and Murray-Darling Basin Authority, Canberra.","author":[{"family":"Brooks","given":"S."},{"family":"Cottingham","given":"P."},{"family":"Butcher","given":"R."},{"family":"Hale","given":"J."}],"issued":{"date-parts":[["2013"]]}}}],"schema":"https://github.com/citation-style-language/schema/raw/master/csl-citation.json"} </w:instrText>
            </w:r>
            <w:r>
              <w:fldChar w:fldCharType="separate"/>
            </w:r>
            <w:r w:rsidRPr="00416292">
              <w:rPr>
                <w:rFonts w:cs="Calibri"/>
              </w:rPr>
              <w:t>Brooks et al. 2013</w:t>
            </w:r>
            <w:r>
              <w:rPr>
                <w:rFonts w:cs="Calibri"/>
              </w:rPr>
              <w:t xml:space="preserve"> for a typology</w:t>
            </w:r>
            <w:r w:rsidRPr="00416292">
              <w:rPr>
                <w:rFonts w:cs="Calibri"/>
              </w:rPr>
              <w:t>)</w:t>
            </w:r>
            <w:r>
              <w:fldChar w:fldCharType="end"/>
            </w:r>
            <w:r>
              <w:t>.</w:t>
            </w:r>
          </w:p>
        </w:tc>
      </w:tr>
      <w:tr w:rsidR="0036657A" w14:paraId="29F8E90E"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none" w:sz="0" w:space="0" w:color="auto"/>
              <w:left w:val="none" w:sz="0" w:space="0" w:color="auto"/>
              <w:bottom w:val="none" w:sz="0" w:space="0" w:color="auto"/>
              <w:right w:val="none" w:sz="0" w:space="0" w:color="auto"/>
            </w:tcBorders>
            <w:shd w:val="clear" w:color="auto" w:fill="EBF2F1" w:themeFill="accent2" w:themeFillTint="33"/>
          </w:tcPr>
          <w:p w14:paraId="2AD0DE9D" w14:textId="1221DB7C" w:rsidR="0036657A" w:rsidRDefault="0036657A" w:rsidP="0036657A">
            <w:r>
              <w:t>Processes</w:t>
            </w:r>
          </w:p>
        </w:tc>
      </w:tr>
      <w:tr w:rsidR="0036657A" w14:paraId="74341847"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val="restart"/>
          </w:tcPr>
          <w:p w14:paraId="4D1192E7" w14:textId="601E8B46" w:rsidR="0036657A" w:rsidRPr="00FF46BE" w:rsidRDefault="0036657A" w:rsidP="007672C5">
            <w:pPr>
              <w:rPr>
                <w:b w:val="0"/>
              </w:rPr>
            </w:pPr>
            <w:r>
              <w:rPr>
                <w:b w:val="0"/>
              </w:rPr>
              <w:t>Climatic processes</w:t>
            </w:r>
          </w:p>
        </w:tc>
        <w:tc>
          <w:tcPr>
            <w:tcW w:w="6866" w:type="dxa"/>
          </w:tcPr>
          <w:p w14:paraId="363D996F" w14:textId="7835EDF3" w:rsidR="0036657A" w:rsidRDefault="0036657A" w:rsidP="007672C5">
            <w:pPr>
              <w:cnfStyle w:val="000000000000" w:firstRow="0" w:lastRow="0" w:firstColumn="0" w:lastColumn="0" w:oddVBand="0" w:evenVBand="0" w:oddHBand="0" w:evenHBand="0" w:firstRowFirstColumn="0" w:firstRowLastColumn="0" w:lastRowFirstColumn="0" w:lastRowLastColumn="0"/>
            </w:pPr>
            <w:r>
              <w:t>Temperature gradients</w:t>
            </w:r>
          </w:p>
        </w:tc>
      </w:tr>
      <w:tr w:rsidR="0036657A" w14:paraId="78988F65"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7506315E" w14:textId="77777777" w:rsidR="0036657A" w:rsidRDefault="0036657A" w:rsidP="00FF46BE">
            <w:pPr>
              <w:rPr>
                <w:b w:val="0"/>
              </w:rPr>
            </w:pPr>
          </w:p>
        </w:tc>
        <w:tc>
          <w:tcPr>
            <w:tcW w:w="6866" w:type="dxa"/>
            <w:tcBorders>
              <w:top w:val="none" w:sz="0" w:space="0" w:color="auto"/>
              <w:bottom w:val="none" w:sz="0" w:space="0" w:color="auto"/>
              <w:right w:val="none" w:sz="0" w:space="0" w:color="auto"/>
            </w:tcBorders>
          </w:tcPr>
          <w:p w14:paraId="09A0CB01" w14:textId="6776A704" w:rsidR="0036657A" w:rsidRDefault="0036657A" w:rsidP="007672C5">
            <w:pPr>
              <w:cnfStyle w:val="000000100000" w:firstRow="0" w:lastRow="0" w:firstColumn="0" w:lastColumn="0" w:oddVBand="0" w:evenVBand="0" w:oddHBand="1" w:evenHBand="0" w:firstRowFirstColumn="0" w:firstRowLastColumn="0" w:lastRowFirstColumn="0" w:lastRowLastColumn="0"/>
            </w:pPr>
            <w:r>
              <w:t>Stratification and mixing</w:t>
            </w:r>
          </w:p>
        </w:tc>
      </w:tr>
      <w:tr w:rsidR="0036657A" w14:paraId="255BE455"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val="restart"/>
          </w:tcPr>
          <w:p w14:paraId="1E7A16EE" w14:textId="77777777" w:rsidR="0036657A" w:rsidRPr="00FF46BE" w:rsidRDefault="0036657A" w:rsidP="006D757F">
            <w:pPr>
              <w:rPr>
                <w:b w:val="0"/>
              </w:rPr>
            </w:pPr>
            <w:r>
              <w:rPr>
                <w:b w:val="0"/>
              </w:rPr>
              <w:t>Geomorphic processes</w:t>
            </w:r>
          </w:p>
        </w:tc>
        <w:tc>
          <w:tcPr>
            <w:tcW w:w="6866" w:type="dxa"/>
          </w:tcPr>
          <w:p w14:paraId="4CCE6740" w14:textId="77777777" w:rsidR="0036657A" w:rsidRDefault="0036657A" w:rsidP="006D757F">
            <w:pPr>
              <w:cnfStyle w:val="000000000000" w:firstRow="0" w:lastRow="0" w:firstColumn="0" w:lastColumn="0" w:oddVBand="0" w:evenVBand="0" w:oddHBand="0" w:evenHBand="0" w:firstRowFirstColumn="0" w:firstRowLastColumn="0" w:lastRowFirstColumn="0" w:lastRowLastColumn="0"/>
            </w:pPr>
            <w:r>
              <w:t>Erosion</w:t>
            </w:r>
          </w:p>
        </w:tc>
      </w:tr>
      <w:tr w:rsidR="0036657A" w14:paraId="1E7D0999"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645A6FDA" w14:textId="77777777" w:rsidR="0036657A" w:rsidRDefault="0036657A" w:rsidP="00FF46BE">
            <w:pPr>
              <w:rPr>
                <w:b w:val="0"/>
              </w:rPr>
            </w:pPr>
          </w:p>
        </w:tc>
        <w:tc>
          <w:tcPr>
            <w:tcW w:w="6866" w:type="dxa"/>
            <w:tcBorders>
              <w:top w:val="none" w:sz="0" w:space="0" w:color="auto"/>
              <w:bottom w:val="none" w:sz="0" w:space="0" w:color="auto"/>
              <w:right w:val="none" w:sz="0" w:space="0" w:color="auto"/>
            </w:tcBorders>
          </w:tcPr>
          <w:p w14:paraId="7C81E6B8" w14:textId="515361CD" w:rsidR="0036657A" w:rsidRDefault="0036657A" w:rsidP="007672C5">
            <w:pPr>
              <w:cnfStyle w:val="000000100000" w:firstRow="0" w:lastRow="0" w:firstColumn="0" w:lastColumn="0" w:oddVBand="0" w:evenVBand="0" w:oddHBand="1" w:evenHBand="0" w:firstRowFirstColumn="0" w:firstRowLastColumn="0" w:lastRowFirstColumn="0" w:lastRowLastColumn="0"/>
            </w:pPr>
            <w:r>
              <w:t>Sedimentation</w:t>
            </w:r>
          </w:p>
        </w:tc>
      </w:tr>
      <w:tr w:rsidR="0036657A" w14:paraId="7C7B39EA"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tcPr>
          <w:p w14:paraId="48CFB268" w14:textId="77777777" w:rsidR="0036657A" w:rsidRDefault="0036657A" w:rsidP="00FF46BE">
            <w:pPr>
              <w:rPr>
                <w:b w:val="0"/>
              </w:rPr>
            </w:pPr>
          </w:p>
        </w:tc>
        <w:tc>
          <w:tcPr>
            <w:tcW w:w="6866" w:type="dxa"/>
          </w:tcPr>
          <w:p w14:paraId="62FC19EB" w14:textId="16C2F4E2" w:rsidR="0036657A" w:rsidRDefault="0036657A" w:rsidP="00AD6716">
            <w:pPr>
              <w:cnfStyle w:val="000000000000" w:firstRow="0" w:lastRow="0" w:firstColumn="0" w:lastColumn="0" w:oddVBand="0" w:evenVBand="0" w:oddHBand="0" w:evenHBand="0" w:firstRowFirstColumn="0" w:firstRowLastColumn="0" w:lastRowFirstColumn="0" w:lastRowLastColumn="0"/>
            </w:pPr>
            <w:r>
              <w:t>Fluvial processes - channel progression and cut offs, avulsions, etc.</w:t>
            </w:r>
          </w:p>
        </w:tc>
      </w:tr>
      <w:tr w:rsidR="0036657A" w14:paraId="050EDEAB"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30165CA8" w14:textId="77777777" w:rsidR="0036657A" w:rsidRDefault="0036657A" w:rsidP="00FF46BE">
            <w:pPr>
              <w:rPr>
                <w:b w:val="0"/>
              </w:rPr>
            </w:pPr>
          </w:p>
        </w:tc>
        <w:tc>
          <w:tcPr>
            <w:tcW w:w="6866" w:type="dxa"/>
            <w:tcBorders>
              <w:top w:val="none" w:sz="0" w:space="0" w:color="auto"/>
              <w:bottom w:val="none" w:sz="0" w:space="0" w:color="auto"/>
              <w:right w:val="none" w:sz="0" w:space="0" w:color="auto"/>
            </w:tcBorders>
          </w:tcPr>
          <w:p w14:paraId="64ED7784" w14:textId="26810630" w:rsidR="0036657A" w:rsidRDefault="0036657A" w:rsidP="00AD6716">
            <w:pPr>
              <w:cnfStyle w:val="000000100000" w:firstRow="0" w:lastRow="0" w:firstColumn="0" w:lastColumn="0" w:oddVBand="0" w:evenVBand="0" w:oddHBand="1" w:evenHBand="0" w:firstRowFirstColumn="0" w:firstRowLastColumn="0" w:lastRowFirstColumn="0" w:lastRowLastColumn="0"/>
            </w:pPr>
            <w:r>
              <w:t>Scouring</w:t>
            </w:r>
          </w:p>
        </w:tc>
      </w:tr>
      <w:tr w:rsidR="0036657A" w14:paraId="4491C764"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val="restart"/>
          </w:tcPr>
          <w:p w14:paraId="0CCAAA83" w14:textId="0ED1E58F" w:rsidR="0036657A" w:rsidRDefault="0036657A" w:rsidP="00FF46BE">
            <w:pPr>
              <w:rPr>
                <w:b w:val="0"/>
              </w:rPr>
            </w:pPr>
            <w:r>
              <w:rPr>
                <w:b w:val="0"/>
              </w:rPr>
              <w:t xml:space="preserve">Hydrological processes </w:t>
            </w:r>
          </w:p>
        </w:tc>
        <w:tc>
          <w:tcPr>
            <w:tcW w:w="6866" w:type="dxa"/>
          </w:tcPr>
          <w:p w14:paraId="55FC212E" w14:textId="576C98E2" w:rsidR="0036657A" w:rsidRDefault="0036657A" w:rsidP="007672C5">
            <w:pPr>
              <w:cnfStyle w:val="000000000000" w:firstRow="0" w:lastRow="0" w:firstColumn="0" w:lastColumn="0" w:oddVBand="0" w:evenVBand="0" w:oddHBand="0" w:evenHBand="0" w:firstRowFirstColumn="0" w:firstRowLastColumn="0" w:lastRowFirstColumn="0" w:lastRowLastColumn="0"/>
            </w:pPr>
            <w:r>
              <w:t>Hydrological connectivity</w:t>
            </w:r>
          </w:p>
        </w:tc>
      </w:tr>
      <w:tr w:rsidR="0036657A" w14:paraId="622DB4A8"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3DBB2E89" w14:textId="77777777" w:rsidR="0036657A" w:rsidRPr="00FF46BE" w:rsidRDefault="0036657A" w:rsidP="00AD6716">
            <w:pPr>
              <w:rPr>
                <w:b w:val="0"/>
              </w:rPr>
            </w:pPr>
          </w:p>
        </w:tc>
        <w:tc>
          <w:tcPr>
            <w:tcW w:w="6866" w:type="dxa"/>
            <w:tcBorders>
              <w:top w:val="none" w:sz="0" w:space="0" w:color="auto"/>
              <w:bottom w:val="none" w:sz="0" w:space="0" w:color="auto"/>
              <w:right w:val="none" w:sz="0" w:space="0" w:color="auto"/>
            </w:tcBorders>
          </w:tcPr>
          <w:p w14:paraId="50F500D4" w14:textId="21F4A863" w:rsidR="0036657A" w:rsidRDefault="0036657A" w:rsidP="00182EE4">
            <w:pPr>
              <w:cnfStyle w:val="000000100000" w:firstRow="0" w:lastRow="0" w:firstColumn="0" w:lastColumn="0" w:oddVBand="0" w:evenVBand="0" w:oddHBand="1" w:evenHBand="0" w:firstRowFirstColumn="0" w:firstRowLastColumn="0" w:lastRowFirstColumn="0" w:lastRowLastColumn="0"/>
            </w:pPr>
            <w:r>
              <w:t>Groundwater infiltration and seepage</w:t>
            </w:r>
          </w:p>
        </w:tc>
      </w:tr>
      <w:tr w:rsidR="0036657A" w14:paraId="020C5570"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tcPr>
          <w:p w14:paraId="54642D80" w14:textId="77777777" w:rsidR="0036657A" w:rsidRPr="00FF46BE" w:rsidRDefault="0036657A" w:rsidP="00AD6716">
            <w:pPr>
              <w:rPr>
                <w:b w:val="0"/>
              </w:rPr>
            </w:pPr>
          </w:p>
        </w:tc>
        <w:tc>
          <w:tcPr>
            <w:tcW w:w="6866" w:type="dxa"/>
          </w:tcPr>
          <w:p w14:paraId="223262FD" w14:textId="7478FEC2" w:rsidR="0036657A" w:rsidRDefault="0036657A" w:rsidP="007672C5">
            <w:pPr>
              <w:cnfStyle w:val="000000000000" w:firstRow="0" w:lastRow="0" w:firstColumn="0" w:lastColumn="0" w:oddVBand="0" w:evenVBand="0" w:oddHBand="0" w:evenHBand="0" w:firstRowFirstColumn="0" w:firstRowLastColumn="0" w:lastRowFirstColumn="0" w:lastRowLastColumn="0"/>
            </w:pPr>
            <w:r>
              <w:t>Hydraulic processes</w:t>
            </w:r>
          </w:p>
        </w:tc>
      </w:tr>
      <w:tr w:rsidR="0036657A" w14:paraId="5CF880F9"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2A41B993" w14:textId="77777777" w:rsidR="0036657A" w:rsidRPr="00FF46BE" w:rsidRDefault="0036657A" w:rsidP="00AD6716">
            <w:pPr>
              <w:rPr>
                <w:b w:val="0"/>
              </w:rPr>
            </w:pPr>
          </w:p>
        </w:tc>
        <w:tc>
          <w:tcPr>
            <w:tcW w:w="6866" w:type="dxa"/>
            <w:tcBorders>
              <w:top w:val="none" w:sz="0" w:space="0" w:color="auto"/>
              <w:bottom w:val="none" w:sz="0" w:space="0" w:color="auto"/>
              <w:right w:val="none" w:sz="0" w:space="0" w:color="auto"/>
            </w:tcBorders>
          </w:tcPr>
          <w:p w14:paraId="36790D1A" w14:textId="6243994D" w:rsidR="0036657A" w:rsidRDefault="0036657A" w:rsidP="007672C5">
            <w:pPr>
              <w:cnfStyle w:val="000000100000" w:firstRow="0" w:lastRow="0" w:firstColumn="0" w:lastColumn="0" w:oddVBand="0" w:evenVBand="0" w:oddHBand="1" w:evenHBand="0" w:firstRowFirstColumn="0" w:firstRowLastColumn="0" w:lastRowFirstColumn="0" w:lastRowLastColumn="0"/>
            </w:pPr>
            <w:r>
              <w:t>Water balances</w:t>
            </w:r>
          </w:p>
        </w:tc>
      </w:tr>
      <w:tr w:rsidR="0036657A" w14:paraId="00AD3DBD"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tcPr>
          <w:p w14:paraId="53BFF48C" w14:textId="77777777" w:rsidR="0036657A" w:rsidRPr="00FF46BE" w:rsidRDefault="0036657A" w:rsidP="00AD6716">
            <w:pPr>
              <w:rPr>
                <w:b w:val="0"/>
              </w:rPr>
            </w:pPr>
          </w:p>
        </w:tc>
        <w:tc>
          <w:tcPr>
            <w:tcW w:w="6866" w:type="dxa"/>
          </w:tcPr>
          <w:p w14:paraId="0615781A" w14:textId="65279608" w:rsidR="0036657A" w:rsidRDefault="0036657A" w:rsidP="00182EE4">
            <w:pPr>
              <w:cnfStyle w:val="000000000000" w:firstRow="0" w:lastRow="0" w:firstColumn="0" w:lastColumn="0" w:oddVBand="0" w:evenVBand="0" w:oddHBand="0" w:evenHBand="0" w:firstRowFirstColumn="0" w:firstRowLastColumn="0" w:lastRowFirstColumn="0" w:lastRowLastColumn="0"/>
            </w:pPr>
            <w:r>
              <w:t xml:space="preserve">Surface water run off </w:t>
            </w:r>
          </w:p>
        </w:tc>
      </w:tr>
      <w:tr w:rsidR="0036657A" w14:paraId="558ECC61"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3E452E62" w14:textId="77777777" w:rsidR="0036657A" w:rsidRPr="00FF46BE" w:rsidRDefault="0036657A" w:rsidP="00AD6716">
            <w:pPr>
              <w:rPr>
                <w:b w:val="0"/>
              </w:rPr>
            </w:pPr>
          </w:p>
        </w:tc>
        <w:tc>
          <w:tcPr>
            <w:tcW w:w="6866" w:type="dxa"/>
            <w:tcBorders>
              <w:top w:val="none" w:sz="0" w:space="0" w:color="auto"/>
              <w:bottom w:val="none" w:sz="0" w:space="0" w:color="auto"/>
              <w:right w:val="none" w:sz="0" w:space="0" w:color="auto"/>
            </w:tcBorders>
          </w:tcPr>
          <w:p w14:paraId="7F114B9D" w14:textId="0B75DAFC" w:rsidR="0036657A" w:rsidRDefault="0036657A" w:rsidP="00B15361">
            <w:pPr>
              <w:cnfStyle w:val="000000100000" w:firstRow="0" w:lastRow="0" w:firstColumn="0" w:lastColumn="0" w:oddVBand="0" w:evenVBand="0" w:oddHBand="1" w:evenHBand="0" w:firstRowFirstColumn="0" w:firstRowLastColumn="0" w:lastRowFirstColumn="0" w:lastRowLastColumn="0"/>
            </w:pPr>
            <w:r>
              <w:t>Rainfall interception</w:t>
            </w:r>
          </w:p>
        </w:tc>
      </w:tr>
      <w:tr w:rsidR="0036657A" w14:paraId="7BE4CFD5"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tcPr>
          <w:p w14:paraId="1B1F3123" w14:textId="77777777" w:rsidR="0036657A" w:rsidRPr="00FF46BE" w:rsidRDefault="0036657A" w:rsidP="00AD6716">
            <w:pPr>
              <w:rPr>
                <w:b w:val="0"/>
              </w:rPr>
            </w:pPr>
          </w:p>
        </w:tc>
        <w:tc>
          <w:tcPr>
            <w:tcW w:w="6866" w:type="dxa"/>
          </w:tcPr>
          <w:p w14:paraId="16ACBD3F" w14:textId="435E9E02" w:rsidR="0036657A" w:rsidRDefault="0036657A" w:rsidP="00B15361">
            <w:pPr>
              <w:cnfStyle w:val="000000000000" w:firstRow="0" w:lastRow="0" w:firstColumn="0" w:lastColumn="0" w:oddVBand="0" w:evenVBand="0" w:oddHBand="0" w:evenHBand="0" w:firstRowFirstColumn="0" w:firstRowLastColumn="0" w:lastRowFirstColumn="0" w:lastRowLastColumn="0"/>
            </w:pPr>
            <w:r>
              <w:t>Evapotranspiration</w:t>
            </w:r>
          </w:p>
        </w:tc>
      </w:tr>
      <w:tr w:rsidR="0036657A" w14:paraId="157A6C51"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4E332AE9" w14:textId="77777777" w:rsidR="0036657A" w:rsidRPr="00FF46BE" w:rsidRDefault="0036657A" w:rsidP="00AD6716">
            <w:pPr>
              <w:rPr>
                <w:b w:val="0"/>
              </w:rPr>
            </w:pPr>
          </w:p>
        </w:tc>
        <w:tc>
          <w:tcPr>
            <w:tcW w:w="6866" w:type="dxa"/>
            <w:tcBorders>
              <w:top w:val="none" w:sz="0" w:space="0" w:color="auto"/>
              <w:bottom w:val="none" w:sz="0" w:space="0" w:color="auto"/>
              <w:right w:val="none" w:sz="0" w:space="0" w:color="auto"/>
            </w:tcBorders>
          </w:tcPr>
          <w:p w14:paraId="1C020B5B" w14:textId="149A1321" w:rsidR="0036657A" w:rsidRDefault="0036657A" w:rsidP="00B15361">
            <w:pPr>
              <w:cnfStyle w:val="000000100000" w:firstRow="0" w:lastRow="0" w:firstColumn="0" w:lastColumn="0" w:oddVBand="0" w:evenVBand="0" w:oddHBand="1" w:evenHBand="0" w:firstRowFirstColumn="0" w:firstRowLastColumn="0" w:lastRowFirstColumn="0" w:lastRowLastColumn="0"/>
            </w:pPr>
            <w:r>
              <w:t>Evaporation</w:t>
            </w:r>
          </w:p>
        </w:tc>
      </w:tr>
      <w:tr w:rsidR="0036657A" w14:paraId="7202B971"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val="restart"/>
          </w:tcPr>
          <w:p w14:paraId="0D4D72C2" w14:textId="77777777" w:rsidR="0036657A" w:rsidRPr="00FF46BE" w:rsidRDefault="0036657A" w:rsidP="00AD6716">
            <w:pPr>
              <w:rPr>
                <w:b w:val="0"/>
              </w:rPr>
            </w:pPr>
            <w:r w:rsidRPr="00FF46BE">
              <w:rPr>
                <w:b w:val="0"/>
              </w:rPr>
              <w:t>Energy and nutrient</w:t>
            </w:r>
          </w:p>
          <w:p w14:paraId="3A733C3D" w14:textId="6F3823A9" w:rsidR="0036657A" w:rsidRPr="00FF46BE" w:rsidRDefault="0036657A" w:rsidP="00AD6716">
            <w:pPr>
              <w:rPr>
                <w:b w:val="0"/>
              </w:rPr>
            </w:pPr>
            <w:r w:rsidRPr="00FF46BE">
              <w:rPr>
                <w:b w:val="0"/>
              </w:rPr>
              <w:t>dynamics</w:t>
            </w:r>
          </w:p>
        </w:tc>
        <w:tc>
          <w:tcPr>
            <w:tcW w:w="6866" w:type="dxa"/>
          </w:tcPr>
          <w:p w14:paraId="71DACD4B" w14:textId="0AB110AF" w:rsidR="0036657A" w:rsidRDefault="0036657A" w:rsidP="00182EE4">
            <w:pPr>
              <w:cnfStyle w:val="000000000000" w:firstRow="0" w:lastRow="0" w:firstColumn="0" w:lastColumn="0" w:oddVBand="0" w:evenVBand="0" w:oddHBand="0" w:evenHBand="0" w:firstRowFirstColumn="0" w:firstRowLastColumn="0" w:lastRowFirstColumn="0" w:lastRowLastColumn="0"/>
            </w:pPr>
            <w:r>
              <w:t>Primary production</w:t>
            </w:r>
          </w:p>
        </w:tc>
      </w:tr>
      <w:tr w:rsidR="0036657A" w14:paraId="41BC1BB4"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4DB16CC2" w14:textId="517B969A" w:rsidR="0036657A" w:rsidRPr="00FF46BE" w:rsidRDefault="0036657A" w:rsidP="00AD6716">
            <w:pPr>
              <w:rPr>
                <w:b w:val="0"/>
              </w:rPr>
            </w:pPr>
          </w:p>
        </w:tc>
        <w:tc>
          <w:tcPr>
            <w:tcW w:w="6866" w:type="dxa"/>
            <w:tcBorders>
              <w:top w:val="none" w:sz="0" w:space="0" w:color="auto"/>
              <w:bottom w:val="none" w:sz="0" w:space="0" w:color="auto"/>
              <w:right w:val="none" w:sz="0" w:space="0" w:color="auto"/>
            </w:tcBorders>
          </w:tcPr>
          <w:p w14:paraId="2AA61D3B" w14:textId="4B1CE594" w:rsidR="0036657A" w:rsidRDefault="0036657A" w:rsidP="007672C5">
            <w:pPr>
              <w:cnfStyle w:val="000000100000" w:firstRow="0" w:lastRow="0" w:firstColumn="0" w:lastColumn="0" w:oddVBand="0" w:evenVBand="0" w:oddHBand="1" w:evenHBand="0" w:firstRowFirstColumn="0" w:firstRowLastColumn="0" w:lastRowFirstColumn="0" w:lastRowLastColumn="0"/>
            </w:pPr>
            <w:r>
              <w:t>Nutrient cycling (nitrogen, phosphorus)</w:t>
            </w:r>
          </w:p>
        </w:tc>
      </w:tr>
      <w:tr w:rsidR="0036657A" w14:paraId="72DB2067"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tcPr>
          <w:p w14:paraId="7DC30149" w14:textId="13F2C579" w:rsidR="0036657A" w:rsidRPr="00FF46BE" w:rsidRDefault="0036657A" w:rsidP="00AD6716">
            <w:pPr>
              <w:rPr>
                <w:b w:val="0"/>
              </w:rPr>
            </w:pPr>
          </w:p>
        </w:tc>
        <w:tc>
          <w:tcPr>
            <w:tcW w:w="6866" w:type="dxa"/>
          </w:tcPr>
          <w:p w14:paraId="3D153D3D" w14:textId="2EA03B87" w:rsidR="0036657A" w:rsidRDefault="0036657A" w:rsidP="007672C5">
            <w:pPr>
              <w:cnfStyle w:val="000000000000" w:firstRow="0" w:lastRow="0" w:firstColumn="0" w:lastColumn="0" w:oddVBand="0" w:evenVBand="0" w:oddHBand="0" w:evenHBand="0" w:firstRowFirstColumn="0" w:firstRowLastColumn="0" w:lastRowFirstColumn="0" w:lastRowLastColumn="0"/>
            </w:pPr>
            <w:r>
              <w:t>Carbon cycling</w:t>
            </w:r>
          </w:p>
        </w:tc>
      </w:tr>
      <w:tr w:rsidR="0036657A" w14:paraId="1235F1A4"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2AF2DBC1" w14:textId="33EB5E57" w:rsidR="0036657A" w:rsidRPr="00FF46BE" w:rsidRDefault="0036657A" w:rsidP="00AD6716">
            <w:pPr>
              <w:rPr>
                <w:b w:val="0"/>
              </w:rPr>
            </w:pPr>
          </w:p>
        </w:tc>
        <w:tc>
          <w:tcPr>
            <w:tcW w:w="6866" w:type="dxa"/>
            <w:tcBorders>
              <w:top w:val="none" w:sz="0" w:space="0" w:color="auto"/>
              <w:bottom w:val="none" w:sz="0" w:space="0" w:color="auto"/>
              <w:right w:val="none" w:sz="0" w:space="0" w:color="auto"/>
            </w:tcBorders>
          </w:tcPr>
          <w:p w14:paraId="41E53BDA" w14:textId="54187EF0" w:rsidR="0036657A" w:rsidRDefault="0036657A" w:rsidP="007672C5">
            <w:pPr>
              <w:cnfStyle w:val="000000100000" w:firstRow="0" w:lastRow="0" w:firstColumn="0" w:lastColumn="0" w:oddVBand="0" w:evenVBand="0" w:oddHBand="1" w:evenHBand="0" w:firstRowFirstColumn="0" w:firstRowLastColumn="0" w:lastRowFirstColumn="0" w:lastRowLastColumn="0"/>
            </w:pPr>
            <w:r>
              <w:t>Decomposition</w:t>
            </w:r>
          </w:p>
        </w:tc>
      </w:tr>
      <w:tr w:rsidR="0036657A" w14:paraId="0F09393B"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tcPr>
          <w:p w14:paraId="6633307F" w14:textId="26B0F39B" w:rsidR="0036657A" w:rsidRPr="00FF46BE" w:rsidRDefault="0036657A" w:rsidP="00AD6716">
            <w:pPr>
              <w:rPr>
                <w:b w:val="0"/>
              </w:rPr>
            </w:pPr>
          </w:p>
        </w:tc>
        <w:tc>
          <w:tcPr>
            <w:tcW w:w="6866" w:type="dxa"/>
          </w:tcPr>
          <w:p w14:paraId="54D874E4" w14:textId="4CAFADF3" w:rsidR="0036657A" w:rsidRDefault="0036657A" w:rsidP="007672C5">
            <w:pPr>
              <w:cnfStyle w:val="000000000000" w:firstRow="0" w:lastRow="0" w:firstColumn="0" w:lastColumn="0" w:oddVBand="0" w:evenVBand="0" w:oddHBand="0" w:evenHBand="0" w:firstRowFirstColumn="0" w:firstRowLastColumn="0" w:lastRowFirstColumn="0" w:lastRowLastColumn="0"/>
            </w:pPr>
            <w:r>
              <w:t>Oxidation–reduction</w:t>
            </w:r>
          </w:p>
        </w:tc>
      </w:tr>
      <w:tr w:rsidR="0036657A" w14:paraId="65AA3445"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Borders>
              <w:top w:val="none" w:sz="0" w:space="0" w:color="auto"/>
              <w:left w:val="none" w:sz="0" w:space="0" w:color="auto"/>
              <w:bottom w:val="none" w:sz="0" w:space="0" w:color="auto"/>
            </w:tcBorders>
          </w:tcPr>
          <w:p w14:paraId="65B8FA73" w14:textId="5F545909" w:rsidR="0036657A" w:rsidRPr="00FF46BE" w:rsidRDefault="0036657A" w:rsidP="009951E4">
            <w:pPr>
              <w:rPr>
                <w:b w:val="0"/>
              </w:rPr>
            </w:pPr>
            <w:r>
              <w:rPr>
                <w:b w:val="0"/>
              </w:rPr>
              <w:t>Biotic processes</w:t>
            </w:r>
          </w:p>
        </w:tc>
        <w:tc>
          <w:tcPr>
            <w:tcW w:w="6866" w:type="dxa"/>
            <w:tcBorders>
              <w:top w:val="none" w:sz="0" w:space="0" w:color="auto"/>
              <w:bottom w:val="none" w:sz="0" w:space="0" w:color="auto"/>
              <w:right w:val="none" w:sz="0" w:space="0" w:color="auto"/>
            </w:tcBorders>
          </w:tcPr>
          <w:p w14:paraId="046D06CA" w14:textId="3C5EAFB6" w:rsidR="0036657A" w:rsidRDefault="0036657A" w:rsidP="00182EE4">
            <w:pPr>
              <w:cnfStyle w:val="000000100000" w:firstRow="0" w:lastRow="0" w:firstColumn="0" w:lastColumn="0" w:oddVBand="0" w:evenVBand="0" w:oddHBand="1" w:evenHBand="0" w:firstRowFirstColumn="0" w:firstRowLastColumn="0" w:lastRowFirstColumn="0" w:lastRowLastColumn="0"/>
            </w:pPr>
            <w:r>
              <w:t>Reproduction</w:t>
            </w:r>
          </w:p>
        </w:tc>
      </w:tr>
      <w:tr w:rsidR="0036657A" w14:paraId="4A9245D6"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tcPr>
          <w:p w14:paraId="208D86F2" w14:textId="77777777" w:rsidR="0036657A" w:rsidRPr="00FF46BE" w:rsidRDefault="0036657A" w:rsidP="007672C5">
            <w:pPr>
              <w:rPr>
                <w:b w:val="0"/>
              </w:rPr>
            </w:pPr>
          </w:p>
        </w:tc>
        <w:tc>
          <w:tcPr>
            <w:tcW w:w="6866" w:type="dxa"/>
          </w:tcPr>
          <w:p w14:paraId="707EC681" w14:textId="6F7D7E2E" w:rsidR="0036657A" w:rsidRDefault="0036657A" w:rsidP="007672C5">
            <w:pPr>
              <w:cnfStyle w:val="000000000000" w:firstRow="0" w:lastRow="0" w:firstColumn="0" w:lastColumn="0" w:oddVBand="0" w:evenVBand="0" w:oddHBand="0" w:evenHBand="0" w:firstRowFirstColumn="0" w:firstRowLastColumn="0" w:lastRowFirstColumn="0" w:lastRowLastColumn="0"/>
            </w:pPr>
            <w:r>
              <w:t>Regeneration</w:t>
            </w:r>
          </w:p>
        </w:tc>
      </w:tr>
      <w:tr w:rsidR="0036657A" w14:paraId="17F8BCF1"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134F27CC" w14:textId="77777777" w:rsidR="0036657A" w:rsidRPr="00FF46BE" w:rsidRDefault="0036657A" w:rsidP="007672C5">
            <w:pPr>
              <w:rPr>
                <w:b w:val="0"/>
              </w:rPr>
            </w:pPr>
          </w:p>
        </w:tc>
        <w:tc>
          <w:tcPr>
            <w:tcW w:w="6866" w:type="dxa"/>
            <w:tcBorders>
              <w:top w:val="none" w:sz="0" w:space="0" w:color="auto"/>
              <w:bottom w:val="none" w:sz="0" w:space="0" w:color="auto"/>
              <w:right w:val="none" w:sz="0" w:space="0" w:color="auto"/>
            </w:tcBorders>
          </w:tcPr>
          <w:p w14:paraId="5EB67022" w14:textId="4A5D11B7" w:rsidR="0036657A" w:rsidRDefault="0036657A" w:rsidP="007672C5">
            <w:pPr>
              <w:cnfStyle w:val="000000100000" w:firstRow="0" w:lastRow="0" w:firstColumn="0" w:lastColumn="0" w:oddVBand="0" w:evenVBand="0" w:oddHBand="1" w:evenHBand="0" w:firstRowFirstColumn="0" w:firstRowLastColumn="0" w:lastRowFirstColumn="0" w:lastRowLastColumn="0"/>
            </w:pPr>
            <w:r>
              <w:t>Dispersal</w:t>
            </w:r>
          </w:p>
        </w:tc>
      </w:tr>
      <w:tr w:rsidR="0036657A" w14:paraId="0ACDE750"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tcPr>
          <w:p w14:paraId="391BAA05" w14:textId="77777777" w:rsidR="0036657A" w:rsidRPr="00FF46BE" w:rsidRDefault="0036657A" w:rsidP="007672C5">
            <w:pPr>
              <w:rPr>
                <w:b w:val="0"/>
              </w:rPr>
            </w:pPr>
          </w:p>
        </w:tc>
        <w:tc>
          <w:tcPr>
            <w:tcW w:w="6866" w:type="dxa"/>
          </w:tcPr>
          <w:p w14:paraId="75564CD1" w14:textId="277EE67D" w:rsidR="0036657A" w:rsidRDefault="0036657A" w:rsidP="007672C5">
            <w:pPr>
              <w:cnfStyle w:val="000000000000" w:firstRow="0" w:lastRow="0" w:firstColumn="0" w:lastColumn="0" w:oddVBand="0" w:evenVBand="0" w:oddHBand="0" w:evenHBand="0" w:firstRowFirstColumn="0" w:firstRowLastColumn="0" w:lastRowFirstColumn="0" w:lastRowLastColumn="0"/>
            </w:pPr>
            <w:r>
              <w:t>Migration</w:t>
            </w:r>
          </w:p>
        </w:tc>
      </w:tr>
      <w:tr w:rsidR="0036657A" w14:paraId="57560ED7"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7F387210" w14:textId="77777777" w:rsidR="0036657A" w:rsidRPr="00FF46BE" w:rsidRDefault="0036657A" w:rsidP="007672C5">
            <w:pPr>
              <w:rPr>
                <w:b w:val="0"/>
              </w:rPr>
            </w:pPr>
          </w:p>
        </w:tc>
        <w:tc>
          <w:tcPr>
            <w:tcW w:w="6866" w:type="dxa"/>
            <w:tcBorders>
              <w:top w:val="none" w:sz="0" w:space="0" w:color="auto"/>
              <w:bottom w:val="none" w:sz="0" w:space="0" w:color="auto"/>
              <w:right w:val="none" w:sz="0" w:space="0" w:color="auto"/>
            </w:tcBorders>
          </w:tcPr>
          <w:p w14:paraId="337CD722" w14:textId="227CC42E" w:rsidR="0036657A" w:rsidRDefault="0036657A" w:rsidP="007672C5">
            <w:pPr>
              <w:cnfStyle w:val="000000100000" w:firstRow="0" w:lastRow="0" w:firstColumn="0" w:lastColumn="0" w:oddVBand="0" w:evenVBand="0" w:oddHBand="1" w:evenHBand="0" w:firstRowFirstColumn="0" w:firstRowLastColumn="0" w:lastRowFirstColumn="0" w:lastRowLastColumn="0"/>
            </w:pPr>
            <w:r>
              <w:t>Pollination</w:t>
            </w:r>
          </w:p>
        </w:tc>
      </w:tr>
      <w:tr w:rsidR="0036657A" w14:paraId="668BF231"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tcPr>
          <w:p w14:paraId="4DA42072" w14:textId="77777777" w:rsidR="0036657A" w:rsidRPr="00FF46BE" w:rsidRDefault="0036657A" w:rsidP="007672C5">
            <w:pPr>
              <w:rPr>
                <w:b w:val="0"/>
              </w:rPr>
            </w:pPr>
          </w:p>
        </w:tc>
        <w:tc>
          <w:tcPr>
            <w:tcW w:w="6866" w:type="dxa"/>
          </w:tcPr>
          <w:p w14:paraId="2C7D860A" w14:textId="14DC3C41" w:rsidR="0036657A" w:rsidRDefault="0036657A" w:rsidP="007672C5">
            <w:pPr>
              <w:cnfStyle w:val="000000000000" w:firstRow="0" w:lastRow="0" w:firstColumn="0" w:lastColumn="0" w:oddVBand="0" w:evenVBand="0" w:oddHBand="0" w:evenHBand="0" w:firstRowFirstColumn="0" w:firstRowLastColumn="0" w:lastRowFirstColumn="0" w:lastRowLastColumn="0"/>
            </w:pPr>
            <w:r>
              <w:t>Bioaccumulation</w:t>
            </w:r>
          </w:p>
        </w:tc>
      </w:tr>
      <w:tr w:rsidR="0036657A" w14:paraId="00437741"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327543C8" w14:textId="77777777" w:rsidR="0036657A" w:rsidRPr="00FF46BE" w:rsidRDefault="0036657A" w:rsidP="007672C5">
            <w:pPr>
              <w:rPr>
                <w:b w:val="0"/>
              </w:rPr>
            </w:pPr>
          </w:p>
        </w:tc>
        <w:tc>
          <w:tcPr>
            <w:tcW w:w="6866" w:type="dxa"/>
            <w:tcBorders>
              <w:top w:val="none" w:sz="0" w:space="0" w:color="auto"/>
              <w:bottom w:val="none" w:sz="0" w:space="0" w:color="auto"/>
              <w:right w:val="none" w:sz="0" w:space="0" w:color="auto"/>
            </w:tcBorders>
          </w:tcPr>
          <w:p w14:paraId="57B61B55" w14:textId="77EE220A" w:rsidR="0036657A" w:rsidRDefault="0036657A" w:rsidP="007672C5">
            <w:pPr>
              <w:cnfStyle w:val="000000100000" w:firstRow="0" w:lastRow="0" w:firstColumn="0" w:lastColumn="0" w:oddVBand="0" w:evenVBand="0" w:oddHBand="1" w:evenHBand="0" w:firstRowFirstColumn="0" w:firstRowLastColumn="0" w:lastRowFirstColumn="0" w:lastRowLastColumn="0"/>
            </w:pPr>
            <w:r w:rsidRPr="00EA6629">
              <w:t>Filtration/sequestration/storage/accumulation by micro-organisms, algae, plants, and animals</w:t>
            </w:r>
          </w:p>
        </w:tc>
      </w:tr>
      <w:tr w:rsidR="0036657A" w14:paraId="57CCD389"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tcPr>
          <w:p w14:paraId="795F5606" w14:textId="77777777" w:rsidR="0036657A" w:rsidRPr="00FF46BE" w:rsidRDefault="0036657A" w:rsidP="007672C5">
            <w:pPr>
              <w:rPr>
                <w:b w:val="0"/>
              </w:rPr>
            </w:pPr>
          </w:p>
        </w:tc>
        <w:tc>
          <w:tcPr>
            <w:tcW w:w="6866" w:type="dxa"/>
          </w:tcPr>
          <w:p w14:paraId="5CCFC5C3" w14:textId="77777777" w:rsidR="0036657A" w:rsidRDefault="0036657A" w:rsidP="00EA6629">
            <w:pPr>
              <w:cnfStyle w:val="000000000000" w:firstRow="0" w:lastRow="0" w:firstColumn="0" w:lastColumn="0" w:oddVBand="0" w:evenVBand="0" w:oddHBand="0" w:evenHBand="0" w:firstRowFirstColumn="0" w:firstRowLastColumn="0" w:lastRowFirstColumn="0" w:lastRowLastColumn="0"/>
            </w:pPr>
            <w:r>
              <w:t>Competition</w:t>
            </w:r>
          </w:p>
          <w:p w14:paraId="5974256E" w14:textId="6E0C7806" w:rsidR="0036657A" w:rsidRDefault="0036657A" w:rsidP="00EA6629">
            <w:pPr>
              <w:cnfStyle w:val="000000000000" w:firstRow="0" w:lastRow="0" w:firstColumn="0" w:lastColumn="0" w:oddVBand="0" w:evenVBand="0" w:oddHBand="0" w:evenHBand="0" w:firstRowFirstColumn="0" w:firstRowLastColumn="0" w:lastRowFirstColumn="0" w:lastRowLastColumn="0"/>
            </w:pPr>
            <w:r>
              <w:t>Diseases and pathogens</w:t>
            </w:r>
          </w:p>
        </w:tc>
      </w:tr>
      <w:tr w:rsidR="0036657A" w14:paraId="482D11E3"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30218813" w14:textId="77777777" w:rsidR="0036657A" w:rsidRPr="00FF46BE" w:rsidRDefault="0036657A" w:rsidP="007672C5">
            <w:pPr>
              <w:rPr>
                <w:b w:val="0"/>
              </w:rPr>
            </w:pPr>
          </w:p>
        </w:tc>
        <w:tc>
          <w:tcPr>
            <w:tcW w:w="6866" w:type="dxa"/>
            <w:tcBorders>
              <w:top w:val="none" w:sz="0" w:space="0" w:color="auto"/>
              <w:bottom w:val="none" w:sz="0" w:space="0" w:color="auto"/>
              <w:right w:val="none" w:sz="0" w:space="0" w:color="auto"/>
            </w:tcBorders>
          </w:tcPr>
          <w:p w14:paraId="116E1BCC" w14:textId="3AABE7D0" w:rsidR="0036657A" w:rsidRDefault="0036657A" w:rsidP="007672C5">
            <w:pPr>
              <w:cnfStyle w:val="000000100000" w:firstRow="0" w:lastRow="0" w:firstColumn="0" w:lastColumn="0" w:oddVBand="0" w:evenVBand="0" w:oddHBand="1" w:evenHBand="0" w:firstRowFirstColumn="0" w:firstRowLastColumn="0" w:lastRowFirstColumn="0" w:lastRowLastColumn="0"/>
            </w:pPr>
            <w:r>
              <w:t>Predation</w:t>
            </w:r>
          </w:p>
        </w:tc>
      </w:tr>
      <w:tr w:rsidR="0036657A" w14:paraId="5E4C17C6"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tcPr>
          <w:p w14:paraId="2704C84A" w14:textId="77777777" w:rsidR="0036657A" w:rsidRPr="00FF46BE" w:rsidRDefault="0036657A" w:rsidP="007672C5">
            <w:pPr>
              <w:rPr>
                <w:b w:val="0"/>
              </w:rPr>
            </w:pPr>
          </w:p>
        </w:tc>
        <w:tc>
          <w:tcPr>
            <w:tcW w:w="6866" w:type="dxa"/>
          </w:tcPr>
          <w:p w14:paraId="7D847A13" w14:textId="2CCFCB02" w:rsidR="0036657A" w:rsidRDefault="0036657A" w:rsidP="007672C5">
            <w:pPr>
              <w:cnfStyle w:val="000000000000" w:firstRow="0" w:lastRow="0" w:firstColumn="0" w:lastColumn="0" w:oddVBand="0" w:evenVBand="0" w:oddHBand="0" w:evenHBand="0" w:firstRowFirstColumn="0" w:firstRowLastColumn="0" w:lastRowFirstColumn="0" w:lastRowLastColumn="0"/>
            </w:pPr>
            <w:r>
              <w:t>Succession</w:t>
            </w:r>
          </w:p>
        </w:tc>
      </w:tr>
      <w:tr w:rsidR="0036657A" w14:paraId="50731A82" w14:textId="77777777" w:rsidTr="00366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15F5C0B5" w14:textId="77777777" w:rsidR="0036657A" w:rsidRPr="00FF46BE" w:rsidRDefault="0036657A" w:rsidP="007672C5">
            <w:pPr>
              <w:rPr>
                <w:b w:val="0"/>
              </w:rPr>
            </w:pPr>
          </w:p>
        </w:tc>
        <w:tc>
          <w:tcPr>
            <w:tcW w:w="6866" w:type="dxa"/>
            <w:tcBorders>
              <w:top w:val="none" w:sz="0" w:space="0" w:color="auto"/>
              <w:bottom w:val="none" w:sz="0" w:space="0" w:color="auto"/>
              <w:right w:val="none" w:sz="0" w:space="0" w:color="auto"/>
            </w:tcBorders>
          </w:tcPr>
          <w:p w14:paraId="0FEE9FBF" w14:textId="6FE8F977" w:rsidR="0036657A" w:rsidRDefault="0036657A" w:rsidP="007672C5">
            <w:pPr>
              <w:cnfStyle w:val="000000100000" w:firstRow="0" w:lastRow="0" w:firstColumn="0" w:lastColumn="0" w:oddVBand="0" w:evenVBand="0" w:oddHBand="1" w:evenHBand="0" w:firstRowFirstColumn="0" w:firstRowLastColumn="0" w:lastRowFirstColumn="0" w:lastRowLastColumn="0"/>
            </w:pPr>
            <w:r>
              <w:t>Herbivory</w:t>
            </w:r>
          </w:p>
        </w:tc>
      </w:tr>
      <w:tr w:rsidR="0036657A" w14:paraId="4C361CB1" w14:textId="77777777" w:rsidTr="0036657A">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EBF2F1" w:themeFill="accent2" w:themeFillTint="33"/>
          </w:tcPr>
          <w:p w14:paraId="192C1BE0" w14:textId="6AB457B5" w:rsidR="0036657A" w:rsidRDefault="0036657A" w:rsidP="007672C5">
            <w:r w:rsidRPr="00EA6629">
              <w:t>Function</w:t>
            </w:r>
            <w:r>
              <w:t>/Services</w:t>
            </w:r>
          </w:p>
        </w:tc>
      </w:tr>
      <w:tr w:rsidR="0036657A" w14:paraId="594F44C9" w14:textId="77777777" w:rsidTr="00AE2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Borders>
              <w:top w:val="none" w:sz="0" w:space="0" w:color="auto"/>
              <w:left w:val="none" w:sz="0" w:space="0" w:color="auto"/>
              <w:bottom w:val="none" w:sz="0" w:space="0" w:color="auto"/>
            </w:tcBorders>
          </w:tcPr>
          <w:p w14:paraId="2C98E6C9" w14:textId="6E4873EF" w:rsidR="0036657A" w:rsidRPr="00FF46BE" w:rsidRDefault="0036657A" w:rsidP="007672C5">
            <w:pPr>
              <w:rPr>
                <w:b w:val="0"/>
              </w:rPr>
            </w:pPr>
            <w:r>
              <w:rPr>
                <w:b w:val="0"/>
              </w:rPr>
              <w:t>Regulating</w:t>
            </w:r>
          </w:p>
        </w:tc>
        <w:tc>
          <w:tcPr>
            <w:tcW w:w="6866" w:type="dxa"/>
            <w:tcBorders>
              <w:top w:val="none" w:sz="0" w:space="0" w:color="auto"/>
              <w:bottom w:val="none" w:sz="0" w:space="0" w:color="auto"/>
              <w:right w:val="none" w:sz="0" w:space="0" w:color="auto"/>
            </w:tcBorders>
          </w:tcPr>
          <w:p w14:paraId="00DA7F38" w14:textId="5F487DD0" w:rsidR="0036657A" w:rsidRDefault="0036657A" w:rsidP="003C08AE">
            <w:pPr>
              <w:cnfStyle w:val="000000100000" w:firstRow="0" w:lastRow="0" w:firstColumn="0" w:lastColumn="0" w:oddVBand="0" w:evenVBand="0" w:oddHBand="1" w:evenHBand="0" w:firstRowFirstColumn="0" w:firstRowLastColumn="0" w:lastRowFirstColumn="0" w:lastRowLastColumn="0"/>
            </w:pPr>
            <w:r>
              <w:t>Flood mitigation</w:t>
            </w:r>
          </w:p>
        </w:tc>
      </w:tr>
      <w:tr w:rsidR="0036657A" w14:paraId="1D605300"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tcPr>
          <w:p w14:paraId="0620E8E3" w14:textId="77777777" w:rsidR="0036657A" w:rsidRPr="00FF46BE" w:rsidRDefault="0036657A" w:rsidP="007672C5">
            <w:pPr>
              <w:rPr>
                <w:b w:val="0"/>
              </w:rPr>
            </w:pPr>
          </w:p>
        </w:tc>
        <w:tc>
          <w:tcPr>
            <w:tcW w:w="6866" w:type="dxa"/>
          </w:tcPr>
          <w:p w14:paraId="3792FF7E" w14:textId="7B0F8660" w:rsidR="0036657A" w:rsidRDefault="0036657A" w:rsidP="003C08AE">
            <w:pPr>
              <w:cnfStyle w:val="000000000000" w:firstRow="0" w:lastRow="0" w:firstColumn="0" w:lastColumn="0" w:oddVBand="0" w:evenVBand="0" w:oddHBand="0" w:evenHBand="0" w:firstRowFirstColumn="0" w:firstRowLastColumn="0" w:lastRowFirstColumn="0" w:lastRowLastColumn="0"/>
            </w:pPr>
            <w:r>
              <w:t>Pollution control - buffering</w:t>
            </w:r>
          </w:p>
        </w:tc>
      </w:tr>
      <w:tr w:rsidR="0036657A" w14:paraId="2ADD35BA" w14:textId="77777777" w:rsidTr="00AE2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tcPr>
          <w:p w14:paraId="0B2C2D3E" w14:textId="6C94927B" w:rsidR="0036657A" w:rsidRPr="00FF46BE" w:rsidRDefault="0036657A" w:rsidP="007672C5">
            <w:pPr>
              <w:rPr>
                <w:b w:val="0"/>
              </w:rPr>
            </w:pPr>
            <w:r>
              <w:rPr>
                <w:b w:val="0"/>
              </w:rPr>
              <w:t>Provisioning</w:t>
            </w:r>
          </w:p>
        </w:tc>
        <w:tc>
          <w:tcPr>
            <w:tcW w:w="6866" w:type="dxa"/>
            <w:tcBorders>
              <w:top w:val="none" w:sz="0" w:space="0" w:color="auto"/>
              <w:bottom w:val="none" w:sz="0" w:space="0" w:color="auto"/>
              <w:right w:val="none" w:sz="0" w:space="0" w:color="auto"/>
            </w:tcBorders>
          </w:tcPr>
          <w:p w14:paraId="38D051C1" w14:textId="2CE105A2" w:rsidR="0036657A" w:rsidRDefault="0036657A" w:rsidP="003C08AE">
            <w:pPr>
              <w:cnfStyle w:val="000000100000" w:firstRow="0" w:lastRow="0" w:firstColumn="0" w:lastColumn="0" w:oddVBand="0" w:evenVBand="0" w:oddHBand="1" w:evenHBand="0" w:firstRowFirstColumn="0" w:firstRowLastColumn="0" w:lastRowFirstColumn="0" w:lastRowLastColumn="0"/>
            </w:pPr>
            <w:r>
              <w:t>Provision of natural resources</w:t>
            </w:r>
          </w:p>
        </w:tc>
      </w:tr>
      <w:tr w:rsidR="0036657A" w14:paraId="1C391D38"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val="restart"/>
          </w:tcPr>
          <w:p w14:paraId="7426ACA4" w14:textId="1AC45FDD" w:rsidR="0036657A" w:rsidRPr="00FF46BE" w:rsidRDefault="0036657A" w:rsidP="007672C5">
            <w:pPr>
              <w:rPr>
                <w:b w:val="0"/>
              </w:rPr>
            </w:pPr>
            <w:r>
              <w:rPr>
                <w:b w:val="0"/>
              </w:rPr>
              <w:t>Supporting (see processes as well)</w:t>
            </w:r>
          </w:p>
        </w:tc>
        <w:tc>
          <w:tcPr>
            <w:tcW w:w="6866" w:type="dxa"/>
          </w:tcPr>
          <w:p w14:paraId="0AB9FD5A" w14:textId="329A8E35" w:rsidR="0036657A" w:rsidRDefault="0036657A" w:rsidP="007672C5">
            <w:pPr>
              <w:cnfStyle w:val="000000000000" w:firstRow="0" w:lastRow="0" w:firstColumn="0" w:lastColumn="0" w:oddVBand="0" w:evenVBand="0" w:oddHBand="0" w:evenHBand="0" w:firstRowFirstColumn="0" w:firstRowLastColumn="0" w:lastRowFirstColumn="0" w:lastRowLastColumn="0"/>
            </w:pPr>
            <w:r>
              <w:t>Recycle nutrients and energy</w:t>
            </w:r>
          </w:p>
        </w:tc>
      </w:tr>
      <w:tr w:rsidR="0036657A" w14:paraId="7A2EAFAF" w14:textId="77777777" w:rsidTr="00AE2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tcBorders>
          </w:tcPr>
          <w:p w14:paraId="0052046A" w14:textId="77777777" w:rsidR="0036657A" w:rsidRPr="00FF46BE" w:rsidRDefault="0036657A" w:rsidP="007672C5">
            <w:pPr>
              <w:rPr>
                <w:b w:val="0"/>
              </w:rPr>
            </w:pPr>
          </w:p>
        </w:tc>
        <w:tc>
          <w:tcPr>
            <w:tcW w:w="6866" w:type="dxa"/>
            <w:tcBorders>
              <w:top w:val="none" w:sz="0" w:space="0" w:color="auto"/>
              <w:bottom w:val="none" w:sz="0" w:space="0" w:color="auto"/>
              <w:right w:val="none" w:sz="0" w:space="0" w:color="auto"/>
            </w:tcBorders>
          </w:tcPr>
          <w:p w14:paraId="657FFD8B" w14:textId="10C69223" w:rsidR="0036657A" w:rsidRDefault="0036657A" w:rsidP="007672C5">
            <w:pPr>
              <w:cnfStyle w:val="000000100000" w:firstRow="0" w:lastRow="0" w:firstColumn="0" w:lastColumn="0" w:oddVBand="0" w:evenVBand="0" w:oddHBand="1" w:evenHBand="0" w:firstRowFirstColumn="0" w:firstRowLastColumn="0" w:lastRowFirstColumn="0" w:lastRowLastColumn="0"/>
            </w:pPr>
            <w:r>
              <w:t>Food web support</w:t>
            </w:r>
          </w:p>
        </w:tc>
      </w:tr>
      <w:tr w:rsidR="0036657A" w14:paraId="381C6928" w14:textId="77777777" w:rsidTr="00EA6629">
        <w:tc>
          <w:tcPr>
            <w:cnfStyle w:val="001000000000" w:firstRow="0" w:lastRow="0" w:firstColumn="1" w:lastColumn="0" w:oddVBand="0" w:evenVBand="0" w:oddHBand="0" w:evenHBand="0" w:firstRowFirstColumn="0" w:firstRowLastColumn="0" w:lastRowFirstColumn="0" w:lastRowLastColumn="0"/>
            <w:tcW w:w="2376" w:type="dxa"/>
            <w:vMerge/>
          </w:tcPr>
          <w:p w14:paraId="47E77D22" w14:textId="77777777" w:rsidR="0036657A" w:rsidRPr="00FF46BE" w:rsidRDefault="0036657A" w:rsidP="007672C5">
            <w:pPr>
              <w:rPr>
                <w:b w:val="0"/>
              </w:rPr>
            </w:pPr>
          </w:p>
        </w:tc>
        <w:tc>
          <w:tcPr>
            <w:tcW w:w="6866" w:type="dxa"/>
          </w:tcPr>
          <w:p w14:paraId="16B85187" w14:textId="6383C0B3" w:rsidR="0036657A" w:rsidRDefault="0036657A" w:rsidP="007672C5">
            <w:pPr>
              <w:cnfStyle w:val="000000000000" w:firstRow="0" w:lastRow="0" w:firstColumn="0" w:lastColumn="0" w:oddVBand="0" w:evenVBand="0" w:oddHBand="0" w:evenHBand="0" w:firstRowFirstColumn="0" w:firstRowLastColumn="0" w:lastRowFirstColumn="0" w:lastRowLastColumn="0"/>
            </w:pPr>
            <w:r>
              <w:t>Provides habitat including  refugia, nurseries, moulting sites</w:t>
            </w:r>
          </w:p>
        </w:tc>
      </w:tr>
    </w:tbl>
    <w:p w14:paraId="68DB39CF" w14:textId="77777777" w:rsidR="006B4464" w:rsidRDefault="006B4464" w:rsidP="007672C5"/>
    <w:p w14:paraId="3743BDE9" w14:textId="77777777" w:rsidR="0072297A" w:rsidRPr="0072297A" w:rsidRDefault="0072297A" w:rsidP="0072297A"/>
    <w:p w14:paraId="6CBAFFE7" w14:textId="77777777" w:rsidR="0072297A" w:rsidRDefault="0072297A" w:rsidP="0072297A">
      <w:pPr>
        <w:sectPr w:rsidR="0072297A" w:rsidSect="00CA2773">
          <w:pgSz w:w="11906" w:h="16838"/>
          <w:pgMar w:top="1440" w:right="1440" w:bottom="1440" w:left="1440" w:header="708" w:footer="708" w:gutter="0"/>
          <w:cols w:space="708"/>
          <w:docGrid w:linePitch="360"/>
        </w:sectPr>
      </w:pPr>
    </w:p>
    <w:p w14:paraId="047BA1CF" w14:textId="0947E49A" w:rsidR="00987890" w:rsidRPr="004E7EB5" w:rsidRDefault="00987890" w:rsidP="00987890">
      <w:pPr>
        <w:pStyle w:val="Heading1"/>
        <w:numPr>
          <w:ilvl w:val="0"/>
          <w:numId w:val="0"/>
        </w:numPr>
        <w:ind w:left="432" w:hanging="432"/>
      </w:pPr>
      <w:bookmarkStart w:id="176" w:name="_Toc493774258"/>
      <w:r w:rsidRPr="004E7EB5">
        <w:lastRenderedPageBreak/>
        <w:t xml:space="preserve">Appendix </w:t>
      </w:r>
      <w:r w:rsidR="00145E76">
        <w:t>E</w:t>
      </w:r>
      <w:r w:rsidRPr="004E7EB5">
        <w:t>: IUCN</w:t>
      </w:r>
      <w:r w:rsidR="00D71947">
        <w:t>-CMP</w:t>
      </w:r>
      <w:r w:rsidRPr="004E7EB5">
        <w:t xml:space="preserve"> Threat Classification</w:t>
      </w:r>
      <w:r w:rsidR="00D71947">
        <w:t xml:space="preserve"> V2.0</w:t>
      </w:r>
      <w:bookmarkEnd w:id="176"/>
    </w:p>
    <w:p w14:paraId="18E3D075" w14:textId="00687B6D" w:rsidR="00D71947" w:rsidRPr="009E2301" w:rsidRDefault="00D71947" w:rsidP="00D71947">
      <w:r w:rsidRPr="00D71947">
        <w:t>The Conservation Measures Partnership's (CMP) Conservation Direct Threats Classification</w:t>
      </w:r>
      <w:r w:rsidR="00A744A3">
        <w:t xml:space="preserve"> V2.0</w:t>
      </w:r>
      <w:r w:rsidR="0036657A">
        <w:t xml:space="preserve"> (</w:t>
      </w:r>
      <w:r w:rsidR="0036657A">
        <w:fldChar w:fldCharType="begin"/>
      </w:r>
      <w:r w:rsidR="0036657A">
        <w:instrText xml:space="preserve"> REF _Ref493591331 \h </w:instrText>
      </w:r>
      <w:r w:rsidR="0036657A">
        <w:fldChar w:fldCharType="separate"/>
      </w:r>
      <w:r w:rsidR="0036657A">
        <w:t xml:space="preserve">Table E </w:t>
      </w:r>
      <w:r w:rsidR="0036657A">
        <w:rPr>
          <w:noProof/>
        </w:rPr>
        <w:t>1</w:t>
      </w:r>
      <w:r w:rsidR="0036657A">
        <w:fldChar w:fldCharType="end"/>
      </w:r>
      <w:r w:rsidR="0036657A">
        <w:t>)</w:t>
      </w:r>
      <w:r w:rsidR="00A744A3">
        <w:t xml:space="preserve">, developed in association with the IUCN, </w:t>
      </w:r>
      <w:r w:rsidR="0036657A">
        <w:t>and is</w:t>
      </w:r>
      <w:r w:rsidR="00A744A3">
        <w:t xml:space="preserve"> adopted in the IECA Framework</w:t>
      </w:r>
      <w:r w:rsidRPr="00D71947">
        <w:t xml:space="preserve">. This classification is designed to provide a simple, </w:t>
      </w:r>
      <w:r w:rsidR="00A744A3" w:rsidRPr="00D71947">
        <w:t>hierarchical</w:t>
      </w:r>
      <w:r w:rsidRPr="00D71947">
        <w:t xml:space="preserve">, comprehensive, consistent, expandable, exclusive and scalable classification of all direct threats to biodiversity. </w:t>
      </w:r>
      <w:r w:rsidRPr="009E2301">
        <w:t>For pollution and invasive species</w:t>
      </w:r>
      <w:r>
        <w:t>,</w:t>
      </w:r>
      <w:r w:rsidRPr="009E2301">
        <w:t xml:space="preserve"> the distinction between a threat and a stressor is somewhat arbitrary, however to maintain a consistent use of terminology the IUCN-CMP classification </w:t>
      </w:r>
      <w:r>
        <w:t>should be adopted.</w:t>
      </w:r>
      <w:r w:rsidRPr="009E2301">
        <w:t xml:space="preserve"> </w:t>
      </w:r>
    </w:p>
    <w:p w14:paraId="127207BC" w14:textId="06C5F935" w:rsidR="00A744A3" w:rsidRPr="00A744A3" w:rsidRDefault="0036657A" w:rsidP="0036657A">
      <w:pPr>
        <w:pStyle w:val="Caption"/>
      </w:pPr>
      <w:bookmarkStart w:id="177" w:name="_Ref493591331"/>
      <w:r>
        <w:t xml:space="preserve">Table E </w:t>
      </w:r>
      <w:fldSimple w:instr=" SEQ Table_E \* ARABIC ">
        <w:r>
          <w:rPr>
            <w:noProof/>
          </w:rPr>
          <w:t>1</w:t>
        </w:r>
      </w:fldSimple>
      <w:bookmarkEnd w:id="177"/>
      <w:r w:rsidR="00FD50A9">
        <w:rPr>
          <w:noProof/>
        </w:rPr>
        <w:t>:</w:t>
      </w:r>
      <w:r w:rsidR="00066A10">
        <w:t xml:space="preserve"> </w:t>
      </w:r>
      <w:r w:rsidR="00D71947" w:rsidRPr="0035179A">
        <w:t>IUCN Threat categories. See</w:t>
      </w:r>
      <w:r w:rsidR="00A744A3">
        <w:t xml:space="preserve"> the link below </w:t>
      </w:r>
      <w:r w:rsidR="00D71947" w:rsidRPr="0035179A">
        <w:t xml:space="preserve">for </w:t>
      </w:r>
      <w:r w:rsidR="00A744A3">
        <w:t xml:space="preserve">the </w:t>
      </w:r>
      <w:r w:rsidR="00D71947" w:rsidRPr="0035179A">
        <w:t>full classification</w:t>
      </w:r>
      <w:r w:rsidR="00A744A3">
        <w:t xml:space="preserve"> with</w:t>
      </w:r>
      <w:r w:rsidR="00D71947">
        <w:t xml:space="preserve"> examples that help to further elucidate the nature of the threat. For example, Oil &amp; gas drilling can be defined further to consider exploration and production separately.</w:t>
      </w:r>
      <w:r w:rsidR="00A744A3">
        <w:t xml:space="preserve"> </w:t>
      </w:r>
    </w:p>
    <w:tbl>
      <w:tblPr>
        <w:tblStyle w:val="TableGrid"/>
        <w:tblW w:w="0" w:type="auto"/>
        <w:tblBorders>
          <w:top w:val="single" w:sz="4" w:space="0" w:color="9CBEBD" w:themeColor="accent2"/>
          <w:left w:val="single" w:sz="4" w:space="0" w:color="9CBEBD" w:themeColor="accent2"/>
          <w:bottom w:val="single" w:sz="4" w:space="0" w:color="9CBEBD" w:themeColor="accent2"/>
          <w:right w:val="single" w:sz="4" w:space="0" w:color="9CBEBD" w:themeColor="accent2"/>
          <w:insideH w:val="single" w:sz="4" w:space="0" w:color="9CBEBD" w:themeColor="accent2"/>
          <w:insideV w:val="single" w:sz="4" w:space="0" w:color="9CBEBD" w:themeColor="accent2"/>
        </w:tblBorders>
        <w:tblLook w:val="01E0" w:firstRow="1" w:lastRow="1" w:firstColumn="1" w:lastColumn="1" w:noHBand="0" w:noVBand="0"/>
      </w:tblPr>
      <w:tblGrid>
        <w:gridCol w:w="4467"/>
        <w:gridCol w:w="4549"/>
      </w:tblGrid>
      <w:tr w:rsidR="00D71947" w:rsidRPr="009E2301" w14:paraId="5C754E89" w14:textId="77777777" w:rsidTr="00D87458">
        <w:trPr>
          <w:cnfStyle w:val="100000000000" w:firstRow="1" w:lastRow="0" w:firstColumn="0" w:lastColumn="0" w:oddVBand="0" w:evenVBand="0" w:oddHBand="0" w:evenHBand="0" w:firstRowFirstColumn="0" w:firstRowLastColumn="0" w:lastRowFirstColumn="0" w:lastRowLastColumn="0"/>
        </w:trPr>
        <w:tc>
          <w:tcPr>
            <w:tcW w:w="4591" w:type="dxa"/>
          </w:tcPr>
          <w:p w14:paraId="61DBFA20" w14:textId="77777777"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b/>
              </w:rPr>
              <w:t>1. Residential &amp; Commercial Development</w:t>
            </w:r>
          </w:p>
          <w:p w14:paraId="4F177836"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1.1. Housing &amp; urban areas</w:t>
            </w:r>
          </w:p>
          <w:p w14:paraId="526BA09C"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1.2. Commercial &amp; industrial areas</w:t>
            </w:r>
          </w:p>
          <w:p w14:paraId="05FD5738"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1.3. Tourism &amp; recreation areas</w:t>
            </w:r>
          </w:p>
          <w:p w14:paraId="6307AAF3" w14:textId="77777777" w:rsidR="00D71947" w:rsidRPr="009E2301" w:rsidRDefault="00D71947" w:rsidP="0021440B">
            <w:pPr>
              <w:jc w:val="left"/>
              <w:rPr>
                <w:rFonts w:asciiTheme="minorHAnsi" w:eastAsia="Times New Roman" w:hAnsiTheme="minorHAnsi" w:cstheme="minorHAnsi"/>
                <w:b/>
              </w:rPr>
            </w:pPr>
          </w:p>
        </w:tc>
        <w:tc>
          <w:tcPr>
            <w:tcW w:w="4651" w:type="dxa"/>
          </w:tcPr>
          <w:p w14:paraId="3836218A" w14:textId="77777777"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b/>
              </w:rPr>
              <w:t>7. Natural System Modifications</w:t>
            </w:r>
          </w:p>
          <w:p w14:paraId="0FB18F3E"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7.1. Fire &amp; fire suppression</w:t>
            </w:r>
          </w:p>
          <w:p w14:paraId="29D0E46A"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7.2. Dams &amp; water management/use</w:t>
            </w:r>
          </w:p>
          <w:p w14:paraId="4DD77466" w14:textId="77777777" w:rsidR="00D71947"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7.3. Other ecosystem modifications</w:t>
            </w:r>
          </w:p>
          <w:p w14:paraId="46327C25" w14:textId="12FF2850" w:rsidR="00A744A3" w:rsidRPr="009E2301" w:rsidRDefault="00A744A3" w:rsidP="0021440B">
            <w:pPr>
              <w:jc w:val="left"/>
              <w:rPr>
                <w:rFonts w:asciiTheme="minorHAnsi" w:eastAsia="Times New Roman" w:hAnsiTheme="minorHAnsi" w:cstheme="minorHAnsi"/>
              </w:rPr>
            </w:pPr>
            <w:r>
              <w:rPr>
                <w:rFonts w:asciiTheme="minorHAnsi" w:eastAsia="Times New Roman" w:hAnsiTheme="minorHAnsi" w:cstheme="minorHAnsi"/>
              </w:rPr>
              <w:t>7.4 Removing/reducing human management</w:t>
            </w:r>
          </w:p>
          <w:p w14:paraId="5D99483E" w14:textId="77777777" w:rsidR="00D71947" w:rsidRPr="009E2301" w:rsidRDefault="00D71947" w:rsidP="0021440B">
            <w:pPr>
              <w:jc w:val="left"/>
              <w:rPr>
                <w:rFonts w:asciiTheme="minorHAnsi" w:eastAsia="Times New Roman" w:hAnsiTheme="minorHAnsi" w:cstheme="minorHAnsi"/>
                <w:b/>
              </w:rPr>
            </w:pPr>
          </w:p>
        </w:tc>
      </w:tr>
      <w:tr w:rsidR="00D71947" w:rsidRPr="009E2301" w14:paraId="5C812017" w14:textId="77777777" w:rsidTr="00D87458">
        <w:trPr>
          <w:cnfStyle w:val="000000100000" w:firstRow="0" w:lastRow="0" w:firstColumn="0" w:lastColumn="0" w:oddVBand="0" w:evenVBand="0" w:oddHBand="1" w:evenHBand="0" w:firstRowFirstColumn="0" w:firstRowLastColumn="0" w:lastRowFirstColumn="0" w:lastRowLastColumn="0"/>
        </w:trPr>
        <w:tc>
          <w:tcPr>
            <w:tcW w:w="4591" w:type="dxa"/>
          </w:tcPr>
          <w:p w14:paraId="1B52B9B6" w14:textId="77777777"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b/>
              </w:rPr>
              <w:t>2. Agriculture &amp; Aquaculture</w:t>
            </w:r>
          </w:p>
          <w:p w14:paraId="4FAB29B9"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2.1. Annual &amp; perennial non-timber crops</w:t>
            </w:r>
          </w:p>
          <w:p w14:paraId="746C774B"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2.2. Wood &amp; pulp plantations</w:t>
            </w:r>
          </w:p>
          <w:p w14:paraId="00297754"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 xml:space="preserve">2.3. Livestock farming </w:t>
            </w:r>
          </w:p>
          <w:p w14:paraId="51D38763" w14:textId="77777777"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rPr>
              <w:t>2.4. Marine &amp; freshwater aquaculture</w:t>
            </w:r>
          </w:p>
        </w:tc>
        <w:tc>
          <w:tcPr>
            <w:tcW w:w="4651" w:type="dxa"/>
          </w:tcPr>
          <w:p w14:paraId="3AFDD1CF" w14:textId="77777777"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b/>
              </w:rPr>
              <w:t>8. Invasive &amp; Other Problematic Species &amp; Genes</w:t>
            </w:r>
          </w:p>
          <w:p w14:paraId="3666C931"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8.1. Invasive non-native/alien species</w:t>
            </w:r>
          </w:p>
          <w:p w14:paraId="20413239"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8.2. Problematic native species</w:t>
            </w:r>
          </w:p>
          <w:p w14:paraId="6A80BF61" w14:textId="77777777" w:rsidR="00D71947"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8.3. Introduced genetic material</w:t>
            </w:r>
          </w:p>
          <w:p w14:paraId="00306AE2" w14:textId="683AD3DD" w:rsidR="00A744A3" w:rsidRPr="009E2301" w:rsidRDefault="00A744A3" w:rsidP="0021440B">
            <w:pPr>
              <w:jc w:val="left"/>
              <w:rPr>
                <w:rFonts w:asciiTheme="minorHAnsi" w:eastAsia="Times New Roman" w:hAnsiTheme="minorHAnsi" w:cstheme="minorHAnsi"/>
              </w:rPr>
            </w:pPr>
            <w:r>
              <w:rPr>
                <w:rFonts w:asciiTheme="minorHAnsi" w:eastAsia="Times New Roman" w:hAnsiTheme="minorHAnsi" w:cstheme="minorHAnsi"/>
              </w:rPr>
              <w:t>8.4 Pathogens and microbes</w:t>
            </w:r>
          </w:p>
        </w:tc>
      </w:tr>
      <w:tr w:rsidR="00D71947" w:rsidRPr="009E2301" w14:paraId="368A56CC" w14:textId="77777777" w:rsidTr="00D87458">
        <w:trPr>
          <w:cnfStyle w:val="000000010000" w:firstRow="0" w:lastRow="0" w:firstColumn="0" w:lastColumn="0" w:oddVBand="0" w:evenVBand="0" w:oddHBand="0" w:evenHBand="1" w:firstRowFirstColumn="0" w:firstRowLastColumn="0" w:lastRowFirstColumn="0" w:lastRowLastColumn="0"/>
        </w:trPr>
        <w:tc>
          <w:tcPr>
            <w:tcW w:w="4591" w:type="dxa"/>
          </w:tcPr>
          <w:p w14:paraId="60B8F0D7" w14:textId="77777777"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b/>
              </w:rPr>
              <w:t>3. Energy Production &amp; Mining</w:t>
            </w:r>
          </w:p>
          <w:p w14:paraId="31FC5235"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3.1. Oil &amp; gas drilling</w:t>
            </w:r>
          </w:p>
          <w:p w14:paraId="37EA7686"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3.2. Mining &amp; quarrying</w:t>
            </w:r>
          </w:p>
          <w:p w14:paraId="38D1C028" w14:textId="77777777"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rPr>
              <w:t>3.3. Renewable energy</w:t>
            </w:r>
          </w:p>
        </w:tc>
        <w:tc>
          <w:tcPr>
            <w:tcW w:w="4651" w:type="dxa"/>
          </w:tcPr>
          <w:p w14:paraId="61C59153" w14:textId="77777777"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b/>
              </w:rPr>
              <w:t>9. Pollution</w:t>
            </w:r>
          </w:p>
          <w:p w14:paraId="73651256"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9.1. Household sewage &amp; urban waste water</w:t>
            </w:r>
          </w:p>
          <w:p w14:paraId="077D70BF"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9.2. Industrial &amp; military effluents</w:t>
            </w:r>
          </w:p>
          <w:p w14:paraId="725AFA78"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9.3. Agricultural &amp; forestry effluents</w:t>
            </w:r>
          </w:p>
          <w:p w14:paraId="2747B871"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9.4. Garbage &amp; solid waste</w:t>
            </w:r>
          </w:p>
          <w:p w14:paraId="057BA1A5"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9.5. Air-borne pollutants</w:t>
            </w:r>
          </w:p>
          <w:p w14:paraId="72F4DB34" w14:textId="77777777"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rPr>
              <w:t>9.6. Excess energy</w:t>
            </w:r>
          </w:p>
        </w:tc>
      </w:tr>
      <w:tr w:rsidR="00D71947" w:rsidRPr="009E2301" w14:paraId="57E939F5" w14:textId="77777777" w:rsidTr="00D87458">
        <w:trPr>
          <w:cnfStyle w:val="000000100000" w:firstRow="0" w:lastRow="0" w:firstColumn="0" w:lastColumn="0" w:oddVBand="0" w:evenVBand="0" w:oddHBand="1" w:evenHBand="0" w:firstRowFirstColumn="0" w:firstRowLastColumn="0" w:lastRowFirstColumn="0" w:lastRowLastColumn="0"/>
        </w:trPr>
        <w:tc>
          <w:tcPr>
            <w:tcW w:w="4591" w:type="dxa"/>
          </w:tcPr>
          <w:p w14:paraId="7430A227" w14:textId="77777777"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b/>
              </w:rPr>
              <w:t>4. Transportation &amp; Service Corridors</w:t>
            </w:r>
          </w:p>
          <w:p w14:paraId="08C9AE67"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4.1. Roads &amp; railroads</w:t>
            </w:r>
          </w:p>
          <w:p w14:paraId="3C345F0A"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4.2. Utility &amp; service lines</w:t>
            </w:r>
          </w:p>
          <w:p w14:paraId="402ED042"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4.3. Shipping lanes</w:t>
            </w:r>
          </w:p>
          <w:p w14:paraId="5EF854B5" w14:textId="77777777"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rPr>
              <w:t>4.4. Flight paths</w:t>
            </w:r>
          </w:p>
        </w:tc>
        <w:tc>
          <w:tcPr>
            <w:tcW w:w="4651" w:type="dxa"/>
          </w:tcPr>
          <w:p w14:paraId="77D690B2" w14:textId="77777777"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b/>
              </w:rPr>
              <w:t>10. Geological Events</w:t>
            </w:r>
          </w:p>
          <w:p w14:paraId="7D7A00E9"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10.1. Volcanoes</w:t>
            </w:r>
          </w:p>
          <w:p w14:paraId="4C81DB69"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10.2. Earthquakes/Tsunamis</w:t>
            </w:r>
          </w:p>
          <w:p w14:paraId="2CCB3339"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10.3. Avalanches/Landslides</w:t>
            </w:r>
          </w:p>
          <w:p w14:paraId="0A78D0A7" w14:textId="77777777" w:rsidR="00D71947" w:rsidRPr="009E2301" w:rsidRDefault="00D71947" w:rsidP="0021440B">
            <w:pPr>
              <w:jc w:val="left"/>
              <w:rPr>
                <w:rFonts w:asciiTheme="minorHAnsi" w:eastAsia="Times New Roman" w:hAnsiTheme="minorHAnsi" w:cstheme="minorHAnsi"/>
                <w:b/>
              </w:rPr>
            </w:pPr>
          </w:p>
        </w:tc>
      </w:tr>
      <w:tr w:rsidR="00D71947" w:rsidRPr="009E2301" w14:paraId="60D85D2B" w14:textId="77777777" w:rsidTr="00D87458">
        <w:trPr>
          <w:cnfStyle w:val="000000010000" w:firstRow="0" w:lastRow="0" w:firstColumn="0" w:lastColumn="0" w:oddVBand="0" w:evenVBand="0" w:oddHBand="0" w:evenHBand="1" w:firstRowFirstColumn="0" w:firstRowLastColumn="0" w:lastRowFirstColumn="0" w:lastRowLastColumn="0"/>
        </w:trPr>
        <w:tc>
          <w:tcPr>
            <w:tcW w:w="4591" w:type="dxa"/>
          </w:tcPr>
          <w:p w14:paraId="29615B0D" w14:textId="77777777"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b/>
              </w:rPr>
              <w:t>5. Biological Resource Use</w:t>
            </w:r>
          </w:p>
          <w:p w14:paraId="16EEBC8B"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5.1. Hunting &amp; collecting terrestrial animals</w:t>
            </w:r>
          </w:p>
          <w:p w14:paraId="5FC3EA86"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5.2. Gathering terrestrial plants</w:t>
            </w:r>
          </w:p>
          <w:p w14:paraId="7A090233"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5.3. Logging &amp; wood harvesting</w:t>
            </w:r>
          </w:p>
          <w:p w14:paraId="46A65178"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5.4. Fishing &amp; harvesting aquatic resources</w:t>
            </w:r>
          </w:p>
        </w:tc>
        <w:tc>
          <w:tcPr>
            <w:tcW w:w="4651" w:type="dxa"/>
          </w:tcPr>
          <w:p w14:paraId="7590347E" w14:textId="7BFBC049"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b/>
              </w:rPr>
              <w:t xml:space="preserve">11. Climate Change </w:t>
            </w:r>
          </w:p>
          <w:p w14:paraId="383AC60D" w14:textId="549FB630"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 xml:space="preserve">11.1. </w:t>
            </w:r>
            <w:r w:rsidR="00A744A3">
              <w:rPr>
                <w:rFonts w:asciiTheme="minorHAnsi" w:eastAsia="Times New Roman" w:hAnsiTheme="minorHAnsi" w:cstheme="minorHAnsi"/>
              </w:rPr>
              <w:t>Ecosystem encroachment</w:t>
            </w:r>
          </w:p>
          <w:p w14:paraId="41CCB95D" w14:textId="12466918"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 xml:space="preserve">11.2. </w:t>
            </w:r>
            <w:r w:rsidR="00A744A3">
              <w:rPr>
                <w:rFonts w:asciiTheme="minorHAnsi" w:eastAsia="Times New Roman" w:hAnsiTheme="minorHAnsi" w:cstheme="minorHAnsi"/>
              </w:rPr>
              <w:t>Changes in geochemical regimes</w:t>
            </w:r>
          </w:p>
          <w:p w14:paraId="65EFFA0D" w14:textId="14D61CFA"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 xml:space="preserve">11.3. </w:t>
            </w:r>
            <w:r w:rsidR="00A744A3">
              <w:rPr>
                <w:rFonts w:asciiTheme="minorHAnsi" w:eastAsia="Times New Roman" w:hAnsiTheme="minorHAnsi" w:cstheme="minorHAnsi"/>
              </w:rPr>
              <w:t>Changes in temperature regimes</w:t>
            </w:r>
          </w:p>
          <w:p w14:paraId="2F53AB58" w14:textId="77777777" w:rsidR="00D71947" w:rsidRDefault="00D71947" w:rsidP="00A744A3">
            <w:pPr>
              <w:jc w:val="left"/>
              <w:rPr>
                <w:rFonts w:asciiTheme="minorHAnsi" w:eastAsia="Times New Roman" w:hAnsiTheme="minorHAnsi" w:cstheme="minorHAnsi"/>
              </w:rPr>
            </w:pPr>
            <w:r w:rsidRPr="009E2301">
              <w:rPr>
                <w:rFonts w:asciiTheme="minorHAnsi" w:eastAsia="Times New Roman" w:hAnsiTheme="minorHAnsi" w:cstheme="minorHAnsi"/>
              </w:rPr>
              <w:t xml:space="preserve">11.4. </w:t>
            </w:r>
            <w:r w:rsidR="00A744A3">
              <w:rPr>
                <w:rFonts w:asciiTheme="minorHAnsi" w:eastAsia="Times New Roman" w:hAnsiTheme="minorHAnsi" w:cstheme="minorHAnsi"/>
              </w:rPr>
              <w:t>Changes in precipitation and hydrological regimes</w:t>
            </w:r>
          </w:p>
          <w:p w14:paraId="4258B9B0" w14:textId="525D9097" w:rsidR="00A744A3" w:rsidRPr="009E2301" w:rsidRDefault="00A744A3" w:rsidP="00A744A3">
            <w:pPr>
              <w:jc w:val="left"/>
              <w:rPr>
                <w:rFonts w:asciiTheme="minorHAnsi" w:eastAsia="Times New Roman" w:hAnsiTheme="minorHAnsi" w:cstheme="minorHAnsi"/>
              </w:rPr>
            </w:pPr>
            <w:r>
              <w:rPr>
                <w:rFonts w:asciiTheme="minorHAnsi" w:eastAsia="Times New Roman" w:hAnsiTheme="minorHAnsi" w:cstheme="minorHAnsi"/>
              </w:rPr>
              <w:t>11.5 Severe/ extreme weather events</w:t>
            </w:r>
          </w:p>
        </w:tc>
      </w:tr>
      <w:tr w:rsidR="00D71947" w:rsidRPr="009E2301" w14:paraId="0E976F25" w14:textId="77777777" w:rsidTr="00D87458">
        <w:trPr>
          <w:cnfStyle w:val="010000000000" w:firstRow="0" w:lastRow="1" w:firstColumn="0" w:lastColumn="0" w:oddVBand="0" w:evenVBand="0" w:oddHBand="0" w:evenHBand="0" w:firstRowFirstColumn="0" w:firstRowLastColumn="0" w:lastRowFirstColumn="0" w:lastRowLastColumn="0"/>
        </w:trPr>
        <w:tc>
          <w:tcPr>
            <w:tcW w:w="4591" w:type="dxa"/>
          </w:tcPr>
          <w:p w14:paraId="677B185B" w14:textId="37E11E8B"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b/>
              </w:rPr>
              <w:t>6. Human Intrusions &amp; Disturbance</w:t>
            </w:r>
          </w:p>
          <w:p w14:paraId="78623DD0"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6.1. Recreational activities</w:t>
            </w:r>
          </w:p>
          <w:p w14:paraId="6BEA3DD6" w14:textId="77777777" w:rsidR="00D71947" w:rsidRPr="009E2301" w:rsidRDefault="00D71947" w:rsidP="0021440B">
            <w:pPr>
              <w:jc w:val="left"/>
              <w:rPr>
                <w:rFonts w:asciiTheme="minorHAnsi" w:eastAsia="Times New Roman" w:hAnsiTheme="minorHAnsi" w:cstheme="minorHAnsi"/>
              </w:rPr>
            </w:pPr>
            <w:r w:rsidRPr="009E2301">
              <w:rPr>
                <w:rFonts w:asciiTheme="minorHAnsi" w:eastAsia="Times New Roman" w:hAnsiTheme="minorHAnsi" w:cstheme="minorHAnsi"/>
              </w:rPr>
              <w:t>6.2. War, civil unrest &amp; military exercises</w:t>
            </w:r>
          </w:p>
          <w:p w14:paraId="14531C87" w14:textId="77777777" w:rsidR="00D71947" w:rsidRPr="009E2301" w:rsidRDefault="00D71947" w:rsidP="0021440B">
            <w:pPr>
              <w:jc w:val="left"/>
              <w:rPr>
                <w:rFonts w:asciiTheme="minorHAnsi" w:eastAsia="Times New Roman" w:hAnsiTheme="minorHAnsi" w:cstheme="minorHAnsi"/>
                <w:b/>
              </w:rPr>
            </w:pPr>
            <w:r w:rsidRPr="009E2301">
              <w:rPr>
                <w:rFonts w:asciiTheme="minorHAnsi" w:eastAsia="Times New Roman" w:hAnsiTheme="minorHAnsi" w:cstheme="minorHAnsi"/>
              </w:rPr>
              <w:t>6.3. Work &amp; other activities</w:t>
            </w:r>
          </w:p>
        </w:tc>
        <w:tc>
          <w:tcPr>
            <w:tcW w:w="4651" w:type="dxa"/>
          </w:tcPr>
          <w:p w14:paraId="537A1C2B" w14:textId="77777777" w:rsidR="00D71947" w:rsidRPr="009E2301" w:rsidRDefault="00D71947" w:rsidP="0021440B">
            <w:pPr>
              <w:jc w:val="left"/>
              <w:rPr>
                <w:rFonts w:asciiTheme="minorHAnsi" w:eastAsia="Times New Roman" w:hAnsiTheme="minorHAnsi" w:cstheme="minorHAnsi"/>
                <w:b/>
              </w:rPr>
            </w:pPr>
          </w:p>
        </w:tc>
      </w:tr>
    </w:tbl>
    <w:p w14:paraId="7C78D7DA" w14:textId="77777777" w:rsidR="00A64197" w:rsidRDefault="00A64197">
      <w:pPr>
        <w:sectPr w:rsidR="00A64197" w:rsidSect="00CA2773">
          <w:pgSz w:w="11906" w:h="16838"/>
          <w:pgMar w:top="1440" w:right="1440" w:bottom="1440" w:left="1440" w:header="708" w:footer="708" w:gutter="0"/>
          <w:cols w:space="708"/>
          <w:docGrid w:linePitch="360"/>
        </w:sectPr>
      </w:pPr>
    </w:p>
    <w:p w14:paraId="63DC64FE" w14:textId="7A4BE171" w:rsidR="008D1837" w:rsidRDefault="00DE4591" w:rsidP="00B27B0F">
      <w:pPr>
        <w:pStyle w:val="Heading1"/>
        <w:numPr>
          <w:ilvl w:val="0"/>
          <w:numId w:val="0"/>
        </w:numPr>
        <w:ind w:left="432" w:hanging="432"/>
      </w:pPr>
      <w:bookmarkStart w:id="178" w:name="_Toc493774259"/>
      <w:r w:rsidRPr="004E7EB5">
        <w:lastRenderedPageBreak/>
        <w:t xml:space="preserve">Appendix </w:t>
      </w:r>
      <w:r w:rsidR="00145E76">
        <w:t>F</w:t>
      </w:r>
      <w:r w:rsidRPr="004E7EB5">
        <w:t xml:space="preserve">: </w:t>
      </w:r>
      <w:r w:rsidR="00920795">
        <w:t>P</w:t>
      </w:r>
      <w:r w:rsidR="001070A1">
        <w:t xml:space="preserve">otential </w:t>
      </w:r>
      <w:r w:rsidR="00B27B0F" w:rsidRPr="004E7EB5">
        <w:t>indicators</w:t>
      </w:r>
      <w:bookmarkEnd w:id="178"/>
    </w:p>
    <w:p w14:paraId="7589D373" w14:textId="77777777" w:rsidR="000D6A3D" w:rsidRDefault="00FF1BE5" w:rsidP="00FF1BE5">
      <w:r>
        <w:t xml:space="preserve">Indicators are not prescribed by the IECA Framework. Rather, indicators are expected to be locally relevant and are anticipated to differ between different jurisdictional programs and assessment units. A </w:t>
      </w:r>
      <w:r w:rsidR="001070A1">
        <w:t>brief, non-exhaustive, list</w:t>
      </w:r>
      <w:r>
        <w:t xml:space="preserve"> of potential indicators are presented in </w:t>
      </w:r>
      <w:r w:rsidR="001070A1">
        <w:fldChar w:fldCharType="begin"/>
      </w:r>
      <w:r w:rsidR="001070A1">
        <w:instrText xml:space="preserve"> REF _Ref479167025 \h </w:instrText>
      </w:r>
      <w:r w:rsidR="001070A1">
        <w:fldChar w:fldCharType="separate"/>
      </w:r>
      <w:r w:rsidR="005F359C">
        <w:t xml:space="preserve">Table F </w:t>
      </w:r>
      <w:r w:rsidR="005F359C">
        <w:rPr>
          <w:noProof/>
        </w:rPr>
        <w:t>1</w:t>
      </w:r>
      <w:r w:rsidR="001070A1">
        <w:fldChar w:fldCharType="end"/>
      </w:r>
      <w:r>
        <w:t xml:space="preserve"> for each ecological value theme</w:t>
      </w:r>
      <w:r w:rsidR="001070A1">
        <w:t>. These are not separated into condition, stressor response or threat indicators, just a general list of suggestions.</w:t>
      </w:r>
    </w:p>
    <w:p w14:paraId="0640BEE0" w14:textId="786E5143" w:rsidR="000D6A3D" w:rsidRDefault="000D6A3D" w:rsidP="00FF1BE5">
      <w:r>
        <w:t>A list of potential</w:t>
      </w:r>
      <w:r w:rsidR="006E06E1">
        <w:t xml:space="preserve"> stressor</w:t>
      </w:r>
      <w:r>
        <w:t xml:space="preserve"> indicators </w:t>
      </w:r>
      <w:r w:rsidR="006E06E1">
        <w:t xml:space="preserve">are presented </w:t>
      </w:r>
      <w:r w:rsidR="000D4DC5">
        <w:t xml:space="preserve">in </w:t>
      </w:r>
      <w:r w:rsidR="000D4DC5">
        <w:fldChar w:fldCharType="begin"/>
      </w:r>
      <w:r w:rsidR="000D4DC5">
        <w:instrText xml:space="preserve"> REF _Ref479168147 \h </w:instrText>
      </w:r>
      <w:r w:rsidR="000D4DC5">
        <w:fldChar w:fldCharType="separate"/>
      </w:r>
      <w:r w:rsidR="005F359C">
        <w:t xml:space="preserve">Table F </w:t>
      </w:r>
      <w:r w:rsidR="005F359C">
        <w:rPr>
          <w:noProof/>
        </w:rPr>
        <w:t>2</w:t>
      </w:r>
      <w:r w:rsidR="000D4DC5">
        <w:fldChar w:fldCharType="end"/>
      </w:r>
      <w:r>
        <w:t xml:space="preserve">. </w:t>
      </w:r>
      <w:r w:rsidR="000D4DC5">
        <w:t>These are all indicative lists only.</w:t>
      </w:r>
    </w:p>
    <w:p w14:paraId="4DA2B012" w14:textId="7B02E7E8" w:rsidR="00FF1BE5" w:rsidRDefault="001070A1" w:rsidP="001070A1">
      <w:pPr>
        <w:pStyle w:val="Caption"/>
      </w:pPr>
      <w:bookmarkStart w:id="179" w:name="_Ref479167025"/>
      <w:r>
        <w:t xml:space="preserve">Table F </w:t>
      </w:r>
      <w:fldSimple w:instr=" SEQ Table_F \* ARABIC ">
        <w:r w:rsidR="005F359C">
          <w:rPr>
            <w:noProof/>
          </w:rPr>
          <w:t>1</w:t>
        </w:r>
      </w:fldSimple>
      <w:bookmarkEnd w:id="179"/>
      <w:r w:rsidR="00FD50A9">
        <w:rPr>
          <w:noProof/>
        </w:rPr>
        <w:t>:</w:t>
      </w:r>
      <w:r>
        <w:t xml:space="preserve"> </w:t>
      </w:r>
      <w:r w:rsidR="00FF1BE5">
        <w:t xml:space="preserve">Example of indicators for each ecological value theme – not exhaustive. Modified from MDFRC (2015). </w:t>
      </w:r>
    </w:p>
    <w:tbl>
      <w:tblPr>
        <w:tblStyle w:val="LightList-Accent2"/>
        <w:tblW w:w="5000" w:type="pct"/>
        <w:tblBorders>
          <w:top w:val="single" w:sz="4" w:space="0" w:color="9CBEBD" w:themeColor="accent2"/>
          <w:left w:val="single" w:sz="4" w:space="0" w:color="9CBEBD" w:themeColor="accent2"/>
          <w:bottom w:val="single" w:sz="4" w:space="0" w:color="9CBEBD" w:themeColor="accent2"/>
          <w:right w:val="single" w:sz="4" w:space="0" w:color="9CBEBD" w:themeColor="accent2"/>
          <w:insideH w:val="single" w:sz="4" w:space="0" w:color="9CBEBD" w:themeColor="accent2"/>
        </w:tblBorders>
        <w:tblLook w:val="04A0" w:firstRow="1" w:lastRow="0" w:firstColumn="1" w:lastColumn="0" w:noHBand="0" w:noVBand="1"/>
      </w:tblPr>
      <w:tblGrid>
        <w:gridCol w:w="1626"/>
        <w:gridCol w:w="2213"/>
        <w:gridCol w:w="5177"/>
      </w:tblGrid>
      <w:tr w:rsidR="00FF1BE5" w14:paraId="2801E976" w14:textId="77777777" w:rsidTr="00E22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7549910E" w14:textId="77777777" w:rsidR="00FF1BE5" w:rsidRDefault="00FF1BE5" w:rsidP="0035357B">
            <w:pPr>
              <w:jc w:val="left"/>
            </w:pPr>
            <w:r>
              <w:t>Theme</w:t>
            </w:r>
          </w:p>
        </w:tc>
        <w:tc>
          <w:tcPr>
            <w:tcW w:w="1227" w:type="pct"/>
          </w:tcPr>
          <w:p w14:paraId="224EC338" w14:textId="77777777" w:rsidR="00FF1BE5" w:rsidRDefault="00FF1BE5" w:rsidP="0035357B">
            <w:pPr>
              <w:jc w:val="left"/>
              <w:cnfStyle w:val="100000000000" w:firstRow="1" w:lastRow="0" w:firstColumn="0" w:lastColumn="0" w:oddVBand="0" w:evenVBand="0" w:oddHBand="0" w:evenHBand="0" w:firstRowFirstColumn="0" w:firstRowLastColumn="0" w:lastRowFirstColumn="0" w:lastRowLastColumn="0"/>
            </w:pPr>
            <w:r>
              <w:t>Indicator group</w:t>
            </w:r>
          </w:p>
        </w:tc>
        <w:tc>
          <w:tcPr>
            <w:tcW w:w="2871" w:type="pct"/>
          </w:tcPr>
          <w:p w14:paraId="42A3FBDB" w14:textId="3C64E8B8" w:rsidR="00FF1BE5" w:rsidRDefault="00FF1BE5" w:rsidP="00FF1BE5">
            <w:pPr>
              <w:jc w:val="left"/>
              <w:cnfStyle w:val="100000000000" w:firstRow="1" w:lastRow="0" w:firstColumn="0" w:lastColumn="0" w:oddVBand="0" w:evenVBand="0" w:oddHBand="0" w:evenHBand="0" w:firstRowFirstColumn="0" w:firstRowLastColumn="0" w:lastRowFirstColumn="0" w:lastRowLastColumn="0"/>
            </w:pPr>
            <w:r>
              <w:t>Example indicator</w:t>
            </w:r>
            <w:r w:rsidR="000D6A3D">
              <w:t>s</w:t>
            </w:r>
          </w:p>
        </w:tc>
      </w:tr>
      <w:tr w:rsidR="00FF1BE5" w14:paraId="4CBFBF24" w14:textId="77777777" w:rsidTr="00E2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top w:val="none" w:sz="0" w:space="0" w:color="auto"/>
              <w:left w:val="none" w:sz="0" w:space="0" w:color="auto"/>
              <w:bottom w:val="none" w:sz="0" w:space="0" w:color="auto"/>
            </w:tcBorders>
            <w:vAlign w:val="center"/>
          </w:tcPr>
          <w:p w14:paraId="6C6612BB" w14:textId="77777777" w:rsidR="00FF1BE5" w:rsidRDefault="00FF1BE5" w:rsidP="0035357B">
            <w:pPr>
              <w:jc w:val="left"/>
            </w:pPr>
            <w:r>
              <w:t>Hydrology</w:t>
            </w:r>
          </w:p>
        </w:tc>
        <w:tc>
          <w:tcPr>
            <w:tcW w:w="1227" w:type="pct"/>
            <w:tcBorders>
              <w:top w:val="none" w:sz="0" w:space="0" w:color="auto"/>
              <w:bottom w:val="none" w:sz="0" w:space="0" w:color="auto"/>
            </w:tcBorders>
          </w:tcPr>
          <w:p w14:paraId="22E978FC" w14:textId="77777777" w:rsidR="00FF1BE5" w:rsidRDefault="00FF1BE5" w:rsidP="0035357B">
            <w:pPr>
              <w:jc w:val="left"/>
              <w:cnfStyle w:val="000000100000" w:firstRow="0" w:lastRow="0" w:firstColumn="0" w:lastColumn="0" w:oddVBand="0" w:evenVBand="0" w:oddHBand="1" w:evenHBand="0" w:firstRowFirstColumn="0" w:firstRowLastColumn="0" w:lastRowFirstColumn="0" w:lastRowLastColumn="0"/>
            </w:pPr>
            <w:r>
              <w:t>H</w:t>
            </w:r>
            <w:r w:rsidRPr="00A51CE0">
              <w:t>ydrology</w:t>
            </w:r>
          </w:p>
        </w:tc>
        <w:tc>
          <w:tcPr>
            <w:tcW w:w="2871" w:type="pct"/>
            <w:tcBorders>
              <w:top w:val="none" w:sz="0" w:space="0" w:color="auto"/>
              <w:bottom w:val="none" w:sz="0" w:space="0" w:color="auto"/>
              <w:right w:val="none" w:sz="0" w:space="0" w:color="auto"/>
            </w:tcBorders>
          </w:tcPr>
          <w:p w14:paraId="71D32858" w14:textId="628D3F21" w:rsidR="00FF1BE5" w:rsidRDefault="00FF1BE5" w:rsidP="0035357B">
            <w:pPr>
              <w:jc w:val="left"/>
              <w:cnfStyle w:val="000000100000" w:firstRow="0" w:lastRow="0" w:firstColumn="0" w:lastColumn="0" w:oddVBand="0" w:evenVBand="0" w:oddHBand="1" w:evenHBand="0" w:firstRowFirstColumn="0" w:firstRowLastColumn="0" w:lastRowFirstColumn="0" w:lastRowLastColumn="0"/>
            </w:pPr>
            <w:r>
              <w:t>Volume, seasonality, low flow period, groundwater  regime, naturalness of regime, etc.</w:t>
            </w:r>
          </w:p>
        </w:tc>
      </w:tr>
      <w:tr w:rsidR="00EE0583" w14:paraId="271E277A" w14:textId="77777777" w:rsidTr="00E221CF">
        <w:tc>
          <w:tcPr>
            <w:cnfStyle w:val="001000000000" w:firstRow="0" w:lastRow="0" w:firstColumn="1" w:lastColumn="0" w:oddVBand="0" w:evenVBand="0" w:oddHBand="0" w:evenHBand="0" w:firstRowFirstColumn="0" w:firstRowLastColumn="0" w:lastRowFirstColumn="0" w:lastRowLastColumn="0"/>
            <w:tcW w:w="902" w:type="pct"/>
            <w:vAlign w:val="center"/>
          </w:tcPr>
          <w:p w14:paraId="2007224E" w14:textId="4ADD3183" w:rsidR="00EE0583" w:rsidRDefault="00EE0583" w:rsidP="0035357B">
            <w:pPr>
              <w:jc w:val="left"/>
            </w:pPr>
            <w:r>
              <w:t>Water quality</w:t>
            </w:r>
          </w:p>
        </w:tc>
        <w:tc>
          <w:tcPr>
            <w:tcW w:w="1227" w:type="pct"/>
          </w:tcPr>
          <w:p w14:paraId="4CBBC9F3" w14:textId="0EB5239E" w:rsidR="00EE0583" w:rsidRDefault="00EE0583" w:rsidP="0035357B">
            <w:pPr>
              <w:jc w:val="left"/>
              <w:cnfStyle w:val="000000000000" w:firstRow="0" w:lastRow="0" w:firstColumn="0" w:lastColumn="0" w:oddVBand="0" w:evenVBand="0" w:oddHBand="0" w:evenHBand="0" w:firstRowFirstColumn="0" w:firstRowLastColumn="0" w:lastRowFirstColumn="0" w:lastRowLastColumn="0"/>
            </w:pPr>
            <w:r>
              <w:t>W</w:t>
            </w:r>
            <w:r w:rsidRPr="00A51CE0">
              <w:t xml:space="preserve">ater quality </w:t>
            </w:r>
          </w:p>
        </w:tc>
        <w:tc>
          <w:tcPr>
            <w:tcW w:w="2871" w:type="pct"/>
          </w:tcPr>
          <w:p w14:paraId="5B3F5148" w14:textId="1871D51F" w:rsidR="00EE0583" w:rsidRDefault="00EE0583" w:rsidP="0035357B">
            <w:pPr>
              <w:jc w:val="left"/>
              <w:cnfStyle w:val="000000000000" w:firstRow="0" w:lastRow="0" w:firstColumn="0" w:lastColumn="0" w:oddVBand="0" w:evenVBand="0" w:oddHBand="0" w:evenHBand="0" w:firstRowFirstColumn="0" w:firstRowLastColumn="0" w:lastRowFirstColumn="0" w:lastRowLastColumn="0"/>
            </w:pPr>
            <w:r w:rsidRPr="00552068">
              <w:t>Salinity, dissolved oxygen, turbidity</w:t>
            </w:r>
            <w:r>
              <w:t xml:space="preserve">, </w:t>
            </w:r>
            <w:r w:rsidR="00C02F9A">
              <w:t xml:space="preserve">toxicants, </w:t>
            </w:r>
            <w:r>
              <w:t>etc.</w:t>
            </w:r>
          </w:p>
        </w:tc>
      </w:tr>
      <w:tr w:rsidR="00EE0583" w14:paraId="0FE19C04" w14:textId="77777777" w:rsidTr="00E2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vMerge w:val="restart"/>
            <w:tcBorders>
              <w:top w:val="none" w:sz="0" w:space="0" w:color="auto"/>
              <w:left w:val="none" w:sz="0" w:space="0" w:color="auto"/>
              <w:bottom w:val="none" w:sz="0" w:space="0" w:color="auto"/>
            </w:tcBorders>
            <w:vAlign w:val="center"/>
          </w:tcPr>
          <w:p w14:paraId="731495A0" w14:textId="26F3BE5E" w:rsidR="00EE0583" w:rsidRDefault="00EE0583" w:rsidP="0035357B">
            <w:pPr>
              <w:jc w:val="left"/>
            </w:pPr>
            <w:r>
              <w:t>Structural integrity</w:t>
            </w:r>
          </w:p>
        </w:tc>
        <w:tc>
          <w:tcPr>
            <w:tcW w:w="1227" w:type="pct"/>
            <w:tcBorders>
              <w:top w:val="none" w:sz="0" w:space="0" w:color="auto"/>
              <w:bottom w:val="none" w:sz="0" w:space="0" w:color="auto"/>
            </w:tcBorders>
          </w:tcPr>
          <w:p w14:paraId="77BD1B40" w14:textId="77777777" w:rsidR="00EE0583" w:rsidRDefault="00EE0583" w:rsidP="0035357B">
            <w:pPr>
              <w:jc w:val="left"/>
              <w:cnfStyle w:val="000000100000" w:firstRow="0" w:lastRow="0" w:firstColumn="0" w:lastColumn="0" w:oddVBand="0" w:evenVBand="0" w:oddHBand="1" w:evenHBand="0" w:firstRowFirstColumn="0" w:firstRowLastColumn="0" w:lastRowFirstColumn="0" w:lastRowLastColumn="0"/>
            </w:pPr>
            <w:r>
              <w:t>P</w:t>
            </w:r>
            <w:r w:rsidRPr="00A51CE0">
              <w:t>hysical form</w:t>
            </w:r>
          </w:p>
        </w:tc>
        <w:tc>
          <w:tcPr>
            <w:tcW w:w="2871" w:type="pct"/>
            <w:tcBorders>
              <w:top w:val="none" w:sz="0" w:space="0" w:color="auto"/>
              <w:bottom w:val="none" w:sz="0" w:space="0" w:color="auto"/>
              <w:right w:val="none" w:sz="0" w:space="0" w:color="auto"/>
            </w:tcBorders>
          </w:tcPr>
          <w:p w14:paraId="2CCB5751" w14:textId="77777777" w:rsidR="00EE0583" w:rsidRDefault="00EE0583" w:rsidP="0035357B">
            <w:pPr>
              <w:jc w:val="left"/>
              <w:cnfStyle w:val="000000100000" w:firstRow="0" w:lastRow="0" w:firstColumn="0" w:lastColumn="0" w:oddVBand="0" w:evenVBand="0" w:oddHBand="1" w:evenHBand="0" w:firstRowFirstColumn="0" w:firstRowLastColumn="0" w:lastRowFirstColumn="0" w:lastRowLastColumn="0"/>
            </w:pPr>
            <w:r>
              <w:t>Undercut banks, sedimentation, woody debris, shoreline complexity, etc.</w:t>
            </w:r>
          </w:p>
        </w:tc>
      </w:tr>
      <w:tr w:rsidR="00EE0583" w14:paraId="31AF0AAA" w14:textId="77777777" w:rsidTr="00E221CF">
        <w:tc>
          <w:tcPr>
            <w:cnfStyle w:val="001000000000" w:firstRow="0" w:lastRow="0" w:firstColumn="1" w:lastColumn="0" w:oddVBand="0" w:evenVBand="0" w:oddHBand="0" w:evenHBand="0" w:firstRowFirstColumn="0" w:firstRowLastColumn="0" w:lastRowFirstColumn="0" w:lastRowLastColumn="0"/>
            <w:tcW w:w="902" w:type="pct"/>
            <w:vMerge/>
            <w:vAlign w:val="center"/>
          </w:tcPr>
          <w:p w14:paraId="5D2AF3E8" w14:textId="77777777" w:rsidR="00EE0583" w:rsidRDefault="00EE0583" w:rsidP="0035357B">
            <w:pPr>
              <w:jc w:val="left"/>
            </w:pPr>
          </w:p>
        </w:tc>
        <w:tc>
          <w:tcPr>
            <w:tcW w:w="1227" w:type="pct"/>
          </w:tcPr>
          <w:p w14:paraId="53DBFCCC" w14:textId="77777777" w:rsidR="00EE0583" w:rsidRDefault="00EE0583" w:rsidP="0035357B">
            <w:pPr>
              <w:jc w:val="left"/>
              <w:cnfStyle w:val="000000000000" w:firstRow="0" w:lastRow="0" w:firstColumn="0" w:lastColumn="0" w:oddVBand="0" w:evenVBand="0" w:oddHBand="0" w:evenHBand="0" w:firstRowFirstColumn="0" w:firstRowLastColumn="0" w:lastRowFirstColumn="0" w:lastRowLastColumn="0"/>
            </w:pPr>
            <w:r w:rsidRPr="006C0D90">
              <w:t>Ecosystem extent</w:t>
            </w:r>
          </w:p>
        </w:tc>
        <w:tc>
          <w:tcPr>
            <w:tcW w:w="2871" w:type="pct"/>
          </w:tcPr>
          <w:p w14:paraId="397DFF11" w14:textId="77777777" w:rsidR="00EE0583" w:rsidRDefault="00EE0583" w:rsidP="0035357B">
            <w:pPr>
              <w:jc w:val="left"/>
              <w:cnfStyle w:val="000000000000" w:firstRow="0" w:lastRow="0" w:firstColumn="0" w:lastColumn="0" w:oddVBand="0" w:evenVBand="0" w:oddHBand="0" w:evenHBand="0" w:firstRowFirstColumn="0" w:firstRowLastColumn="0" w:lastRowFirstColumn="0" w:lastRowLastColumn="0"/>
            </w:pPr>
            <w:r>
              <w:t>Area</w:t>
            </w:r>
          </w:p>
        </w:tc>
      </w:tr>
      <w:tr w:rsidR="00EE0583" w14:paraId="312DC915" w14:textId="77777777" w:rsidTr="00E2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vMerge/>
            <w:tcBorders>
              <w:top w:val="none" w:sz="0" w:space="0" w:color="auto"/>
              <w:left w:val="none" w:sz="0" w:space="0" w:color="auto"/>
              <w:bottom w:val="none" w:sz="0" w:space="0" w:color="auto"/>
            </w:tcBorders>
            <w:vAlign w:val="center"/>
          </w:tcPr>
          <w:p w14:paraId="2338ED48" w14:textId="77777777" w:rsidR="00EE0583" w:rsidRDefault="00EE0583" w:rsidP="0035357B">
            <w:pPr>
              <w:jc w:val="left"/>
            </w:pPr>
          </w:p>
        </w:tc>
        <w:tc>
          <w:tcPr>
            <w:tcW w:w="1227" w:type="pct"/>
            <w:tcBorders>
              <w:top w:val="none" w:sz="0" w:space="0" w:color="auto"/>
              <w:bottom w:val="none" w:sz="0" w:space="0" w:color="auto"/>
            </w:tcBorders>
          </w:tcPr>
          <w:p w14:paraId="59F3AE9C" w14:textId="77777777" w:rsidR="00EE0583" w:rsidRDefault="00EE0583" w:rsidP="0035357B">
            <w:pPr>
              <w:jc w:val="left"/>
              <w:cnfStyle w:val="000000100000" w:firstRow="0" w:lastRow="0" w:firstColumn="0" w:lastColumn="0" w:oddVBand="0" w:evenVBand="0" w:oddHBand="1" w:evenHBand="0" w:firstRowFirstColumn="0" w:firstRowLastColumn="0" w:lastRowFirstColumn="0" w:lastRowLastColumn="0"/>
            </w:pPr>
            <w:r>
              <w:t>F</w:t>
            </w:r>
            <w:r w:rsidRPr="00A51CE0">
              <w:t>ringing zone</w:t>
            </w:r>
          </w:p>
        </w:tc>
        <w:tc>
          <w:tcPr>
            <w:tcW w:w="2871" w:type="pct"/>
            <w:tcBorders>
              <w:top w:val="none" w:sz="0" w:space="0" w:color="auto"/>
              <w:bottom w:val="none" w:sz="0" w:space="0" w:color="auto"/>
              <w:right w:val="none" w:sz="0" w:space="0" w:color="auto"/>
            </w:tcBorders>
          </w:tcPr>
          <w:p w14:paraId="747E6D23" w14:textId="77777777" w:rsidR="00EE0583" w:rsidRDefault="00EE0583" w:rsidP="0035357B">
            <w:pPr>
              <w:jc w:val="left"/>
              <w:cnfStyle w:val="000000100000" w:firstRow="0" w:lastRow="0" w:firstColumn="0" w:lastColumn="0" w:oddVBand="0" w:evenVBand="0" w:oddHBand="1" w:evenHBand="0" w:firstRowFirstColumn="0" w:firstRowLastColumn="0" w:lastRowFirstColumn="0" w:lastRowLastColumn="0"/>
            </w:pPr>
            <w:r>
              <w:t>Quality of riparian vegetation, structural composition, naturalness, etc.</w:t>
            </w:r>
          </w:p>
        </w:tc>
      </w:tr>
      <w:tr w:rsidR="00EE0583" w14:paraId="02F6C82D" w14:textId="77777777" w:rsidTr="00E221CF">
        <w:tc>
          <w:tcPr>
            <w:cnfStyle w:val="001000000000" w:firstRow="0" w:lastRow="0" w:firstColumn="1" w:lastColumn="0" w:oddVBand="0" w:evenVBand="0" w:oddHBand="0" w:evenHBand="0" w:firstRowFirstColumn="0" w:firstRowLastColumn="0" w:lastRowFirstColumn="0" w:lastRowLastColumn="0"/>
            <w:tcW w:w="902" w:type="pct"/>
            <w:vMerge/>
            <w:vAlign w:val="center"/>
          </w:tcPr>
          <w:p w14:paraId="03A08576" w14:textId="77777777" w:rsidR="00EE0583" w:rsidRDefault="00EE0583" w:rsidP="0035357B">
            <w:pPr>
              <w:jc w:val="left"/>
            </w:pPr>
          </w:p>
        </w:tc>
        <w:tc>
          <w:tcPr>
            <w:tcW w:w="1227" w:type="pct"/>
          </w:tcPr>
          <w:p w14:paraId="402CB285" w14:textId="77777777" w:rsidR="00EE0583" w:rsidRDefault="00EE0583" w:rsidP="0035357B">
            <w:pPr>
              <w:jc w:val="left"/>
              <w:cnfStyle w:val="000000000000" w:firstRow="0" w:lastRow="0" w:firstColumn="0" w:lastColumn="0" w:oddVBand="0" w:evenVBand="0" w:oddHBand="0" w:evenHBand="0" w:firstRowFirstColumn="0" w:firstRowLastColumn="0" w:lastRowFirstColumn="0" w:lastRowLastColumn="0"/>
            </w:pPr>
            <w:r>
              <w:t>Soils</w:t>
            </w:r>
          </w:p>
        </w:tc>
        <w:tc>
          <w:tcPr>
            <w:tcW w:w="2871" w:type="pct"/>
          </w:tcPr>
          <w:p w14:paraId="0DC96A11" w14:textId="77777777" w:rsidR="00EE0583" w:rsidRDefault="00EE0583" w:rsidP="0035357B">
            <w:pPr>
              <w:jc w:val="left"/>
              <w:cnfStyle w:val="000000000000" w:firstRow="0" w:lastRow="0" w:firstColumn="0" w:lastColumn="0" w:oddVBand="0" w:evenVBand="0" w:oddHBand="0" w:evenHBand="0" w:firstRowFirstColumn="0" w:firstRowLastColumn="0" w:lastRowFirstColumn="0" w:lastRowLastColumn="0"/>
            </w:pPr>
            <w:r>
              <w:t>Salinity, acid-sulphate, density, etc.</w:t>
            </w:r>
          </w:p>
        </w:tc>
      </w:tr>
      <w:tr w:rsidR="00EE0583" w14:paraId="482E4270" w14:textId="77777777" w:rsidTr="00E2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vMerge w:val="restart"/>
            <w:tcBorders>
              <w:top w:val="none" w:sz="0" w:space="0" w:color="auto"/>
              <w:left w:val="none" w:sz="0" w:space="0" w:color="auto"/>
              <w:bottom w:val="none" w:sz="0" w:space="0" w:color="auto"/>
            </w:tcBorders>
            <w:vAlign w:val="center"/>
          </w:tcPr>
          <w:p w14:paraId="506A0A16" w14:textId="77777777" w:rsidR="00EE0583" w:rsidRPr="00F96B61" w:rsidRDefault="00EE0583" w:rsidP="0035357B">
            <w:pPr>
              <w:jc w:val="left"/>
            </w:pPr>
            <w:r w:rsidRPr="00F96B61">
              <w:t xml:space="preserve">Aquatic ecosystem connectivity </w:t>
            </w:r>
          </w:p>
        </w:tc>
        <w:tc>
          <w:tcPr>
            <w:tcW w:w="1227" w:type="pct"/>
            <w:tcBorders>
              <w:top w:val="none" w:sz="0" w:space="0" w:color="auto"/>
              <w:bottom w:val="none" w:sz="0" w:space="0" w:color="auto"/>
            </w:tcBorders>
          </w:tcPr>
          <w:p w14:paraId="0F11E07D" w14:textId="77777777" w:rsidR="00EE0583" w:rsidRPr="00F96B61" w:rsidRDefault="00EE0583" w:rsidP="0035357B">
            <w:pPr>
              <w:jc w:val="left"/>
              <w:cnfStyle w:val="000000100000" w:firstRow="0" w:lastRow="0" w:firstColumn="0" w:lastColumn="0" w:oddVBand="0" w:evenVBand="0" w:oddHBand="1" w:evenHBand="0" w:firstRowFirstColumn="0" w:firstRowLastColumn="0" w:lastRowFirstColumn="0" w:lastRowLastColumn="0"/>
            </w:pPr>
            <w:r>
              <w:t>Ecological connectivity</w:t>
            </w:r>
          </w:p>
        </w:tc>
        <w:tc>
          <w:tcPr>
            <w:tcW w:w="2871" w:type="pct"/>
            <w:tcBorders>
              <w:top w:val="none" w:sz="0" w:space="0" w:color="auto"/>
              <w:bottom w:val="none" w:sz="0" w:space="0" w:color="auto"/>
              <w:right w:val="none" w:sz="0" w:space="0" w:color="auto"/>
            </w:tcBorders>
          </w:tcPr>
          <w:p w14:paraId="3BDDD482" w14:textId="77777777" w:rsidR="00EE0583" w:rsidRDefault="00EE0583" w:rsidP="0035357B">
            <w:pPr>
              <w:jc w:val="left"/>
              <w:cnfStyle w:val="000000100000" w:firstRow="0" w:lastRow="0" w:firstColumn="0" w:lastColumn="0" w:oddVBand="0" w:evenVBand="0" w:oddHBand="1" w:evenHBand="0" w:firstRowFirstColumn="0" w:firstRowLastColumn="0" w:lastRowFirstColumn="0" w:lastRowLastColumn="0"/>
            </w:pPr>
            <w:r w:rsidRPr="00F96B61">
              <w:t>Buffer integrity, catchment disturbance</w:t>
            </w:r>
            <w:r>
              <w:t xml:space="preserve">, flow paths for life history stages, etc. </w:t>
            </w:r>
          </w:p>
        </w:tc>
      </w:tr>
      <w:tr w:rsidR="00EE0583" w14:paraId="24E2CB24" w14:textId="77777777" w:rsidTr="00E221CF">
        <w:tc>
          <w:tcPr>
            <w:cnfStyle w:val="001000000000" w:firstRow="0" w:lastRow="0" w:firstColumn="1" w:lastColumn="0" w:oddVBand="0" w:evenVBand="0" w:oddHBand="0" w:evenHBand="0" w:firstRowFirstColumn="0" w:firstRowLastColumn="0" w:lastRowFirstColumn="0" w:lastRowLastColumn="0"/>
            <w:tcW w:w="902" w:type="pct"/>
            <w:vMerge/>
            <w:vAlign w:val="center"/>
          </w:tcPr>
          <w:p w14:paraId="31B799E8" w14:textId="77777777" w:rsidR="00EE0583" w:rsidRPr="00F96B61" w:rsidRDefault="00EE0583" w:rsidP="0035357B">
            <w:pPr>
              <w:jc w:val="left"/>
            </w:pPr>
          </w:p>
        </w:tc>
        <w:tc>
          <w:tcPr>
            <w:tcW w:w="1227" w:type="pct"/>
          </w:tcPr>
          <w:p w14:paraId="6B981D3D" w14:textId="77777777" w:rsidR="00EE0583" w:rsidRPr="00F96B61" w:rsidRDefault="00EE0583" w:rsidP="0035357B">
            <w:pPr>
              <w:jc w:val="left"/>
              <w:cnfStyle w:val="000000000000" w:firstRow="0" w:lastRow="0" w:firstColumn="0" w:lastColumn="0" w:oddVBand="0" w:evenVBand="0" w:oddHBand="0" w:evenHBand="0" w:firstRowFirstColumn="0" w:firstRowLastColumn="0" w:lastRowFirstColumn="0" w:lastRowLastColumn="0"/>
            </w:pPr>
            <w:r w:rsidRPr="00F96B61">
              <w:t>Hydrological connectivity</w:t>
            </w:r>
          </w:p>
        </w:tc>
        <w:tc>
          <w:tcPr>
            <w:tcW w:w="2871" w:type="pct"/>
          </w:tcPr>
          <w:p w14:paraId="45A6A3B2" w14:textId="36C4DCC5" w:rsidR="00EE0583" w:rsidRDefault="00EE0583" w:rsidP="0035357B">
            <w:pPr>
              <w:jc w:val="left"/>
              <w:cnfStyle w:val="000000000000" w:firstRow="0" w:lastRow="0" w:firstColumn="0" w:lastColumn="0" w:oddVBand="0" w:evenVBand="0" w:oddHBand="0" w:evenHBand="0" w:firstRowFirstColumn="0" w:firstRowLastColumn="0" w:lastRowFirstColumn="0" w:lastRowLastColumn="0"/>
            </w:pPr>
            <w:r>
              <w:t>Annual return intervals, persistence of water, energy transfer, nutrient and carbon cycling, etc.</w:t>
            </w:r>
          </w:p>
        </w:tc>
      </w:tr>
      <w:tr w:rsidR="00EE0583" w14:paraId="36A9092C" w14:textId="77777777" w:rsidTr="00E2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vMerge w:val="restart"/>
            <w:tcBorders>
              <w:top w:val="none" w:sz="0" w:space="0" w:color="auto"/>
              <w:left w:val="none" w:sz="0" w:space="0" w:color="auto"/>
              <w:bottom w:val="none" w:sz="0" w:space="0" w:color="auto"/>
            </w:tcBorders>
            <w:vAlign w:val="center"/>
          </w:tcPr>
          <w:p w14:paraId="2B97F800" w14:textId="77777777" w:rsidR="00EE0583" w:rsidRDefault="00EE0583" w:rsidP="0035357B">
            <w:pPr>
              <w:jc w:val="left"/>
            </w:pPr>
            <w:r>
              <w:t>Biodiversity</w:t>
            </w:r>
          </w:p>
        </w:tc>
        <w:tc>
          <w:tcPr>
            <w:tcW w:w="1227" w:type="pct"/>
            <w:tcBorders>
              <w:top w:val="none" w:sz="0" w:space="0" w:color="auto"/>
              <w:bottom w:val="none" w:sz="0" w:space="0" w:color="auto"/>
            </w:tcBorders>
          </w:tcPr>
          <w:p w14:paraId="0011DC44" w14:textId="77777777" w:rsidR="00EE0583" w:rsidRDefault="00EE0583" w:rsidP="0035357B">
            <w:pPr>
              <w:jc w:val="left"/>
              <w:cnfStyle w:val="000000100000" w:firstRow="0" w:lastRow="0" w:firstColumn="0" w:lastColumn="0" w:oddVBand="0" w:evenVBand="0" w:oddHBand="1" w:evenHBand="0" w:firstRowFirstColumn="0" w:firstRowLastColumn="0" w:lastRowFirstColumn="0" w:lastRowLastColumn="0"/>
            </w:pPr>
            <w:r>
              <w:t>A</w:t>
            </w:r>
            <w:r w:rsidRPr="00A51CE0">
              <w:t>quatic biota/life</w:t>
            </w:r>
          </w:p>
        </w:tc>
        <w:tc>
          <w:tcPr>
            <w:tcW w:w="2871" w:type="pct"/>
            <w:tcBorders>
              <w:top w:val="none" w:sz="0" w:space="0" w:color="auto"/>
              <w:bottom w:val="none" w:sz="0" w:space="0" w:color="auto"/>
              <w:right w:val="none" w:sz="0" w:space="0" w:color="auto"/>
            </w:tcBorders>
          </w:tcPr>
          <w:p w14:paraId="483BBC06" w14:textId="77777777" w:rsidR="00EE0583" w:rsidRDefault="00EE0583" w:rsidP="0035357B">
            <w:pPr>
              <w:jc w:val="left"/>
              <w:cnfStyle w:val="000000100000" w:firstRow="0" w:lastRow="0" w:firstColumn="0" w:lastColumn="0" w:oddVBand="0" w:evenVBand="0" w:oddHBand="1" w:evenHBand="0" w:firstRowFirstColumn="0" w:firstRowLastColumn="0" w:lastRowFirstColumn="0" w:lastRowLastColumn="0"/>
            </w:pPr>
            <w:r>
              <w:t>Diversity, abundance, structure, composition, population, etc.</w:t>
            </w:r>
          </w:p>
        </w:tc>
      </w:tr>
      <w:tr w:rsidR="00EE0583" w14:paraId="1BAE2EAA" w14:textId="77777777" w:rsidTr="00E221CF">
        <w:tc>
          <w:tcPr>
            <w:cnfStyle w:val="001000000000" w:firstRow="0" w:lastRow="0" w:firstColumn="1" w:lastColumn="0" w:oddVBand="0" w:evenVBand="0" w:oddHBand="0" w:evenHBand="0" w:firstRowFirstColumn="0" w:firstRowLastColumn="0" w:lastRowFirstColumn="0" w:lastRowLastColumn="0"/>
            <w:tcW w:w="902" w:type="pct"/>
            <w:vMerge/>
            <w:vAlign w:val="center"/>
          </w:tcPr>
          <w:p w14:paraId="0DD1C00B" w14:textId="77777777" w:rsidR="00EE0583" w:rsidRDefault="00EE0583" w:rsidP="0035357B">
            <w:pPr>
              <w:jc w:val="left"/>
            </w:pPr>
          </w:p>
        </w:tc>
        <w:tc>
          <w:tcPr>
            <w:tcW w:w="1227" w:type="pct"/>
          </w:tcPr>
          <w:p w14:paraId="42C11E6B" w14:textId="77777777" w:rsidR="00EE0583" w:rsidRDefault="00EE0583" w:rsidP="0035357B">
            <w:pPr>
              <w:jc w:val="left"/>
              <w:cnfStyle w:val="000000000000" w:firstRow="0" w:lastRow="0" w:firstColumn="0" w:lastColumn="0" w:oddVBand="0" w:evenVBand="0" w:oddHBand="0" w:evenHBand="0" w:firstRowFirstColumn="0" w:firstRowLastColumn="0" w:lastRowFirstColumn="0" w:lastRowLastColumn="0"/>
            </w:pPr>
            <w:r w:rsidRPr="006C0D90">
              <w:t>Ecosystem extent</w:t>
            </w:r>
          </w:p>
        </w:tc>
        <w:tc>
          <w:tcPr>
            <w:tcW w:w="2871" w:type="pct"/>
          </w:tcPr>
          <w:p w14:paraId="05B8C019" w14:textId="77777777" w:rsidR="00EE0583" w:rsidRDefault="00EE0583" w:rsidP="0035357B">
            <w:pPr>
              <w:jc w:val="left"/>
              <w:cnfStyle w:val="000000000000" w:firstRow="0" w:lastRow="0" w:firstColumn="0" w:lastColumn="0" w:oddVBand="0" w:evenVBand="0" w:oddHBand="0" w:evenHBand="0" w:firstRowFirstColumn="0" w:firstRowLastColumn="0" w:lastRowFirstColumn="0" w:lastRowLastColumn="0"/>
            </w:pPr>
            <w:r>
              <w:t xml:space="preserve">Area </w:t>
            </w:r>
          </w:p>
        </w:tc>
      </w:tr>
      <w:tr w:rsidR="00EE0583" w14:paraId="78975F41" w14:textId="77777777" w:rsidTr="00E2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vMerge w:val="restart"/>
            <w:tcBorders>
              <w:top w:val="none" w:sz="0" w:space="0" w:color="auto"/>
              <w:left w:val="none" w:sz="0" w:space="0" w:color="auto"/>
              <w:bottom w:val="none" w:sz="0" w:space="0" w:color="auto"/>
            </w:tcBorders>
            <w:vAlign w:val="center"/>
          </w:tcPr>
          <w:p w14:paraId="0440F05A" w14:textId="3E0A7D5C" w:rsidR="00EE0583" w:rsidRDefault="00EE0583" w:rsidP="00EE0583">
            <w:pPr>
              <w:jc w:val="left"/>
            </w:pPr>
            <w:r>
              <w:t>Services</w:t>
            </w:r>
          </w:p>
        </w:tc>
        <w:tc>
          <w:tcPr>
            <w:tcW w:w="1227" w:type="pct"/>
            <w:tcBorders>
              <w:top w:val="none" w:sz="0" w:space="0" w:color="auto"/>
              <w:bottom w:val="none" w:sz="0" w:space="0" w:color="auto"/>
            </w:tcBorders>
          </w:tcPr>
          <w:p w14:paraId="4A514FD6" w14:textId="77777777" w:rsidR="00EE0583" w:rsidRDefault="00EE0583" w:rsidP="0035357B">
            <w:pPr>
              <w:jc w:val="left"/>
              <w:cnfStyle w:val="000000100000" w:firstRow="0" w:lastRow="0" w:firstColumn="0" w:lastColumn="0" w:oddVBand="0" w:evenVBand="0" w:oddHBand="1" w:evenHBand="0" w:firstRowFirstColumn="0" w:firstRowLastColumn="0" w:lastRowFirstColumn="0" w:lastRowLastColumn="0"/>
            </w:pPr>
            <w:r>
              <w:t>Regulating</w:t>
            </w:r>
          </w:p>
        </w:tc>
        <w:tc>
          <w:tcPr>
            <w:tcW w:w="2871" w:type="pct"/>
            <w:tcBorders>
              <w:top w:val="none" w:sz="0" w:space="0" w:color="auto"/>
              <w:bottom w:val="none" w:sz="0" w:space="0" w:color="auto"/>
              <w:right w:val="none" w:sz="0" w:space="0" w:color="auto"/>
            </w:tcBorders>
          </w:tcPr>
          <w:p w14:paraId="2C70A5DA" w14:textId="655EB21D" w:rsidR="00EE0583" w:rsidRDefault="00EE0583" w:rsidP="0035357B">
            <w:pPr>
              <w:jc w:val="left"/>
              <w:cnfStyle w:val="000000100000" w:firstRow="0" w:lastRow="0" w:firstColumn="0" w:lastColumn="0" w:oddVBand="0" w:evenVBand="0" w:oddHBand="1" w:evenHBand="0" w:firstRowFirstColumn="0" w:firstRowLastColumn="0" w:lastRowFirstColumn="0" w:lastRowLastColumn="0"/>
            </w:pPr>
            <w:r>
              <w:t>Flood mitigation capacity, distribution and delivery of water</w:t>
            </w:r>
          </w:p>
        </w:tc>
      </w:tr>
      <w:tr w:rsidR="00EE0583" w14:paraId="43198ADF" w14:textId="77777777" w:rsidTr="00E221CF">
        <w:tc>
          <w:tcPr>
            <w:cnfStyle w:val="001000000000" w:firstRow="0" w:lastRow="0" w:firstColumn="1" w:lastColumn="0" w:oddVBand="0" w:evenVBand="0" w:oddHBand="0" w:evenHBand="0" w:firstRowFirstColumn="0" w:firstRowLastColumn="0" w:lastRowFirstColumn="0" w:lastRowLastColumn="0"/>
            <w:tcW w:w="902" w:type="pct"/>
            <w:vMerge/>
          </w:tcPr>
          <w:p w14:paraId="622E3041" w14:textId="77777777" w:rsidR="00EE0583" w:rsidRDefault="00EE0583" w:rsidP="0035357B">
            <w:pPr>
              <w:jc w:val="left"/>
            </w:pPr>
          </w:p>
        </w:tc>
        <w:tc>
          <w:tcPr>
            <w:tcW w:w="1227" w:type="pct"/>
          </w:tcPr>
          <w:p w14:paraId="20FE202E" w14:textId="77777777" w:rsidR="00EE0583" w:rsidRDefault="00EE0583" w:rsidP="0035357B">
            <w:pPr>
              <w:jc w:val="left"/>
              <w:cnfStyle w:val="000000000000" w:firstRow="0" w:lastRow="0" w:firstColumn="0" w:lastColumn="0" w:oddVBand="0" w:evenVBand="0" w:oddHBand="0" w:evenHBand="0" w:firstRowFirstColumn="0" w:firstRowLastColumn="0" w:lastRowFirstColumn="0" w:lastRowLastColumn="0"/>
            </w:pPr>
            <w:r>
              <w:t>Provisioning</w:t>
            </w:r>
          </w:p>
        </w:tc>
        <w:tc>
          <w:tcPr>
            <w:tcW w:w="2871" w:type="pct"/>
          </w:tcPr>
          <w:p w14:paraId="50255422" w14:textId="75CD7403" w:rsidR="00EE0583" w:rsidRDefault="00EE0583" w:rsidP="00FF1BE5">
            <w:pPr>
              <w:jc w:val="left"/>
              <w:cnfStyle w:val="000000000000" w:firstRow="0" w:lastRow="0" w:firstColumn="0" w:lastColumn="0" w:oddVBand="0" w:evenVBand="0" w:oddHBand="0" w:evenHBand="0" w:firstRowFirstColumn="0" w:firstRowLastColumn="0" w:lastRowFirstColumn="0" w:lastRowLastColumn="0"/>
            </w:pPr>
            <w:r>
              <w:t>F</w:t>
            </w:r>
            <w:r w:rsidRPr="00552068">
              <w:t>ood pro</w:t>
            </w:r>
            <w:r>
              <w:t>vision – fisheries CPUE</w:t>
            </w:r>
            <w:r w:rsidRPr="00552068">
              <w:t xml:space="preserve">, </w:t>
            </w:r>
            <w:r w:rsidR="00B84036">
              <w:t xml:space="preserve">extent of crops/food item, </w:t>
            </w:r>
            <w:r>
              <w:t xml:space="preserve">volume of </w:t>
            </w:r>
            <w:r w:rsidRPr="00552068">
              <w:t>water for irrigation</w:t>
            </w:r>
          </w:p>
        </w:tc>
      </w:tr>
      <w:tr w:rsidR="00EE0583" w14:paraId="42B3B58B" w14:textId="77777777" w:rsidTr="00E2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vMerge/>
            <w:tcBorders>
              <w:top w:val="none" w:sz="0" w:space="0" w:color="auto"/>
              <w:left w:val="none" w:sz="0" w:space="0" w:color="auto"/>
              <w:bottom w:val="none" w:sz="0" w:space="0" w:color="auto"/>
            </w:tcBorders>
          </w:tcPr>
          <w:p w14:paraId="45F163C7" w14:textId="77777777" w:rsidR="00EE0583" w:rsidRDefault="00EE0583" w:rsidP="0035357B">
            <w:pPr>
              <w:jc w:val="left"/>
            </w:pPr>
          </w:p>
        </w:tc>
        <w:tc>
          <w:tcPr>
            <w:tcW w:w="1227" w:type="pct"/>
            <w:tcBorders>
              <w:top w:val="none" w:sz="0" w:space="0" w:color="auto"/>
              <w:bottom w:val="none" w:sz="0" w:space="0" w:color="auto"/>
            </w:tcBorders>
          </w:tcPr>
          <w:p w14:paraId="588DB02B" w14:textId="77777777" w:rsidR="00EE0583" w:rsidRDefault="00EE0583" w:rsidP="0035357B">
            <w:pPr>
              <w:jc w:val="left"/>
              <w:cnfStyle w:val="000000100000" w:firstRow="0" w:lastRow="0" w:firstColumn="0" w:lastColumn="0" w:oddVBand="0" w:evenVBand="0" w:oddHBand="1" w:evenHBand="0" w:firstRowFirstColumn="0" w:firstRowLastColumn="0" w:lastRowFirstColumn="0" w:lastRowLastColumn="0"/>
            </w:pPr>
            <w:r>
              <w:t>Cultural</w:t>
            </w:r>
          </w:p>
        </w:tc>
        <w:tc>
          <w:tcPr>
            <w:tcW w:w="2871" w:type="pct"/>
            <w:tcBorders>
              <w:top w:val="none" w:sz="0" w:space="0" w:color="auto"/>
              <w:bottom w:val="none" w:sz="0" w:space="0" w:color="auto"/>
              <w:right w:val="none" w:sz="0" w:space="0" w:color="auto"/>
            </w:tcBorders>
          </w:tcPr>
          <w:p w14:paraId="1F671C64" w14:textId="39564DBB" w:rsidR="00EE0583" w:rsidRDefault="00EE0583" w:rsidP="0035357B">
            <w:pPr>
              <w:jc w:val="left"/>
              <w:cnfStyle w:val="000000100000" w:firstRow="0" w:lastRow="0" w:firstColumn="0" w:lastColumn="0" w:oddVBand="0" w:evenVBand="0" w:oddHBand="1" w:evenHBand="0" w:firstRowFirstColumn="0" w:firstRowLastColumn="0" w:lastRowFirstColumn="0" w:lastRowLastColumn="0"/>
            </w:pPr>
            <w:r>
              <w:t>R</w:t>
            </w:r>
            <w:r w:rsidRPr="00552068">
              <w:t>ecreation</w:t>
            </w:r>
            <w:r>
              <w:t xml:space="preserve"> – participation indicators, land use indicators, accessibility indicators, etc.</w:t>
            </w:r>
          </w:p>
          <w:p w14:paraId="3B34CBD5" w14:textId="312249B3" w:rsidR="00EE0583" w:rsidRDefault="00EE0583" w:rsidP="00FF1BE5">
            <w:pPr>
              <w:jc w:val="left"/>
              <w:cnfStyle w:val="000000100000" w:firstRow="0" w:lastRow="0" w:firstColumn="0" w:lastColumn="0" w:oddVBand="0" w:evenVBand="0" w:oddHBand="1" w:evenHBand="0" w:firstRowFirstColumn="0" w:firstRowLastColumn="0" w:lastRowFirstColumn="0" w:lastRowLastColumn="0"/>
            </w:pPr>
            <w:r>
              <w:t xml:space="preserve">Heritage – number of registered places, accessibility indicators, wellbeing indicators, </w:t>
            </w:r>
          </w:p>
          <w:p w14:paraId="4EAC4A85" w14:textId="59D85C57" w:rsidR="00EE0583" w:rsidRDefault="00EE0583" w:rsidP="00FF1BE5">
            <w:pPr>
              <w:jc w:val="left"/>
              <w:cnfStyle w:val="000000100000" w:firstRow="0" w:lastRow="0" w:firstColumn="0" w:lastColumn="0" w:oddVBand="0" w:evenVBand="0" w:oddHBand="1" w:evenHBand="0" w:firstRowFirstColumn="0" w:firstRowLastColumn="0" w:lastRowFirstColumn="0" w:lastRowLastColumn="0"/>
            </w:pPr>
            <w:r>
              <w:t>Tourism  - numbers of visitors, accessibility indicators, etc.</w:t>
            </w:r>
            <w:r w:rsidRPr="00552068">
              <w:t xml:space="preserve"> </w:t>
            </w:r>
          </w:p>
        </w:tc>
      </w:tr>
    </w:tbl>
    <w:p w14:paraId="03487E8D" w14:textId="3DA6EB1A" w:rsidR="00FF1BE5" w:rsidRDefault="00FF1BE5" w:rsidP="00FF1BE5"/>
    <w:p w14:paraId="112C573C" w14:textId="1A3B7392" w:rsidR="00FF1BE5" w:rsidRDefault="00B84036" w:rsidP="000D6A3D">
      <w:pPr>
        <w:pStyle w:val="Caption"/>
      </w:pPr>
      <w:r>
        <w:t xml:space="preserve">Additional resources for selecting </w:t>
      </w:r>
      <w:r w:rsidR="000D6A3D">
        <w:t>Potential indicators for services.</w:t>
      </w:r>
    </w:p>
    <w:p w14:paraId="16858487" w14:textId="0179D24A" w:rsidR="006E06E1" w:rsidRDefault="006E06E1" w:rsidP="000D6A3D">
      <w:r>
        <w:t>See the following references – this is a</w:t>
      </w:r>
      <w:r w:rsidR="00441943">
        <w:t xml:space="preserve"> rapid evolving </w:t>
      </w:r>
      <w:r>
        <w:t xml:space="preserve">area that needs further research in Australia. </w:t>
      </w:r>
    </w:p>
    <w:p w14:paraId="7841CD77" w14:textId="0F745747" w:rsidR="00720769" w:rsidRDefault="00720769" w:rsidP="00F4328F">
      <w:pPr>
        <w:pStyle w:val="ListParagraph"/>
        <w:numPr>
          <w:ilvl w:val="0"/>
          <w:numId w:val="72"/>
        </w:numPr>
      </w:pPr>
      <w:r>
        <w:fldChar w:fldCharType="begin"/>
      </w:r>
      <w:r>
        <w:instrText xml:space="preserve"> ADDIN ZOTERO_ITEM CSL_CITATION {"citationID":"18framtaa2","properties":{"formattedCitation":"(Heink et al. 2016)","plainCitation":"(Heink et al. 2016)"},"citationItems":[{"id":3166,"uris":["http://zotero.org/users/3119797/items/NFVV6B24"],"uri":["http://zotero.org/users/3119797/items/NFVV6B24"],"itemData":{"id":3166,"type":"article-journal","title":"Requirements for the selection of ecosystem service indicators – The case of MAES indicators","container-title":"Ecological Indicators","page":"18-26","volume":"61","source":"CrossRef","DOI":"10.1016/j.ecolind.2015.09.031","ISSN":"1470160X","language":"en","author":[{"family":"Heink","given":"Ulrich"},{"family":"Hauck","given":"Jennifer"},{"family":"Jax","given":"Kurt"},{"family":"Sukopp","given":"Ulrich"}],"issued":{"date-parts":[["2016",2]]}}}],"schema":"https://github.com/citation-style-language/schema/raw/master/csl-citation.json"} </w:instrText>
      </w:r>
      <w:r>
        <w:fldChar w:fldCharType="separate"/>
      </w:r>
      <w:r w:rsidRPr="006E06E1">
        <w:rPr>
          <w:rFonts w:cs="Calibri"/>
        </w:rPr>
        <w:t xml:space="preserve">Heink et al. </w:t>
      </w:r>
      <w:r>
        <w:rPr>
          <w:rFonts w:cs="Calibri"/>
        </w:rPr>
        <w:t>(</w:t>
      </w:r>
      <w:r w:rsidRPr="006E06E1">
        <w:rPr>
          <w:rFonts w:cs="Calibri"/>
        </w:rPr>
        <w:t>2016)</w:t>
      </w:r>
      <w:r>
        <w:fldChar w:fldCharType="end"/>
      </w:r>
      <w:r>
        <w:t xml:space="preserve">. </w:t>
      </w:r>
      <w:r w:rsidRPr="006E06E1">
        <w:t>Requirements for the selection of ecosystem service indicators – The case of MAES indicators</w:t>
      </w:r>
      <w:r>
        <w:t>, Ecological Indicators, 61: 18-26.</w:t>
      </w:r>
    </w:p>
    <w:p w14:paraId="4493C4B1" w14:textId="237B7DF8" w:rsidR="000D6A3D" w:rsidRDefault="006E06E1" w:rsidP="00F4328F">
      <w:pPr>
        <w:pStyle w:val="ListParagraph"/>
        <w:numPr>
          <w:ilvl w:val="0"/>
          <w:numId w:val="72"/>
        </w:numPr>
      </w:pPr>
      <w:r>
        <w:fldChar w:fldCharType="begin"/>
      </w:r>
      <w:r w:rsidRPr="006E06E1">
        <w:instrText xml:space="preserve"> ADDIN ZOTERO_ITEM CSL_CITATION {"citationID":"27in065qu","properties":{"formattedCitation":"(Mononen et al. 2016)","plainCitation":"(MONONEN ET AL. 2016)"},"citationItems":[{"id":1375,"uris":["http://zotero.org/users/3119797/items/48MNEVH4"],"uri":["http://zotero.org/users/3119797/items/48MNEVH4"],"itemData":{"id":1375,"type":"article-journal","title":"National ecosystem service indicators: Measures of social–ecological sustainability","container-title":"Ecological Indicators","page":"27-37","volume":"61","source":"CrossRef","DOI":"10.1016/j.ecolind.2015.03.041","ISSN":"1470160X","shortTitle":"National ecosystem service indicators","language":"en","author":[{"family":"Mononen","given":"L."},{"family":"Auvinen","given":"A.-P."},{"family":"Ahokumpu","given":"A.-L."},{"family":"Rönkä","given":"M."},{"family":"Aarras","given":"N."},{"family":"Tolvanen","given":"H."},{"family":"Kamppinen","given":"M."},{"family":"Viirret","given":"E."},{"family":"Kumpula","given":"T."},{"family":"Vihervaara","given":"P."}],"issued":{"date-parts":[["2016",2]]}}}],"schema":"https://github.com/citation-style-language/schema/raw/master/csl-citation.json"} </w:instrText>
      </w:r>
      <w:r>
        <w:fldChar w:fldCharType="separate"/>
      </w:r>
      <w:r w:rsidRPr="006E06E1">
        <w:rPr>
          <w:rFonts w:cs="Calibri"/>
        </w:rPr>
        <w:t>Mononen et al. (2016)</w:t>
      </w:r>
      <w:r>
        <w:fldChar w:fldCharType="end"/>
      </w:r>
      <w:r>
        <w:t xml:space="preserve"> </w:t>
      </w:r>
      <w:r w:rsidRPr="006E06E1">
        <w:t>National ecosystem service indicators: Measures of social–ecological sustainability</w:t>
      </w:r>
      <w:r>
        <w:t>. Ecological Indicators, 61: 27-37.</w:t>
      </w:r>
    </w:p>
    <w:p w14:paraId="539C4BF7" w14:textId="2BDB8AB3" w:rsidR="006E06E1" w:rsidRDefault="006E06E1" w:rsidP="00F4328F">
      <w:pPr>
        <w:pStyle w:val="ListParagraph"/>
        <w:numPr>
          <w:ilvl w:val="0"/>
          <w:numId w:val="72"/>
        </w:numPr>
      </w:pPr>
      <w:r>
        <w:fldChar w:fldCharType="begin"/>
      </w:r>
      <w:r>
        <w:instrText xml:space="preserve"> ADDIN ZOTERO_ITEM CSL_CITATION {"citationID":"26laedanol","properties":{"formattedCitation":"(Albert et al. 2016)","plainCitation":"(Albert et al. 2016)"},"citationItems":[{"id":1376,"uris":["http://zotero.org/users/3119797/items/A3VXDGED"],"uri":["http://zotero.org/users/3119797/items/A3VXDGED"],"itemData":{"id":1376,"type":"article-journal","title":"Towards a national set of ecosystem service indicators: Insights from Germany","container-title":"Ecological Indicators","page":"38-48","volume":"61","source":"CrossRef","DOI":"10.1016/j.ecolind.2015.08.050","ISSN":"1470160X","shortTitle":"Towards a national set of ecosystem service indicators","language":"en","author":[{"family":"Albert","given":"Christian"},{"family":"Bonn","given":"Aletta"},{"family":"Burkhard","given":"Benjamin"},{"family":"Daube","given":"Sabrina"},{"family":"Dietrich","given":"Katharina"},{"family":"Engels","given":"Barbara"},{"family":"Frommer","given":"Jakob"},{"family":"Götzl","given":"Martin"},{"family":"Grêt-Regamey","given":"Adrienne"},{"family":"Job-Hoben","given":"Beate"},{"family":"Koellner","given":"Thomas"},{"family":"Marzelli","given":"Stefan"},{"family":"Moning","given":"Christoph"},{"family":"Müller","given":"Felix"},{"family":"Rabe","given":"Sven-Erik"},{"family":"Ring","given":"Irene"},{"family":"Schwaiger","given":"Elisabeth"},{"family":"Schweppe-Kraft","given":"Burkhard"},{"family":"Wüstemann","given":"Henry"}],"issued":{"date-parts":[["2016",2]]}}}],"schema":"https://github.com/citation-style-language/schema/raw/master/csl-citation.json"} </w:instrText>
      </w:r>
      <w:r>
        <w:fldChar w:fldCharType="separate"/>
      </w:r>
      <w:r w:rsidRPr="006E06E1">
        <w:rPr>
          <w:rFonts w:cs="Calibri"/>
        </w:rPr>
        <w:t xml:space="preserve">Albert et al. </w:t>
      </w:r>
      <w:r>
        <w:rPr>
          <w:rFonts w:cs="Calibri"/>
        </w:rPr>
        <w:t>(</w:t>
      </w:r>
      <w:r w:rsidRPr="006E06E1">
        <w:rPr>
          <w:rFonts w:cs="Calibri"/>
        </w:rPr>
        <w:t>2016)</w:t>
      </w:r>
      <w:r>
        <w:fldChar w:fldCharType="end"/>
      </w:r>
      <w:r w:rsidR="00D27C62">
        <w:t xml:space="preserve"> </w:t>
      </w:r>
      <w:r w:rsidRPr="006E06E1">
        <w:t>Towards a national set of ecosystem service indicators: Insights from Germany</w:t>
      </w:r>
      <w:r>
        <w:t>. Ecological Indicators, 61: 38-48.</w:t>
      </w:r>
    </w:p>
    <w:p w14:paraId="39850752" w14:textId="2064B757" w:rsidR="00441943" w:rsidRDefault="00441943" w:rsidP="00F4328F">
      <w:pPr>
        <w:pStyle w:val="ListParagraph"/>
        <w:numPr>
          <w:ilvl w:val="0"/>
          <w:numId w:val="72"/>
        </w:numPr>
      </w:pPr>
      <w:r>
        <w:fldChar w:fldCharType="begin"/>
      </w:r>
      <w:r>
        <w:instrText xml:space="preserve"> ADDIN ZOTERO_ITEM CSL_CITATION {"citationID":"dk3v7jpmf","properties":{"formattedCitation":"(La Notte et al. 2017)","plainCitation":"(La Notte et al. 2017)"},"citationItems":[{"id":3456,"uris":["http://zotero.org/users/3119797/items/DMC4U72Q"],"uri":["http://zotero.org/users/3119797/items/DMC4U72Q"],"itemData":{"id":3456,"type":"article-journal","title":"Ecosystem services classification: A systems ecology perspective of the cascade framework","container-title":"Ecological Indicators","page":"392-402","volume":"74","source":"CrossRef","DOI":"10.1016/j.ecolind.2016.11.030","ISSN":"1470160X","shortTitle":"Ecosystem services classification","language":"en","author":[{"family":"La Notte","given":"Alessandra"},{"family":"D’Amato","given":"Dalia"},{"family":"Mäkinen","given":"Hanna"},{"family":"Paracchini","given":"Maria Luisa"},{"family":"Liquete","given":"Camino"},{"family":"Egoh","given":"Benis"},{"family":"Geneletti","given":"Davide"},{"family":"Crossman","given":"Neville D."}],"issued":{"date-parts":[["2017",3]]}}}],"schema":"https://github.com/citation-style-language/schema/raw/master/csl-citation.json"} </w:instrText>
      </w:r>
      <w:r>
        <w:fldChar w:fldCharType="separate"/>
      </w:r>
      <w:r w:rsidRPr="00441943">
        <w:rPr>
          <w:rFonts w:cs="Calibri"/>
        </w:rPr>
        <w:t xml:space="preserve">La Notte et al. </w:t>
      </w:r>
      <w:r>
        <w:rPr>
          <w:rFonts w:cs="Calibri"/>
        </w:rPr>
        <w:t>(</w:t>
      </w:r>
      <w:r w:rsidRPr="00441943">
        <w:rPr>
          <w:rFonts w:cs="Calibri"/>
        </w:rPr>
        <w:t>2017)</w:t>
      </w:r>
      <w:r>
        <w:fldChar w:fldCharType="end"/>
      </w:r>
      <w:r w:rsidR="00D27C62">
        <w:t xml:space="preserve"> </w:t>
      </w:r>
      <w:r w:rsidRPr="00441943">
        <w:t>Ecosystem services classification: A systems ecology perspective of the cascade framework</w:t>
      </w:r>
      <w:r>
        <w:t>, Ecological Indicators, 74: 392-402.</w:t>
      </w:r>
    </w:p>
    <w:p w14:paraId="7BF73F25" w14:textId="77777777" w:rsidR="000D6A3D" w:rsidRDefault="000D6A3D" w:rsidP="000D6A3D"/>
    <w:p w14:paraId="674609DE" w14:textId="77777777" w:rsidR="00441943" w:rsidRDefault="00441943" w:rsidP="000D6A3D"/>
    <w:p w14:paraId="04F57C38" w14:textId="77777777" w:rsidR="00441943" w:rsidRDefault="00441943" w:rsidP="000D6A3D"/>
    <w:p w14:paraId="21C5A9BE" w14:textId="26ABAB0D" w:rsidR="00816CE6" w:rsidRDefault="000D4DC5" w:rsidP="000D4DC5">
      <w:pPr>
        <w:pStyle w:val="Caption"/>
      </w:pPr>
      <w:bookmarkStart w:id="180" w:name="_Ref479168147"/>
      <w:r>
        <w:t xml:space="preserve">Table F </w:t>
      </w:r>
      <w:fldSimple w:instr=" SEQ Table_F \* ARABIC ">
        <w:r w:rsidR="005F359C">
          <w:rPr>
            <w:noProof/>
          </w:rPr>
          <w:t>2</w:t>
        </w:r>
      </w:fldSimple>
      <w:bookmarkEnd w:id="180"/>
      <w:r w:rsidR="00FD50A9">
        <w:rPr>
          <w:noProof/>
        </w:rPr>
        <w:t>:</w:t>
      </w:r>
      <w:r>
        <w:t xml:space="preserve"> List of potential stressor ndicators (</w:t>
      </w:r>
      <w:r w:rsidR="007F4DB5">
        <w:t>Modified f</w:t>
      </w:r>
      <w:r>
        <w:t>rom Butcher et aL. 2011)</w:t>
      </w:r>
      <w:r w:rsidR="00FD50A9">
        <w:t>.</w:t>
      </w:r>
    </w:p>
    <w:tbl>
      <w:tblPr>
        <w:tblStyle w:val="ListTable3-Accent211"/>
        <w:tblW w:w="0" w:type="auto"/>
        <w:tblLook w:val="01E0" w:firstRow="1" w:lastRow="1" w:firstColumn="1" w:lastColumn="1" w:noHBand="0" w:noVBand="0"/>
      </w:tblPr>
      <w:tblGrid>
        <w:gridCol w:w="3324"/>
        <w:gridCol w:w="5692"/>
      </w:tblGrid>
      <w:tr w:rsidR="00FF1BE5" w:rsidRPr="006319B1" w14:paraId="4A1E77E6" w14:textId="77777777" w:rsidTr="0035357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13960547" w14:textId="77777777" w:rsidR="00FF1BE5" w:rsidRPr="006319B1" w:rsidRDefault="00FF1BE5" w:rsidP="0035357B">
            <w:pPr>
              <w:jc w:val="left"/>
              <w:rPr>
                <w:rFonts w:asciiTheme="minorHAnsi" w:eastAsia="Times New Roman" w:hAnsiTheme="minorHAnsi" w:cstheme="minorHAnsi"/>
                <w:lang w:val="en-US"/>
              </w:rPr>
            </w:pPr>
            <w:r w:rsidRPr="006319B1">
              <w:rPr>
                <w:rFonts w:asciiTheme="minorHAnsi" w:eastAsia="Times New Roman" w:hAnsiTheme="minorHAnsi" w:cstheme="minorHAnsi"/>
                <w:lang w:val="en-US"/>
              </w:rPr>
              <w:t>Stressor</w:t>
            </w:r>
            <w:r>
              <w:rPr>
                <w:rFonts w:asciiTheme="minorHAnsi" w:eastAsia="Times New Roman" w:hAnsiTheme="minorHAnsi" w:cstheme="minorHAnsi"/>
                <w:lang w:val="en-US"/>
              </w:rPr>
              <w:t xml:space="preserve"> type</w:t>
            </w:r>
          </w:p>
        </w:tc>
        <w:tc>
          <w:tcPr>
            <w:cnfStyle w:val="000100001000" w:firstRow="0" w:lastRow="0" w:firstColumn="0" w:lastColumn="1" w:oddVBand="0" w:evenVBand="0" w:oddHBand="0" w:evenHBand="0" w:firstRowFirstColumn="0" w:firstRowLastColumn="1" w:lastRowFirstColumn="0" w:lastRowLastColumn="0"/>
            <w:tcW w:w="0" w:type="auto"/>
          </w:tcPr>
          <w:p w14:paraId="7D553D52" w14:textId="77777777" w:rsidR="00FF1BE5" w:rsidRPr="006319B1" w:rsidRDefault="00FF1BE5" w:rsidP="0035357B">
            <w:pPr>
              <w:jc w:val="left"/>
              <w:rPr>
                <w:rFonts w:asciiTheme="minorHAnsi" w:eastAsia="Times New Roman" w:hAnsiTheme="minorHAnsi" w:cstheme="minorHAnsi"/>
                <w:lang w:val="en-US"/>
              </w:rPr>
            </w:pPr>
            <w:r>
              <w:rPr>
                <w:rFonts w:asciiTheme="minorHAnsi" w:eastAsia="Times New Roman" w:hAnsiTheme="minorHAnsi" w:cstheme="minorHAnsi"/>
                <w:lang w:val="en-US"/>
              </w:rPr>
              <w:t>Example</w:t>
            </w:r>
            <w:r w:rsidRPr="006319B1">
              <w:rPr>
                <w:rFonts w:asciiTheme="minorHAnsi" w:eastAsia="Times New Roman" w:hAnsiTheme="minorHAnsi" w:cstheme="minorHAnsi"/>
                <w:lang w:val="en-US"/>
              </w:rPr>
              <w:t xml:space="preserve"> Indicators </w:t>
            </w:r>
          </w:p>
        </w:tc>
      </w:tr>
      <w:tr w:rsidR="00D94EE6" w:rsidRPr="006319B1" w14:paraId="1B0FF26D" w14:textId="77777777" w:rsidTr="006D757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6F4E1" w:themeFill="accent3" w:themeFillTint="33"/>
          </w:tcPr>
          <w:p w14:paraId="4343CCAD" w14:textId="77777777" w:rsidR="00D94EE6" w:rsidRPr="006319B1" w:rsidRDefault="00D94EE6" w:rsidP="006D757F">
            <w:pPr>
              <w:jc w:val="left"/>
              <w:rPr>
                <w:rFonts w:asciiTheme="minorHAnsi" w:eastAsia="Times New Roman" w:hAnsiTheme="minorHAnsi" w:cstheme="minorHAnsi"/>
                <w:lang w:val="en-US"/>
              </w:rPr>
            </w:pPr>
            <w:r w:rsidRPr="006319B1">
              <w:rPr>
                <w:rFonts w:asciiTheme="minorHAnsi" w:eastAsia="Times New Roman" w:hAnsiTheme="minorHAnsi" w:cstheme="minorHAnsi"/>
                <w:lang w:val="en-US"/>
              </w:rPr>
              <w:t xml:space="preserve">Climatic </w:t>
            </w:r>
          </w:p>
        </w:tc>
      </w:tr>
      <w:tr w:rsidR="00D94EE6" w:rsidRPr="006319B1" w14:paraId="123FF39F" w14:textId="77777777" w:rsidTr="006D757F">
        <w:trPr>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4DD3F073"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 xml:space="preserve">Increased temperature </w:t>
            </w:r>
          </w:p>
        </w:tc>
        <w:tc>
          <w:tcPr>
            <w:cnfStyle w:val="000100000000" w:firstRow="0" w:lastRow="0" w:firstColumn="0" w:lastColumn="1" w:oddVBand="0" w:evenVBand="0" w:oddHBand="0" w:evenHBand="0" w:firstRowFirstColumn="0" w:firstRowLastColumn="0" w:lastRowFirstColumn="0" w:lastRowLastColumn="0"/>
            <w:tcW w:w="0" w:type="auto"/>
            <w:tcBorders>
              <w:top w:val="nil"/>
              <w:left w:val="single" w:sz="4" w:space="0" w:color="9CBEBD" w:themeColor="accent2"/>
            </w:tcBorders>
          </w:tcPr>
          <w:p w14:paraId="56BC5619"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Temperature (water/air)</w:t>
            </w:r>
          </w:p>
        </w:tc>
      </w:tr>
      <w:tr w:rsidR="00D94EE6" w:rsidRPr="006319B1" w14:paraId="3504CBDF" w14:textId="77777777" w:rsidTr="006D757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3A71DBE0"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Decreased rainfall</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3D0CF44C"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Rainfall totals (annual, seasonal, monthly) trends over longer timeframes e.g. decades</w:t>
            </w:r>
          </w:p>
        </w:tc>
      </w:tr>
      <w:tr w:rsidR="00D94EE6" w:rsidRPr="006319B1" w14:paraId="2F564073" w14:textId="77777777" w:rsidTr="006D757F">
        <w:trPr>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140DEFB3"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Decreased snowfall</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75B156A7"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Snow cover duration, depth</w:t>
            </w:r>
          </w:p>
        </w:tc>
      </w:tr>
      <w:tr w:rsidR="00D94EE6" w:rsidRPr="006319B1" w14:paraId="1DE14FFF" w14:textId="77777777" w:rsidTr="006D757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1AF35851"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Decreasing stream flows due to decreased run off</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048FDB6B"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Stream flows</w:t>
            </w:r>
          </w:p>
        </w:tc>
      </w:tr>
      <w:tr w:rsidR="00D94EE6" w:rsidRPr="006319B1" w14:paraId="0147A8EA" w14:textId="77777777" w:rsidTr="006D757F">
        <w:trPr>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67C69EFC"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Rising sea-levels</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49CE0FF9"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Sea-level trends, rate of rise, tidal range (m</w:t>
            </w:r>
            <w:r>
              <w:rPr>
                <w:rFonts w:asciiTheme="minorHAnsi" w:eastAsia="Times New Roman" w:hAnsiTheme="minorHAnsi" w:cstheme="minorHAnsi"/>
                <w:b w:val="0"/>
                <w:lang w:val="en-US"/>
              </w:rPr>
              <w:t xml:space="preserve"> </w:t>
            </w:r>
            <w:r w:rsidRPr="006319B1">
              <w:rPr>
                <w:rFonts w:asciiTheme="minorHAnsi" w:eastAsia="Times New Roman" w:hAnsiTheme="minorHAnsi" w:cstheme="minorHAnsi"/>
                <w:b w:val="0"/>
                <w:lang w:val="en-US"/>
              </w:rPr>
              <w:t>AHD)</w:t>
            </w:r>
          </w:p>
        </w:tc>
      </w:tr>
      <w:tr w:rsidR="00D94EE6" w:rsidRPr="006319B1" w14:paraId="044F4905" w14:textId="77777777" w:rsidTr="006D757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3527CA3D"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Changed ocean currents</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52864699"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Current pattern</w:t>
            </w:r>
          </w:p>
        </w:tc>
      </w:tr>
      <w:tr w:rsidR="00D94EE6" w:rsidRPr="006319B1" w14:paraId="3B10C8C1" w14:textId="77777777" w:rsidTr="006D757F">
        <w:trPr>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70B0F01F"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frequency/intensity of storms</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4EF8D504"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Frequency, area damaged, intensity of storm events</w:t>
            </w:r>
          </w:p>
        </w:tc>
      </w:tr>
      <w:tr w:rsidR="00D94EE6" w:rsidRPr="006319B1" w14:paraId="2544B9D7" w14:textId="77777777" w:rsidTr="006D757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0DF266D6"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 xml:space="preserve">Increased frequency/intensity of fires </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275FE79A"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Frequency, extent, intensity of fires</w:t>
            </w:r>
          </w:p>
        </w:tc>
      </w:tr>
      <w:tr w:rsidR="00D94EE6" w:rsidRPr="006319B1" w14:paraId="21701BC9" w14:textId="77777777" w:rsidTr="006D757F">
        <w:trPr>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589A3E1A"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 xml:space="preserve">Physical disturbance </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bottom w:val="nil"/>
            </w:tcBorders>
          </w:tcPr>
          <w:p w14:paraId="304D52D9" w14:textId="77777777" w:rsidR="00D94EE6" w:rsidRPr="006319B1" w:rsidRDefault="00D94EE6" w:rsidP="006D757F">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Area and/or number of damaged areas from storm events/flooding</w:t>
            </w:r>
          </w:p>
        </w:tc>
      </w:tr>
      <w:tr w:rsidR="00FF1BE5" w:rsidRPr="006319B1" w14:paraId="7B270434" w14:textId="77777777" w:rsidTr="0035357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6F4E1" w:themeFill="accent3" w:themeFillTint="33"/>
          </w:tcPr>
          <w:p w14:paraId="0DEA9371" w14:textId="77777777" w:rsidR="00FF1BE5" w:rsidRPr="006319B1" w:rsidRDefault="00FF1BE5" w:rsidP="0035357B">
            <w:pPr>
              <w:jc w:val="left"/>
              <w:rPr>
                <w:rFonts w:asciiTheme="minorHAnsi" w:eastAsia="Times New Roman" w:hAnsiTheme="minorHAnsi" w:cstheme="minorHAnsi"/>
                <w:lang w:val="en-US"/>
              </w:rPr>
            </w:pPr>
            <w:r w:rsidRPr="006319B1">
              <w:rPr>
                <w:rFonts w:asciiTheme="minorHAnsi" w:eastAsia="Times New Roman" w:hAnsiTheme="minorHAnsi" w:cstheme="minorHAnsi"/>
                <w:lang w:val="en-US"/>
              </w:rPr>
              <w:t>Hydrological</w:t>
            </w:r>
          </w:p>
        </w:tc>
      </w:tr>
      <w:tr w:rsidR="00FF1BE5" w:rsidRPr="006319B1" w14:paraId="017F84B7" w14:textId="77777777" w:rsidTr="0035357B">
        <w:trPr>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tcPr>
          <w:p w14:paraId="22D93AE6"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Decreased frequency of inundation</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tcBorders>
          </w:tcPr>
          <w:p w14:paraId="02B554B6"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Frequency of inundation</w:t>
            </w:r>
          </w:p>
        </w:tc>
      </w:tr>
      <w:tr w:rsidR="00FF1BE5" w:rsidRPr="006319B1" w14:paraId="58D571A4" w14:textId="77777777" w:rsidTr="0035357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shd w:val="clear" w:color="auto" w:fill="auto"/>
          </w:tcPr>
          <w:p w14:paraId="1413159C"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Decreased extent of inundation</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tcBorders>
          </w:tcPr>
          <w:p w14:paraId="3B30C3D4"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Extent of inundation, depth</w:t>
            </w:r>
          </w:p>
        </w:tc>
      </w:tr>
      <w:tr w:rsidR="00FF1BE5" w:rsidRPr="006319B1" w14:paraId="7FF99BF1" w14:textId="77777777" w:rsidTr="0035357B">
        <w:trPr>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tcPr>
          <w:p w14:paraId="0F757387"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Decreased duration of inundation</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tcBorders>
          </w:tcPr>
          <w:p w14:paraId="27DDB871"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Duration of inundation</w:t>
            </w:r>
          </w:p>
        </w:tc>
      </w:tr>
      <w:tr w:rsidR="00FF1BE5" w:rsidRPr="006319B1" w14:paraId="4DFED2AC" w14:textId="77777777" w:rsidTr="0035357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tcPr>
          <w:p w14:paraId="25E0650A"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duration of inundation</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tcBorders>
          </w:tcPr>
          <w:p w14:paraId="2C90E71B"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Duration of inundation</w:t>
            </w:r>
          </w:p>
        </w:tc>
      </w:tr>
      <w:tr w:rsidR="00FF1BE5" w:rsidRPr="006319B1" w14:paraId="09077452" w14:textId="77777777" w:rsidTr="0035357B">
        <w:trPr>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tcPr>
          <w:p w14:paraId="43E4DE7C"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Altered seasonality of inundation</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tcBorders>
          </w:tcPr>
          <w:p w14:paraId="3E381842"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Timing of inundation</w:t>
            </w:r>
          </w:p>
        </w:tc>
      </w:tr>
      <w:tr w:rsidR="007F4DB5" w:rsidRPr="006319B1" w14:paraId="51AC000B" w14:textId="77777777" w:rsidTr="0004476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tcPr>
          <w:p w14:paraId="2408E792" w14:textId="7238DB2F" w:rsidR="007F4DB5" w:rsidRPr="006319B1" w:rsidRDefault="007F4DB5" w:rsidP="0004476C">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D</w:t>
            </w:r>
            <w:r>
              <w:rPr>
                <w:rFonts w:asciiTheme="minorHAnsi" w:eastAsia="Times New Roman" w:hAnsiTheme="minorHAnsi" w:cstheme="minorHAnsi"/>
                <w:b w:val="0"/>
                <w:lang w:val="en-US"/>
              </w:rPr>
              <w:t>ecreased frequency of cease to flow events</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tcBorders>
          </w:tcPr>
          <w:p w14:paraId="04A89014" w14:textId="74DF0F5F" w:rsidR="007F4DB5" w:rsidRPr="006319B1" w:rsidRDefault="007F4DB5" w:rsidP="007F4DB5">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 xml:space="preserve">Frequency of </w:t>
            </w:r>
            <w:r>
              <w:rPr>
                <w:rFonts w:asciiTheme="minorHAnsi" w:eastAsia="Times New Roman" w:hAnsiTheme="minorHAnsi" w:cstheme="minorHAnsi"/>
                <w:b w:val="0"/>
                <w:lang w:val="en-US"/>
              </w:rPr>
              <w:t>cease to flow events</w:t>
            </w:r>
          </w:p>
        </w:tc>
      </w:tr>
      <w:tr w:rsidR="007F4DB5" w:rsidRPr="006319B1" w14:paraId="2F2F77E7" w14:textId="77777777" w:rsidTr="0004476C">
        <w:trPr>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tcPr>
          <w:p w14:paraId="5B04B4B7" w14:textId="639117EB" w:rsidR="007F4DB5" w:rsidRPr="006319B1" w:rsidRDefault="007F4DB5" w:rsidP="0004476C">
            <w:pPr>
              <w:jc w:val="left"/>
              <w:rPr>
                <w:rFonts w:asciiTheme="minorHAnsi" w:eastAsia="Times New Roman" w:hAnsiTheme="minorHAnsi" w:cstheme="minorHAnsi"/>
                <w:b w:val="0"/>
                <w:lang w:val="en-US"/>
              </w:rPr>
            </w:pPr>
            <w:r>
              <w:rPr>
                <w:rFonts w:asciiTheme="minorHAnsi" w:eastAsia="Times New Roman" w:hAnsiTheme="minorHAnsi" w:cstheme="minorHAnsi"/>
                <w:b w:val="0"/>
                <w:lang w:val="en-US"/>
              </w:rPr>
              <w:t>Increased frequency of cease to flow events</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tcBorders>
          </w:tcPr>
          <w:p w14:paraId="5E95AD8A" w14:textId="77777777" w:rsidR="007F4DB5" w:rsidRPr="006319B1" w:rsidRDefault="007F4DB5" w:rsidP="0004476C">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 xml:space="preserve">Frequency of </w:t>
            </w:r>
            <w:r>
              <w:rPr>
                <w:rFonts w:asciiTheme="minorHAnsi" w:eastAsia="Times New Roman" w:hAnsiTheme="minorHAnsi" w:cstheme="minorHAnsi"/>
                <w:b w:val="0"/>
                <w:lang w:val="en-US"/>
              </w:rPr>
              <w:t>cease to flow events</w:t>
            </w:r>
          </w:p>
        </w:tc>
      </w:tr>
      <w:tr w:rsidR="007F4DB5" w:rsidRPr="006319B1" w14:paraId="51F070D2" w14:textId="77777777" w:rsidTr="0004476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tcPr>
          <w:p w14:paraId="0D56ED9D" w14:textId="77A713F5" w:rsidR="007F4DB5" w:rsidRPr="006319B1" w:rsidRDefault="007F4DB5" w:rsidP="007F4DB5">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 xml:space="preserve">Decreased duration of </w:t>
            </w:r>
            <w:r>
              <w:rPr>
                <w:rFonts w:asciiTheme="minorHAnsi" w:eastAsia="Times New Roman" w:hAnsiTheme="minorHAnsi" w:cstheme="minorHAnsi"/>
                <w:b w:val="0"/>
                <w:lang w:val="en-US"/>
              </w:rPr>
              <w:t>cease to flow event</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tcBorders>
          </w:tcPr>
          <w:p w14:paraId="5AE658FB" w14:textId="0692C38B" w:rsidR="007F4DB5" w:rsidRPr="006319B1" w:rsidRDefault="007F4DB5" w:rsidP="007F4DB5">
            <w:pPr>
              <w:jc w:val="left"/>
              <w:rPr>
                <w:rFonts w:asciiTheme="minorHAnsi" w:eastAsia="Times New Roman" w:hAnsiTheme="minorHAnsi" w:cstheme="minorHAnsi"/>
                <w:b w:val="0"/>
                <w:lang w:val="en-US"/>
              </w:rPr>
            </w:pPr>
            <w:r>
              <w:rPr>
                <w:rFonts w:asciiTheme="minorHAnsi" w:eastAsia="Times New Roman" w:hAnsiTheme="minorHAnsi" w:cstheme="minorHAnsi"/>
                <w:b w:val="0"/>
                <w:lang w:val="en-US"/>
              </w:rPr>
              <w:t>Duration of cease to flow event</w:t>
            </w:r>
          </w:p>
        </w:tc>
      </w:tr>
      <w:tr w:rsidR="007F4DB5" w:rsidRPr="006319B1" w14:paraId="19B617EB" w14:textId="77777777" w:rsidTr="0004476C">
        <w:trPr>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tcPr>
          <w:p w14:paraId="1403DE73" w14:textId="622751C6" w:rsidR="007F4DB5" w:rsidRPr="006319B1" w:rsidRDefault="007F4DB5" w:rsidP="0004476C">
            <w:pPr>
              <w:jc w:val="left"/>
              <w:rPr>
                <w:rFonts w:asciiTheme="minorHAnsi" w:eastAsia="Times New Roman" w:hAnsiTheme="minorHAnsi" w:cstheme="minorHAnsi"/>
                <w:b w:val="0"/>
                <w:lang w:val="en-US"/>
              </w:rPr>
            </w:pPr>
            <w:r>
              <w:rPr>
                <w:rFonts w:asciiTheme="minorHAnsi" w:eastAsia="Times New Roman" w:hAnsiTheme="minorHAnsi" w:cstheme="minorHAnsi"/>
                <w:b w:val="0"/>
                <w:lang w:val="en-US"/>
              </w:rPr>
              <w:t>Increased</w:t>
            </w:r>
            <w:r w:rsidRPr="006319B1">
              <w:rPr>
                <w:rFonts w:asciiTheme="minorHAnsi" w:eastAsia="Times New Roman" w:hAnsiTheme="minorHAnsi" w:cstheme="minorHAnsi"/>
                <w:b w:val="0"/>
                <w:lang w:val="en-US"/>
              </w:rPr>
              <w:t xml:space="preserve"> duration of </w:t>
            </w:r>
            <w:r>
              <w:rPr>
                <w:rFonts w:asciiTheme="minorHAnsi" w:eastAsia="Times New Roman" w:hAnsiTheme="minorHAnsi" w:cstheme="minorHAnsi"/>
                <w:b w:val="0"/>
                <w:lang w:val="en-US"/>
              </w:rPr>
              <w:t>cease to flow event</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tcBorders>
          </w:tcPr>
          <w:p w14:paraId="737990D4" w14:textId="77777777" w:rsidR="007F4DB5" w:rsidRPr="006319B1" w:rsidRDefault="007F4DB5" w:rsidP="0004476C">
            <w:pPr>
              <w:jc w:val="left"/>
              <w:rPr>
                <w:rFonts w:asciiTheme="minorHAnsi" w:eastAsia="Times New Roman" w:hAnsiTheme="minorHAnsi" w:cstheme="minorHAnsi"/>
                <w:b w:val="0"/>
                <w:lang w:val="en-US"/>
              </w:rPr>
            </w:pPr>
            <w:r>
              <w:rPr>
                <w:rFonts w:asciiTheme="minorHAnsi" w:eastAsia="Times New Roman" w:hAnsiTheme="minorHAnsi" w:cstheme="minorHAnsi"/>
                <w:b w:val="0"/>
                <w:lang w:val="en-US"/>
              </w:rPr>
              <w:t>Duration of cease to flow event</w:t>
            </w:r>
          </w:p>
        </w:tc>
      </w:tr>
      <w:tr w:rsidR="007F4DB5" w:rsidRPr="006319B1" w14:paraId="7A3D2A28" w14:textId="77777777" w:rsidTr="0004476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tcPr>
          <w:p w14:paraId="1CE972B4" w14:textId="519CD4B5" w:rsidR="007F4DB5" w:rsidRPr="006319B1" w:rsidRDefault="007F4DB5" w:rsidP="007F4DB5">
            <w:pPr>
              <w:jc w:val="left"/>
              <w:rPr>
                <w:rFonts w:asciiTheme="minorHAnsi" w:eastAsia="Times New Roman" w:hAnsiTheme="minorHAnsi" w:cstheme="minorHAnsi"/>
                <w:b w:val="0"/>
                <w:lang w:val="en-US"/>
              </w:rPr>
            </w:pPr>
            <w:r>
              <w:rPr>
                <w:rFonts w:asciiTheme="minorHAnsi" w:eastAsia="Times New Roman" w:hAnsiTheme="minorHAnsi" w:cstheme="minorHAnsi"/>
                <w:b w:val="0"/>
                <w:lang w:val="en-US"/>
              </w:rPr>
              <w:t>Altered seasonality of cease to flow event</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tcBorders>
          </w:tcPr>
          <w:p w14:paraId="42E22F4B" w14:textId="491F5215" w:rsidR="007F4DB5" w:rsidRPr="006319B1" w:rsidRDefault="007F4DB5" w:rsidP="007F4DB5">
            <w:pPr>
              <w:jc w:val="left"/>
              <w:rPr>
                <w:rFonts w:asciiTheme="minorHAnsi" w:eastAsia="Times New Roman" w:hAnsiTheme="minorHAnsi" w:cstheme="minorHAnsi"/>
                <w:b w:val="0"/>
                <w:lang w:val="en-US"/>
              </w:rPr>
            </w:pPr>
            <w:r>
              <w:rPr>
                <w:rFonts w:asciiTheme="minorHAnsi" w:eastAsia="Times New Roman" w:hAnsiTheme="minorHAnsi" w:cstheme="minorHAnsi"/>
                <w:b w:val="0"/>
                <w:lang w:val="en-US"/>
              </w:rPr>
              <w:t>Timing of cease to flow event</w:t>
            </w:r>
          </w:p>
        </w:tc>
      </w:tr>
      <w:tr w:rsidR="00FF1BE5" w:rsidRPr="006319B1" w14:paraId="7CAA8CB3" w14:textId="77777777" w:rsidTr="0035357B">
        <w:trPr>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tcPr>
          <w:p w14:paraId="7E06272E"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Altered (increased or decreased – specify) magnitude of inundation</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tcBorders>
          </w:tcPr>
          <w:p w14:paraId="4D1A1528"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Depth and duration of inundation (magnitude)</w:t>
            </w:r>
          </w:p>
        </w:tc>
      </w:tr>
      <w:tr w:rsidR="00FF1BE5" w:rsidRPr="006319B1" w14:paraId="4489A6C5" w14:textId="77777777" w:rsidTr="0035357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tcPr>
          <w:p w14:paraId="35E4A1D2"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Decreased high flows</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tcBorders>
          </w:tcPr>
          <w:p w14:paraId="1F20B342"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Hydrograph</w:t>
            </w:r>
          </w:p>
        </w:tc>
      </w:tr>
      <w:tr w:rsidR="00FF1BE5" w:rsidRPr="006319B1" w14:paraId="285ABA60" w14:textId="77777777" w:rsidTr="0035357B">
        <w:trPr>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tcPr>
          <w:p w14:paraId="6FCFAB74"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base flows</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tcBorders>
          </w:tcPr>
          <w:p w14:paraId="0CF183D2"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Hydrograph</w:t>
            </w:r>
          </w:p>
        </w:tc>
      </w:tr>
      <w:tr w:rsidR="00FF1BE5" w:rsidRPr="006319B1" w14:paraId="4E4512B8" w14:textId="77777777" w:rsidTr="0035357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tcPr>
          <w:p w14:paraId="3BACB95C"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Altered seasonal freshwater flows</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tcBorders>
          </w:tcPr>
          <w:p w14:paraId="6C4FD902"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Hydrograph</w:t>
            </w:r>
          </w:p>
        </w:tc>
      </w:tr>
      <w:tr w:rsidR="00FF1BE5" w:rsidRPr="006319B1" w14:paraId="61AF3C16" w14:textId="77777777" w:rsidTr="0035357B">
        <w:trPr>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tcPr>
          <w:p w14:paraId="4AEBF363"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Changed interaction between surface water and groundwater (specify)</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tcBorders>
          </w:tcPr>
          <w:p w14:paraId="58E4EEEF"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Depth to groundwater</w:t>
            </w:r>
            <w:r>
              <w:rPr>
                <w:rFonts w:asciiTheme="minorHAnsi" w:eastAsia="Times New Roman" w:hAnsiTheme="minorHAnsi" w:cstheme="minorHAnsi"/>
                <w:b w:val="0"/>
                <w:lang w:val="en-US"/>
              </w:rPr>
              <w:t>, timing of groundwater inputs, groundwater quality, as appropriate</w:t>
            </w:r>
          </w:p>
        </w:tc>
      </w:tr>
      <w:tr w:rsidR="00FF1BE5" w:rsidRPr="006319B1" w14:paraId="2B565922" w14:textId="77777777" w:rsidTr="0035357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9CBEBD" w:themeColor="accent2"/>
            </w:tcBorders>
          </w:tcPr>
          <w:p w14:paraId="1AA0FC19"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Change in soil moisture</w:t>
            </w:r>
          </w:p>
        </w:tc>
        <w:tc>
          <w:tcPr>
            <w:cnfStyle w:val="000100000000" w:firstRow="0" w:lastRow="0" w:firstColumn="0" w:lastColumn="1" w:oddVBand="0" w:evenVBand="0" w:oddHBand="0" w:evenHBand="0" w:firstRowFirstColumn="0" w:firstRowLastColumn="0" w:lastRowFirstColumn="0" w:lastRowLastColumn="0"/>
            <w:tcW w:w="5852" w:type="dxa"/>
            <w:tcBorders>
              <w:left w:val="single" w:sz="4" w:space="0" w:color="9CBEBD" w:themeColor="accent2"/>
              <w:bottom w:val="nil"/>
            </w:tcBorders>
          </w:tcPr>
          <w:p w14:paraId="2CF41856"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Soil moisture</w:t>
            </w:r>
          </w:p>
        </w:tc>
      </w:tr>
      <w:tr w:rsidR="00FF1BE5" w:rsidRPr="006319B1" w14:paraId="4839B225" w14:textId="77777777" w:rsidTr="0035357B">
        <w:trPr>
          <w:trHeight w:val="23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6F4E1" w:themeFill="accent3" w:themeFillTint="33"/>
          </w:tcPr>
          <w:p w14:paraId="2AA6488A" w14:textId="77777777" w:rsidR="00FF1BE5" w:rsidRPr="006319B1" w:rsidRDefault="00FF1BE5" w:rsidP="0035357B">
            <w:pPr>
              <w:jc w:val="left"/>
              <w:rPr>
                <w:rFonts w:asciiTheme="minorHAnsi" w:eastAsia="Times New Roman" w:hAnsiTheme="minorHAnsi" w:cstheme="minorHAnsi"/>
                <w:lang w:val="en-US"/>
              </w:rPr>
            </w:pPr>
            <w:r w:rsidRPr="006319B1">
              <w:rPr>
                <w:rFonts w:asciiTheme="minorHAnsi" w:eastAsia="Times New Roman" w:hAnsiTheme="minorHAnsi" w:cstheme="minorHAnsi"/>
                <w:lang w:val="en-US"/>
              </w:rPr>
              <w:t>Geomorphological</w:t>
            </w:r>
          </w:p>
        </w:tc>
      </w:tr>
      <w:tr w:rsidR="00FF1BE5" w:rsidRPr="006319B1" w14:paraId="66A84957" w14:textId="77777777" w:rsidTr="0035357B">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68741160"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sediment transport</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47CB8B35"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Total suspended solids</w:t>
            </w:r>
          </w:p>
        </w:tc>
      </w:tr>
      <w:tr w:rsidR="00FF1BE5" w:rsidRPr="006319B1" w14:paraId="62264C0A" w14:textId="77777777" w:rsidTr="0035357B">
        <w:trPr>
          <w:trHeight w:val="23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61128DAF"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deposition</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1FD24ED0" w14:textId="56E07CB6"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Changed wetland bed/channel morphology</w:t>
            </w:r>
            <w:r w:rsidR="001D7FFE">
              <w:rPr>
                <w:rFonts w:asciiTheme="minorHAnsi" w:eastAsia="Times New Roman" w:hAnsiTheme="minorHAnsi" w:cstheme="minorHAnsi"/>
                <w:b w:val="0"/>
                <w:lang w:val="en-US"/>
              </w:rPr>
              <w:t>/Channel sinuosity</w:t>
            </w:r>
          </w:p>
        </w:tc>
      </w:tr>
      <w:tr w:rsidR="00FF1BE5" w:rsidRPr="006319B1" w14:paraId="3E1E430C" w14:textId="77777777" w:rsidTr="0035357B">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72400A99"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erosion</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1DE39029"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Extent of erosion</w:t>
            </w:r>
          </w:p>
        </w:tc>
      </w:tr>
      <w:tr w:rsidR="007F4DB5" w:rsidRPr="006319B1" w14:paraId="5D280EB7" w14:textId="77777777" w:rsidTr="0035357B">
        <w:trPr>
          <w:trHeight w:val="23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62F1CD10" w14:textId="7DC00BD4" w:rsidR="007F4DB5" w:rsidRPr="006319B1" w:rsidRDefault="001D7FFE" w:rsidP="0035357B">
            <w:pPr>
              <w:jc w:val="left"/>
              <w:rPr>
                <w:rFonts w:asciiTheme="minorHAnsi" w:eastAsia="Times New Roman" w:hAnsiTheme="minorHAnsi" w:cstheme="minorHAnsi"/>
                <w:b w:val="0"/>
                <w:lang w:val="en-US"/>
              </w:rPr>
            </w:pPr>
            <w:r>
              <w:rPr>
                <w:rFonts w:asciiTheme="minorHAnsi" w:eastAsia="Times New Roman" w:hAnsiTheme="minorHAnsi" w:cstheme="minorHAnsi"/>
                <w:b w:val="0"/>
                <w:lang w:val="en-US"/>
              </w:rPr>
              <w:t>Altered bathymetry</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7154CC21" w14:textId="4B92B96E" w:rsidR="007F4DB5" w:rsidRPr="006319B1" w:rsidRDefault="001D7FFE" w:rsidP="0035357B">
            <w:pPr>
              <w:jc w:val="left"/>
              <w:rPr>
                <w:rFonts w:asciiTheme="minorHAnsi" w:eastAsia="Times New Roman" w:hAnsiTheme="minorHAnsi" w:cstheme="minorHAnsi"/>
                <w:b w:val="0"/>
                <w:lang w:val="en-US"/>
              </w:rPr>
            </w:pPr>
            <w:r>
              <w:rPr>
                <w:rFonts w:asciiTheme="minorHAnsi" w:eastAsia="Times New Roman" w:hAnsiTheme="minorHAnsi" w:cstheme="minorHAnsi"/>
                <w:b w:val="0"/>
                <w:lang w:val="en-US"/>
              </w:rPr>
              <w:t>Depth</w:t>
            </w:r>
          </w:p>
        </w:tc>
      </w:tr>
      <w:tr w:rsidR="00FF1BE5" w:rsidRPr="006319B1" w14:paraId="331CA38A" w14:textId="77777777" w:rsidTr="0035357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6F4E1" w:themeFill="accent3" w:themeFillTint="33"/>
          </w:tcPr>
          <w:p w14:paraId="29FEE825" w14:textId="77777777" w:rsidR="00FF1BE5" w:rsidRPr="006319B1" w:rsidRDefault="00FF1BE5" w:rsidP="0035357B">
            <w:pPr>
              <w:jc w:val="left"/>
              <w:rPr>
                <w:rFonts w:asciiTheme="minorHAnsi" w:eastAsia="Times New Roman" w:hAnsiTheme="minorHAnsi" w:cstheme="minorHAnsi"/>
                <w:lang w:val="en-US"/>
              </w:rPr>
            </w:pPr>
            <w:r w:rsidRPr="006319B1">
              <w:rPr>
                <w:rFonts w:asciiTheme="minorHAnsi" w:eastAsia="Times New Roman" w:hAnsiTheme="minorHAnsi" w:cstheme="minorHAnsi"/>
                <w:lang w:val="en-US"/>
              </w:rPr>
              <w:t xml:space="preserve">Water/sediment quality </w:t>
            </w:r>
          </w:p>
        </w:tc>
      </w:tr>
      <w:tr w:rsidR="00FF1BE5" w:rsidRPr="006319B1" w14:paraId="42B423B9" w14:textId="77777777" w:rsidTr="0035357B">
        <w:trPr>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6CBAC5A3"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nutrients</w:t>
            </w:r>
          </w:p>
        </w:tc>
        <w:tc>
          <w:tcPr>
            <w:cnfStyle w:val="000100000000" w:firstRow="0" w:lastRow="0" w:firstColumn="0" w:lastColumn="1" w:oddVBand="0" w:evenVBand="0" w:oddHBand="0" w:evenHBand="0" w:firstRowFirstColumn="0" w:firstRowLastColumn="0" w:lastRowFirstColumn="0" w:lastRowLastColumn="0"/>
            <w:tcW w:w="0" w:type="auto"/>
            <w:tcBorders>
              <w:top w:val="nil"/>
              <w:left w:val="single" w:sz="4" w:space="0" w:color="9CBEBD" w:themeColor="accent2"/>
            </w:tcBorders>
          </w:tcPr>
          <w:p w14:paraId="543CFC9E"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Nutrient concentrations or loads for Nitrogen (TN, NO</w:t>
            </w:r>
            <w:r w:rsidRPr="006319B1">
              <w:rPr>
                <w:rFonts w:asciiTheme="minorHAnsi" w:eastAsia="Times New Roman" w:hAnsiTheme="minorHAnsi" w:cstheme="minorHAnsi"/>
                <w:b w:val="0"/>
                <w:vertAlign w:val="subscript"/>
                <w:lang w:val="en-US"/>
              </w:rPr>
              <w:t>x</w:t>
            </w:r>
            <w:r w:rsidRPr="006319B1">
              <w:rPr>
                <w:rFonts w:asciiTheme="minorHAnsi" w:eastAsia="Times New Roman" w:hAnsiTheme="minorHAnsi" w:cstheme="minorHAnsi"/>
                <w:b w:val="0"/>
                <w:lang w:val="en-US"/>
              </w:rPr>
              <w:t>, NH</w:t>
            </w:r>
            <w:r w:rsidRPr="006319B1">
              <w:rPr>
                <w:rFonts w:asciiTheme="minorHAnsi" w:eastAsia="Times New Roman" w:hAnsiTheme="minorHAnsi" w:cstheme="minorHAnsi"/>
                <w:b w:val="0"/>
                <w:vertAlign w:val="subscript"/>
                <w:lang w:val="en-US"/>
              </w:rPr>
              <w:t>4</w:t>
            </w:r>
            <w:r w:rsidRPr="006319B1">
              <w:rPr>
                <w:rFonts w:asciiTheme="minorHAnsi" w:eastAsia="Times New Roman" w:hAnsiTheme="minorHAnsi" w:cstheme="minorHAnsi"/>
                <w:b w:val="0"/>
                <w:lang w:val="en-US"/>
              </w:rPr>
              <w:t xml:space="preserve">), Phosphorous (TP, FRP), dissolved inorganic Nitrogen (DIN) and Phosphorous (DIN), Chlorophyll </w:t>
            </w:r>
            <w:r w:rsidRPr="006319B1">
              <w:rPr>
                <w:rFonts w:asciiTheme="minorHAnsi" w:eastAsia="Times New Roman" w:hAnsiTheme="minorHAnsi" w:cstheme="minorHAnsi"/>
                <w:b w:val="0"/>
                <w:i/>
                <w:lang w:val="en-US"/>
              </w:rPr>
              <w:t>a</w:t>
            </w:r>
          </w:p>
        </w:tc>
      </w:tr>
      <w:tr w:rsidR="00FF1BE5" w:rsidRPr="006319B1" w14:paraId="5F953066" w14:textId="77777777" w:rsidTr="0035357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13CB4062"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lastRenderedPageBreak/>
              <w:t>Decreased DO</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7771B0B6"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 saturation of dissolved oxygen, concentration of dissolved oxygen</w:t>
            </w:r>
          </w:p>
        </w:tc>
      </w:tr>
      <w:tr w:rsidR="00FF1BE5" w:rsidRPr="006319B1" w14:paraId="5F909B2E" w14:textId="77777777" w:rsidTr="0035357B">
        <w:trPr>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796EA3AD"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acidity</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248A0FE5"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pH in water/ soil/sediments</w:t>
            </w:r>
          </w:p>
        </w:tc>
      </w:tr>
      <w:tr w:rsidR="00FF1BE5" w:rsidRPr="006319B1" w14:paraId="52BAAA0D" w14:textId="77777777" w:rsidTr="0035357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499E2F7E"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Toxicants (includes heavy metals, pesticides, herbicides, and hydrocarbons)</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5490D14F"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Specify target toxicant(s) or group of toxicants, concentration in water/sediment/biota</w:t>
            </w:r>
          </w:p>
        </w:tc>
      </w:tr>
      <w:tr w:rsidR="00FF1BE5" w:rsidRPr="006319B1" w14:paraId="366C7129" w14:textId="77777777" w:rsidTr="0035357B">
        <w:trPr>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5E1A9335"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temperature</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3C8E33F7"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Temperature in air/water</w:t>
            </w:r>
          </w:p>
        </w:tc>
      </w:tr>
      <w:tr w:rsidR="00FF1BE5" w:rsidRPr="006319B1" w14:paraId="7B47E497" w14:textId="77777777" w:rsidTr="0035357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793DF0FB"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suspended sediments</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5852CB23"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Total suspended solids</w:t>
            </w:r>
            <w:r w:rsidRPr="006319B1" w:rsidDel="00520701">
              <w:rPr>
                <w:rFonts w:asciiTheme="minorHAnsi" w:eastAsia="Times New Roman" w:hAnsiTheme="minorHAnsi" w:cstheme="minorHAnsi"/>
                <w:b w:val="0"/>
                <w:lang w:val="en-US"/>
              </w:rPr>
              <w:t xml:space="preserve"> </w:t>
            </w:r>
          </w:p>
        </w:tc>
      </w:tr>
      <w:tr w:rsidR="00FF1BE5" w:rsidRPr="006319B1" w14:paraId="6EE3E4A7" w14:textId="77777777" w:rsidTr="0035357B">
        <w:trPr>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10195DC2"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Decreased light</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382E9A58"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Turbidity, secchi depth, light attenuation, total suspended solids, colour</w:t>
            </w:r>
          </w:p>
        </w:tc>
      </w:tr>
      <w:tr w:rsidR="00FF1BE5" w:rsidRPr="006319B1" w14:paraId="61DDEFDB" w14:textId="77777777" w:rsidTr="0035357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37C7CDD5"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salinity</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07304544"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Electrical conductivity, salinity, total dissolved salts in water/ soil</w:t>
            </w:r>
          </w:p>
        </w:tc>
      </w:tr>
      <w:tr w:rsidR="00FF1BE5" w:rsidRPr="006319B1" w14:paraId="79CEB719" w14:textId="77777777" w:rsidTr="0035357B">
        <w:trPr>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1A47A091"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organic carbon</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48E7A5C1"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Dissolved or total organic carbon concentration, biological oxygen demand (BOD)</w:t>
            </w:r>
          </w:p>
        </w:tc>
      </w:tr>
      <w:tr w:rsidR="00FF1BE5" w:rsidRPr="006319B1" w14:paraId="77DA0EC5" w14:textId="77777777" w:rsidTr="0035357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0A53400F"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alkalinity</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36CD2A3C"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Alkalinity, carbonate concentration</w:t>
            </w:r>
          </w:p>
        </w:tc>
      </w:tr>
      <w:tr w:rsidR="00FF1BE5" w:rsidRPr="006319B1" w14:paraId="4211DD22" w14:textId="77777777" w:rsidTr="0035357B">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6F4E1" w:themeFill="accent3" w:themeFillTint="33"/>
          </w:tcPr>
          <w:p w14:paraId="7F1E222C" w14:textId="77777777" w:rsidR="00FF1BE5" w:rsidRPr="006319B1" w:rsidRDefault="00FF1BE5" w:rsidP="0035357B">
            <w:pPr>
              <w:jc w:val="left"/>
              <w:rPr>
                <w:rFonts w:asciiTheme="minorHAnsi" w:eastAsia="Times New Roman" w:hAnsiTheme="minorHAnsi" w:cstheme="minorHAnsi"/>
                <w:lang w:val="en-US"/>
              </w:rPr>
            </w:pPr>
            <w:r w:rsidRPr="006319B1">
              <w:rPr>
                <w:rFonts w:asciiTheme="minorHAnsi" w:eastAsia="Times New Roman" w:hAnsiTheme="minorHAnsi" w:cstheme="minorHAnsi"/>
                <w:lang w:val="en-US"/>
              </w:rPr>
              <w:t>Biotic</w:t>
            </w:r>
          </w:p>
        </w:tc>
      </w:tr>
      <w:tr w:rsidR="00FF1BE5" w:rsidRPr="006319B1" w14:paraId="64886D8F" w14:textId="77777777" w:rsidTr="00353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425D3173"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lang w:val="en-US"/>
              </w:rPr>
              <w:fldChar w:fldCharType="begin"/>
            </w:r>
            <w:r w:rsidRPr="006319B1">
              <w:rPr>
                <w:rFonts w:asciiTheme="minorHAnsi" w:eastAsia="Times New Roman" w:hAnsiTheme="minorHAnsi" w:cstheme="minorHAnsi"/>
                <w:b w:val="0"/>
                <w:lang w:val="en-US"/>
              </w:rPr>
              <w:instrText xml:space="preserve"> ASK  Change " "  \* MERGEFORMAT </w:instrText>
            </w:r>
            <w:r w:rsidRPr="006319B1">
              <w:rPr>
                <w:rFonts w:asciiTheme="minorHAnsi" w:eastAsia="Times New Roman" w:hAnsiTheme="minorHAnsi" w:cstheme="minorHAnsi"/>
                <w:lang w:val="en-US"/>
              </w:rPr>
              <w:fldChar w:fldCharType="separate"/>
            </w:r>
            <w:r w:rsidRPr="006319B1">
              <w:rPr>
                <w:rFonts w:asciiTheme="minorHAnsi" w:eastAsia="Times New Roman" w:hAnsiTheme="minorHAnsi" w:cstheme="minorHAnsi"/>
                <w:b w:val="0"/>
                <w:lang w:val="en-US"/>
              </w:rPr>
              <w:t>lkjklj</w:t>
            </w:r>
            <w:r w:rsidRPr="006319B1">
              <w:rPr>
                <w:rFonts w:asciiTheme="minorHAnsi" w:eastAsia="Times New Roman" w:hAnsiTheme="minorHAnsi" w:cstheme="minorHAnsi"/>
                <w:lang w:val="en-US"/>
              </w:rPr>
              <w:fldChar w:fldCharType="end"/>
            </w:r>
            <w:r w:rsidRPr="006319B1">
              <w:rPr>
                <w:rFonts w:asciiTheme="minorHAnsi" w:eastAsia="Times New Roman" w:hAnsiTheme="minorHAnsi" w:cstheme="minorHAnsi"/>
                <w:lang w:val="en-US"/>
              </w:rPr>
              <w:fldChar w:fldCharType="begin"/>
            </w:r>
            <w:r w:rsidRPr="006319B1">
              <w:rPr>
                <w:rFonts w:asciiTheme="minorHAnsi" w:eastAsia="Times New Roman" w:hAnsiTheme="minorHAnsi" w:cstheme="minorHAnsi"/>
                <w:b w:val="0"/>
                <w:lang w:val="en-US"/>
              </w:rPr>
              <w:instrText xml:space="preserve"> ASK  Change  \* MERGEFORMAT </w:instrText>
            </w:r>
            <w:r w:rsidRPr="006319B1">
              <w:rPr>
                <w:rFonts w:asciiTheme="minorHAnsi" w:eastAsia="Times New Roman" w:hAnsiTheme="minorHAnsi" w:cstheme="minorHAnsi"/>
                <w:lang w:val="en-US"/>
              </w:rPr>
              <w:fldChar w:fldCharType="separate"/>
            </w:r>
            <w:r w:rsidRPr="006319B1">
              <w:rPr>
                <w:rFonts w:asciiTheme="minorHAnsi" w:eastAsia="Times New Roman" w:hAnsiTheme="minorHAnsi" w:cstheme="minorHAnsi"/>
                <w:b w:val="0"/>
                <w:lang w:val="en-US"/>
              </w:rPr>
              <w:t>Change</w:t>
            </w:r>
            <w:r w:rsidRPr="006319B1">
              <w:rPr>
                <w:rFonts w:asciiTheme="minorHAnsi" w:eastAsia="Times New Roman" w:hAnsiTheme="minorHAnsi" w:cstheme="minorHAnsi"/>
                <w:lang w:val="en-US"/>
              </w:rPr>
              <w:fldChar w:fldCharType="end"/>
            </w:r>
            <w:r w:rsidRPr="006319B1">
              <w:rPr>
                <w:rFonts w:asciiTheme="minorHAnsi" w:eastAsia="Times New Roman" w:hAnsiTheme="minorHAnsi" w:cstheme="minorHAnsi"/>
                <w:b w:val="0"/>
                <w:lang w:val="en-US"/>
              </w:rPr>
              <w:t>Removal of vegetation</w:t>
            </w:r>
          </w:p>
        </w:tc>
        <w:tc>
          <w:tcPr>
            <w:cnfStyle w:val="000100000000" w:firstRow="0" w:lastRow="0" w:firstColumn="0" w:lastColumn="1" w:oddVBand="0" w:evenVBand="0" w:oddHBand="0" w:evenHBand="0" w:firstRowFirstColumn="0" w:firstRowLastColumn="0" w:lastRowFirstColumn="0" w:lastRowLastColumn="0"/>
            <w:tcW w:w="0" w:type="auto"/>
            <w:tcBorders>
              <w:top w:val="nil"/>
              <w:left w:val="single" w:sz="4" w:space="0" w:color="9CBEBD" w:themeColor="accent2"/>
            </w:tcBorders>
          </w:tcPr>
          <w:p w14:paraId="0C3EE94A"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Extent of vegetation</w:t>
            </w:r>
          </w:p>
        </w:tc>
      </w:tr>
      <w:tr w:rsidR="00FF1BE5" w:rsidRPr="006319B1" w14:paraId="2D83C388" w14:textId="77777777" w:rsidTr="003535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60DFF132"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Species removal</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0A34FABC"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Loss of species, species abundance, size distribution</w:t>
            </w:r>
          </w:p>
        </w:tc>
      </w:tr>
      <w:tr w:rsidR="00FF1BE5" w:rsidRPr="006319B1" w14:paraId="787AA485" w14:textId="77777777" w:rsidTr="00353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32F10BF4"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 xml:space="preserve">Invasive species </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6464576C" w14:textId="0CEA7E3F" w:rsidR="00FF1BE5" w:rsidRPr="006319B1" w:rsidRDefault="00FF1BE5" w:rsidP="0024298C">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Target species, abundance, density, distribution, presence/absence, extent, % cover</w:t>
            </w:r>
            <w:r w:rsidR="0024298C">
              <w:rPr>
                <w:rFonts w:asciiTheme="minorHAnsi" w:eastAsia="Times New Roman" w:hAnsiTheme="minorHAnsi" w:cstheme="minorHAnsi"/>
                <w:b w:val="0"/>
                <w:lang w:val="en-US"/>
              </w:rPr>
              <w:t>, impact on non-invasive species, ratio of invasive to non-invasive species</w:t>
            </w:r>
          </w:p>
        </w:tc>
      </w:tr>
      <w:tr w:rsidR="00FF1BE5" w:rsidRPr="006319B1" w14:paraId="34342930" w14:textId="77777777" w:rsidTr="003535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14067DCD" w14:textId="77777777" w:rsidR="00FF1BE5" w:rsidRPr="006319B1" w:rsidRDefault="00FF1BE5" w:rsidP="0035357B">
            <w:pPr>
              <w:jc w:val="left"/>
              <w:rPr>
                <w:rFonts w:asciiTheme="minorHAnsi" w:eastAsia="Times New Roman" w:hAnsiTheme="minorHAnsi" w:cstheme="minorHAnsi"/>
                <w:b w:val="0"/>
                <w:lang w:val="en-US"/>
              </w:rPr>
            </w:pPr>
            <w:r>
              <w:rPr>
                <w:rFonts w:asciiTheme="minorHAnsi" w:eastAsia="Times New Roman" w:hAnsiTheme="minorHAnsi" w:cstheme="minorHAnsi"/>
                <w:b w:val="0"/>
                <w:lang w:val="en-US"/>
              </w:rPr>
              <w:t xml:space="preserve">Translocation of species </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5814E222"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Vehicle traffic, new occurrences of species, visitation rates</w:t>
            </w:r>
          </w:p>
        </w:tc>
      </w:tr>
      <w:tr w:rsidR="00FF1BE5" w:rsidRPr="006319B1" w14:paraId="5977FF07" w14:textId="77777777" w:rsidTr="00353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501CF36C"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 xml:space="preserve">Pathogens </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01B3600A"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Target organism, counts</w:t>
            </w:r>
          </w:p>
        </w:tc>
      </w:tr>
      <w:tr w:rsidR="00FF1BE5" w:rsidRPr="006319B1" w14:paraId="1764762B" w14:textId="77777777" w:rsidTr="0035357B">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6F4E1" w:themeFill="accent3" w:themeFillTint="33"/>
          </w:tcPr>
          <w:p w14:paraId="6B7F8D81" w14:textId="77777777" w:rsidR="00FF1BE5" w:rsidRPr="006319B1" w:rsidRDefault="00FF1BE5" w:rsidP="0035357B">
            <w:pPr>
              <w:jc w:val="left"/>
              <w:rPr>
                <w:rFonts w:asciiTheme="minorHAnsi" w:eastAsia="Times New Roman" w:hAnsiTheme="minorHAnsi" w:cstheme="minorHAnsi"/>
                <w:lang w:val="en-US"/>
              </w:rPr>
            </w:pPr>
            <w:r w:rsidRPr="006319B1">
              <w:rPr>
                <w:rFonts w:asciiTheme="minorHAnsi" w:eastAsia="Times New Roman" w:hAnsiTheme="minorHAnsi" w:cstheme="minorHAnsi"/>
                <w:lang w:val="en-US"/>
              </w:rPr>
              <w:t>Connectivity</w:t>
            </w:r>
          </w:p>
        </w:tc>
      </w:tr>
      <w:tr w:rsidR="00FF1BE5" w:rsidRPr="006319B1" w14:paraId="220C5940" w14:textId="77777777" w:rsidTr="00353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0415FD1B"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 xml:space="preserve">Changed hydrological connectivity </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5A9BB219"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Number and/or extent of barriers</w:t>
            </w:r>
            <w:r>
              <w:rPr>
                <w:rFonts w:asciiTheme="minorHAnsi" w:eastAsia="Times New Roman" w:hAnsiTheme="minorHAnsi" w:cstheme="minorHAnsi"/>
                <w:b w:val="0"/>
                <w:lang w:val="en-US"/>
              </w:rPr>
              <w:t>, loss of cues</w:t>
            </w:r>
          </w:p>
        </w:tc>
      </w:tr>
      <w:tr w:rsidR="00FF1BE5" w:rsidRPr="006319B1" w14:paraId="240C46A3" w14:textId="77777777" w:rsidTr="003535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4EC8C2DE"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C</w:t>
            </w:r>
            <w:r>
              <w:rPr>
                <w:rFonts w:asciiTheme="minorHAnsi" w:eastAsia="Times New Roman" w:hAnsiTheme="minorHAnsi" w:cstheme="minorHAnsi"/>
                <w:b w:val="0"/>
                <w:lang w:val="en-US"/>
              </w:rPr>
              <w:t xml:space="preserve">hanged ecological connectivity </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bottom w:val="nil"/>
            </w:tcBorders>
          </w:tcPr>
          <w:p w14:paraId="06E89798" w14:textId="6468B3F5" w:rsidR="00FF1BE5" w:rsidRPr="006319B1" w:rsidRDefault="00FF1BE5" w:rsidP="00A33C58">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 xml:space="preserve">Extent of barriers </w:t>
            </w:r>
          </w:p>
        </w:tc>
      </w:tr>
      <w:tr w:rsidR="00FF1BE5" w:rsidRPr="006319B1" w14:paraId="134D1B9D" w14:textId="77777777" w:rsidTr="00353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6F4E1" w:themeFill="accent3" w:themeFillTint="33"/>
          </w:tcPr>
          <w:p w14:paraId="05FE9956" w14:textId="77777777" w:rsidR="00FF1BE5" w:rsidRPr="006319B1" w:rsidRDefault="00FF1BE5" w:rsidP="0035357B">
            <w:pPr>
              <w:jc w:val="left"/>
              <w:rPr>
                <w:rFonts w:asciiTheme="minorHAnsi" w:eastAsia="Times New Roman" w:hAnsiTheme="minorHAnsi" w:cstheme="minorHAnsi"/>
                <w:lang w:val="en-US"/>
              </w:rPr>
            </w:pPr>
            <w:r w:rsidRPr="006319B1">
              <w:rPr>
                <w:rFonts w:asciiTheme="minorHAnsi" w:eastAsia="Times New Roman" w:hAnsiTheme="minorHAnsi" w:cstheme="minorHAnsi"/>
                <w:lang w:val="en-US"/>
              </w:rPr>
              <w:t>Anthropogenic disturbance</w:t>
            </w:r>
          </w:p>
        </w:tc>
      </w:tr>
      <w:tr w:rsidR="00FF1BE5" w:rsidRPr="006319B1" w14:paraId="64677A99" w14:textId="77777777" w:rsidTr="003535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1028FF53"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human activity</w:t>
            </w:r>
          </w:p>
        </w:tc>
        <w:tc>
          <w:tcPr>
            <w:cnfStyle w:val="000100000000" w:firstRow="0" w:lastRow="0" w:firstColumn="0" w:lastColumn="1" w:oddVBand="0" w:evenVBand="0" w:oddHBand="0" w:evenHBand="0" w:firstRowFirstColumn="0" w:firstRowLastColumn="0" w:lastRowFirstColumn="0" w:lastRowLastColumn="0"/>
            <w:tcW w:w="0" w:type="auto"/>
            <w:tcBorders>
              <w:top w:val="nil"/>
              <w:left w:val="single" w:sz="4" w:space="0" w:color="9CBEBD" w:themeColor="accent2"/>
            </w:tcBorders>
          </w:tcPr>
          <w:p w14:paraId="0FD7C9DA" w14:textId="12597CFC"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Number of visitors/vehicles</w:t>
            </w:r>
            <w:r w:rsidR="001D7FFE">
              <w:rPr>
                <w:rFonts w:asciiTheme="minorHAnsi" w:eastAsia="Times New Roman" w:hAnsiTheme="minorHAnsi" w:cstheme="minorHAnsi"/>
                <w:b w:val="0"/>
                <w:lang w:val="en-US"/>
              </w:rPr>
              <w:t>, recreational activities, commercial and recreational harvesting of fish and shellfish</w:t>
            </w:r>
          </w:p>
        </w:tc>
      </w:tr>
      <w:tr w:rsidR="00FF1BE5" w:rsidRPr="006319B1" w14:paraId="3A0C6C15" w14:textId="77777777" w:rsidTr="00353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70D72794"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 xml:space="preserve">Physical disturbance </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09165D78"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Frequency, area of disturbance (trampling, pugging, vehicle damage), stocking rates</w:t>
            </w:r>
          </w:p>
        </w:tc>
      </w:tr>
      <w:tr w:rsidR="00FF1BE5" w:rsidRPr="006319B1" w14:paraId="755D8382" w14:textId="77777777" w:rsidTr="003535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9CBEBD" w:themeColor="accent2"/>
            </w:tcBorders>
          </w:tcPr>
          <w:p w14:paraId="099B30E8"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noise</w:t>
            </w:r>
          </w:p>
        </w:tc>
        <w:tc>
          <w:tcPr>
            <w:cnfStyle w:val="000100000000" w:firstRow="0" w:lastRow="0" w:firstColumn="0" w:lastColumn="1" w:oddVBand="0" w:evenVBand="0" w:oddHBand="0" w:evenHBand="0" w:firstRowFirstColumn="0" w:firstRowLastColumn="0" w:lastRowFirstColumn="0" w:lastRowLastColumn="0"/>
            <w:tcW w:w="0" w:type="auto"/>
            <w:tcBorders>
              <w:left w:val="single" w:sz="4" w:space="0" w:color="9CBEBD" w:themeColor="accent2"/>
            </w:tcBorders>
          </w:tcPr>
          <w:p w14:paraId="21AFEE81"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Decibels</w:t>
            </w:r>
          </w:p>
        </w:tc>
      </w:tr>
      <w:tr w:rsidR="00FF1BE5" w:rsidRPr="006319B1" w14:paraId="44FE2929" w14:textId="77777777" w:rsidTr="0035357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0" w:type="auto"/>
            <w:tcBorders>
              <w:top w:val="single" w:sz="4" w:space="0" w:color="9CBEBD" w:themeColor="accent2"/>
              <w:bottom w:val="single" w:sz="4" w:space="0" w:color="9CBEBD" w:themeColor="accent2"/>
              <w:right w:val="single" w:sz="4" w:space="0" w:color="9CBEBD" w:themeColor="accent2"/>
            </w:tcBorders>
          </w:tcPr>
          <w:p w14:paraId="1F8AF85B"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Increased rubbish/litter</w:t>
            </w:r>
          </w:p>
        </w:tc>
        <w:tc>
          <w:tcPr>
            <w:cnfStyle w:val="000100000010" w:firstRow="0" w:lastRow="0" w:firstColumn="0" w:lastColumn="1" w:oddVBand="0" w:evenVBand="0" w:oddHBand="0" w:evenHBand="0" w:firstRowFirstColumn="0" w:firstRowLastColumn="0" w:lastRowFirstColumn="0" w:lastRowLastColumn="1"/>
            <w:tcW w:w="0" w:type="auto"/>
            <w:tcBorders>
              <w:top w:val="single" w:sz="4" w:space="0" w:color="9CBEBD" w:themeColor="accent2"/>
              <w:left w:val="single" w:sz="4" w:space="0" w:color="9CBEBD" w:themeColor="accent2"/>
              <w:bottom w:val="single" w:sz="4" w:space="0" w:color="9CBEBD" w:themeColor="accent2"/>
            </w:tcBorders>
          </w:tcPr>
          <w:p w14:paraId="316684B7" w14:textId="77777777" w:rsidR="00FF1BE5" w:rsidRPr="006319B1" w:rsidRDefault="00FF1BE5" w:rsidP="0035357B">
            <w:pPr>
              <w:jc w:val="left"/>
              <w:rPr>
                <w:rFonts w:asciiTheme="minorHAnsi" w:eastAsia="Times New Roman" w:hAnsiTheme="minorHAnsi" w:cstheme="minorHAnsi"/>
                <w:b w:val="0"/>
                <w:lang w:val="en-US"/>
              </w:rPr>
            </w:pPr>
            <w:r w:rsidRPr="006319B1">
              <w:rPr>
                <w:rFonts w:asciiTheme="minorHAnsi" w:eastAsia="Times New Roman" w:hAnsiTheme="minorHAnsi" w:cstheme="minorHAnsi"/>
                <w:b w:val="0"/>
                <w:lang w:val="en-US"/>
              </w:rPr>
              <w:t>Observational – standing stock, accumulation rates</w:t>
            </w:r>
          </w:p>
        </w:tc>
      </w:tr>
    </w:tbl>
    <w:p w14:paraId="370DB085" w14:textId="1A8361E5" w:rsidR="00816CE6" w:rsidRDefault="00816CE6"/>
    <w:p w14:paraId="191B5019" w14:textId="250785BD" w:rsidR="0099176E" w:rsidRDefault="0099176E">
      <w:r>
        <w:br w:type="page"/>
      </w:r>
    </w:p>
    <w:p w14:paraId="6F0EDC2E" w14:textId="77777777" w:rsidR="0099176E" w:rsidRDefault="0099176E" w:rsidP="0099176E">
      <w:pPr>
        <w:pStyle w:val="Heading1"/>
        <w:numPr>
          <w:ilvl w:val="0"/>
          <w:numId w:val="0"/>
        </w:numPr>
        <w:ind w:left="432" w:hanging="432"/>
        <w:rPr>
          <w:rFonts w:asciiTheme="minorHAnsi" w:hAnsiTheme="minorHAnsi" w:cstheme="minorHAnsi"/>
          <w:sz w:val="20"/>
        </w:rPr>
      </w:pPr>
      <w:bookmarkStart w:id="181" w:name="_Toc493774260"/>
      <w:r w:rsidRPr="00896051">
        <w:lastRenderedPageBreak/>
        <w:t>Appendix G</w:t>
      </w:r>
      <w:r>
        <w:t>: Advantages and disadvantages of different taxa as indicators for assessing condition</w:t>
      </w:r>
      <w:bookmarkEnd w:id="181"/>
      <w:r w:rsidRPr="00896051">
        <w:t xml:space="preserve"> </w:t>
      </w:r>
      <w:bookmarkStart w:id="182" w:name="_Toc27562282"/>
    </w:p>
    <w:p w14:paraId="3313A14B" w14:textId="7245479C" w:rsidR="0099176E" w:rsidRPr="001728CF" w:rsidRDefault="0099176E" w:rsidP="0099176E">
      <w:pPr>
        <w:rPr>
          <w:rFonts w:asciiTheme="minorHAnsi" w:hAnsiTheme="minorHAnsi" w:cstheme="minorHAnsi"/>
        </w:rPr>
      </w:pPr>
      <w:r>
        <w:rPr>
          <w:rFonts w:asciiTheme="minorHAnsi" w:hAnsiTheme="minorHAnsi" w:cstheme="minorHAnsi"/>
        </w:rPr>
        <w:t>Modified f</w:t>
      </w:r>
      <w:r w:rsidRPr="001728CF">
        <w:rPr>
          <w:rFonts w:asciiTheme="minorHAnsi" w:hAnsiTheme="minorHAnsi" w:cstheme="minorHAnsi"/>
        </w:rPr>
        <w:t>rom</w:t>
      </w:r>
      <w:r>
        <w:rPr>
          <w:rFonts w:asciiTheme="minorHAnsi" w:hAnsiTheme="minorHAnsi" w:cstheme="minorHAnsi"/>
        </w:rPr>
        <w:t>:</w:t>
      </w:r>
      <w:r w:rsidRPr="001728CF">
        <w:rPr>
          <w:rFonts w:asciiTheme="minorHAnsi" w:hAnsiTheme="minorHAnsi" w:cstheme="minorHAnsi"/>
        </w:rPr>
        <w:t xml:space="preserve"> </w:t>
      </w:r>
      <w:bookmarkEnd w:id="182"/>
      <w:r w:rsidRPr="0099176E">
        <w:rPr>
          <w:rFonts w:asciiTheme="minorHAnsi" w:hAnsiTheme="minorHAnsi" w:cstheme="minorHAnsi"/>
          <w:i/>
        </w:rPr>
        <w:t>Butcher, R. J. (2003). Options for the assessment and monitoring of wetland condition in Victoria</w:t>
      </w:r>
      <w:r w:rsidRPr="0099176E">
        <w:rPr>
          <w:rFonts w:asciiTheme="minorHAnsi" w:hAnsiTheme="minorHAnsi" w:cstheme="minorHAnsi"/>
        </w:rPr>
        <w:t xml:space="preserve">. </w:t>
      </w:r>
    </w:p>
    <w:p w14:paraId="143EF30B"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sidRPr="001728CF">
        <w:rPr>
          <w:rFonts w:asciiTheme="minorHAnsi" w:hAnsiTheme="minorHAnsi" w:cstheme="minorHAnsi"/>
          <w:b/>
          <w:sz w:val="24"/>
          <w:szCs w:val="24"/>
        </w:rPr>
        <w:t>Microbial Communities</w:t>
      </w:r>
    </w:p>
    <w:p w14:paraId="4DFEAD36"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3E47BDA5" w14:textId="77777777" w:rsidR="0099176E" w:rsidRPr="001728CF" w:rsidRDefault="0099176E" w:rsidP="00DA2C26">
      <w:pPr>
        <w:numPr>
          <w:ilvl w:val="0"/>
          <w:numId w:val="80"/>
        </w:numPr>
        <w:spacing w:after="0" w:line="240" w:lineRule="auto"/>
        <w:jc w:val="left"/>
        <w:rPr>
          <w:rFonts w:asciiTheme="minorHAnsi" w:hAnsiTheme="minorHAnsi" w:cstheme="minorHAnsi"/>
        </w:rPr>
      </w:pPr>
      <w:r>
        <w:rPr>
          <w:rFonts w:asciiTheme="minorHAnsi" w:hAnsiTheme="minorHAnsi" w:cstheme="minorHAnsi"/>
        </w:rPr>
        <w:t>T</w:t>
      </w:r>
      <w:r w:rsidRPr="001728CF">
        <w:rPr>
          <w:rFonts w:asciiTheme="minorHAnsi" w:hAnsiTheme="minorHAnsi" w:cstheme="minorHAnsi"/>
        </w:rPr>
        <w:t>ight linkage to fundamental processes (e.g., decomposition, denitrification, respiration)</w:t>
      </w:r>
    </w:p>
    <w:p w14:paraId="6143324A" w14:textId="77777777" w:rsidR="0099176E" w:rsidRPr="001728CF" w:rsidRDefault="0099176E" w:rsidP="00DA2C26">
      <w:pPr>
        <w:numPr>
          <w:ilvl w:val="0"/>
          <w:numId w:val="79"/>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amples easily collected, transported, and analysed</w:t>
      </w:r>
    </w:p>
    <w:p w14:paraId="69ED286E" w14:textId="77777777" w:rsidR="0099176E" w:rsidRPr="001728CF" w:rsidRDefault="0099176E" w:rsidP="00DA2C26">
      <w:pPr>
        <w:numPr>
          <w:ilvl w:val="0"/>
          <w:numId w:val="79"/>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ome taxa linked to animal welfare (e.g. streptococci)</w:t>
      </w:r>
    </w:p>
    <w:p w14:paraId="4A350536" w14:textId="77777777" w:rsidR="0099176E" w:rsidRPr="001728CF" w:rsidRDefault="0099176E" w:rsidP="00DA2C26">
      <w:pPr>
        <w:numPr>
          <w:ilvl w:val="0"/>
          <w:numId w:val="79"/>
        </w:numPr>
        <w:spacing w:after="0" w:line="240" w:lineRule="auto"/>
        <w:jc w:val="left"/>
        <w:rPr>
          <w:rFonts w:asciiTheme="minorHAnsi" w:hAnsiTheme="minorHAnsi" w:cstheme="minorHAnsi"/>
        </w:rPr>
      </w:pPr>
      <w:r>
        <w:rPr>
          <w:rFonts w:asciiTheme="minorHAnsi" w:hAnsiTheme="minorHAnsi" w:cstheme="minorHAnsi"/>
        </w:rPr>
        <w:t>I</w:t>
      </w:r>
      <w:r w:rsidRPr="001728CF">
        <w:rPr>
          <w:rFonts w:asciiTheme="minorHAnsi" w:hAnsiTheme="minorHAnsi" w:cstheme="minorHAnsi"/>
        </w:rPr>
        <w:t>mmediate response to contamination</w:t>
      </w:r>
    </w:p>
    <w:p w14:paraId="6F15CF1E" w14:textId="77777777" w:rsidR="0099176E" w:rsidRPr="001728CF" w:rsidRDefault="0099176E" w:rsidP="00DA2C26">
      <w:pPr>
        <w:numPr>
          <w:ilvl w:val="0"/>
          <w:numId w:val="79"/>
        </w:numPr>
        <w:spacing w:after="0" w:line="240" w:lineRule="auto"/>
        <w:jc w:val="left"/>
        <w:rPr>
          <w:rFonts w:asciiTheme="minorHAnsi" w:hAnsiTheme="minorHAnsi" w:cstheme="minorHAnsi"/>
        </w:rPr>
      </w:pPr>
      <w:r>
        <w:rPr>
          <w:rFonts w:asciiTheme="minorHAnsi" w:hAnsiTheme="minorHAnsi" w:cstheme="minorHAnsi"/>
        </w:rPr>
        <w:t>M</w:t>
      </w:r>
      <w:r w:rsidRPr="001728CF">
        <w:rPr>
          <w:rFonts w:asciiTheme="minorHAnsi" w:hAnsiTheme="minorHAnsi" w:cstheme="minorHAnsi"/>
        </w:rPr>
        <w:t>easurable in wetlands which lack surface water</w:t>
      </w:r>
    </w:p>
    <w:p w14:paraId="32B79E52" w14:textId="77777777" w:rsidR="0099176E" w:rsidRPr="001728CF" w:rsidRDefault="0099176E" w:rsidP="00DA2C26">
      <w:pPr>
        <w:numPr>
          <w:ilvl w:val="0"/>
          <w:numId w:val="79"/>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ensitive to presence of some contaminants (e.g. Ames test, Microtox test)</w:t>
      </w:r>
    </w:p>
    <w:p w14:paraId="49418355" w14:textId="77777777" w:rsidR="0099176E" w:rsidRPr="001728CF" w:rsidRDefault="0099176E" w:rsidP="00DA2C26">
      <w:pPr>
        <w:numPr>
          <w:ilvl w:val="0"/>
          <w:numId w:val="79"/>
        </w:numPr>
        <w:spacing w:after="0" w:line="240" w:lineRule="auto"/>
        <w:jc w:val="left"/>
        <w:rPr>
          <w:rFonts w:asciiTheme="minorHAnsi" w:hAnsiTheme="minorHAnsi" w:cstheme="minorHAnsi"/>
        </w:rPr>
      </w:pPr>
      <w:r w:rsidRPr="001728CF">
        <w:rPr>
          <w:rFonts w:asciiTheme="minorHAnsi" w:hAnsiTheme="minorHAnsi" w:cstheme="minorHAnsi"/>
        </w:rPr>
        <w:t>"indicator taxa" relatively well-known (especially protozoans)</w:t>
      </w:r>
    </w:p>
    <w:p w14:paraId="71584205" w14:textId="77777777" w:rsidR="0099176E" w:rsidRPr="001728CF" w:rsidRDefault="0099176E" w:rsidP="00DA2C26">
      <w:pPr>
        <w:numPr>
          <w:ilvl w:val="0"/>
          <w:numId w:val="79"/>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ome culture bioassay data are available</w:t>
      </w:r>
    </w:p>
    <w:p w14:paraId="61E9BA77" w14:textId="77777777" w:rsidR="0099176E" w:rsidRPr="001728CF" w:rsidRDefault="0099176E" w:rsidP="0099176E">
      <w:pPr>
        <w:spacing w:after="0" w:line="240" w:lineRule="auto"/>
        <w:rPr>
          <w:rFonts w:asciiTheme="minorHAnsi" w:hAnsiTheme="minorHAnsi" w:cstheme="minorHAnsi"/>
        </w:rPr>
      </w:pPr>
    </w:p>
    <w:p w14:paraId="5EA362C9"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3D11A704" w14:textId="77777777" w:rsidR="0099176E" w:rsidRPr="001728CF" w:rsidRDefault="0099176E" w:rsidP="00DA2C26">
      <w:pPr>
        <w:numPr>
          <w:ilvl w:val="0"/>
          <w:numId w:val="81"/>
        </w:numPr>
        <w:spacing w:after="0" w:line="240" w:lineRule="auto"/>
        <w:jc w:val="left"/>
        <w:rPr>
          <w:rFonts w:asciiTheme="minorHAnsi" w:hAnsiTheme="minorHAnsi" w:cstheme="minorHAnsi"/>
        </w:rPr>
      </w:pPr>
      <w:r>
        <w:rPr>
          <w:rFonts w:asciiTheme="minorHAnsi" w:hAnsiTheme="minorHAnsi" w:cstheme="minorHAnsi"/>
        </w:rPr>
        <w:t>R</w:t>
      </w:r>
      <w:r w:rsidRPr="001728CF">
        <w:rPr>
          <w:rFonts w:asciiTheme="minorHAnsi" w:hAnsiTheme="minorHAnsi" w:cstheme="minorHAnsi"/>
        </w:rPr>
        <w:t>esponse is often not identifiably stressor-specific</w:t>
      </w:r>
    </w:p>
    <w:p w14:paraId="694110CE" w14:textId="77777777" w:rsidR="0099176E" w:rsidRPr="001728CF" w:rsidRDefault="0099176E" w:rsidP="00DA2C26">
      <w:pPr>
        <w:numPr>
          <w:ilvl w:val="0"/>
          <w:numId w:val="81"/>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aborious and slow (plate culture) identification; process measurements difficult to interpret with regard to ecological significance</w:t>
      </w:r>
    </w:p>
    <w:p w14:paraId="002E8C33" w14:textId="77777777" w:rsidR="0099176E" w:rsidRPr="001728CF" w:rsidRDefault="0099176E" w:rsidP="00DA2C26">
      <w:pPr>
        <w:numPr>
          <w:ilvl w:val="0"/>
          <w:numId w:val="81"/>
        </w:numPr>
        <w:spacing w:after="0" w:line="240" w:lineRule="auto"/>
        <w:jc w:val="left"/>
        <w:rPr>
          <w:rFonts w:asciiTheme="minorHAnsi" w:hAnsiTheme="minorHAnsi" w:cstheme="minorHAnsi"/>
        </w:rPr>
      </w:pPr>
      <w:r>
        <w:rPr>
          <w:rFonts w:asciiTheme="minorHAnsi" w:hAnsiTheme="minorHAnsi" w:cstheme="minorHAnsi"/>
        </w:rPr>
        <w:t>G</w:t>
      </w:r>
      <w:r w:rsidRPr="001728CF">
        <w:rPr>
          <w:rFonts w:asciiTheme="minorHAnsi" w:hAnsiTheme="minorHAnsi" w:cstheme="minorHAnsi"/>
        </w:rPr>
        <w:t>eneral absence of existing regional field databases</w:t>
      </w:r>
    </w:p>
    <w:p w14:paraId="14C54072" w14:textId="77777777" w:rsidR="0099176E" w:rsidRPr="001728CF" w:rsidRDefault="0099176E" w:rsidP="00DA2C26">
      <w:pPr>
        <w:numPr>
          <w:ilvl w:val="0"/>
          <w:numId w:val="81"/>
        </w:numPr>
        <w:spacing w:after="0" w:line="240" w:lineRule="auto"/>
        <w:jc w:val="left"/>
        <w:rPr>
          <w:rFonts w:asciiTheme="minorHAnsi" w:hAnsiTheme="minorHAnsi" w:cstheme="minorHAnsi"/>
        </w:rPr>
      </w:pPr>
      <w:r>
        <w:rPr>
          <w:rFonts w:asciiTheme="minorHAnsi" w:hAnsiTheme="minorHAnsi" w:cstheme="minorHAnsi"/>
        </w:rPr>
        <w:t>R</w:t>
      </w:r>
      <w:r w:rsidRPr="001728CF">
        <w:rPr>
          <w:rFonts w:asciiTheme="minorHAnsi" w:hAnsiTheme="minorHAnsi" w:cstheme="minorHAnsi"/>
        </w:rPr>
        <w:t>apid turnover requires frequent sampling; do not integrate conditions over time very well</w:t>
      </w:r>
    </w:p>
    <w:p w14:paraId="6E460691" w14:textId="77777777" w:rsidR="0099176E" w:rsidRPr="001728CF" w:rsidRDefault="0099176E" w:rsidP="00DA2C26">
      <w:pPr>
        <w:numPr>
          <w:ilvl w:val="0"/>
          <w:numId w:val="81"/>
        </w:numPr>
        <w:spacing w:after="0" w:line="240" w:lineRule="auto"/>
        <w:jc w:val="left"/>
        <w:rPr>
          <w:rFonts w:asciiTheme="minorHAnsi" w:hAnsiTheme="minorHAnsi" w:cstheme="minorHAnsi"/>
        </w:rPr>
      </w:pPr>
      <w:r>
        <w:rPr>
          <w:rFonts w:asciiTheme="minorHAnsi" w:hAnsiTheme="minorHAnsi" w:cstheme="minorHAnsi"/>
        </w:rPr>
        <w:t>N</w:t>
      </w:r>
      <w:r w:rsidRPr="001728CF">
        <w:rPr>
          <w:rFonts w:asciiTheme="minorHAnsi" w:hAnsiTheme="minorHAnsi" w:cstheme="minorHAnsi"/>
        </w:rPr>
        <w:t>aturally great micro-spatial variation, especially in tidal wetlands</w:t>
      </w:r>
    </w:p>
    <w:p w14:paraId="0F76D6E1" w14:textId="77777777" w:rsidR="0099176E" w:rsidRPr="001728CF" w:rsidRDefault="0099176E" w:rsidP="00DA2C26">
      <w:pPr>
        <w:numPr>
          <w:ilvl w:val="0"/>
          <w:numId w:val="81"/>
        </w:numPr>
        <w:spacing w:after="0" w:line="240" w:lineRule="auto"/>
        <w:jc w:val="left"/>
        <w:rPr>
          <w:rFonts w:asciiTheme="minorHAnsi" w:hAnsiTheme="minorHAnsi" w:cstheme="minorHAnsi"/>
        </w:rPr>
      </w:pPr>
      <w:r>
        <w:rPr>
          <w:rFonts w:asciiTheme="minorHAnsi" w:hAnsiTheme="minorHAnsi" w:cstheme="minorHAnsi"/>
        </w:rPr>
        <w:t>D</w:t>
      </w:r>
      <w:r w:rsidRPr="001728CF">
        <w:rPr>
          <w:rFonts w:asciiTheme="minorHAnsi" w:hAnsiTheme="minorHAnsi" w:cstheme="minorHAnsi"/>
        </w:rPr>
        <w:t>rifting cells in riverine wetlands complicate interpretation</w:t>
      </w:r>
    </w:p>
    <w:p w14:paraId="5D1E387F" w14:textId="77777777" w:rsidR="0099176E" w:rsidRPr="001728CF" w:rsidRDefault="0099176E" w:rsidP="00DA2C26">
      <w:pPr>
        <w:numPr>
          <w:ilvl w:val="0"/>
          <w:numId w:val="81"/>
        </w:numPr>
        <w:spacing w:after="0" w:line="240" w:lineRule="auto"/>
        <w:jc w:val="left"/>
        <w:rPr>
          <w:rFonts w:asciiTheme="minorHAnsi" w:hAnsiTheme="minorHAnsi" w:cstheme="minorHAnsi"/>
        </w:rPr>
      </w:pPr>
      <w:r>
        <w:rPr>
          <w:rFonts w:asciiTheme="minorHAnsi" w:hAnsiTheme="minorHAnsi" w:cstheme="minorHAnsi"/>
        </w:rPr>
        <w:t>Lo</w:t>
      </w:r>
      <w:r w:rsidRPr="001728CF">
        <w:rPr>
          <w:rFonts w:asciiTheme="minorHAnsi" w:hAnsiTheme="minorHAnsi" w:cstheme="minorHAnsi"/>
        </w:rPr>
        <w:t>w social recognition of their importance</w:t>
      </w:r>
    </w:p>
    <w:p w14:paraId="6B6A5A44" w14:textId="77777777" w:rsidR="0099176E" w:rsidRPr="001728CF" w:rsidRDefault="0099176E" w:rsidP="00DA2C26">
      <w:pPr>
        <w:numPr>
          <w:ilvl w:val="0"/>
          <w:numId w:val="81"/>
        </w:numPr>
        <w:spacing w:after="0" w:line="240" w:lineRule="auto"/>
        <w:jc w:val="left"/>
        <w:rPr>
          <w:rFonts w:asciiTheme="minorHAnsi" w:hAnsiTheme="minorHAnsi" w:cstheme="minorHAnsi"/>
        </w:rPr>
      </w:pPr>
      <w:r>
        <w:rPr>
          <w:rFonts w:asciiTheme="minorHAnsi" w:hAnsiTheme="minorHAnsi" w:cstheme="minorHAnsi"/>
        </w:rPr>
        <w:t>B</w:t>
      </w:r>
      <w:r w:rsidRPr="001728CF">
        <w:rPr>
          <w:rFonts w:asciiTheme="minorHAnsi" w:hAnsiTheme="minorHAnsi" w:cstheme="minorHAnsi"/>
        </w:rPr>
        <w:t>ioaccumulation is irrelevant and impractical to detect</w:t>
      </w:r>
    </w:p>
    <w:p w14:paraId="6A15E5C0" w14:textId="77777777" w:rsidR="0099176E" w:rsidRPr="001728CF" w:rsidRDefault="0099176E" w:rsidP="0099176E">
      <w:pPr>
        <w:spacing w:after="0" w:line="240" w:lineRule="auto"/>
        <w:rPr>
          <w:rFonts w:asciiTheme="minorHAnsi" w:hAnsiTheme="minorHAnsi" w:cstheme="minorHAnsi"/>
        </w:rPr>
      </w:pPr>
    </w:p>
    <w:p w14:paraId="651BEB1D"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sidRPr="001728CF">
        <w:rPr>
          <w:rFonts w:asciiTheme="minorHAnsi" w:hAnsiTheme="minorHAnsi" w:cstheme="minorHAnsi"/>
          <w:b/>
          <w:sz w:val="24"/>
          <w:szCs w:val="24"/>
        </w:rPr>
        <w:t>Algae</w:t>
      </w:r>
    </w:p>
    <w:p w14:paraId="7B1794BE"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52B23BBA" w14:textId="77777777" w:rsidR="0099176E" w:rsidRPr="001728CF" w:rsidRDefault="0099176E" w:rsidP="00DA2C26">
      <w:pPr>
        <w:numPr>
          <w:ilvl w:val="0"/>
          <w:numId w:val="82"/>
        </w:numPr>
        <w:spacing w:after="0" w:line="240" w:lineRule="auto"/>
        <w:jc w:val="left"/>
        <w:rPr>
          <w:rFonts w:asciiTheme="minorHAnsi" w:hAnsiTheme="minorHAnsi" w:cstheme="minorHAnsi"/>
        </w:rPr>
      </w:pPr>
      <w:r>
        <w:rPr>
          <w:rFonts w:asciiTheme="minorHAnsi" w:hAnsiTheme="minorHAnsi" w:cstheme="minorHAnsi"/>
        </w:rPr>
        <w:t>T</w:t>
      </w:r>
      <w:r w:rsidRPr="001728CF">
        <w:rPr>
          <w:rFonts w:asciiTheme="minorHAnsi" w:hAnsiTheme="minorHAnsi" w:cstheme="minorHAnsi"/>
        </w:rPr>
        <w:t>ight linkage to fundamental processes (e.g. photosynthesis, respiration)</w:t>
      </w:r>
    </w:p>
    <w:p w14:paraId="1AAA2E68" w14:textId="77777777" w:rsidR="0099176E" w:rsidRPr="001728CF" w:rsidRDefault="0099176E" w:rsidP="00DA2C26">
      <w:pPr>
        <w:numPr>
          <w:ilvl w:val="0"/>
          <w:numId w:val="82"/>
        </w:numPr>
        <w:spacing w:after="0" w:line="240" w:lineRule="auto"/>
        <w:jc w:val="left"/>
        <w:rPr>
          <w:rFonts w:asciiTheme="minorHAnsi" w:hAnsiTheme="minorHAnsi" w:cstheme="minorHAnsi"/>
        </w:rPr>
      </w:pPr>
      <w:r>
        <w:rPr>
          <w:rFonts w:asciiTheme="minorHAnsi" w:hAnsiTheme="minorHAnsi" w:cstheme="minorHAnsi"/>
        </w:rPr>
        <w:t>P</w:t>
      </w:r>
      <w:r w:rsidRPr="001728CF">
        <w:rPr>
          <w:rFonts w:asciiTheme="minorHAnsi" w:hAnsiTheme="minorHAnsi" w:cstheme="minorHAnsi"/>
        </w:rPr>
        <w:t>ivotal relationships in food webs</w:t>
      </w:r>
    </w:p>
    <w:p w14:paraId="0DC30B79" w14:textId="77777777" w:rsidR="0099176E" w:rsidRPr="001728CF" w:rsidRDefault="0099176E" w:rsidP="00DA2C26">
      <w:pPr>
        <w:numPr>
          <w:ilvl w:val="0"/>
          <w:numId w:val="82"/>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imple biomass indicators</w:t>
      </w:r>
    </w:p>
    <w:p w14:paraId="0E9BE392" w14:textId="77777777" w:rsidR="0099176E" w:rsidRPr="001728CF" w:rsidRDefault="0099176E" w:rsidP="00DA2C26">
      <w:pPr>
        <w:numPr>
          <w:ilvl w:val="0"/>
          <w:numId w:val="82"/>
        </w:numPr>
        <w:spacing w:after="0" w:line="240" w:lineRule="auto"/>
        <w:jc w:val="left"/>
        <w:rPr>
          <w:rFonts w:asciiTheme="minorHAnsi" w:hAnsiTheme="minorHAnsi" w:cstheme="minorHAnsi"/>
        </w:rPr>
      </w:pPr>
      <w:r>
        <w:rPr>
          <w:rFonts w:asciiTheme="minorHAnsi" w:hAnsiTheme="minorHAnsi" w:cstheme="minorHAnsi"/>
        </w:rPr>
        <w:t>M</w:t>
      </w:r>
      <w:r w:rsidRPr="001728CF">
        <w:rPr>
          <w:rFonts w:asciiTheme="minorHAnsi" w:hAnsiTheme="minorHAnsi" w:cstheme="minorHAnsi"/>
        </w:rPr>
        <w:t>easurable in some wetlands which lack surface water</w:t>
      </w:r>
    </w:p>
    <w:p w14:paraId="0D761DE0" w14:textId="77777777" w:rsidR="0099176E" w:rsidRPr="001728CF" w:rsidRDefault="0099176E" w:rsidP="00DA2C26">
      <w:pPr>
        <w:numPr>
          <w:ilvl w:val="0"/>
          <w:numId w:val="82"/>
        </w:numPr>
        <w:spacing w:after="0" w:line="240" w:lineRule="auto"/>
        <w:jc w:val="left"/>
        <w:rPr>
          <w:rFonts w:asciiTheme="minorHAnsi" w:hAnsiTheme="minorHAnsi" w:cstheme="minorHAnsi"/>
        </w:rPr>
      </w:pPr>
      <w:r>
        <w:rPr>
          <w:rFonts w:asciiTheme="minorHAnsi" w:hAnsiTheme="minorHAnsi" w:cstheme="minorHAnsi"/>
        </w:rPr>
        <w:t>T</w:t>
      </w:r>
      <w:r w:rsidRPr="001728CF">
        <w:rPr>
          <w:rFonts w:asciiTheme="minorHAnsi" w:hAnsiTheme="minorHAnsi" w:cstheme="minorHAnsi"/>
        </w:rPr>
        <w:t>olerances and indicator value are relatively well-known, particularly to nutrients, and most are very sensitive to herbicides, respond well to water quality variables such as nutrients, pH, alkalinity, metals and temperature</w:t>
      </w:r>
    </w:p>
    <w:p w14:paraId="0764D8F2" w14:textId="77777777" w:rsidR="0099176E" w:rsidRPr="001728CF" w:rsidRDefault="0099176E" w:rsidP="00DA2C26">
      <w:pPr>
        <w:numPr>
          <w:ilvl w:val="0"/>
          <w:numId w:val="82"/>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imple collection procedures with minimal wetland impact</w:t>
      </w:r>
    </w:p>
    <w:p w14:paraId="42E362BA" w14:textId="77777777" w:rsidR="0099176E" w:rsidRPr="001728CF" w:rsidRDefault="0099176E" w:rsidP="00DA2C26">
      <w:pPr>
        <w:numPr>
          <w:ilvl w:val="0"/>
          <w:numId w:val="82"/>
        </w:numPr>
        <w:spacing w:after="0" w:line="240" w:lineRule="auto"/>
        <w:jc w:val="left"/>
        <w:rPr>
          <w:rFonts w:asciiTheme="minorHAnsi" w:hAnsiTheme="minorHAnsi" w:cstheme="minorHAnsi"/>
        </w:rPr>
      </w:pPr>
      <w:r>
        <w:rPr>
          <w:rFonts w:asciiTheme="minorHAnsi" w:hAnsiTheme="minorHAnsi" w:cstheme="minorHAnsi"/>
        </w:rPr>
        <w:t>I</w:t>
      </w:r>
      <w:r w:rsidRPr="001728CF">
        <w:rPr>
          <w:rFonts w:asciiTheme="minorHAnsi" w:hAnsiTheme="minorHAnsi" w:cstheme="minorHAnsi"/>
        </w:rPr>
        <w:t>dentification rapid to division and family level</w:t>
      </w:r>
    </w:p>
    <w:p w14:paraId="284F56DC" w14:textId="77777777" w:rsidR="0099176E" w:rsidRPr="001728CF" w:rsidRDefault="0099176E" w:rsidP="00DA2C26">
      <w:pPr>
        <w:numPr>
          <w:ilvl w:val="0"/>
          <w:numId w:val="82"/>
        </w:numPr>
        <w:spacing w:after="0" w:line="240" w:lineRule="auto"/>
        <w:jc w:val="left"/>
        <w:rPr>
          <w:rFonts w:asciiTheme="minorHAnsi" w:hAnsiTheme="minorHAnsi" w:cstheme="minorHAnsi"/>
        </w:rPr>
      </w:pPr>
      <w:r>
        <w:rPr>
          <w:rFonts w:asciiTheme="minorHAnsi" w:hAnsiTheme="minorHAnsi" w:cstheme="minorHAnsi"/>
        </w:rPr>
        <w:t>R</w:t>
      </w:r>
      <w:r w:rsidRPr="001728CF">
        <w:rPr>
          <w:rFonts w:asciiTheme="minorHAnsi" w:hAnsiTheme="minorHAnsi" w:cstheme="minorHAnsi"/>
        </w:rPr>
        <w:t>esponse to stressors is usually immediate</w:t>
      </w:r>
    </w:p>
    <w:p w14:paraId="06C3EEDF" w14:textId="77777777" w:rsidR="0099176E" w:rsidRPr="001728CF" w:rsidRDefault="0099176E" w:rsidP="00DA2C26">
      <w:pPr>
        <w:numPr>
          <w:ilvl w:val="0"/>
          <w:numId w:val="82"/>
        </w:numPr>
        <w:spacing w:after="0" w:line="240" w:lineRule="auto"/>
        <w:jc w:val="left"/>
        <w:rPr>
          <w:rFonts w:asciiTheme="minorHAnsi" w:hAnsiTheme="minorHAnsi" w:cstheme="minorHAnsi"/>
        </w:rPr>
      </w:pPr>
      <w:r>
        <w:rPr>
          <w:rFonts w:asciiTheme="minorHAnsi" w:hAnsiTheme="minorHAnsi" w:cstheme="minorHAnsi"/>
        </w:rPr>
        <w:t>H</w:t>
      </w:r>
      <w:r w:rsidRPr="001728CF">
        <w:rPr>
          <w:rFonts w:asciiTheme="minorHAnsi" w:hAnsiTheme="minorHAnsi" w:cstheme="minorHAnsi"/>
        </w:rPr>
        <w:t>istoric and prehistoric record in sediment diatoms</w:t>
      </w:r>
    </w:p>
    <w:p w14:paraId="25AF964A" w14:textId="77777777" w:rsidR="0099176E" w:rsidRPr="001728CF" w:rsidRDefault="0099176E" w:rsidP="00DA2C26">
      <w:pPr>
        <w:numPr>
          <w:ilvl w:val="0"/>
          <w:numId w:val="82"/>
        </w:numPr>
        <w:spacing w:after="0" w:line="240" w:lineRule="auto"/>
        <w:jc w:val="left"/>
        <w:rPr>
          <w:rFonts w:asciiTheme="minorHAnsi" w:hAnsiTheme="minorHAnsi" w:cstheme="minorHAnsi"/>
        </w:rPr>
      </w:pPr>
      <w:r>
        <w:rPr>
          <w:rFonts w:asciiTheme="minorHAnsi" w:hAnsiTheme="minorHAnsi" w:cstheme="minorHAnsi"/>
        </w:rPr>
        <w:t>G</w:t>
      </w:r>
      <w:r w:rsidRPr="001728CF">
        <w:rPr>
          <w:rFonts w:asciiTheme="minorHAnsi" w:hAnsiTheme="minorHAnsi" w:cstheme="minorHAnsi"/>
        </w:rPr>
        <w:t xml:space="preserve">enerally immobile and thus reflective of site conditions, useful for </w:t>
      </w:r>
      <w:r w:rsidRPr="001728CF">
        <w:rPr>
          <w:rFonts w:asciiTheme="minorHAnsi" w:hAnsiTheme="minorHAnsi" w:cstheme="minorHAnsi"/>
          <w:i/>
        </w:rPr>
        <w:t>in situ</w:t>
      </w:r>
      <w:r w:rsidRPr="001728CF">
        <w:rPr>
          <w:rFonts w:asciiTheme="minorHAnsi" w:hAnsiTheme="minorHAnsi" w:cstheme="minorHAnsi"/>
        </w:rPr>
        <w:t xml:space="preserve"> exposure assessments and whole-effluent bioassays</w:t>
      </w:r>
    </w:p>
    <w:p w14:paraId="5C254DFA" w14:textId="77777777" w:rsidR="0099176E" w:rsidRPr="001728CF" w:rsidRDefault="0099176E" w:rsidP="0099176E">
      <w:pPr>
        <w:spacing w:after="0" w:line="240" w:lineRule="auto"/>
        <w:rPr>
          <w:rFonts w:asciiTheme="minorHAnsi" w:hAnsiTheme="minorHAnsi" w:cstheme="minorHAnsi"/>
        </w:rPr>
      </w:pPr>
    </w:p>
    <w:p w14:paraId="1E2D5966"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4CCB4EE8" w14:textId="77777777" w:rsidR="0099176E" w:rsidRPr="001728CF" w:rsidRDefault="0099176E" w:rsidP="00DA2C26">
      <w:pPr>
        <w:numPr>
          <w:ilvl w:val="0"/>
          <w:numId w:val="83"/>
        </w:numPr>
        <w:spacing w:after="0" w:line="240" w:lineRule="auto"/>
        <w:jc w:val="left"/>
        <w:rPr>
          <w:rFonts w:asciiTheme="minorHAnsi" w:hAnsiTheme="minorHAnsi" w:cstheme="minorHAnsi"/>
        </w:rPr>
      </w:pPr>
      <w:r>
        <w:rPr>
          <w:rFonts w:asciiTheme="minorHAnsi" w:hAnsiTheme="minorHAnsi" w:cstheme="minorHAnsi"/>
        </w:rPr>
        <w:t>R</w:t>
      </w:r>
      <w:r w:rsidRPr="001728CF">
        <w:rPr>
          <w:rFonts w:asciiTheme="minorHAnsi" w:hAnsiTheme="minorHAnsi" w:cstheme="minorHAnsi"/>
        </w:rPr>
        <w:t>esponse is often not identifiably stressor-specific</w:t>
      </w:r>
    </w:p>
    <w:p w14:paraId="2E9F049B" w14:textId="77777777" w:rsidR="0099176E" w:rsidRPr="001728CF" w:rsidRDefault="0099176E" w:rsidP="00DA2C26">
      <w:pPr>
        <w:numPr>
          <w:ilvl w:val="0"/>
          <w:numId w:val="83"/>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aborious identification requires taxonomic expertise</w:t>
      </w:r>
    </w:p>
    <w:p w14:paraId="25807E7C" w14:textId="77777777" w:rsidR="0099176E" w:rsidRPr="001728CF" w:rsidRDefault="0099176E" w:rsidP="00DA2C26">
      <w:pPr>
        <w:numPr>
          <w:ilvl w:val="0"/>
          <w:numId w:val="83"/>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ack regional field databases</w:t>
      </w:r>
    </w:p>
    <w:p w14:paraId="4D811C29" w14:textId="77777777" w:rsidR="0099176E" w:rsidRPr="001728CF" w:rsidRDefault="0099176E" w:rsidP="00DA2C26">
      <w:pPr>
        <w:numPr>
          <w:ilvl w:val="0"/>
          <w:numId w:val="83"/>
        </w:numPr>
        <w:spacing w:after="0" w:line="240" w:lineRule="auto"/>
        <w:jc w:val="left"/>
        <w:rPr>
          <w:rFonts w:asciiTheme="minorHAnsi" w:hAnsiTheme="minorHAnsi" w:cstheme="minorHAnsi"/>
        </w:rPr>
      </w:pPr>
      <w:r>
        <w:rPr>
          <w:rFonts w:asciiTheme="minorHAnsi" w:hAnsiTheme="minorHAnsi" w:cstheme="minorHAnsi"/>
        </w:rPr>
        <w:t>R</w:t>
      </w:r>
      <w:r w:rsidRPr="001728CF">
        <w:rPr>
          <w:rFonts w:asciiTheme="minorHAnsi" w:hAnsiTheme="minorHAnsi" w:cstheme="minorHAnsi"/>
        </w:rPr>
        <w:t>apid turnover requires frequent sampling; strong temporal variability, do not integrate (except sediment diatoms)</w:t>
      </w:r>
    </w:p>
    <w:p w14:paraId="6D2224D0" w14:textId="77777777" w:rsidR="0099176E" w:rsidRPr="001728CF" w:rsidRDefault="0099176E" w:rsidP="00DA2C26">
      <w:pPr>
        <w:numPr>
          <w:ilvl w:val="0"/>
          <w:numId w:val="83"/>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ow social recognition of their importance – not necessarily true in Australia</w:t>
      </w:r>
    </w:p>
    <w:p w14:paraId="51EB2A2F" w14:textId="77777777" w:rsidR="0099176E" w:rsidRPr="001728CF" w:rsidRDefault="0099176E" w:rsidP="00DA2C26">
      <w:pPr>
        <w:numPr>
          <w:ilvl w:val="0"/>
          <w:numId w:val="83"/>
        </w:numPr>
        <w:spacing w:after="0" w:line="240" w:lineRule="auto"/>
        <w:jc w:val="left"/>
        <w:rPr>
          <w:rFonts w:asciiTheme="minorHAnsi" w:hAnsiTheme="minorHAnsi" w:cstheme="minorHAnsi"/>
        </w:rPr>
      </w:pPr>
      <w:r>
        <w:rPr>
          <w:rFonts w:asciiTheme="minorHAnsi" w:hAnsiTheme="minorHAnsi" w:cstheme="minorHAnsi"/>
        </w:rPr>
        <w:t>B</w:t>
      </w:r>
      <w:r w:rsidRPr="001728CF">
        <w:rPr>
          <w:rFonts w:asciiTheme="minorHAnsi" w:hAnsiTheme="minorHAnsi" w:cstheme="minorHAnsi"/>
        </w:rPr>
        <w:t>ioaccumulation is unmeasurable</w:t>
      </w:r>
    </w:p>
    <w:p w14:paraId="45BE3932" w14:textId="77777777" w:rsidR="0099176E" w:rsidRPr="001728CF" w:rsidRDefault="0099176E" w:rsidP="00DA2C26">
      <w:pPr>
        <w:numPr>
          <w:ilvl w:val="0"/>
          <w:numId w:val="83"/>
        </w:numPr>
        <w:spacing w:after="0" w:line="240" w:lineRule="auto"/>
        <w:jc w:val="left"/>
        <w:rPr>
          <w:rFonts w:asciiTheme="minorHAnsi" w:hAnsiTheme="minorHAnsi" w:cstheme="minorHAnsi"/>
        </w:rPr>
      </w:pPr>
      <w:r>
        <w:rPr>
          <w:rFonts w:asciiTheme="minorHAnsi" w:hAnsiTheme="minorHAnsi" w:cstheme="minorHAnsi"/>
        </w:rPr>
        <w:t>Q</w:t>
      </w:r>
      <w:r w:rsidRPr="001728CF">
        <w:rPr>
          <w:rFonts w:asciiTheme="minorHAnsi" w:hAnsiTheme="minorHAnsi" w:cstheme="minorHAnsi"/>
        </w:rPr>
        <w:t>uantitative inference of water quality requires large calibration data set</w:t>
      </w:r>
    </w:p>
    <w:p w14:paraId="2DA51120" w14:textId="77777777" w:rsidR="0099176E" w:rsidRPr="001728CF" w:rsidRDefault="0099176E" w:rsidP="00DA2C26">
      <w:pPr>
        <w:numPr>
          <w:ilvl w:val="0"/>
          <w:numId w:val="84"/>
        </w:numPr>
        <w:spacing w:after="0" w:line="240" w:lineRule="auto"/>
        <w:jc w:val="left"/>
        <w:rPr>
          <w:rFonts w:asciiTheme="minorHAnsi" w:hAnsiTheme="minorHAnsi" w:cstheme="minorHAnsi"/>
        </w:rPr>
      </w:pPr>
      <w:r>
        <w:rPr>
          <w:rFonts w:asciiTheme="minorHAnsi" w:hAnsiTheme="minorHAnsi" w:cstheme="minorHAnsi"/>
        </w:rPr>
        <w:t>D</w:t>
      </w:r>
      <w:r w:rsidRPr="001728CF">
        <w:rPr>
          <w:rFonts w:asciiTheme="minorHAnsi" w:hAnsiTheme="minorHAnsi" w:cstheme="minorHAnsi"/>
        </w:rPr>
        <w:t>rifting cells of unattached species complicate interpretation</w:t>
      </w:r>
    </w:p>
    <w:p w14:paraId="308EC9EC" w14:textId="77777777" w:rsidR="0099176E" w:rsidRPr="001728CF" w:rsidRDefault="0099176E" w:rsidP="00DA2C26">
      <w:pPr>
        <w:numPr>
          <w:ilvl w:val="0"/>
          <w:numId w:val="84"/>
        </w:numPr>
        <w:spacing w:after="0" w:line="240" w:lineRule="auto"/>
        <w:jc w:val="left"/>
        <w:rPr>
          <w:rFonts w:asciiTheme="minorHAnsi" w:hAnsiTheme="minorHAnsi" w:cstheme="minorHAnsi"/>
        </w:rPr>
      </w:pPr>
      <w:r>
        <w:rPr>
          <w:rFonts w:asciiTheme="minorHAnsi" w:hAnsiTheme="minorHAnsi" w:cstheme="minorHAnsi"/>
        </w:rPr>
        <w:t>M</w:t>
      </w:r>
      <w:r w:rsidRPr="001728CF">
        <w:rPr>
          <w:rFonts w:asciiTheme="minorHAnsi" w:hAnsiTheme="minorHAnsi" w:cstheme="minorHAnsi"/>
        </w:rPr>
        <w:t xml:space="preserve">ost relatively insensitive to heavy metals and pesticides </w:t>
      </w:r>
    </w:p>
    <w:p w14:paraId="70E53FA5" w14:textId="77777777" w:rsidR="0099176E" w:rsidRPr="001728CF" w:rsidRDefault="0099176E" w:rsidP="0099176E">
      <w:pPr>
        <w:spacing w:after="0" w:line="240" w:lineRule="auto"/>
        <w:rPr>
          <w:rFonts w:asciiTheme="minorHAnsi" w:hAnsiTheme="minorHAnsi" w:cstheme="minorHAnsi"/>
        </w:rPr>
      </w:pPr>
    </w:p>
    <w:p w14:paraId="25C77FC6"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ALTERNATIVES</w:t>
      </w:r>
    </w:p>
    <w:p w14:paraId="717D98E2" w14:textId="77777777" w:rsidR="0099176E" w:rsidRPr="001728CF" w:rsidRDefault="0099176E" w:rsidP="00DA2C26">
      <w:pPr>
        <w:numPr>
          <w:ilvl w:val="0"/>
          <w:numId w:val="115"/>
        </w:numPr>
        <w:spacing w:after="0" w:line="240" w:lineRule="auto"/>
        <w:jc w:val="left"/>
        <w:rPr>
          <w:rFonts w:asciiTheme="minorHAnsi" w:hAnsiTheme="minorHAnsi" w:cstheme="minorHAnsi"/>
        </w:rPr>
      </w:pPr>
      <w:r w:rsidRPr="001728CF">
        <w:rPr>
          <w:rFonts w:asciiTheme="minorHAnsi" w:hAnsiTheme="minorHAnsi" w:cstheme="minorHAnsi"/>
        </w:rPr>
        <w:t xml:space="preserve">Water quality measures for nutrients (N, P) </w:t>
      </w:r>
    </w:p>
    <w:p w14:paraId="7A5EFAA7" w14:textId="77777777" w:rsidR="0099176E" w:rsidRPr="001728CF" w:rsidRDefault="0099176E" w:rsidP="00DA2C26">
      <w:pPr>
        <w:numPr>
          <w:ilvl w:val="0"/>
          <w:numId w:val="115"/>
        </w:numPr>
        <w:spacing w:after="0" w:line="240" w:lineRule="auto"/>
        <w:jc w:val="left"/>
        <w:rPr>
          <w:rFonts w:asciiTheme="minorHAnsi" w:hAnsiTheme="minorHAnsi" w:cstheme="minorHAnsi"/>
        </w:rPr>
      </w:pPr>
      <w:r w:rsidRPr="001728CF">
        <w:rPr>
          <w:rFonts w:asciiTheme="minorHAnsi" w:hAnsiTheme="minorHAnsi" w:cstheme="minorHAnsi"/>
        </w:rPr>
        <w:t>Alkalinity, pH measurement</w:t>
      </w:r>
    </w:p>
    <w:p w14:paraId="28C2CFBB" w14:textId="77777777" w:rsidR="0099176E" w:rsidRPr="001728CF" w:rsidRDefault="0099176E" w:rsidP="00DA2C26">
      <w:pPr>
        <w:numPr>
          <w:ilvl w:val="0"/>
          <w:numId w:val="115"/>
        </w:numPr>
        <w:spacing w:after="0" w:line="240" w:lineRule="auto"/>
        <w:jc w:val="left"/>
        <w:rPr>
          <w:rFonts w:asciiTheme="minorHAnsi" w:hAnsiTheme="minorHAnsi" w:cstheme="minorHAnsi"/>
        </w:rPr>
      </w:pPr>
      <w:r w:rsidRPr="001728CF">
        <w:rPr>
          <w:rFonts w:asciiTheme="minorHAnsi" w:hAnsiTheme="minorHAnsi" w:cstheme="minorHAnsi"/>
        </w:rPr>
        <w:t>Metal analysis</w:t>
      </w:r>
    </w:p>
    <w:p w14:paraId="54A80489" w14:textId="77777777" w:rsidR="0099176E" w:rsidRPr="001728CF" w:rsidRDefault="0099176E" w:rsidP="00DA2C26">
      <w:pPr>
        <w:numPr>
          <w:ilvl w:val="0"/>
          <w:numId w:val="115"/>
        </w:numPr>
        <w:spacing w:after="0" w:line="240" w:lineRule="auto"/>
        <w:jc w:val="left"/>
        <w:rPr>
          <w:rFonts w:asciiTheme="minorHAnsi" w:hAnsiTheme="minorHAnsi" w:cstheme="minorHAnsi"/>
        </w:rPr>
      </w:pPr>
      <w:r w:rsidRPr="001728CF">
        <w:rPr>
          <w:rFonts w:asciiTheme="minorHAnsi" w:hAnsiTheme="minorHAnsi" w:cstheme="minorHAnsi"/>
        </w:rPr>
        <w:t>BOD, COD</w:t>
      </w:r>
    </w:p>
    <w:p w14:paraId="4CC2E02C" w14:textId="77777777" w:rsidR="0099176E" w:rsidRPr="001728CF" w:rsidRDefault="0099176E" w:rsidP="00DA2C26">
      <w:pPr>
        <w:numPr>
          <w:ilvl w:val="0"/>
          <w:numId w:val="115"/>
        </w:numPr>
        <w:spacing w:after="0" w:line="240" w:lineRule="auto"/>
        <w:jc w:val="left"/>
        <w:rPr>
          <w:rFonts w:asciiTheme="minorHAnsi" w:hAnsiTheme="minorHAnsi" w:cstheme="minorHAnsi"/>
        </w:rPr>
      </w:pPr>
      <w:r w:rsidRPr="001728CF">
        <w:rPr>
          <w:rFonts w:asciiTheme="minorHAnsi" w:hAnsiTheme="minorHAnsi" w:cstheme="minorHAnsi"/>
        </w:rPr>
        <w:t xml:space="preserve">ATP </w:t>
      </w:r>
    </w:p>
    <w:p w14:paraId="6B1EE11B" w14:textId="77777777" w:rsidR="0099176E" w:rsidRPr="001728CF" w:rsidRDefault="0099176E" w:rsidP="0099176E">
      <w:pPr>
        <w:spacing w:after="0" w:line="240" w:lineRule="auto"/>
        <w:rPr>
          <w:rFonts w:asciiTheme="minorHAnsi" w:hAnsiTheme="minorHAnsi" w:cstheme="minorHAnsi"/>
        </w:rPr>
      </w:pPr>
    </w:p>
    <w:p w14:paraId="1AAEC2F2"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sidRPr="001728CF">
        <w:rPr>
          <w:rFonts w:asciiTheme="minorHAnsi" w:hAnsiTheme="minorHAnsi" w:cstheme="minorHAnsi"/>
          <w:b/>
          <w:sz w:val="24"/>
          <w:szCs w:val="24"/>
        </w:rPr>
        <w:t>Mosses, Liverworts, Ferns</w:t>
      </w:r>
    </w:p>
    <w:p w14:paraId="3D79743D"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776D1615" w14:textId="77777777" w:rsidR="0099176E" w:rsidRPr="001728CF" w:rsidRDefault="0099176E" w:rsidP="00DA2C26">
      <w:pPr>
        <w:numPr>
          <w:ilvl w:val="0"/>
          <w:numId w:val="85"/>
        </w:numPr>
        <w:spacing w:after="0" w:line="240" w:lineRule="auto"/>
        <w:jc w:val="left"/>
        <w:rPr>
          <w:rFonts w:asciiTheme="minorHAnsi" w:hAnsiTheme="minorHAnsi" w:cstheme="minorHAnsi"/>
        </w:rPr>
      </w:pPr>
      <w:r>
        <w:rPr>
          <w:rFonts w:asciiTheme="minorHAnsi" w:hAnsiTheme="minorHAnsi" w:cstheme="minorHAnsi"/>
        </w:rPr>
        <w:t>A</w:t>
      </w:r>
      <w:r w:rsidRPr="001728CF">
        <w:rPr>
          <w:rFonts w:asciiTheme="minorHAnsi" w:hAnsiTheme="minorHAnsi" w:cstheme="minorHAnsi"/>
        </w:rPr>
        <w:t xml:space="preserve"> few taxa are reputed indicator species for physicochemical contaminants</w:t>
      </w:r>
    </w:p>
    <w:p w14:paraId="2EF5203C" w14:textId="77777777" w:rsidR="0099176E" w:rsidRPr="001728CF" w:rsidRDefault="0099176E" w:rsidP="00DA2C26">
      <w:pPr>
        <w:numPr>
          <w:ilvl w:val="0"/>
          <w:numId w:val="85"/>
        </w:numPr>
        <w:spacing w:after="0" w:line="240" w:lineRule="auto"/>
        <w:jc w:val="left"/>
        <w:rPr>
          <w:rFonts w:asciiTheme="minorHAnsi" w:hAnsiTheme="minorHAnsi" w:cstheme="minorHAnsi"/>
        </w:rPr>
      </w:pPr>
      <w:r>
        <w:rPr>
          <w:rFonts w:asciiTheme="minorHAnsi" w:hAnsiTheme="minorHAnsi" w:cstheme="minorHAnsi"/>
        </w:rPr>
        <w:t>P</w:t>
      </w:r>
      <w:r w:rsidRPr="001728CF">
        <w:rPr>
          <w:rFonts w:asciiTheme="minorHAnsi" w:hAnsiTheme="minorHAnsi" w:cstheme="minorHAnsi"/>
        </w:rPr>
        <w:t>erhaps the most sensitive indicator of hydric regimes</w:t>
      </w:r>
    </w:p>
    <w:p w14:paraId="0CE27A56" w14:textId="77777777" w:rsidR="0099176E" w:rsidRPr="001728CF" w:rsidRDefault="0099176E" w:rsidP="00DA2C26">
      <w:pPr>
        <w:numPr>
          <w:ilvl w:val="0"/>
          <w:numId w:val="85"/>
        </w:numPr>
        <w:spacing w:after="0" w:line="240" w:lineRule="auto"/>
        <w:jc w:val="left"/>
        <w:rPr>
          <w:rFonts w:asciiTheme="minorHAnsi" w:hAnsiTheme="minorHAnsi" w:cstheme="minorHAnsi"/>
        </w:rPr>
      </w:pPr>
      <w:r>
        <w:rPr>
          <w:rFonts w:asciiTheme="minorHAnsi" w:hAnsiTheme="minorHAnsi" w:cstheme="minorHAnsi"/>
        </w:rPr>
        <w:t>T</w:t>
      </w:r>
      <w:r w:rsidRPr="001728CF">
        <w:rPr>
          <w:rFonts w:asciiTheme="minorHAnsi" w:hAnsiTheme="minorHAnsi" w:cstheme="minorHAnsi"/>
        </w:rPr>
        <w:t>he only integrator of the long-term geologic record (i.e. peat core analyses for metals</w:t>
      </w:r>
    </w:p>
    <w:p w14:paraId="677BF53B" w14:textId="77777777" w:rsidR="0099176E" w:rsidRPr="001728CF" w:rsidRDefault="0099176E" w:rsidP="00DA2C26">
      <w:pPr>
        <w:numPr>
          <w:ilvl w:val="0"/>
          <w:numId w:val="86"/>
        </w:numPr>
        <w:spacing w:after="0" w:line="240" w:lineRule="auto"/>
        <w:jc w:val="left"/>
        <w:rPr>
          <w:rFonts w:asciiTheme="minorHAnsi" w:hAnsiTheme="minorHAnsi" w:cstheme="minorHAnsi"/>
        </w:rPr>
      </w:pPr>
      <w:r>
        <w:rPr>
          <w:rFonts w:asciiTheme="minorHAnsi" w:hAnsiTheme="minorHAnsi" w:cstheme="minorHAnsi"/>
        </w:rPr>
        <w:t>A</w:t>
      </w:r>
      <w:r w:rsidRPr="001728CF">
        <w:rPr>
          <w:rFonts w:asciiTheme="minorHAnsi" w:hAnsiTheme="minorHAnsi" w:cstheme="minorHAnsi"/>
        </w:rPr>
        <w:t>ccumulation, land cover change, ground water flow reversals)</w:t>
      </w:r>
    </w:p>
    <w:p w14:paraId="197BB6EC" w14:textId="77777777" w:rsidR="0099176E" w:rsidRPr="001728CF" w:rsidRDefault="0099176E" w:rsidP="00DA2C26">
      <w:pPr>
        <w:numPr>
          <w:ilvl w:val="0"/>
          <w:numId w:val="86"/>
        </w:numPr>
        <w:spacing w:after="0" w:line="240" w:lineRule="auto"/>
        <w:jc w:val="left"/>
        <w:rPr>
          <w:rFonts w:asciiTheme="minorHAnsi" w:hAnsiTheme="minorHAnsi" w:cstheme="minorHAnsi"/>
        </w:rPr>
      </w:pPr>
      <w:r>
        <w:rPr>
          <w:rFonts w:asciiTheme="minorHAnsi" w:hAnsiTheme="minorHAnsi" w:cstheme="minorHAnsi"/>
        </w:rPr>
        <w:t>I</w:t>
      </w:r>
      <w:r w:rsidRPr="001728CF">
        <w:rPr>
          <w:rFonts w:asciiTheme="minorHAnsi" w:hAnsiTheme="minorHAnsi" w:cstheme="minorHAnsi"/>
        </w:rPr>
        <w:t xml:space="preserve">mmobile and thus reflective of site conditions </w:t>
      </w:r>
    </w:p>
    <w:p w14:paraId="3A253116" w14:textId="77777777" w:rsidR="0099176E" w:rsidRPr="001728CF" w:rsidRDefault="0099176E" w:rsidP="0099176E">
      <w:pPr>
        <w:spacing w:after="0" w:line="240" w:lineRule="auto"/>
        <w:rPr>
          <w:rFonts w:asciiTheme="minorHAnsi" w:hAnsiTheme="minorHAnsi" w:cstheme="minorHAnsi"/>
        </w:rPr>
      </w:pPr>
    </w:p>
    <w:p w14:paraId="3FD8D90E"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7D0BD389" w14:textId="77777777" w:rsidR="0099176E" w:rsidRPr="001728CF" w:rsidRDefault="0099176E" w:rsidP="00DA2C26">
      <w:pPr>
        <w:numPr>
          <w:ilvl w:val="0"/>
          <w:numId w:val="87"/>
        </w:numPr>
        <w:spacing w:after="0" w:line="240" w:lineRule="auto"/>
        <w:jc w:val="left"/>
        <w:rPr>
          <w:rFonts w:asciiTheme="minorHAnsi" w:hAnsiTheme="minorHAnsi" w:cstheme="minorHAnsi"/>
        </w:rPr>
      </w:pPr>
      <w:r>
        <w:rPr>
          <w:rFonts w:asciiTheme="minorHAnsi" w:hAnsiTheme="minorHAnsi" w:cstheme="minorHAnsi"/>
        </w:rPr>
        <w:t>R</w:t>
      </w:r>
      <w:r w:rsidRPr="001728CF">
        <w:rPr>
          <w:rFonts w:asciiTheme="minorHAnsi" w:hAnsiTheme="minorHAnsi" w:cstheme="minorHAnsi"/>
        </w:rPr>
        <w:t>esponse is often not identifiably stressor-specific</w:t>
      </w:r>
    </w:p>
    <w:p w14:paraId="49BF2CB9" w14:textId="77777777" w:rsidR="0099176E" w:rsidRPr="001728CF" w:rsidRDefault="0099176E" w:rsidP="00DA2C26">
      <w:pPr>
        <w:numPr>
          <w:ilvl w:val="0"/>
          <w:numId w:val="87"/>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aborious sampling and identification</w:t>
      </w:r>
    </w:p>
    <w:p w14:paraId="46239C15" w14:textId="77777777" w:rsidR="0099176E" w:rsidRPr="001728CF" w:rsidRDefault="0099176E" w:rsidP="00DA2C26">
      <w:pPr>
        <w:numPr>
          <w:ilvl w:val="0"/>
          <w:numId w:val="87"/>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ow social recognition of their importance</w:t>
      </w:r>
    </w:p>
    <w:p w14:paraId="5F27BA87" w14:textId="77777777" w:rsidR="0099176E" w:rsidRPr="001728CF" w:rsidRDefault="0099176E" w:rsidP="00DA2C26">
      <w:pPr>
        <w:numPr>
          <w:ilvl w:val="0"/>
          <w:numId w:val="87"/>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ack regional field databases exist</w:t>
      </w:r>
    </w:p>
    <w:p w14:paraId="122BB246" w14:textId="77777777" w:rsidR="0099176E" w:rsidRPr="001728CF" w:rsidRDefault="0099176E" w:rsidP="00DA2C26">
      <w:pPr>
        <w:numPr>
          <w:ilvl w:val="0"/>
          <w:numId w:val="87"/>
        </w:numPr>
        <w:spacing w:after="0" w:line="240" w:lineRule="auto"/>
        <w:jc w:val="left"/>
        <w:rPr>
          <w:rFonts w:asciiTheme="minorHAnsi" w:hAnsiTheme="minorHAnsi" w:cstheme="minorHAnsi"/>
        </w:rPr>
      </w:pPr>
      <w:r>
        <w:rPr>
          <w:rFonts w:asciiTheme="minorHAnsi" w:hAnsiTheme="minorHAnsi" w:cstheme="minorHAnsi"/>
        </w:rPr>
        <w:t>N</w:t>
      </w:r>
      <w:r w:rsidRPr="001728CF">
        <w:rPr>
          <w:rFonts w:asciiTheme="minorHAnsi" w:hAnsiTheme="minorHAnsi" w:cstheme="minorHAnsi"/>
        </w:rPr>
        <w:t>ot previously used in Australia</w:t>
      </w:r>
    </w:p>
    <w:p w14:paraId="3162EA1E" w14:textId="77777777" w:rsidR="0099176E" w:rsidRPr="001728CF" w:rsidRDefault="0099176E" w:rsidP="0099176E">
      <w:pPr>
        <w:spacing w:after="0" w:line="240" w:lineRule="auto"/>
        <w:rPr>
          <w:rFonts w:asciiTheme="minorHAnsi" w:hAnsiTheme="minorHAnsi" w:cstheme="minorHAnsi"/>
        </w:rPr>
      </w:pPr>
    </w:p>
    <w:p w14:paraId="3ABC4DB3"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sidRPr="001728CF">
        <w:rPr>
          <w:rFonts w:asciiTheme="minorHAnsi" w:hAnsiTheme="minorHAnsi" w:cstheme="minorHAnsi"/>
          <w:b/>
          <w:sz w:val="24"/>
          <w:szCs w:val="24"/>
        </w:rPr>
        <w:t>Submerged Aquatic Vascular Plants</w:t>
      </w:r>
    </w:p>
    <w:p w14:paraId="64FDACD5"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72DC5B4A" w14:textId="77777777" w:rsidR="0099176E" w:rsidRPr="001728CF" w:rsidRDefault="0099176E" w:rsidP="00DA2C26">
      <w:pPr>
        <w:numPr>
          <w:ilvl w:val="0"/>
          <w:numId w:val="88"/>
        </w:numPr>
        <w:spacing w:after="0" w:line="240" w:lineRule="auto"/>
        <w:jc w:val="left"/>
        <w:rPr>
          <w:rFonts w:asciiTheme="minorHAnsi" w:hAnsiTheme="minorHAnsi" w:cstheme="minorHAnsi"/>
        </w:rPr>
      </w:pPr>
      <w:r>
        <w:rPr>
          <w:rFonts w:asciiTheme="minorHAnsi" w:hAnsiTheme="minorHAnsi" w:cstheme="minorHAnsi"/>
        </w:rPr>
        <w:t>E</w:t>
      </w:r>
      <w:r w:rsidRPr="001728CF">
        <w:rPr>
          <w:rFonts w:asciiTheme="minorHAnsi" w:hAnsiTheme="minorHAnsi" w:cstheme="minorHAnsi"/>
        </w:rPr>
        <w:t>xtremely sensitive to turbidity, eutrophication, hydroperiod, herbicides, metals</w:t>
      </w:r>
    </w:p>
    <w:p w14:paraId="0AA72604" w14:textId="77777777" w:rsidR="0099176E" w:rsidRPr="001728CF" w:rsidRDefault="0099176E" w:rsidP="00DA2C26">
      <w:pPr>
        <w:numPr>
          <w:ilvl w:val="0"/>
          <w:numId w:val="88"/>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ensitivities of several indicator species are well known</w:t>
      </w:r>
    </w:p>
    <w:p w14:paraId="496A0BCB" w14:textId="77777777" w:rsidR="0099176E" w:rsidRPr="001728CF" w:rsidRDefault="0099176E" w:rsidP="00DA2C26">
      <w:pPr>
        <w:numPr>
          <w:ilvl w:val="0"/>
          <w:numId w:val="88"/>
        </w:numPr>
        <w:spacing w:after="0" w:line="240" w:lineRule="auto"/>
        <w:jc w:val="left"/>
        <w:rPr>
          <w:rFonts w:asciiTheme="minorHAnsi" w:hAnsiTheme="minorHAnsi" w:cstheme="minorHAnsi"/>
        </w:rPr>
      </w:pPr>
      <w:r>
        <w:rPr>
          <w:rFonts w:asciiTheme="minorHAnsi" w:hAnsiTheme="minorHAnsi" w:cstheme="minorHAnsi"/>
        </w:rPr>
        <w:t>R</w:t>
      </w:r>
      <w:r w:rsidRPr="001728CF">
        <w:rPr>
          <w:rFonts w:asciiTheme="minorHAnsi" w:hAnsiTheme="minorHAnsi" w:cstheme="minorHAnsi"/>
        </w:rPr>
        <w:t>elatively important in food webs (e.g. waterfowl)</w:t>
      </w:r>
    </w:p>
    <w:p w14:paraId="04534843" w14:textId="77777777" w:rsidR="0099176E" w:rsidRPr="001728CF" w:rsidRDefault="0099176E" w:rsidP="00DA2C26">
      <w:pPr>
        <w:numPr>
          <w:ilvl w:val="0"/>
          <w:numId w:val="88"/>
        </w:numPr>
        <w:spacing w:after="0" w:line="240" w:lineRule="auto"/>
        <w:jc w:val="left"/>
        <w:rPr>
          <w:rFonts w:asciiTheme="minorHAnsi" w:hAnsiTheme="minorHAnsi" w:cstheme="minorHAnsi"/>
        </w:rPr>
      </w:pPr>
      <w:r>
        <w:rPr>
          <w:rFonts w:asciiTheme="minorHAnsi" w:hAnsiTheme="minorHAnsi" w:cstheme="minorHAnsi"/>
        </w:rPr>
        <w:t>I</w:t>
      </w:r>
      <w:r w:rsidRPr="001728CF">
        <w:rPr>
          <w:rFonts w:asciiTheme="minorHAnsi" w:hAnsiTheme="minorHAnsi" w:cstheme="minorHAnsi"/>
        </w:rPr>
        <w:t xml:space="preserve">mmobile and thus reflective of site conditions, useful for </w:t>
      </w:r>
      <w:r w:rsidRPr="001728CF">
        <w:rPr>
          <w:rFonts w:asciiTheme="minorHAnsi" w:hAnsiTheme="minorHAnsi" w:cstheme="minorHAnsi"/>
          <w:i/>
        </w:rPr>
        <w:t>in situ</w:t>
      </w:r>
      <w:r w:rsidRPr="001728CF">
        <w:rPr>
          <w:rFonts w:asciiTheme="minorHAnsi" w:hAnsiTheme="minorHAnsi" w:cstheme="minorHAnsi"/>
        </w:rPr>
        <w:t xml:space="preserve"> exposure assessments</w:t>
      </w:r>
    </w:p>
    <w:p w14:paraId="0A07D9D5" w14:textId="77777777" w:rsidR="0099176E" w:rsidRPr="001728CF" w:rsidRDefault="0099176E" w:rsidP="00DA2C26">
      <w:pPr>
        <w:numPr>
          <w:ilvl w:val="0"/>
          <w:numId w:val="88"/>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tructural component; littoral habitat for fauna</w:t>
      </w:r>
    </w:p>
    <w:p w14:paraId="6A3C694A" w14:textId="77777777" w:rsidR="0099176E" w:rsidRPr="001728CF" w:rsidRDefault="0099176E" w:rsidP="00DA2C26">
      <w:pPr>
        <w:numPr>
          <w:ilvl w:val="0"/>
          <w:numId w:val="88"/>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ampling is relatively easy; simple abundance metric</w:t>
      </w:r>
    </w:p>
    <w:p w14:paraId="2AA01C78" w14:textId="77777777" w:rsidR="0099176E" w:rsidRPr="001728CF" w:rsidRDefault="0099176E" w:rsidP="00DA2C26">
      <w:pPr>
        <w:numPr>
          <w:ilvl w:val="0"/>
          <w:numId w:val="88"/>
        </w:numPr>
        <w:spacing w:after="0" w:line="240" w:lineRule="auto"/>
        <w:jc w:val="left"/>
        <w:rPr>
          <w:rFonts w:asciiTheme="minorHAnsi" w:hAnsiTheme="minorHAnsi" w:cstheme="minorHAnsi"/>
        </w:rPr>
      </w:pPr>
      <w:r>
        <w:rPr>
          <w:rFonts w:asciiTheme="minorHAnsi" w:hAnsiTheme="minorHAnsi" w:cstheme="minorHAnsi"/>
        </w:rPr>
        <w:t>I</w:t>
      </w:r>
      <w:r w:rsidRPr="001728CF">
        <w:rPr>
          <w:rFonts w:asciiTheme="minorHAnsi" w:hAnsiTheme="minorHAnsi" w:cstheme="minorHAnsi"/>
        </w:rPr>
        <w:t>ntegrators of environmental conditions</w:t>
      </w:r>
    </w:p>
    <w:p w14:paraId="5B70E03D" w14:textId="77777777" w:rsidR="0099176E" w:rsidRPr="001728CF" w:rsidRDefault="0099176E" w:rsidP="00DA2C26">
      <w:pPr>
        <w:numPr>
          <w:ilvl w:val="0"/>
          <w:numId w:val="88"/>
        </w:numPr>
        <w:spacing w:after="0" w:line="240" w:lineRule="auto"/>
        <w:jc w:val="left"/>
        <w:rPr>
          <w:rFonts w:asciiTheme="minorHAnsi" w:hAnsiTheme="minorHAnsi" w:cstheme="minorHAnsi"/>
        </w:rPr>
      </w:pPr>
      <w:r>
        <w:rPr>
          <w:rFonts w:asciiTheme="minorHAnsi" w:hAnsiTheme="minorHAnsi" w:cstheme="minorHAnsi"/>
        </w:rPr>
        <w:t>P</w:t>
      </w:r>
      <w:r w:rsidRPr="001728CF">
        <w:rPr>
          <w:rFonts w:asciiTheme="minorHAnsi" w:hAnsiTheme="minorHAnsi" w:cstheme="minorHAnsi"/>
        </w:rPr>
        <w:t>atterns interpretable using remote sensing</w:t>
      </w:r>
    </w:p>
    <w:p w14:paraId="14576A4A" w14:textId="77777777" w:rsidR="0099176E" w:rsidRPr="001728CF" w:rsidRDefault="0099176E" w:rsidP="0099176E">
      <w:pPr>
        <w:spacing w:after="0" w:line="240" w:lineRule="auto"/>
        <w:rPr>
          <w:rFonts w:asciiTheme="minorHAnsi" w:hAnsiTheme="minorHAnsi" w:cstheme="minorHAnsi"/>
        </w:rPr>
      </w:pPr>
    </w:p>
    <w:p w14:paraId="78956276"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15EF30F2" w14:textId="77777777" w:rsidR="0099176E" w:rsidRPr="001728CF" w:rsidRDefault="0099176E" w:rsidP="00DA2C26">
      <w:pPr>
        <w:numPr>
          <w:ilvl w:val="0"/>
          <w:numId w:val="89"/>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ome difficult to sample systematically throughout a wetland</w:t>
      </w:r>
    </w:p>
    <w:p w14:paraId="143572EF" w14:textId="77777777" w:rsidR="0099176E" w:rsidRPr="001728CF" w:rsidRDefault="0099176E" w:rsidP="00DA2C26">
      <w:pPr>
        <w:numPr>
          <w:ilvl w:val="0"/>
          <w:numId w:val="89"/>
        </w:numPr>
        <w:spacing w:after="0" w:line="240" w:lineRule="auto"/>
        <w:jc w:val="left"/>
        <w:rPr>
          <w:rFonts w:asciiTheme="minorHAnsi" w:hAnsiTheme="minorHAnsi" w:cstheme="minorHAnsi"/>
        </w:rPr>
      </w:pPr>
      <w:r>
        <w:rPr>
          <w:rFonts w:asciiTheme="minorHAnsi" w:hAnsiTheme="minorHAnsi" w:cstheme="minorHAnsi"/>
        </w:rPr>
        <w:t>A</w:t>
      </w:r>
      <w:r w:rsidRPr="001728CF">
        <w:rPr>
          <w:rFonts w:asciiTheme="minorHAnsi" w:hAnsiTheme="minorHAnsi" w:cstheme="minorHAnsi"/>
        </w:rPr>
        <w:t>bsent from wetlands that lack standing water (e.g. bogs)</w:t>
      </w:r>
    </w:p>
    <w:p w14:paraId="6186E515" w14:textId="77777777" w:rsidR="0099176E" w:rsidRPr="001728CF" w:rsidRDefault="0099176E" w:rsidP="00DA2C26">
      <w:pPr>
        <w:numPr>
          <w:ilvl w:val="0"/>
          <w:numId w:val="89"/>
        </w:numPr>
        <w:spacing w:after="0" w:line="240" w:lineRule="auto"/>
        <w:jc w:val="left"/>
        <w:rPr>
          <w:rFonts w:asciiTheme="minorHAnsi" w:hAnsiTheme="minorHAnsi" w:cstheme="minorHAnsi"/>
        </w:rPr>
      </w:pPr>
      <w:r>
        <w:rPr>
          <w:rFonts w:asciiTheme="minorHAnsi" w:hAnsiTheme="minorHAnsi" w:cstheme="minorHAnsi"/>
        </w:rPr>
        <w:t>T</w:t>
      </w:r>
      <w:r w:rsidRPr="001728CF">
        <w:rPr>
          <w:rFonts w:asciiTheme="minorHAnsi" w:hAnsiTheme="minorHAnsi" w:cstheme="minorHAnsi"/>
        </w:rPr>
        <w:t>olerant of intermittent pollution</w:t>
      </w:r>
    </w:p>
    <w:p w14:paraId="0F0F418E" w14:textId="77777777" w:rsidR="0099176E" w:rsidRPr="001728CF" w:rsidRDefault="0099176E" w:rsidP="00DA2C26">
      <w:pPr>
        <w:numPr>
          <w:ilvl w:val="0"/>
          <w:numId w:val="89"/>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aborious identification</w:t>
      </w:r>
    </w:p>
    <w:p w14:paraId="57529FC7" w14:textId="77777777" w:rsidR="0099176E" w:rsidRPr="001728CF" w:rsidRDefault="0099176E" w:rsidP="00DA2C26">
      <w:pPr>
        <w:numPr>
          <w:ilvl w:val="0"/>
          <w:numId w:val="90"/>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ow social recognition of their importance</w:t>
      </w:r>
    </w:p>
    <w:p w14:paraId="17C8822B" w14:textId="77777777" w:rsidR="0099176E" w:rsidRPr="001728CF" w:rsidRDefault="0099176E" w:rsidP="00DA2C26">
      <w:pPr>
        <w:numPr>
          <w:ilvl w:val="0"/>
          <w:numId w:val="90"/>
        </w:numPr>
        <w:spacing w:after="0" w:line="240" w:lineRule="auto"/>
        <w:jc w:val="left"/>
        <w:rPr>
          <w:rFonts w:asciiTheme="minorHAnsi" w:hAnsiTheme="minorHAnsi" w:cstheme="minorHAnsi"/>
        </w:rPr>
      </w:pPr>
      <w:r>
        <w:rPr>
          <w:rFonts w:asciiTheme="minorHAnsi" w:hAnsiTheme="minorHAnsi" w:cstheme="minorHAnsi"/>
        </w:rPr>
        <w:t>F</w:t>
      </w:r>
      <w:r w:rsidRPr="001728CF">
        <w:rPr>
          <w:rFonts w:asciiTheme="minorHAnsi" w:hAnsiTheme="minorHAnsi" w:cstheme="minorHAnsi"/>
        </w:rPr>
        <w:t>ew if any regional field databases exist</w:t>
      </w:r>
    </w:p>
    <w:p w14:paraId="02365C2E" w14:textId="77777777" w:rsidR="0099176E" w:rsidRPr="001728CF" w:rsidRDefault="0099176E" w:rsidP="0099176E">
      <w:pPr>
        <w:spacing w:after="0" w:line="240" w:lineRule="auto"/>
        <w:rPr>
          <w:rFonts w:asciiTheme="minorHAnsi" w:hAnsiTheme="minorHAnsi" w:cstheme="minorHAnsi"/>
        </w:rPr>
      </w:pPr>
    </w:p>
    <w:p w14:paraId="7A7AF8CB"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ALTERNATIVES</w:t>
      </w:r>
    </w:p>
    <w:p w14:paraId="5AA78AC5" w14:textId="77777777" w:rsidR="0099176E" w:rsidRPr="001728CF" w:rsidRDefault="0099176E" w:rsidP="00DA2C26">
      <w:pPr>
        <w:numPr>
          <w:ilvl w:val="0"/>
          <w:numId w:val="116"/>
        </w:numPr>
        <w:spacing w:after="0" w:line="240" w:lineRule="auto"/>
        <w:jc w:val="left"/>
        <w:rPr>
          <w:rFonts w:asciiTheme="minorHAnsi" w:hAnsiTheme="minorHAnsi" w:cstheme="minorHAnsi"/>
        </w:rPr>
      </w:pPr>
      <w:r w:rsidRPr="001728CF">
        <w:rPr>
          <w:rFonts w:asciiTheme="minorHAnsi" w:hAnsiTheme="minorHAnsi" w:cstheme="minorHAnsi"/>
        </w:rPr>
        <w:t>TSI</w:t>
      </w:r>
    </w:p>
    <w:p w14:paraId="68837E1B" w14:textId="77777777" w:rsidR="0099176E" w:rsidRPr="001728CF" w:rsidRDefault="0099176E" w:rsidP="00DA2C26">
      <w:pPr>
        <w:numPr>
          <w:ilvl w:val="0"/>
          <w:numId w:val="116"/>
        </w:numPr>
        <w:spacing w:after="0" w:line="240" w:lineRule="auto"/>
        <w:jc w:val="left"/>
        <w:rPr>
          <w:rFonts w:asciiTheme="minorHAnsi" w:hAnsiTheme="minorHAnsi" w:cstheme="minorHAnsi"/>
        </w:rPr>
      </w:pPr>
      <w:r w:rsidRPr="001728CF">
        <w:rPr>
          <w:rFonts w:asciiTheme="minorHAnsi" w:hAnsiTheme="minorHAnsi" w:cstheme="minorHAnsi"/>
        </w:rPr>
        <w:t>Secchi</w:t>
      </w:r>
    </w:p>
    <w:p w14:paraId="1789CA25" w14:textId="77777777" w:rsidR="0099176E" w:rsidRPr="001728CF" w:rsidRDefault="0099176E" w:rsidP="00DA2C26">
      <w:pPr>
        <w:numPr>
          <w:ilvl w:val="0"/>
          <w:numId w:val="116"/>
        </w:numPr>
        <w:spacing w:after="0" w:line="240" w:lineRule="auto"/>
        <w:jc w:val="left"/>
        <w:rPr>
          <w:rFonts w:asciiTheme="minorHAnsi" w:hAnsiTheme="minorHAnsi" w:cstheme="minorHAnsi"/>
        </w:rPr>
      </w:pPr>
      <w:r w:rsidRPr="001728CF">
        <w:rPr>
          <w:rFonts w:asciiTheme="minorHAnsi" w:hAnsiTheme="minorHAnsi" w:cstheme="minorHAnsi"/>
        </w:rPr>
        <w:t>Nutrient analysis</w:t>
      </w:r>
    </w:p>
    <w:p w14:paraId="1C1CBC58" w14:textId="77777777" w:rsidR="0099176E" w:rsidRPr="001728CF" w:rsidRDefault="0099176E" w:rsidP="00DA2C26">
      <w:pPr>
        <w:numPr>
          <w:ilvl w:val="0"/>
          <w:numId w:val="116"/>
        </w:numPr>
        <w:spacing w:after="0" w:line="240" w:lineRule="auto"/>
        <w:jc w:val="left"/>
        <w:rPr>
          <w:rFonts w:asciiTheme="minorHAnsi" w:hAnsiTheme="minorHAnsi" w:cstheme="minorHAnsi"/>
        </w:rPr>
      </w:pPr>
      <w:r w:rsidRPr="001728CF">
        <w:rPr>
          <w:rFonts w:asciiTheme="minorHAnsi" w:hAnsiTheme="minorHAnsi" w:cstheme="minorHAnsi"/>
        </w:rPr>
        <w:t>Metal analysis</w:t>
      </w:r>
    </w:p>
    <w:p w14:paraId="157239B6" w14:textId="77777777" w:rsidR="0099176E" w:rsidRPr="001728CF" w:rsidRDefault="0099176E" w:rsidP="00DA2C26">
      <w:pPr>
        <w:numPr>
          <w:ilvl w:val="0"/>
          <w:numId w:val="116"/>
        </w:numPr>
        <w:spacing w:after="0" w:line="240" w:lineRule="auto"/>
        <w:jc w:val="left"/>
        <w:rPr>
          <w:rFonts w:asciiTheme="minorHAnsi" w:hAnsiTheme="minorHAnsi" w:cstheme="minorHAnsi"/>
        </w:rPr>
      </w:pPr>
      <w:r w:rsidRPr="001728CF">
        <w:rPr>
          <w:rFonts w:asciiTheme="minorHAnsi" w:hAnsiTheme="minorHAnsi" w:cstheme="minorHAnsi"/>
        </w:rPr>
        <w:t>Herbicide analysis</w:t>
      </w:r>
    </w:p>
    <w:p w14:paraId="5A1CC85E" w14:textId="77777777" w:rsidR="0099176E" w:rsidRPr="001728CF" w:rsidRDefault="0099176E" w:rsidP="0099176E">
      <w:pPr>
        <w:spacing w:after="0" w:line="240" w:lineRule="auto"/>
        <w:rPr>
          <w:rFonts w:asciiTheme="minorHAnsi" w:hAnsiTheme="minorHAnsi" w:cstheme="minorHAnsi"/>
        </w:rPr>
      </w:pPr>
    </w:p>
    <w:p w14:paraId="1D3FA268"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sidRPr="001728CF">
        <w:rPr>
          <w:rFonts w:asciiTheme="minorHAnsi" w:hAnsiTheme="minorHAnsi" w:cstheme="minorHAnsi"/>
          <w:b/>
          <w:sz w:val="24"/>
          <w:szCs w:val="24"/>
        </w:rPr>
        <w:t>Non-rooted Aquatic Vascular Plants</w:t>
      </w:r>
    </w:p>
    <w:p w14:paraId="2D46249B"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76F72A51" w14:textId="77777777" w:rsidR="0099176E" w:rsidRPr="001728CF" w:rsidRDefault="0099176E" w:rsidP="00DA2C26">
      <w:pPr>
        <w:numPr>
          <w:ilvl w:val="0"/>
          <w:numId w:val="91"/>
        </w:numPr>
        <w:spacing w:after="0" w:line="240" w:lineRule="auto"/>
        <w:jc w:val="left"/>
        <w:rPr>
          <w:rFonts w:asciiTheme="minorHAnsi" w:hAnsiTheme="minorHAnsi" w:cstheme="minorHAnsi"/>
        </w:rPr>
      </w:pPr>
      <w:r>
        <w:rPr>
          <w:rFonts w:asciiTheme="minorHAnsi" w:hAnsiTheme="minorHAnsi" w:cstheme="minorHAnsi"/>
        </w:rPr>
        <w:t>E</w:t>
      </w:r>
      <w:r w:rsidRPr="001728CF">
        <w:rPr>
          <w:rFonts w:asciiTheme="minorHAnsi" w:hAnsiTheme="minorHAnsi" w:cstheme="minorHAnsi"/>
        </w:rPr>
        <w:t>xtremely sensitive to nutrient additions</w:t>
      </w:r>
    </w:p>
    <w:p w14:paraId="031F67BB" w14:textId="77777777" w:rsidR="0099176E" w:rsidRPr="001728CF" w:rsidRDefault="0099176E" w:rsidP="00DA2C26">
      <w:pPr>
        <w:numPr>
          <w:ilvl w:val="0"/>
          <w:numId w:val="91"/>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 xml:space="preserve">ensitivities of some indicator species (e.g. </w:t>
      </w:r>
      <w:r w:rsidRPr="001728CF">
        <w:rPr>
          <w:rFonts w:asciiTheme="minorHAnsi" w:hAnsiTheme="minorHAnsi" w:cstheme="minorHAnsi"/>
          <w:i/>
        </w:rPr>
        <w:t>Lemna</w:t>
      </w:r>
      <w:r w:rsidRPr="001728CF">
        <w:rPr>
          <w:rFonts w:asciiTheme="minorHAnsi" w:hAnsiTheme="minorHAnsi" w:cstheme="minorHAnsi"/>
        </w:rPr>
        <w:t>) are well known</w:t>
      </w:r>
    </w:p>
    <w:p w14:paraId="66DB1F9D" w14:textId="77777777" w:rsidR="0099176E" w:rsidRPr="001728CF" w:rsidRDefault="0099176E" w:rsidP="00DA2C26">
      <w:pPr>
        <w:numPr>
          <w:ilvl w:val="0"/>
          <w:numId w:val="91"/>
        </w:numPr>
        <w:spacing w:after="0" w:line="240" w:lineRule="auto"/>
        <w:jc w:val="left"/>
        <w:rPr>
          <w:rFonts w:asciiTheme="minorHAnsi" w:hAnsiTheme="minorHAnsi" w:cstheme="minorHAnsi"/>
        </w:rPr>
      </w:pPr>
      <w:r>
        <w:rPr>
          <w:rFonts w:asciiTheme="minorHAnsi" w:hAnsiTheme="minorHAnsi" w:cstheme="minorHAnsi"/>
        </w:rPr>
        <w:t>I</w:t>
      </w:r>
      <w:r w:rsidRPr="001728CF">
        <w:rPr>
          <w:rFonts w:asciiTheme="minorHAnsi" w:hAnsiTheme="minorHAnsi" w:cstheme="minorHAnsi"/>
        </w:rPr>
        <w:t>mportant in food webs (e.g. waterfowl)</w:t>
      </w:r>
    </w:p>
    <w:p w14:paraId="7F58AA18" w14:textId="77777777" w:rsidR="0099176E" w:rsidRPr="001728CF" w:rsidRDefault="0099176E" w:rsidP="00DA2C26">
      <w:pPr>
        <w:numPr>
          <w:ilvl w:val="0"/>
          <w:numId w:val="91"/>
        </w:numPr>
        <w:spacing w:after="0" w:line="240" w:lineRule="auto"/>
        <w:jc w:val="left"/>
        <w:rPr>
          <w:rFonts w:asciiTheme="minorHAnsi" w:hAnsiTheme="minorHAnsi" w:cstheme="minorHAnsi"/>
        </w:rPr>
      </w:pPr>
      <w:r>
        <w:rPr>
          <w:rFonts w:asciiTheme="minorHAnsi" w:hAnsiTheme="minorHAnsi" w:cstheme="minorHAnsi"/>
        </w:rPr>
        <w:lastRenderedPageBreak/>
        <w:t>M</w:t>
      </w:r>
      <w:r w:rsidRPr="001728CF">
        <w:rPr>
          <w:rFonts w:asciiTheme="minorHAnsi" w:hAnsiTheme="minorHAnsi" w:cstheme="minorHAnsi"/>
        </w:rPr>
        <w:t xml:space="preserve">ostly immobile and thus reflective of site conditions, useful for </w:t>
      </w:r>
      <w:r w:rsidRPr="001728CF">
        <w:rPr>
          <w:rFonts w:asciiTheme="minorHAnsi" w:hAnsiTheme="minorHAnsi" w:cstheme="minorHAnsi"/>
          <w:i/>
        </w:rPr>
        <w:t>in situ</w:t>
      </w:r>
      <w:r w:rsidRPr="001728CF">
        <w:rPr>
          <w:rFonts w:asciiTheme="minorHAnsi" w:hAnsiTheme="minorHAnsi" w:cstheme="minorHAnsi"/>
        </w:rPr>
        <w:t xml:space="preserve"> exposure assessments</w:t>
      </w:r>
    </w:p>
    <w:p w14:paraId="07824652" w14:textId="77777777" w:rsidR="0099176E" w:rsidRPr="001728CF" w:rsidRDefault="0099176E" w:rsidP="00DA2C26">
      <w:pPr>
        <w:numPr>
          <w:ilvl w:val="0"/>
          <w:numId w:val="91"/>
        </w:numPr>
        <w:spacing w:after="0" w:line="240" w:lineRule="auto"/>
        <w:jc w:val="left"/>
        <w:rPr>
          <w:rFonts w:asciiTheme="minorHAnsi" w:hAnsiTheme="minorHAnsi" w:cstheme="minorHAnsi"/>
        </w:rPr>
      </w:pPr>
      <w:r>
        <w:rPr>
          <w:rFonts w:asciiTheme="minorHAnsi" w:hAnsiTheme="minorHAnsi" w:cstheme="minorHAnsi"/>
        </w:rPr>
        <w:t>P</w:t>
      </w:r>
      <w:r w:rsidRPr="001728CF">
        <w:rPr>
          <w:rFonts w:asciiTheme="minorHAnsi" w:hAnsiTheme="minorHAnsi" w:cstheme="minorHAnsi"/>
        </w:rPr>
        <w:t>atterns sometimes interpretable using remote sensing</w:t>
      </w:r>
    </w:p>
    <w:p w14:paraId="2BD064F9" w14:textId="77777777" w:rsidR="0099176E" w:rsidRPr="001728CF" w:rsidRDefault="0099176E" w:rsidP="0099176E">
      <w:pPr>
        <w:spacing w:after="0" w:line="240" w:lineRule="auto"/>
        <w:rPr>
          <w:rFonts w:asciiTheme="minorHAnsi" w:hAnsiTheme="minorHAnsi" w:cstheme="minorHAnsi"/>
        </w:rPr>
      </w:pPr>
    </w:p>
    <w:p w14:paraId="74BE6C3C"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484B3A73" w14:textId="77777777" w:rsidR="0099176E" w:rsidRPr="001728CF" w:rsidRDefault="0099176E" w:rsidP="00DA2C26">
      <w:pPr>
        <w:numPr>
          <w:ilvl w:val="0"/>
          <w:numId w:val="92"/>
        </w:numPr>
        <w:spacing w:after="0" w:line="240" w:lineRule="auto"/>
        <w:jc w:val="left"/>
        <w:rPr>
          <w:rFonts w:asciiTheme="minorHAnsi" w:hAnsiTheme="minorHAnsi" w:cstheme="minorHAnsi"/>
        </w:rPr>
      </w:pPr>
      <w:r>
        <w:rPr>
          <w:rFonts w:asciiTheme="minorHAnsi" w:hAnsiTheme="minorHAnsi" w:cstheme="minorHAnsi"/>
        </w:rPr>
        <w:t>D</w:t>
      </w:r>
      <w:r w:rsidRPr="001728CF">
        <w:rPr>
          <w:rFonts w:asciiTheme="minorHAnsi" w:hAnsiTheme="minorHAnsi" w:cstheme="minorHAnsi"/>
        </w:rPr>
        <w:t>ifficult to sample systematically throughout a wetland</w:t>
      </w:r>
    </w:p>
    <w:p w14:paraId="090E22F9" w14:textId="77777777" w:rsidR="0099176E" w:rsidRPr="001728CF" w:rsidRDefault="0099176E" w:rsidP="00DA2C26">
      <w:pPr>
        <w:numPr>
          <w:ilvl w:val="0"/>
          <w:numId w:val="92"/>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imited bioaccumulation due to short lifespan</w:t>
      </w:r>
    </w:p>
    <w:p w14:paraId="7E607216" w14:textId="77777777" w:rsidR="0099176E" w:rsidRPr="001728CF" w:rsidRDefault="0099176E" w:rsidP="00DA2C26">
      <w:pPr>
        <w:numPr>
          <w:ilvl w:val="0"/>
          <w:numId w:val="92"/>
        </w:numPr>
        <w:spacing w:after="0" w:line="240" w:lineRule="auto"/>
        <w:jc w:val="left"/>
        <w:rPr>
          <w:rFonts w:asciiTheme="minorHAnsi" w:hAnsiTheme="minorHAnsi" w:cstheme="minorHAnsi"/>
        </w:rPr>
      </w:pPr>
      <w:r>
        <w:rPr>
          <w:rFonts w:asciiTheme="minorHAnsi" w:hAnsiTheme="minorHAnsi" w:cstheme="minorHAnsi"/>
        </w:rPr>
        <w:t>A</w:t>
      </w:r>
      <w:r w:rsidRPr="001728CF">
        <w:rPr>
          <w:rFonts w:asciiTheme="minorHAnsi" w:hAnsiTheme="minorHAnsi" w:cstheme="minorHAnsi"/>
        </w:rPr>
        <w:t>bsent from wetlands that lack standing water (e.g. bogs)</w:t>
      </w:r>
    </w:p>
    <w:p w14:paraId="5505A8B5" w14:textId="77777777" w:rsidR="0099176E" w:rsidRPr="001728CF" w:rsidRDefault="0099176E" w:rsidP="00DA2C26">
      <w:pPr>
        <w:numPr>
          <w:ilvl w:val="0"/>
          <w:numId w:val="92"/>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aborious identification</w:t>
      </w:r>
    </w:p>
    <w:p w14:paraId="55260530" w14:textId="77777777" w:rsidR="0099176E" w:rsidRPr="001728CF" w:rsidRDefault="0099176E" w:rsidP="00DA2C26">
      <w:pPr>
        <w:numPr>
          <w:ilvl w:val="0"/>
          <w:numId w:val="92"/>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ow social recognition of their importance</w:t>
      </w:r>
    </w:p>
    <w:p w14:paraId="2EA1EFAF" w14:textId="77777777" w:rsidR="0099176E" w:rsidRPr="001728CF" w:rsidRDefault="0099176E" w:rsidP="00DA2C26">
      <w:pPr>
        <w:numPr>
          <w:ilvl w:val="0"/>
          <w:numId w:val="92"/>
        </w:numPr>
        <w:spacing w:after="0" w:line="240" w:lineRule="auto"/>
        <w:jc w:val="left"/>
        <w:rPr>
          <w:rFonts w:asciiTheme="minorHAnsi" w:hAnsiTheme="minorHAnsi" w:cstheme="minorHAnsi"/>
        </w:rPr>
      </w:pPr>
      <w:r>
        <w:rPr>
          <w:rFonts w:asciiTheme="minorHAnsi" w:hAnsiTheme="minorHAnsi" w:cstheme="minorHAnsi"/>
        </w:rPr>
        <w:t>F</w:t>
      </w:r>
      <w:r w:rsidRPr="001728CF">
        <w:rPr>
          <w:rFonts w:asciiTheme="minorHAnsi" w:hAnsiTheme="minorHAnsi" w:cstheme="minorHAnsi"/>
        </w:rPr>
        <w:t>ew if any regional field databases exist</w:t>
      </w:r>
    </w:p>
    <w:p w14:paraId="1574DFF9" w14:textId="77777777" w:rsidR="0099176E" w:rsidRPr="001728CF" w:rsidRDefault="0099176E" w:rsidP="0099176E">
      <w:pPr>
        <w:spacing w:after="0" w:line="240" w:lineRule="auto"/>
        <w:rPr>
          <w:rFonts w:asciiTheme="minorHAnsi" w:hAnsiTheme="minorHAnsi" w:cstheme="minorHAnsi"/>
        </w:rPr>
      </w:pPr>
    </w:p>
    <w:p w14:paraId="3FC10D4D"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sidRPr="001728CF">
        <w:rPr>
          <w:rFonts w:asciiTheme="minorHAnsi" w:hAnsiTheme="minorHAnsi" w:cstheme="minorHAnsi"/>
          <w:b/>
          <w:sz w:val="24"/>
          <w:szCs w:val="24"/>
        </w:rPr>
        <w:t>Emergent (Herbaceous) Vascular Plants</w:t>
      </w:r>
    </w:p>
    <w:p w14:paraId="6C282580"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5B339A3B" w14:textId="77777777" w:rsidR="0099176E" w:rsidRPr="001728CF" w:rsidRDefault="0099176E" w:rsidP="00DA2C26">
      <w:pPr>
        <w:numPr>
          <w:ilvl w:val="0"/>
          <w:numId w:val="93"/>
        </w:numPr>
        <w:spacing w:after="0" w:line="240" w:lineRule="auto"/>
        <w:jc w:val="left"/>
        <w:rPr>
          <w:rFonts w:asciiTheme="minorHAnsi" w:hAnsiTheme="minorHAnsi" w:cstheme="minorHAnsi"/>
        </w:rPr>
      </w:pPr>
      <w:r>
        <w:rPr>
          <w:rFonts w:asciiTheme="minorHAnsi" w:hAnsiTheme="minorHAnsi" w:cstheme="minorHAnsi"/>
        </w:rPr>
        <w:t>O</w:t>
      </w:r>
      <w:r w:rsidRPr="001728CF">
        <w:rPr>
          <w:rFonts w:asciiTheme="minorHAnsi" w:hAnsiTheme="minorHAnsi" w:cstheme="minorHAnsi"/>
        </w:rPr>
        <w:t>ccur in virtually all wetlands</w:t>
      </w:r>
    </w:p>
    <w:p w14:paraId="65B0B780" w14:textId="77777777" w:rsidR="0099176E" w:rsidRPr="001728CF" w:rsidRDefault="0099176E" w:rsidP="00DA2C26">
      <w:pPr>
        <w:numPr>
          <w:ilvl w:val="0"/>
          <w:numId w:val="93"/>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 xml:space="preserve">ensitivities of some indicator species (e.g. </w:t>
      </w:r>
      <w:r w:rsidRPr="001728CF">
        <w:rPr>
          <w:rFonts w:asciiTheme="minorHAnsi" w:hAnsiTheme="minorHAnsi" w:cstheme="minorHAnsi"/>
          <w:i/>
        </w:rPr>
        <w:t>Typha, Phragmites, Phalaris</w:t>
      </w:r>
      <w:r w:rsidRPr="001728CF">
        <w:rPr>
          <w:rFonts w:asciiTheme="minorHAnsi" w:hAnsiTheme="minorHAnsi" w:cstheme="minorHAnsi"/>
        </w:rPr>
        <w:t>) to nutrients/sediment are well known</w:t>
      </w:r>
    </w:p>
    <w:p w14:paraId="477CA32F" w14:textId="77777777" w:rsidR="0099176E" w:rsidRPr="001728CF" w:rsidRDefault="0099176E" w:rsidP="00DA2C26">
      <w:pPr>
        <w:numPr>
          <w:ilvl w:val="0"/>
          <w:numId w:val="93"/>
        </w:numPr>
        <w:spacing w:after="0" w:line="240" w:lineRule="auto"/>
        <w:jc w:val="left"/>
        <w:rPr>
          <w:rFonts w:asciiTheme="minorHAnsi" w:hAnsiTheme="minorHAnsi" w:cstheme="minorHAnsi"/>
        </w:rPr>
      </w:pPr>
      <w:r>
        <w:rPr>
          <w:rFonts w:asciiTheme="minorHAnsi" w:hAnsiTheme="minorHAnsi" w:cstheme="minorHAnsi"/>
        </w:rPr>
        <w:t>I</w:t>
      </w:r>
      <w:r w:rsidRPr="001728CF">
        <w:rPr>
          <w:rFonts w:asciiTheme="minorHAnsi" w:hAnsiTheme="minorHAnsi" w:cstheme="minorHAnsi"/>
        </w:rPr>
        <w:t xml:space="preserve">mmobile and thus reflective of site conditions, useful for </w:t>
      </w:r>
      <w:r w:rsidRPr="001728CF">
        <w:rPr>
          <w:rFonts w:asciiTheme="minorHAnsi" w:hAnsiTheme="minorHAnsi" w:cstheme="minorHAnsi"/>
          <w:i/>
        </w:rPr>
        <w:t>in situ</w:t>
      </w:r>
      <w:r w:rsidRPr="001728CF">
        <w:rPr>
          <w:rFonts w:asciiTheme="minorHAnsi" w:hAnsiTheme="minorHAnsi" w:cstheme="minorHAnsi"/>
        </w:rPr>
        <w:t xml:space="preserve"> exposure assessments</w:t>
      </w:r>
    </w:p>
    <w:p w14:paraId="138D1B51" w14:textId="77777777" w:rsidR="0099176E" w:rsidRPr="001728CF" w:rsidRDefault="0099176E" w:rsidP="00DA2C26">
      <w:pPr>
        <w:numPr>
          <w:ilvl w:val="0"/>
          <w:numId w:val="93"/>
        </w:numPr>
        <w:spacing w:after="0" w:line="240" w:lineRule="auto"/>
        <w:jc w:val="left"/>
        <w:rPr>
          <w:rFonts w:asciiTheme="minorHAnsi" w:hAnsiTheme="minorHAnsi" w:cstheme="minorHAnsi"/>
        </w:rPr>
      </w:pPr>
      <w:r>
        <w:rPr>
          <w:rFonts w:asciiTheme="minorHAnsi" w:hAnsiTheme="minorHAnsi" w:cstheme="minorHAnsi"/>
        </w:rPr>
        <w:t>B</w:t>
      </w:r>
      <w:r w:rsidRPr="001728CF">
        <w:rPr>
          <w:rFonts w:asciiTheme="minorHAnsi" w:hAnsiTheme="minorHAnsi" w:cstheme="minorHAnsi"/>
        </w:rPr>
        <w:t>ioaccumulate to a moderate degree</w:t>
      </w:r>
    </w:p>
    <w:p w14:paraId="275DB2B7" w14:textId="77777777" w:rsidR="0099176E" w:rsidRPr="001728CF" w:rsidRDefault="0099176E" w:rsidP="00DA2C26">
      <w:pPr>
        <w:numPr>
          <w:ilvl w:val="0"/>
          <w:numId w:val="93"/>
        </w:numPr>
        <w:spacing w:after="0" w:line="240" w:lineRule="auto"/>
        <w:jc w:val="left"/>
        <w:rPr>
          <w:rFonts w:asciiTheme="minorHAnsi" w:hAnsiTheme="minorHAnsi" w:cstheme="minorHAnsi"/>
        </w:rPr>
      </w:pPr>
      <w:r>
        <w:rPr>
          <w:rFonts w:asciiTheme="minorHAnsi" w:hAnsiTheme="minorHAnsi" w:cstheme="minorHAnsi"/>
        </w:rPr>
        <w:t>P</w:t>
      </w:r>
      <w:r w:rsidRPr="001728CF">
        <w:rPr>
          <w:rFonts w:asciiTheme="minorHAnsi" w:hAnsiTheme="minorHAnsi" w:cstheme="minorHAnsi"/>
        </w:rPr>
        <w:t>atterns interpretable using remote sensing</w:t>
      </w:r>
    </w:p>
    <w:p w14:paraId="509DEA79" w14:textId="77777777" w:rsidR="0099176E" w:rsidRPr="001728CF" w:rsidRDefault="0099176E" w:rsidP="00DA2C26">
      <w:pPr>
        <w:numPr>
          <w:ilvl w:val="0"/>
          <w:numId w:val="93"/>
        </w:numPr>
        <w:spacing w:after="0" w:line="240" w:lineRule="auto"/>
        <w:jc w:val="left"/>
        <w:rPr>
          <w:rFonts w:asciiTheme="minorHAnsi" w:hAnsiTheme="minorHAnsi" w:cstheme="minorHAnsi"/>
        </w:rPr>
      </w:pPr>
      <w:r>
        <w:rPr>
          <w:rFonts w:asciiTheme="minorHAnsi" w:hAnsiTheme="minorHAnsi" w:cstheme="minorHAnsi"/>
        </w:rPr>
        <w:t>M</w:t>
      </w:r>
      <w:r w:rsidRPr="001728CF">
        <w:rPr>
          <w:rFonts w:asciiTheme="minorHAnsi" w:hAnsiTheme="minorHAnsi" w:cstheme="minorHAnsi"/>
        </w:rPr>
        <w:t>oderately sensitive to nutrients and hydroperiod alteration</w:t>
      </w:r>
    </w:p>
    <w:p w14:paraId="5539158C" w14:textId="77777777" w:rsidR="0099176E" w:rsidRPr="001728CF" w:rsidRDefault="0099176E" w:rsidP="00DA2C26">
      <w:pPr>
        <w:numPr>
          <w:ilvl w:val="0"/>
          <w:numId w:val="93"/>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ome regional field databases may exist</w:t>
      </w:r>
    </w:p>
    <w:p w14:paraId="09FC83CA" w14:textId="77777777" w:rsidR="0099176E" w:rsidRPr="001728CF" w:rsidRDefault="0099176E" w:rsidP="0099176E">
      <w:pPr>
        <w:spacing w:after="0" w:line="240" w:lineRule="auto"/>
        <w:rPr>
          <w:rFonts w:asciiTheme="minorHAnsi" w:hAnsiTheme="minorHAnsi" w:cstheme="minorHAnsi"/>
        </w:rPr>
      </w:pPr>
    </w:p>
    <w:p w14:paraId="37588D63"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5B34E0DC" w14:textId="77777777" w:rsidR="0099176E" w:rsidRPr="001728CF" w:rsidRDefault="0099176E" w:rsidP="00DA2C26">
      <w:pPr>
        <w:numPr>
          <w:ilvl w:val="0"/>
          <w:numId w:val="94"/>
        </w:numPr>
        <w:spacing w:after="0" w:line="240" w:lineRule="auto"/>
        <w:jc w:val="left"/>
        <w:rPr>
          <w:rFonts w:asciiTheme="minorHAnsi" w:hAnsiTheme="minorHAnsi" w:cstheme="minorHAnsi"/>
        </w:rPr>
      </w:pPr>
      <w:r>
        <w:rPr>
          <w:rFonts w:asciiTheme="minorHAnsi" w:hAnsiTheme="minorHAnsi" w:cstheme="minorHAnsi"/>
        </w:rPr>
        <w:t>N</w:t>
      </w:r>
      <w:r w:rsidRPr="001728CF">
        <w:rPr>
          <w:rFonts w:asciiTheme="minorHAnsi" w:hAnsiTheme="minorHAnsi" w:cstheme="minorHAnsi"/>
        </w:rPr>
        <w:t>ot highly sensitive to contaminants and sedimentation</w:t>
      </w:r>
    </w:p>
    <w:p w14:paraId="16A34638" w14:textId="77777777" w:rsidR="0099176E" w:rsidRPr="001728CF" w:rsidRDefault="0099176E" w:rsidP="00DA2C26">
      <w:pPr>
        <w:numPr>
          <w:ilvl w:val="0"/>
          <w:numId w:val="94"/>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agged response to stressors (episodic contamination may not be reflected)</w:t>
      </w:r>
    </w:p>
    <w:p w14:paraId="10C99435" w14:textId="77777777" w:rsidR="0099176E" w:rsidRPr="001728CF" w:rsidRDefault="0099176E" w:rsidP="00DA2C26">
      <w:pPr>
        <w:numPr>
          <w:ilvl w:val="0"/>
          <w:numId w:val="94"/>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ow social recognition of importance</w:t>
      </w:r>
    </w:p>
    <w:p w14:paraId="20478222" w14:textId="77777777" w:rsidR="0099176E" w:rsidRPr="001728CF" w:rsidRDefault="0099176E" w:rsidP="00DA2C26">
      <w:pPr>
        <w:numPr>
          <w:ilvl w:val="0"/>
          <w:numId w:val="94"/>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ampling and identification is laborious</w:t>
      </w:r>
    </w:p>
    <w:p w14:paraId="725813C3" w14:textId="77777777" w:rsidR="0099176E" w:rsidRPr="001728CF" w:rsidRDefault="0099176E" w:rsidP="00DA2C26">
      <w:pPr>
        <w:numPr>
          <w:ilvl w:val="0"/>
          <w:numId w:val="94"/>
        </w:numPr>
        <w:spacing w:after="0" w:line="240" w:lineRule="auto"/>
        <w:jc w:val="left"/>
        <w:rPr>
          <w:rFonts w:asciiTheme="minorHAnsi" w:hAnsiTheme="minorHAnsi" w:cstheme="minorHAnsi"/>
        </w:rPr>
      </w:pPr>
      <w:r>
        <w:rPr>
          <w:rFonts w:asciiTheme="minorHAnsi" w:hAnsiTheme="minorHAnsi" w:cstheme="minorHAnsi"/>
        </w:rPr>
        <w:t>D</w:t>
      </w:r>
      <w:r w:rsidRPr="001728CF">
        <w:rPr>
          <w:rFonts w:asciiTheme="minorHAnsi" w:hAnsiTheme="minorHAnsi" w:cstheme="minorHAnsi"/>
        </w:rPr>
        <w:t>ispersal, herbivory, soil type and other factors often overshadow contaminant effects</w:t>
      </w:r>
    </w:p>
    <w:p w14:paraId="37FB0FA2" w14:textId="77777777" w:rsidR="0099176E" w:rsidRPr="001728CF" w:rsidRDefault="0099176E" w:rsidP="0099176E">
      <w:pPr>
        <w:spacing w:after="0" w:line="240" w:lineRule="auto"/>
        <w:rPr>
          <w:rFonts w:asciiTheme="minorHAnsi" w:hAnsiTheme="minorHAnsi" w:cstheme="minorHAnsi"/>
        </w:rPr>
      </w:pPr>
    </w:p>
    <w:p w14:paraId="359393FE"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sidRPr="001728CF">
        <w:rPr>
          <w:rFonts w:asciiTheme="minorHAnsi" w:hAnsiTheme="minorHAnsi" w:cstheme="minorHAnsi"/>
          <w:b/>
          <w:sz w:val="24"/>
          <w:szCs w:val="24"/>
        </w:rPr>
        <w:t>Forested/Shrub (Woody) Vascular Plants</w:t>
      </w:r>
    </w:p>
    <w:p w14:paraId="79A13E74"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39E5D769" w14:textId="77777777" w:rsidR="0099176E" w:rsidRPr="001728CF" w:rsidRDefault="0099176E" w:rsidP="00DA2C26">
      <w:pPr>
        <w:numPr>
          <w:ilvl w:val="0"/>
          <w:numId w:val="95"/>
        </w:numPr>
        <w:spacing w:after="0" w:line="240" w:lineRule="auto"/>
        <w:jc w:val="left"/>
        <w:rPr>
          <w:rFonts w:asciiTheme="minorHAnsi" w:hAnsiTheme="minorHAnsi" w:cstheme="minorHAnsi"/>
        </w:rPr>
      </w:pPr>
      <w:r>
        <w:rPr>
          <w:rFonts w:asciiTheme="minorHAnsi" w:hAnsiTheme="minorHAnsi" w:cstheme="minorHAnsi"/>
        </w:rPr>
        <w:t>O</w:t>
      </w:r>
      <w:r w:rsidRPr="001728CF">
        <w:rPr>
          <w:rFonts w:asciiTheme="minorHAnsi" w:hAnsiTheme="minorHAnsi" w:cstheme="minorHAnsi"/>
        </w:rPr>
        <w:t>ccur widely</w:t>
      </w:r>
    </w:p>
    <w:p w14:paraId="4185A6F2" w14:textId="77777777" w:rsidR="0099176E" w:rsidRPr="001728CF" w:rsidRDefault="0099176E" w:rsidP="00DA2C26">
      <w:pPr>
        <w:numPr>
          <w:ilvl w:val="0"/>
          <w:numId w:val="95"/>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ensitivities of many species to hydroperiod change are relatively well known</w:t>
      </w:r>
    </w:p>
    <w:p w14:paraId="3F62568C" w14:textId="77777777" w:rsidR="0099176E" w:rsidRPr="001728CF" w:rsidRDefault="0099176E" w:rsidP="00DA2C26">
      <w:pPr>
        <w:numPr>
          <w:ilvl w:val="0"/>
          <w:numId w:val="95"/>
        </w:numPr>
        <w:spacing w:after="0" w:line="240" w:lineRule="auto"/>
        <w:jc w:val="left"/>
        <w:rPr>
          <w:rFonts w:asciiTheme="minorHAnsi" w:hAnsiTheme="minorHAnsi" w:cstheme="minorHAnsi"/>
        </w:rPr>
      </w:pPr>
      <w:r>
        <w:rPr>
          <w:rFonts w:asciiTheme="minorHAnsi" w:hAnsiTheme="minorHAnsi" w:cstheme="minorHAnsi"/>
        </w:rPr>
        <w:t>I</w:t>
      </w:r>
      <w:r w:rsidRPr="001728CF">
        <w:rPr>
          <w:rFonts w:asciiTheme="minorHAnsi" w:hAnsiTheme="minorHAnsi" w:cstheme="minorHAnsi"/>
        </w:rPr>
        <w:t>mmobile and thus reflective of site conditions</w:t>
      </w:r>
    </w:p>
    <w:p w14:paraId="3A9F2163" w14:textId="77777777" w:rsidR="0099176E" w:rsidRPr="001728CF" w:rsidRDefault="0099176E" w:rsidP="00DA2C26">
      <w:pPr>
        <w:numPr>
          <w:ilvl w:val="0"/>
          <w:numId w:val="95"/>
        </w:numPr>
        <w:spacing w:after="0" w:line="240" w:lineRule="auto"/>
        <w:jc w:val="left"/>
        <w:rPr>
          <w:rFonts w:asciiTheme="minorHAnsi" w:hAnsiTheme="minorHAnsi" w:cstheme="minorHAnsi"/>
        </w:rPr>
      </w:pPr>
      <w:r>
        <w:rPr>
          <w:rFonts w:asciiTheme="minorHAnsi" w:hAnsiTheme="minorHAnsi" w:cstheme="minorHAnsi"/>
        </w:rPr>
        <w:t>B</w:t>
      </w:r>
      <w:r w:rsidRPr="001728CF">
        <w:rPr>
          <w:rFonts w:asciiTheme="minorHAnsi" w:hAnsiTheme="minorHAnsi" w:cstheme="minorHAnsi"/>
        </w:rPr>
        <w:t>ioaccumulate to a moderate degree</w:t>
      </w:r>
    </w:p>
    <w:p w14:paraId="05D0955B" w14:textId="77777777" w:rsidR="0099176E" w:rsidRPr="001728CF" w:rsidRDefault="0099176E" w:rsidP="00DA2C26">
      <w:pPr>
        <w:numPr>
          <w:ilvl w:val="0"/>
          <w:numId w:val="95"/>
        </w:numPr>
        <w:spacing w:after="0" w:line="240" w:lineRule="auto"/>
        <w:jc w:val="left"/>
        <w:rPr>
          <w:rFonts w:asciiTheme="minorHAnsi" w:hAnsiTheme="minorHAnsi" w:cstheme="minorHAnsi"/>
        </w:rPr>
      </w:pPr>
      <w:r>
        <w:rPr>
          <w:rFonts w:asciiTheme="minorHAnsi" w:hAnsiTheme="minorHAnsi" w:cstheme="minorHAnsi"/>
        </w:rPr>
        <w:t>P</w:t>
      </w:r>
      <w:r w:rsidRPr="001728CF">
        <w:rPr>
          <w:rFonts w:asciiTheme="minorHAnsi" w:hAnsiTheme="minorHAnsi" w:cstheme="minorHAnsi"/>
        </w:rPr>
        <w:t>atterns interpretable using remote sensing</w:t>
      </w:r>
    </w:p>
    <w:p w14:paraId="2DFE74FD" w14:textId="77777777" w:rsidR="0099176E" w:rsidRPr="001728CF" w:rsidRDefault="0099176E" w:rsidP="00DA2C26">
      <w:pPr>
        <w:numPr>
          <w:ilvl w:val="0"/>
          <w:numId w:val="95"/>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ampling techniques and community metrics well-developed</w:t>
      </w:r>
    </w:p>
    <w:p w14:paraId="15DAD8D7" w14:textId="77777777" w:rsidR="0099176E" w:rsidRPr="001728CF" w:rsidRDefault="0099176E" w:rsidP="00DA2C26">
      <w:pPr>
        <w:numPr>
          <w:ilvl w:val="0"/>
          <w:numId w:val="95"/>
        </w:numPr>
        <w:spacing w:after="0" w:line="240" w:lineRule="auto"/>
        <w:jc w:val="left"/>
        <w:rPr>
          <w:rFonts w:asciiTheme="minorHAnsi" w:hAnsiTheme="minorHAnsi" w:cstheme="minorHAnsi"/>
        </w:rPr>
      </w:pPr>
      <w:r>
        <w:rPr>
          <w:rFonts w:asciiTheme="minorHAnsi" w:hAnsiTheme="minorHAnsi" w:cstheme="minorHAnsi"/>
        </w:rPr>
        <w:t>T</w:t>
      </w:r>
      <w:r w:rsidRPr="001728CF">
        <w:rPr>
          <w:rFonts w:asciiTheme="minorHAnsi" w:hAnsiTheme="minorHAnsi" w:cstheme="minorHAnsi"/>
        </w:rPr>
        <w:t>rends can be inferred (with care) using tree ring analyses</w:t>
      </w:r>
    </w:p>
    <w:p w14:paraId="07BD7C29" w14:textId="77777777" w:rsidR="0099176E" w:rsidRPr="001728CF" w:rsidRDefault="0099176E" w:rsidP="00DA2C26">
      <w:pPr>
        <w:numPr>
          <w:ilvl w:val="0"/>
          <w:numId w:val="95"/>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igns of stress (e.g. die-offs) are socially recognised</w:t>
      </w:r>
    </w:p>
    <w:p w14:paraId="0B50F263" w14:textId="77777777" w:rsidR="0099176E" w:rsidRPr="001728CF" w:rsidRDefault="0099176E" w:rsidP="00DA2C26">
      <w:pPr>
        <w:numPr>
          <w:ilvl w:val="0"/>
          <w:numId w:val="95"/>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ampling and identification are fairly easy</w:t>
      </w:r>
    </w:p>
    <w:p w14:paraId="3B6F6A00" w14:textId="77777777" w:rsidR="0099176E" w:rsidRPr="001728CF" w:rsidRDefault="0099176E" w:rsidP="00DA2C26">
      <w:pPr>
        <w:numPr>
          <w:ilvl w:val="0"/>
          <w:numId w:val="95"/>
        </w:numPr>
        <w:spacing w:after="0" w:line="240" w:lineRule="auto"/>
        <w:jc w:val="left"/>
        <w:rPr>
          <w:rFonts w:asciiTheme="minorHAnsi" w:hAnsiTheme="minorHAnsi" w:cstheme="minorHAnsi"/>
        </w:rPr>
      </w:pPr>
      <w:r>
        <w:rPr>
          <w:rFonts w:asciiTheme="minorHAnsi" w:hAnsiTheme="minorHAnsi" w:cstheme="minorHAnsi"/>
        </w:rPr>
        <w:t>C</w:t>
      </w:r>
      <w:r w:rsidRPr="001728CF">
        <w:rPr>
          <w:rFonts w:asciiTheme="minorHAnsi" w:hAnsiTheme="minorHAnsi" w:cstheme="minorHAnsi"/>
        </w:rPr>
        <w:t>ommunity can be characterised even in the dormant season</w:t>
      </w:r>
    </w:p>
    <w:p w14:paraId="3C425805" w14:textId="77777777" w:rsidR="0099176E" w:rsidRPr="001728CF" w:rsidRDefault="0099176E" w:rsidP="0099176E">
      <w:pPr>
        <w:spacing w:after="0" w:line="240" w:lineRule="auto"/>
        <w:rPr>
          <w:rFonts w:asciiTheme="minorHAnsi" w:hAnsiTheme="minorHAnsi" w:cstheme="minorHAnsi"/>
        </w:rPr>
      </w:pPr>
    </w:p>
    <w:p w14:paraId="58377F5F"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641E4B42" w14:textId="77777777" w:rsidR="0099176E" w:rsidRPr="001728CF" w:rsidRDefault="0099176E" w:rsidP="00DA2C26">
      <w:pPr>
        <w:numPr>
          <w:ilvl w:val="0"/>
          <w:numId w:val="96"/>
        </w:numPr>
        <w:spacing w:after="0" w:line="240" w:lineRule="auto"/>
        <w:jc w:val="left"/>
        <w:rPr>
          <w:rFonts w:asciiTheme="minorHAnsi" w:hAnsiTheme="minorHAnsi" w:cstheme="minorHAnsi"/>
        </w:rPr>
      </w:pPr>
      <w:r w:rsidRPr="001728CF">
        <w:rPr>
          <w:rFonts w:asciiTheme="minorHAnsi" w:hAnsiTheme="minorHAnsi" w:cstheme="minorHAnsi"/>
        </w:rPr>
        <w:t>not highly reflective of contaminants and sedimentation</w:t>
      </w:r>
    </w:p>
    <w:p w14:paraId="793A0475" w14:textId="77777777" w:rsidR="0099176E" w:rsidRPr="001728CF" w:rsidRDefault="0099176E" w:rsidP="00DA2C26">
      <w:pPr>
        <w:numPr>
          <w:ilvl w:val="0"/>
          <w:numId w:val="96"/>
        </w:numPr>
        <w:spacing w:after="0" w:line="240" w:lineRule="auto"/>
        <w:jc w:val="left"/>
        <w:rPr>
          <w:rFonts w:asciiTheme="minorHAnsi" w:hAnsiTheme="minorHAnsi" w:cstheme="minorHAnsi"/>
        </w:rPr>
      </w:pPr>
      <w:r w:rsidRPr="001728CF">
        <w:rPr>
          <w:rFonts w:asciiTheme="minorHAnsi" w:hAnsiTheme="minorHAnsi" w:cstheme="minorHAnsi"/>
        </w:rPr>
        <w:t xml:space="preserve">long lagged response to stressors (episodic contamination may not be reflected); </w:t>
      </w:r>
      <w:r w:rsidRPr="001728CF">
        <w:rPr>
          <w:rFonts w:asciiTheme="minorHAnsi" w:hAnsiTheme="minorHAnsi" w:cstheme="minorHAnsi"/>
          <w:i/>
        </w:rPr>
        <w:t>in situ</w:t>
      </w:r>
      <w:r w:rsidRPr="001728CF">
        <w:rPr>
          <w:rFonts w:asciiTheme="minorHAnsi" w:hAnsiTheme="minorHAnsi" w:cstheme="minorHAnsi"/>
        </w:rPr>
        <w:t xml:space="preserve"> experimentation is impractical</w:t>
      </w:r>
    </w:p>
    <w:p w14:paraId="41C9E268" w14:textId="77777777" w:rsidR="0099176E" w:rsidRPr="001728CF" w:rsidRDefault="0099176E" w:rsidP="00DA2C26">
      <w:pPr>
        <w:numPr>
          <w:ilvl w:val="0"/>
          <w:numId w:val="96"/>
        </w:numPr>
        <w:spacing w:after="0" w:line="240" w:lineRule="auto"/>
        <w:jc w:val="left"/>
        <w:rPr>
          <w:rFonts w:asciiTheme="minorHAnsi" w:hAnsiTheme="minorHAnsi" w:cstheme="minorHAnsi"/>
        </w:rPr>
      </w:pPr>
      <w:r w:rsidRPr="001728CF">
        <w:rPr>
          <w:rFonts w:asciiTheme="minorHAnsi" w:hAnsiTheme="minorHAnsi" w:cstheme="minorHAnsi"/>
        </w:rPr>
        <w:t>response difficult to interpret where past management (e.g. silviculture) has been practiced</w:t>
      </w:r>
    </w:p>
    <w:p w14:paraId="78FF8AD1" w14:textId="77777777" w:rsidR="0099176E" w:rsidRPr="001728CF" w:rsidRDefault="0099176E" w:rsidP="0099176E">
      <w:pPr>
        <w:spacing w:after="0" w:line="240" w:lineRule="auto"/>
        <w:rPr>
          <w:rFonts w:asciiTheme="minorHAnsi" w:hAnsiTheme="minorHAnsi" w:cstheme="minorHAnsi"/>
        </w:rPr>
      </w:pPr>
    </w:p>
    <w:p w14:paraId="7E7D685C"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sidRPr="001728CF">
        <w:rPr>
          <w:rFonts w:asciiTheme="minorHAnsi" w:hAnsiTheme="minorHAnsi" w:cstheme="minorHAnsi"/>
          <w:b/>
          <w:sz w:val="24"/>
          <w:szCs w:val="24"/>
        </w:rPr>
        <w:t>Aquatic Insects (e.g. dragonflies, midges)</w:t>
      </w:r>
    </w:p>
    <w:p w14:paraId="2C199BF7"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6D812706" w14:textId="77777777" w:rsidR="0099176E" w:rsidRPr="001728CF" w:rsidRDefault="0099176E" w:rsidP="00DA2C26">
      <w:pPr>
        <w:numPr>
          <w:ilvl w:val="0"/>
          <w:numId w:val="97"/>
        </w:numPr>
        <w:spacing w:after="0" w:line="240" w:lineRule="auto"/>
        <w:jc w:val="left"/>
        <w:rPr>
          <w:rFonts w:asciiTheme="minorHAnsi" w:hAnsiTheme="minorHAnsi" w:cstheme="minorHAnsi"/>
        </w:rPr>
      </w:pPr>
      <w:r>
        <w:rPr>
          <w:rFonts w:asciiTheme="minorHAnsi" w:hAnsiTheme="minorHAnsi" w:cstheme="minorHAnsi"/>
        </w:rPr>
        <w:t>O</w:t>
      </w:r>
      <w:r w:rsidRPr="001728CF">
        <w:rPr>
          <w:rFonts w:asciiTheme="minorHAnsi" w:hAnsiTheme="minorHAnsi" w:cstheme="minorHAnsi"/>
        </w:rPr>
        <w:t>ccur in all wetland types, even those lacking surface water</w:t>
      </w:r>
    </w:p>
    <w:p w14:paraId="0EC2F849" w14:textId="77777777" w:rsidR="0099176E" w:rsidRPr="001728CF" w:rsidRDefault="0099176E" w:rsidP="00DA2C26">
      <w:pPr>
        <w:numPr>
          <w:ilvl w:val="0"/>
          <w:numId w:val="97"/>
        </w:numPr>
        <w:spacing w:after="0" w:line="240" w:lineRule="auto"/>
        <w:jc w:val="left"/>
        <w:rPr>
          <w:rFonts w:asciiTheme="minorHAnsi" w:hAnsiTheme="minorHAnsi" w:cstheme="minorHAnsi"/>
        </w:rPr>
      </w:pPr>
      <w:r>
        <w:rPr>
          <w:rFonts w:asciiTheme="minorHAnsi" w:hAnsiTheme="minorHAnsi" w:cstheme="minorHAnsi"/>
        </w:rPr>
        <w:t>C</w:t>
      </w:r>
      <w:r w:rsidRPr="001728CF">
        <w:rPr>
          <w:rFonts w:asciiTheme="minorHAnsi" w:hAnsiTheme="minorHAnsi" w:cstheme="minorHAnsi"/>
        </w:rPr>
        <w:t>ommunity metrics/indices well-developed (e.g. Index of Biotic Integrity, RBA methods) but need adaptation for wetlands</w:t>
      </w:r>
    </w:p>
    <w:p w14:paraId="68BBB998" w14:textId="77777777" w:rsidR="0099176E" w:rsidRPr="001728CF" w:rsidRDefault="0099176E" w:rsidP="00DA2C26">
      <w:pPr>
        <w:numPr>
          <w:ilvl w:val="0"/>
          <w:numId w:val="97"/>
        </w:numPr>
        <w:spacing w:after="0" w:line="240" w:lineRule="auto"/>
        <w:jc w:val="left"/>
        <w:rPr>
          <w:rFonts w:asciiTheme="minorHAnsi" w:hAnsiTheme="minorHAnsi" w:cstheme="minorHAnsi"/>
        </w:rPr>
      </w:pPr>
      <w:r>
        <w:rPr>
          <w:rFonts w:asciiTheme="minorHAnsi" w:hAnsiTheme="minorHAnsi" w:cstheme="minorHAnsi"/>
        </w:rPr>
        <w:t>I</w:t>
      </w:r>
      <w:r w:rsidRPr="001728CF">
        <w:rPr>
          <w:rFonts w:asciiTheme="minorHAnsi" w:hAnsiTheme="minorHAnsi" w:cstheme="minorHAnsi"/>
        </w:rPr>
        <w:t>ntermediate life spans reflect episodic events without requiring extremely frequent sampling</w:t>
      </w:r>
    </w:p>
    <w:p w14:paraId="04CBFB73" w14:textId="77777777" w:rsidR="0099176E" w:rsidRPr="001728CF" w:rsidRDefault="0099176E" w:rsidP="00DA2C26">
      <w:pPr>
        <w:numPr>
          <w:ilvl w:val="0"/>
          <w:numId w:val="97"/>
        </w:numPr>
        <w:spacing w:after="0" w:line="240" w:lineRule="auto"/>
        <w:jc w:val="left"/>
        <w:rPr>
          <w:rFonts w:asciiTheme="minorHAnsi" w:hAnsiTheme="minorHAnsi" w:cstheme="minorHAnsi"/>
        </w:rPr>
      </w:pPr>
      <w:r>
        <w:rPr>
          <w:rFonts w:asciiTheme="minorHAnsi" w:hAnsiTheme="minorHAnsi" w:cstheme="minorHAnsi"/>
        </w:rPr>
        <w:lastRenderedPageBreak/>
        <w:t>B</w:t>
      </w:r>
      <w:r w:rsidRPr="001728CF">
        <w:rPr>
          <w:rFonts w:asciiTheme="minorHAnsi" w:hAnsiTheme="minorHAnsi" w:cstheme="minorHAnsi"/>
        </w:rPr>
        <w:t>ioaccumulate to a moderate degree</w:t>
      </w:r>
    </w:p>
    <w:p w14:paraId="207A2E97" w14:textId="77777777" w:rsidR="0099176E" w:rsidRPr="001728CF" w:rsidRDefault="0099176E" w:rsidP="00DA2C26">
      <w:pPr>
        <w:numPr>
          <w:ilvl w:val="0"/>
          <w:numId w:val="97"/>
        </w:numPr>
        <w:spacing w:after="0" w:line="240" w:lineRule="auto"/>
        <w:jc w:val="left"/>
        <w:rPr>
          <w:rFonts w:asciiTheme="minorHAnsi" w:hAnsiTheme="minorHAnsi" w:cstheme="minorHAnsi"/>
        </w:rPr>
      </w:pPr>
      <w:r>
        <w:rPr>
          <w:rFonts w:asciiTheme="minorHAnsi" w:hAnsiTheme="minorHAnsi" w:cstheme="minorHAnsi"/>
        </w:rPr>
        <w:t>C</w:t>
      </w:r>
      <w:r w:rsidRPr="001728CF">
        <w:rPr>
          <w:rFonts w:asciiTheme="minorHAnsi" w:hAnsiTheme="minorHAnsi" w:cstheme="minorHAnsi"/>
        </w:rPr>
        <w:t xml:space="preserve">an be caged for whole-effluent bioassays or </w:t>
      </w:r>
      <w:r w:rsidRPr="001728CF">
        <w:rPr>
          <w:rFonts w:asciiTheme="minorHAnsi" w:hAnsiTheme="minorHAnsi" w:cstheme="minorHAnsi"/>
          <w:i/>
        </w:rPr>
        <w:t>in situ</w:t>
      </w:r>
      <w:r w:rsidRPr="001728CF">
        <w:rPr>
          <w:rFonts w:asciiTheme="minorHAnsi" w:hAnsiTheme="minorHAnsi" w:cstheme="minorHAnsi"/>
        </w:rPr>
        <w:t xml:space="preserve"> assessments</w:t>
      </w:r>
    </w:p>
    <w:p w14:paraId="0A5A1918" w14:textId="77777777" w:rsidR="0099176E" w:rsidRPr="001728CF" w:rsidRDefault="0099176E" w:rsidP="00DA2C26">
      <w:pPr>
        <w:numPr>
          <w:ilvl w:val="0"/>
          <w:numId w:val="97"/>
        </w:numPr>
        <w:spacing w:after="0" w:line="240" w:lineRule="auto"/>
        <w:jc w:val="left"/>
        <w:rPr>
          <w:rFonts w:asciiTheme="minorHAnsi" w:hAnsiTheme="minorHAnsi" w:cstheme="minorHAnsi"/>
        </w:rPr>
      </w:pPr>
      <w:r>
        <w:rPr>
          <w:rFonts w:asciiTheme="minorHAnsi" w:hAnsiTheme="minorHAnsi" w:cstheme="minorHAnsi"/>
        </w:rPr>
        <w:t>R</w:t>
      </w:r>
      <w:r w:rsidRPr="001728CF">
        <w:rPr>
          <w:rFonts w:asciiTheme="minorHAnsi" w:hAnsiTheme="minorHAnsi" w:cstheme="minorHAnsi"/>
        </w:rPr>
        <w:t>elatively important in food webs</w:t>
      </w:r>
    </w:p>
    <w:p w14:paraId="3D817713" w14:textId="77777777" w:rsidR="0099176E" w:rsidRPr="001728CF" w:rsidRDefault="0099176E" w:rsidP="00DA2C26">
      <w:pPr>
        <w:numPr>
          <w:ilvl w:val="0"/>
          <w:numId w:val="97"/>
        </w:numPr>
        <w:spacing w:after="0" w:line="240" w:lineRule="auto"/>
        <w:jc w:val="left"/>
        <w:rPr>
          <w:rFonts w:asciiTheme="minorHAnsi" w:hAnsiTheme="minorHAnsi" w:cstheme="minorHAnsi"/>
        </w:rPr>
      </w:pPr>
      <w:r w:rsidRPr="001728CF">
        <w:rPr>
          <w:rFonts w:asciiTheme="minorHAnsi" w:hAnsiTheme="minorHAnsi" w:cstheme="minorHAnsi"/>
        </w:rPr>
        <w:t>community can usually be sampled year-round</w:t>
      </w:r>
    </w:p>
    <w:p w14:paraId="2AC1E713" w14:textId="77777777" w:rsidR="0099176E" w:rsidRPr="001728CF" w:rsidRDefault="0099176E" w:rsidP="00DA2C26">
      <w:pPr>
        <w:numPr>
          <w:ilvl w:val="0"/>
          <w:numId w:val="97"/>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ome regional field databases exist, though few for wetlands</w:t>
      </w:r>
    </w:p>
    <w:p w14:paraId="6BCA8F34" w14:textId="77777777" w:rsidR="0099176E" w:rsidRPr="001728CF" w:rsidRDefault="0099176E" w:rsidP="00DA2C26">
      <w:pPr>
        <w:numPr>
          <w:ilvl w:val="0"/>
          <w:numId w:val="97"/>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how characteristic response to all major wetland stressors (hydroperiod, sediment, nutrients, contaminants)</w:t>
      </w:r>
    </w:p>
    <w:p w14:paraId="54E4ACC9" w14:textId="77777777" w:rsidR="0099176E" w:rsidRPr="001728CF" w:rsidRDefault="0099176E" w:rsidP="00DA2C26">
      <w:pPr>
        <w:numPr>
          <w:ilvl w:val="0"/>
          <w:numId w:val="97"/>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ome taxa linked to human welfare (eg, mosquitoes)</w:t>
      </w:r>
    </w:p>
    <w:p w14:paraId="63C56E43" w14:textId="77777777" w:rsidR="0099176E" w:rsidRPr="001728CF" w:rsidRDefault="0099176E" w:rsidP="00DA2C26">
      <w:pPr>
        <w:numPr>
          <w:ilvl w:val="0"/>
          <w:numId w:val="97"/>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ampling protocols not fully developed for wetlands</w:t>
      </w:r>
    </w:p>
    <w:p w14:paraId="2823F8FA" w14:textId="77777777" w:rsidR="0099176E" w:rsidRPr="001728CF" w:rsidRDefault="0099176E" w:rsidP="00DA2C26">
      <w:pPr>
        <w:numPr>
          <w:ilvl w:val="0"/>
          <w:numId w:val="97"/>
        </w:numPr>
        <w:spacing w:after="0" w:line="240" w:lineRule="auto"/>
        <w:jc w:val="left"/>
        <w:rPr>
          <w:rFonts w:asciiTheme="minorHAnsi" w:hAnsiTheme="minorHAnsi" w:cstheme="minorHAnsi"/>
        </w:rPr>
      </w:pPr>
      <w:r>
        <w:rPr>
          <w:rFonts w:asciiTheme="minorHAnsi" w:hAnsiTheme="minorHAnsi" w:cstheme="minorHAnsi"/>
        </w:rPr>
        <w:t>C</w:t>
      </w:r>
      <w:r w:rsidRPr="001728CF">
        <w:rPr>
          <w:rFonts w:asciiTheme="minorHAnsi" w:hAnsiTheme="minorHAnsi" w:cstheme="minorHAnsi"/>
        </w:rPr>
        <w:t>ontaminants may induce identifiable deformities</w:t>
      </w:r>
    </w:p>
    <w:p w14:paraId="0713533C" w14:textId="77777777" w:rsidR="0099176E" w:rsidRPr="001728CF" w:rsidRDefault="0099176E" w:rsidP="0099176E">
      <w:pPr>
        <w:spacing w:after="0" w:line="240" w:lineRule="auto"/>
        <w:rPr>
          <w:rFonts w:asciiTheme="minorHAnsi" w:hAnsiTheme="minorHAnsi" w:cstheme="minorHAnsi"/>
        </w:rPr>
      </w:pPr>
    </w:p>
    <w:p w14:paraId="0B6CD20F"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68C331D5" w14:textId="77777777" w:rsidR="0099176E" w:rsidRPr="001728CF" w:rsidRDefault="0099176E" w:rsidP="00DA2C26">
      <w:pPr>
        <w:numPr>
          <w:ilvl w:val="0"/>
          <w:numId w:val="98"/>
        </w:numPr>
        <w:spacing w:after="0" w:line="240" w:lineRule="auto"/>
        <w:jc w:val="left"/>
        <w:rPr>
          <w:rFonts w:asciiTheme="minorHAnsi" w:hAnsiTheme="minorHAnsi" w:cstheme="minorHAnsi"/>
        </w:rPr>
      </w:pPr>
      <w:r>
        <w:rPr>
          <w:rFonts w:asciiTheme="minorHAnsi" w:hAnsiTheme="minorHAnsi" w:cstheme="minorHAnsi"/>
        </w:rPr>
        <w:t>O</w:t>
      </w:r>
      <w:r w:rsidRPr="001728CF">
        <w:rPr>
          <w:rFonts w:asciiTheme="minorHAnsi" w:hAnsiTheme="minorHAnsi" w:cstheme="minorHAnsi"/>
        </w:rPr>
        <w:t>ccurrence in isolated wetlands may be strongly tied to sources of colonisers and their dispersal mechanisms</w:t>
      </w:r>
    </w:p>
    <w:p w14:paraId="235BB4E9" w14:textId="77777777" w:rsidR="0099176E" w:rsidRPr="001728CF" w:rsidRDefault="0099176E" w:rsidP="00DA2C26">
      <w:pPr>
        <w:numPr>
          <w:ilvl w:val="0"/>
          <w:numId w:val="98"/>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ampling difficult and true densities very difficult to determine in wetlands with herbaceous vegetation</w:t>
      </w:r>
    </w:p>
    <w:p w14:paraId="10382424" w14:textId="77777777" w:rsidR="0099176E" w:rsidRPr="001728CF" w:rsidRDefault="0099176E" w:rsidP="00DA2C26">
      <w:pPr>
        <w:numPr>
          <w:ilvl w:val="0"/>
          <w:numId w:val="98"/>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aborious identification</w:t>
      </w:r>
    </w:p>
    <w:p w14:paraId="54CF3638" w14:textId="77777777" w:rsidR="0099176E" w:rsidRPr="001728CF" w:rsidRDefault="0099176E" w:rsidP="00DA2C26">
      <w:pPr>
        <w:numPr>
          <w:ilvl w:val="0"/>
          <w:numId w:val="98"/>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ow social recognition of their importance</w:t>
      </w:r>
    </w:p>
    <w:p w14:paraId="2C5FE494" w14:textId="77777777" w:rsidR="0099176E" w:rsidRPr="001728CF" w:rsidRDefault="0099176E" w:rsidP="00DA2C26">
      <w:pPr>
        <w:numPr>
          <w:ilvl w:val="0"/>
          <w:numId w:val="98"/>
        </w:numPr>
        <w:spacing w:after="0" w:line="240" w:lineRule="auto"/>
        <w:jc w:val="left"/>
        <w:rPr>
          <w:rFonts w:asciiTheme="minorHAnsi" w:hAnsiTheme="minorHAnsi" w:cstheme="minorHAnsi"/>
        </w:rPr>
      </w:pPr>
      <w:r>
        <w:rPr>
          <w:rFonts w:asciiTheme="minorHAnsi" w:hAnsiTheme="minorHAnsi" w:cstheme="minorHAnsi"/>
        </w:rPr>
        <w:t>N</w:t>
      </w:r>
      <w:r w:rsidRPr="001728CF">
        <w:rPr>
          <w:rFonts w:asciiTheme="minorHAnsi" w:hAnsiTheme="minorHAnsi" w:cstheme="minorHAnsi"/>
        </w:rPr>
        <w:t>aturally great micro-spatial variation</w:t>
      </w:r>
    </w:p>
    <w:p w14:paraId="75D0BA42" w14:textId="77777777" w:rsidR="0099176E" w:rsidRPr="001728CF" w:rsidRDefault="0099176E" w:rsidP="00DA2C26">
      <w:pPr>
        <w:numPr>
          <w:ilvl w:val="0"/>
          <w:numId w:val="98"/>
        </w:numPr>
        <w:spacing w:after="0" w:line="240" w:lineRule="auto"/>
        <w:jc w:val="left"/>
        <w:rPr>
          <w:rFonts w:asciiTheme="minorHAnsi" w:hAnsiTheme="minorHAnsi" w:cstheme="minorHAnsi"/>
        </w:rPr>
      </w:pPr>
      <w:r>
        <w:rPr>
          <w:rFonts w:asciiTheme="minorHAnsi" w:hAnsiTheme="minorHAnsi" w:cstheme="minorHAnsi"/>
        </w:rPr>
        <w:t>C</w:t>
      </w:r>
      <w:r w:rsidRPr="001728CF">
        <w:rPr>
          <w:rFonts w:asciiTheme="minorHAnsi" w:hAnsiTheme="minorHAnsi" w:cstheme="minorHAnsi"/>
        </w:rPr>
        <w:t>ommunity composition potentially affected by selective predation (e.g. by fish, waterfowl)</w:t>
      </w:r>
    </w:p>
    <w:p w14:paraId="63867487" w14:textId="77777777" w:rsidR="0099176E" w:rsidRPr="001728CF" w:rsidRDefault="0099176E" w:rsidP="0099176E">
      <w:pPr>
        <w:spacing w:after="0" w:line="240" w:lineRule="auto"/>
        <w:rPr>
          <w:rFonts w:asciiTheme="minorHAnsi" w:hAnsiTheme="minorHAnsi" w:cstheme="minorHAnsi"/>
        </w:rPr>
      </w:pPr>
    </w:p>
    <w:p w14:paraId="3831574E"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sidRPr="001728CF">
        <w:rPr>
          <w:rFonts w:asciiTheme="minorHAnsi" w:hAnsiTheme="minorHAnsi" w:cstheme="minorHAnsi"/>
          <w:b/>
          <w:sz w:val="24"/>
          <w:szCs w:val="24"/>
        </w:rPr>
        <w:t>Benthic/Epiphytic Macro-crustaceans (e.g. amphipods, crayfish, oligochaetes, isopods)</w:t>
      </w:r>
    </w:p>
    <w:p w14:paraId="57EF1344"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09C2FFEF" w14:textId="77777777" w:rsidR="0099176E" w:rsidRPr="001728CF" w:rsidRDefault="0099176E" w:rsidP="00DA2C26">
      <w:pPr>
        <w:numPr>
          <w:ilvl w:val="0"/>
          <w:numId w:val="99"/>
        </w:numPr>
        <w:spacing w:after="0" w:line="240" w:lineRule="auto"/>
        <w:jc w:val="left"/>
        <w:rPr>
          <w:rFonts w:asciiTheme="minorHAnsi" w:hAnsiTheme="minorHAnsi" w:cstheme="minorHAnsi"/>
        </w:rPr>
      </w:pPr>
      <w:r w:rsidRPr="001728CF">
        <w:rPr>
          <w:rFonts w:asciiTheme="minorHAnsi" w:hAnsiTheme="minorHAnsi" w:cstheme="minorHAnsi"/>
        </w:rPr>
        <w:t>less subject to dispersal than aquatic insects (and thus more reflective of conditions in a particular wetland)</w:t>
      </w:r>
    </w:p>
    <w:p w14:paraId="18E11A57" w14:textId="77777777" w:rsidR="0099176E" w:rsidRPr="001728CF" w:rsidRDefault="0099176E" w:rsidP="00DA2C26">
      <w:pPr>
        <w:numPr>
          <w:ilvl w:val="0"/>
          <w:numId w:val="99"/>
        </w:numPr>
        <w:spacing w:after="0" w:line="240" w:lineRule="auto"/>
        <w:jc w:val="left"/>
        <w:rPr>
          <w:rFonts w:asciiTheme="minorHAnsi" w:hAnsiTheme="minorHAnsi" w:cstheme="minorHAnsi"/>
        </w:rPr>
      </w:pPr>
      <w:r w:rsidRPr="001728CF">
        <w:rPr>
          <w:rFonts w:asciiTheme="minorHAnsi" w:hAnsiTheme="minorHAnsi" w:cstheme="minorHAnsi"/>
        </w:rPr>
        <w:t>may be more sensitive than aquatic insects to contaminants</w:t>
      </w:r>
    </w:p>
    <w:p w14:paraId="0EBC3D05" w14:textId="77777777" w:rsidR="0099176E" w:rsidRPr="001728CF" w:rsidRDefault="0099176E" w:rsidP="00DA2C26">
      <w:pPr>
        <w:numPr>
          <w:ilvl w:val="0"/>
          <w:numId w:val="99"/>
        </w:numPr>
        <w:spacing w:after="0" w:line="240" w:lineRule="auto"/>
        <w:jc w:val="left"/>
        <w:rPr>
          <w:rFonts w:asciiTheme="minorHAnsi" w:hAnsiTheme="minorHAnsi" w:cstheme="minorHAnsi"/>
        </w:rPr>
      </w:pPr>
      <w:r w:rsidRPr="001728CF">
        <w:rPr>
          <w:rFonts w:asciiTheme="minorHAnsi" w:hAnsiTheme="minorHAnsi" w:cstheme="minorHAnsi"/>
        </w:rPr>
        <w:t>fairly simple sampling and identification</w:t>
      </w:r>
    </w:p>
    <w:p w14:paraId="667DB23E" w14:textId="77777777" w:rsidR="0099176E" w:rsidRPr="001728CF" w:rsidRDefault="0099176E" w:rsidP="00DA2C26">
      <w:pPr>
        <w:numPr>
          <w:ilvl w:val="0"/>
          <w:numId w:val="99"/>
        </w:numPr>
        <w:spacing w:after="0" w:line="240" w:lineRule="auto"/>
        <w:jc w:val="left"/>
        <w:rPr>
          <w:rFonts w:asciiTheme="minorHAnsi" w:hAnsiTheme="minorHAnsi" w:cstheme="minorHAnsi"/>
        </w:rPr>
      </w:pPr>
      <w:r w:rsidRPr="001728CF">
        <w:rPr>
          <w:rFonts w:asciiTheme="minorHAnsi" w:hAnsiTheme="minorHAnsi" w:cstheme="minorHAnsi"/>
        </w:rPr>
        <w:t>social recognition of some species (e.g. crayfish)</w:t>
      </w:r>
    </w:p>
    <w:p w14:paraId="7F2BF506" w14:textId="77777777" w:rsidR="0099176E" w:rsidRPr="001728CF" w:rsidRDefault="0099176E" w:rsidP="00DA2C26">
      <w:pPr>
        <w:numPr>
          <w:ilvl w:val="0"/>
          <w:numId w:val="99"/>
        </w:numPr>
        <w:spacing w:after="0" w:line="240" w:lineRule="auto"/>
        <w:jc w:val="left"/>
        <w:rPr>
          <w:rFonts w:asciiTheme="minorHAnsi" w:hAnsiTheme="minorHAnsi" w:cstheme="minorHAnsi"/>
        </w:rPr>
      </w:pPr>
      <w:r w:rsidRPr="001728CF">
        <w:rPr>
          <w:rFonts w:asciiTheme="minorHAnsi" w:hAnsiTheme="minorHAnsi" w:cstheme="minorHAnsi"/>
        </w:rPr>
        <w:t>other advantages --- similar to Aquatic Insects, above</w:t>
      </w:r>
    </w:p>
    <w:p w14:paraId="5463D4B9" w14:textId="77777777" w:rsidR="0099176E" w:rsidRPr="001728CF" w:rsidRDefault="0099176E" w:rsidP="0099176E">
      <w:pPr>
        <w:spacing w:after="0" w:line="240" w:lineRule="auto"/>
        <w:rPr>
          <w:rFonts w:asciiTheme="minorHAnsi" w:hAnsiTheme="minorHAnsi" w:cstheme="minorHAnsi"/>
        </w:rPr>
      </w:pPr>
    </w:p>
    <w:p w14:paraId="14E4AC7A"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23B9940C" w14:textId="77777777" w:rsidR="0099176E" w:rsidRPr="001728CF" w:rsidRDefault="0099176E" w:rsidP="00DA2C26">
      <w:pPr>
        <w:numPr>
          <w:ilvl w:val="0"/>
          <w:numId w:val="100"/>
        </w:numPr>
        <w:spacing w:after="0" w:line="240" w:lineRule="auto"/>
        <w:jc w:val="left"/>
        <w:rPr>
          <w:rFonts w:asciiTheme="minorHAnsi" w:hAnsiTheme="minorHAnsi" w:cstheme="minorHAnsi"/>
        </w:rPr>
      </w:pPr>
      <w:r>
        <w:rPr>
          <w:rFonts w:asciiTheme="minorHAnsi" w:hAnsiTheme="minorHAnsi" w:cstheme="minorHAnsi"/>
        </w:rPr>
        <w:t>N</w:t>
      </w:r>
      <w:r w:rsidRPr="001728CF">
        <w:rPr>
          <w:rFonts w:asciiTheme="minorHAnsi" w:hAnsiTheme="minorHAnsi" w:cstheme="minorHAnsi"/>
        </w:rPr>
        <w:t>aturally great micro-spatial variation</w:t>
      </w:r>
    </w:p>
    <w:p w14:paraId="21714E07" w14:textId="77777777" w:rsidR="0099176E" w:rsidRPr="001728CF" w:rsidRDefault="0099176E" w:rsidP="00DA2C26">
      <w:pPr>
        <w:numPr>
          <w:ilvl w:val="0"/>
          <w:numId w:val="100"/>
        </w:numPr>
        <w:spacing w:after="0" w:line="240" w:lineRule="auto"/>
        <w:jc w:val="left"/>
        <w:rPr>
          <w:rFonts w:asciiTheme="minorHAnsi" w:hAnsiTheme="minorHAnsi" w:cstheme="minorHAnsi"/>
        </w:rPr>
      </w:pPr>
      <w:r>
        <w:rPr>
          <w:rFonts w:asciiTheme="minorHAnsi" w:hAnsiTheme="minorHAnsi" w:cstheme="minorHAnsi"/>
        </w:rPr>
        <w:t>C</w:t>
      </w:r>
      <w:r w:rsidRPr="001728CF">
        <w:rPr>
          <w:rFonts w:asciiTheme="minorHAnsi" w:hAnsiTheme="minorHAnsi" w:cstheme="minorHAnsi"/>
        </w:rPr>
        <w:t>ommunity composition potentially affected by selective predation (e.g. by fish, waterfowl)</w:t>
      </w:r>
    </w:p>
    <w:p w14:paraId="12CB28D4" w14:textId="77777777" w:rsidR="0099176E" w:rsidRPr="001728CF" w:rsidRDefault="0099176E" w:rsidP="0099176E">
      <w:pPr>
        <w:spacing w:after="0" w:line="240" w:lineRule="auto"/>
        <w:rPr>
          <w:rFonts w:asciiTheme="minorHAnsi" w:hAnsiTheme="minorHAnsi" w:cstheme="minorHAnsi"/>
        </w:rPr>
      </w:pPr>
    </w:p>
    <w:p w14:paraId="16EA0F08"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sidRPr="001728CF">
        <w:rPr>
          <w:rFonts w:asciiTheme="minorHAnsi" w:hAnsiTheme="minorHAnsi" w:cstheme="minorHAnsi"/>
          <w:b/>
          <w:sz w:val="24"/>
          <w:szCs w:val="24"/>
        </w:rPr>
        <w:t>Mollusca</w:t>
      </w:r>
    </w:p>
    <w:p w14:paraId="2C4F5A5C"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7B4A3497" w14:textId="77777777" w:rsidR="0099176E" w:rsidRPr="001728CF" w:rsidRDefault="0099176E" w:rsidP="00DA2C26">
      <w:pPr>
        <w:numPr>
          <w:ilvl w:val="0"/>
          <w:numId w:val="101"/>
        </w:numPr>
        <w:spacing w:after="0" w:line="240" w:lineRule="auto"/>
        <w:jc w:val="left"/>
        <w:rPr>
          <w:rFonts w:asciiTheme="minorHAnsi" w:hAnsiTheme="minorHAnsi" w:cstheme="minorHAnsi"/>
        </w:rPr>
      </w:pPr>
      <w:r>
        <w:rPr>
          <w:rFonts w:asciiTheme="minorHAnsi" w:hAnsiTheme="minorHAnsi" w:cstheme="minorHAnsi"/>
        </w:rPr>
        <w:t>H</w:t>
      </w:r>
      <w:r w:rsidRPr="001728CF">
        <w:rPr>
          <w:rFonts w:asciiTheme="minorHAnsi" w:hAnsiTheme="minorHAnsi" w:cstheme="minorHAnsi"/>
        </w:rPr>
        <w:t xml:space="preserve">ighly immobile and thus most reflective of site conditions, useful for </w:t>
      </w:r>
      <w:r w:rsidRPr="001728CF">
        <w:rPr>
          <w:rFonts w:asciiTheme="minorHAnsi" w:hAnsiTheme="minorHAnsi" w:cstheme="minorHAnsi"/>
          <w:i/>
        </w:rPr>
        <w:t>in situ</w:t>
      </w:r>
      <w:r w:rsidRPr="001728CF">
        <w:rPr>
          <w:rFonts w:asciiTheme="minorHAnsi" w:hAnsiTheme="minorHAnsi" w:cstheme="minorHAnsi"/>
        </w:rPr>
        <w:t xml:space="preserve"> exposure assessments</w:t>
      </w:r>
    </w:p>
    <w:p w14:paraId="68D07565" w14:textId="77777777" w:rsidR="0099176E" w:rsidRPr="001728CF" w:rsidRDefault="0099176E" w:rsidP="00DA2C26">
      <w:pPr>
        <w:numPr>
          <w:ilvl w:val="0"/>
          <w:numId w:val="101"/>
        </w:numPr>
        <w:spacing w:after="0" w:line="240" w:lineRule="auto"/>
        <w:jc w:val="left"/>
        <w:rPr>
          <w:rFonts w:asciiTheme="minorHAnsi" w:hAnsiTheme="minorHAnsi" w:cstheme="minorHAnsi"/>
        </w:rPr>
      </w:pPr>
      <w:r>
        <w:rPr>
          <w:rFonts w:asciiTheme="minorHAnsi" w:hAnsiTheme="minorHAnsi" w:cstheme="minorHAnsi"/>
        </w:rPr>
        <w:t>H</w:t>
      </w:r>
      <w:r w:rsidRPr="001728CF">
        <w:rPr>
          <w:rFonts w:asciiTheme="minorHAnsi" w:hAnsiTheme="minorHAnsi" w:cstheme="minorHAnsi"/>
        </w:rPr>
        <w:t>ighly bioaccumulative (e.g. clams, mussels)</w:t>
      </w:r>
    </w:p>
    <w:p w14:paraId="20349D27" w14:textId="77777777" w:rsidR="0099176E" w:rsidRPr="001728CF" w:rsidRDefault="0099176E" w:rsidP="00DA2C26">
      <w:pPr>
        <w:numPr>
          <w:ilvl w:val="0"/>
          <w:numId w:val="101"/>
        </w:numPr>
        <w:spacing w:after="0" w:line="240" w:lineRule="auto"/>
        <w:jc w:val="left"/>
        <w:rPr>
          <w:rFonts w:asciiTheme="minorHAnsi" w:hAnsiTheme="minorHAnsi" w:cstheme="minorHAnsi"/>
        </w:rPr>
      </w:pPr>
      <w:r>
        <w:rPr>
          <w:rFonts w:asciiTheme="minorHAnsi" w:hAnsiTheme="minorHAnsi" w:cstheme="minorHAnsi"/>
        </w:rPr>
        <w:t>C</w:t>
      </w:r>
      <w:r w:rsidRPr="001728CF">
        <w:rPr>
          <w:rFonts w:asciiTheme="minorHAnsi" w:hAnsiTheme="minorHAnsi" w:cstheme="minorHAnsi"/>
        </w:rPr>
        <w:t>ontaminants may induce identifiable deformities</w:t>
      </w:r>
    </w:p>
    <w:p w14:paraId="1D7DA581" w14:textId="77777777" w:rsidR="0099176E" w:rsidRPr="001728CF" w:rsidRDefault="0099176E" w:rsidP="00DA2C26">
      <w:pPr>
        <w:numPr>
          <w:ilvl w:val="0"/>
          <w:numId w:val="101"/>
        </w:numPr>
        <w:spacing w:after="0" w:line="240" w:lineRule="auto"/>
        <w:jc w:val="left"/>
        <w:rPr>
          <w:rFonts w:asciiTheme="minorHAnsi" w:hAnsiTheme="minorHAnsi" w:cstheme="minorHAnsi"/>
        </w:rPr>
      </w:pPr>
      <w:r>
        <w:rPr>
          <w:rFonts w:asciiTheme="minorHAnsi" w:hAnsiTheme="minorHAnsi" w:cstheme="minorHAnsi"/>
        </w:rPr>
        <w:t>C</w:t>
      </w:r>
      <w:r w:rsidRPr="001728CF">
        <w:rPr>
          <w:rFonts w:asciiTheme="minorHAnsi" w:hAnsiTheme="minorHAnsi" w:cstheme="minorHAnsi"/>
        </w:rPr>
        <w:t>an be sampled year-round</w:t>
      </w:r>
    </w:p>
    <w:p w14:paraId="78431283" w14:textId="77777777" w:rsidR="0099176E" w:rsidRPr="001728CF" w:rsidRDefault="0099176E" w:rsidP="00DA2C26">
      <w:pPr>
        <w:numPr>
          <w:ilvl w:val="0"/>
          <w:numId w:val="101"/>
        </w:numPr>
        <w:spacing w:after="0" w:line="240" w:lineRule="auto"/>
        <w:jc w:val="left"/>
        <w:rPr>
          <w:rFonts w:asciiTheme="minorHAnsi" w:hAnsiTheme="minorHAnsi" w:cstheme="minorHAnsi"/>
        </w:rPr>
      </w:pPr>
      <w:r>
        <w:rPr>
          <w:rFonts w:asciiTheme="minorHAnsi" w:hAnsiTheme="minorHAnsi" w:cstheme="minorHAnsi"/>
        </w:rPr>
        <w:t>H</w:t>
      </w:r>
      <w:r w:rsidRPr="001728CF">
        <w:rPr>
          <w:rFonts w:asciiTheme="minorHAnsi" w:hAnsiTheme="minorHAnsi" w:cstheme="minorHAnsi"/>
        </w:rPr>
        <w:t>istoric recreation of growth is possible (with care)</w:t>
      </w:r>
    </w:p>
    <w:p w14:paraId="402A24D3" w14:textId="77777777" w:rsidR="0099176E" w:rsidRPr="001728CF" w:rsidRDefault="0099176E" w:rsidP="00DA2C26">
      <w:pPr>
        <w:numPr>
          <w:ilvl w:val="0"/>
          <w:numId w:val="101"/>
        </w:numPr>
        <w:spacing w:after="0" w:line="240" w:lineRule="auto"/>
        <w:jc w:val="left"/>
        <w:rPr>
          <w:rFonts w:asciiTheme="minorHAnsi" w:hAnsiTheme="minorHAnsi" w:cstheme="minorHAnsi"/>
        </w:rPr>
      </w:pPr>
      <w:r>
        <w:rPr>
          <w:rFonts w:asciiTheme="minorHAnsi" w:hAnsiTheme="minorHAnsi" w:cstheme="minorHAnsi"/>
        </w:rPr>
        <w:t>P</w:t>
      </w:r>
      <w:r w:rsidRPr="001728CF">
        <w:rPr>
          <w:rFonts w:asciiTheme="minorHAnsi" w:hAnsiTheme="minorHAnsi" w:cstheme="minorHAnsi"/>
        </w:rPr>
        <w:t>resumptive indicator of hydroperiod (complete, sustained wetland drawdown)</w:t>
      </w:r>
    </w:p>
    <w:p w14:paraId="2BD38872" w14:textId="77777777" w:rsidR="0099176E" w:rsidRPr="001728CF" w:rsidRDefault="0099176E" w:rsidP="00DA2C26">
      <w:pPr>
        <w:numPr>
          <w:ilvl w:val="0"/>
          <w:numId w:val="101"/>
        </w:numPr>
        <w:spacing w:after="0" w:line="240" w:lineRule="auto"/>
        <w:jc w:val="left"/>
        <w:rPr>
          <w:rFonts w:asciiTheme="minorHAnsi" w:hAnsiTheme="minorHAnsi" w:cstheme="minorHAnsi"/>
        </w:rPr>
      </w:pPr>
      <w:r>
        <w:rPr>
          <w:rFonts w:asciiTheme="minorHAnsi" w:hAnsiTheme="minorHAnsi" w:cstheme="minorHAnsi"/>
        </w:rPr>
        <w:t>H</w:t>
      </w:r>
      <w:r w:rsidRPr="001728CF">
        <w:rPr>
          <w:rFonts w:asciiTheme="minorHAnsi" w:hAnsiTheme="minorHAnsi" w:cstheme="minorHAnsi"/>
        </w:rPr>
        <w:t>igh social importance of coastal species (shellfish)</w:t>
      </w:r>
    </w:p>
    <w:p w14:paraId="6D26566D" w14:textId="77777777" w:rsidR="0099176E" w:rsidRPr="001728CF" w:rsidRDefault="0099176E" w:rsidP="0099176E">
      <w:pPr>
        <w:spacing w:after="0" w:line="240" w:lineRule="auto"/>
        <w:rPr>
          <w:rFonts w:asciiTheme="minorHAnsi" w:hAnsiTheme="minorHAnsi" w:cstheme="minorHAnsi"/>
        </w:rPr>
      </w:pPr>
    </w:p>
    <w:p w14:paraId="72CE8BB4"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78D27F2F" w14:textId="77777777" w:rsidR="0099176E" w:rsidRPr="001728CF" w:rsidRDefault="0099176E" w:rsidP="00DA2C26">
      <w:pPr>
        <w:numPr>
          <w:ilvl w:val="0"/>
          <w:numId w:val="102"/>
        </w:numPr>
        <w:spacing w:after="0" w:line="240" w:lineRule="auto"/>
        <w:jc w:val="left"/>
        <w:rPr>
          <w:rFonts w:asciiTheme="minorHAnsi" w:hAnsiTheme="minorHAnsi" w:cstheme="minorHAnsi"/>
        </w:rPr>
      </w:pPr>
      <w:r>
        <w:rPr>
          <w:rFonts w:asciiTheme="minorHAnsi" w:hAnsiTheme="minorHAnsi" w:cstheme="minorHAnsi"/>
        </w:rPr>
        <w:t>V</w:t>
      </w:r>
      <w:r w:rsidRPr="001728CF">
        <w:rPr>
          <w:rFonts w:asciiTheme="minorHAnsi" w:hAnsiTheme="minorHAnsi" w:cstheme="minorHAnsi"/>
        </w:rPr>
        <w:t>ery localised occurrence, related largely to dissolved solids rather than contaminants</w:t>
      </w:r>
    </w:p>
    <w:p w14:paraId="3E662596" w14:textId="77777777" w:rsidR="0099176E" w:rsidRPr="001728CF" w:rsidRDefault="0099176E" w:rsidP="00DA2C26">
      <w:pPr>
        <w:numPr>
          <w:ilvl w:val="0"/>
          <w:numId w:val="102"/>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aborious sampling and (in freshwater) identification</w:t>
      </w:r>
    </w:p>
    <w:p w14:paraId="6FBCBA8A" w14:textId="77777777" w:rsidR="0099176E" w:rsidRPr="001728CF" w:rsidRDefault="0099176E" w:rsidP="0099176E">
      <w:pPr>
        <w:spacing w:after="0" w:line="240" w:lineRule="auto"/>
        <w:rPr>
          <w:rFonts w:asciiTheme="minorHAnsi" w:hAnsiTheme="minorHAnsi" w:cstheme="minorHAnsi"/>
        </w:rPr>
      </w:pPr>
    </w:p>
    <w:p w14:paraId="364D322D"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sidRPr="001728CF">
        <w:rPr>
          <w:rFonts w:asciiTheme="minorHAnsi" w:hAnsiTheme="minorHAnsi" w:cstheme="minorHAnsi"/>
          <w:b/>
          <w:sz w:val="24"/>
          <w:szCs w:val="24"/>
        </w:rPr>
        <w:t>Macroinvertebrates in general</w:t>
      </w:r>
    </w:p>
    <w:p w14:paraId="4A8AAD5B"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45296110" w14:textId="77777777" w:rsidR="0099176E" w:rsidRPr="001728CF" w:rsidRDefault="0099176E" w:rsidP="00DA2C26">
      <w:pPr>
        <w:numPr>
          <w:ilvl w:val="0"/>
          <w:numId w:val="117"/>
        </w:numPr>
        <w:spacing w:after="0" w:line="240" w:lineRule="auto"/>
        <w:jc w:val="left"/>
        <w:rPr>
          <w:rFonts w:asciiTheme="minorHAnsi" w:hAnsiTheme="minorHAnsi" w:cstheme="minorHAnsi"/>
        </w:rPr>
      </w:pPr>
      <w:r>
        <w:rPr>
          <w:rFonts w:asciiTheme="minorHAnsi" w:hAnsiTheme="minorHAnsi" w:cstheme="minorHAnsi"/>
        </w:rPr>
        <w:t>R</w:t>
      </w:r>
      <w:r w:rsidRPr="001728CF">
        <w:rPr>
          <w:rFonts w:asciiTheme="minorHAnsi" w:hAnsiTheme="minorHAnsi" w:cstheme="minorHAnsi"/>
        </w:rPr>
        <w:t>espond to : DO, sediment metals, other toxins, organic enrichment, fish</w:t>
      </w:r>
    </w:p>
    <w:p w14:paraId="5F7D76F5" w14:textId="77777777" w:rsidR="0099176E" w:rsidRPr="001728CF" w:rsidRDefault="0099176E" w:rsidP="00DA2C26">
      <w:pPr>
        <w:numPr>
          <w:ilvl w:val="0"/>
          <w:numId w:val="117"/>
        </w:numPr>
        <w:spacing w:after="0" w:line="240" w:lineRule="auto"/>
        <w:jc w:val="left"/>
        <w:rPr>
          <w:rFonts w:asciiTheme="minorHAnsi" w:hAnsiTheme="minorHAnsi" w:cstheme="minorHAnsi"/>
        </w:rPr>
      </w:pPr>
      <w:r>
        <w:rPr>
          <w:rFonts w:asciiTheme="minorHAnsi" w:hAnsiTheme="minorHAnsi" w:cstheme="minorHAnsi"/>
        </w:rPr>
        <w:t>I</w:t>
      </w:r>
      <w:r w:rsidRPr="001728CF">
        <w:rPr>
          <w:rFonts w:asciiTheme="minorHAnsi" w:hAnsiTheme="minorHAnsi" w:cstheme="minorHAnsi"/>
        </w:rPr>
        <w:t>ntegrators of environmental conditions</w:t>
      </w:r>
    </w:p>
    <w:p w14:paraId="6B496E2B" w14:textId="77777777" w:rsidR="0099176E" w:rsidRPr="001728CF" w:rsidRDefault="0099176E" w:rsidP="00DA2C26">
      <w:pPr>
        <w:numPr>
          <w:ilvl w:val="0"/>
          <w:numId w:val="117"/>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ow mobility</w:t>
      </w:r>
    </w:p>
    <w:p w14:paraId="7B14474D" w14:textId="77777777" w:rsidR="0099176E" w:rsidRPr="001728CF" w:rsidRDefault="0099176E" w:rsidP="00DA2C26">
      <w:pPr>
        <w:numPr>
          <w:ilvl w:val="0"/>
          <w:numId w:val="117"/>
        </w:numPr>
        <w:spacing w:after="0" w:line="240" w:lineRule="auto"/>
        <w:jc w:val="left"/>
        <w:rPr>
          <w:rFonts w:asciiTheme="minorHAnsi" w:hAnsiTheme="minorHAnsi" w:cstheme="minorHAnsi"/>
        </w:rPr>
      </w:pPr>
      <w:r>
        <w:rPr>
          <w:rFonts w:asciiTheme="minorHAnsi" w:hAnsiTheme="minorHAnsi" w:cstheme="minorHAnsi"/>
        </w:rPr>
        <w:t>M</w:t>
      </w:r>
      <w:r w:rsidRPr="001728CF">
        <w:rPr>
          <w:rFonts w:asciiTheme="minorHAnsi" w:hAnsiTheme="minorHAnsi" w:cstheme="minorHAnsi"/>
        </w:rPr>
        <w:t>oderate temporal variability</w:t>
      </w:r>
    </w:p>
    <w:p w14:paraId="54005387" w14:textId="77777777" w:rsidR="0099176E" w:rsidRPr="001728CF" w:rsidRDefault="0099176E" w:rsidP="00DA2C26">
      <w:pPr>
        <w:numPr>
          <w:ilvl w:val="0"/>
          <w:numId w:val="117"/>
        </w:numPr>
        <w:spacing w:after="0" w:line="240" w:lineRule="auto"/>
        <w:jc w:val="left"/>
        <w:rPr>
          <w:rFonts w:asciiTheme="minorHAnsi" w:hAnsiTheme="minorHAnsi" w:cstheme="minorHAnsi"/>
        </w:rPr>
      </w:pPr>
      <w:r>
        <w:rPr>
          <w:rFonts w:asciiTheme="minorHAnsi" w:hAnsiTheme="minorHAnsi" w:cstheme="minorHAnsi"/>
        </w:rPr>
        <w:t>T</w:t>
      </w:r>
      <w:r w:rsidRPr="001728CF">
        <w:rPr>
          <w:rFonts w:asciiTheme="minorHAnsi" w:hAnsiTheme="minorHAnsi" w:cstheme="minorHAnsi"/>
        </w:rPr>
        <w:t>rophic link to fish and birds</w:t>
      </w:r>
    </w:p>
    <w:p w14:paraId="2B9133F1" w14:textId="77777777" w:rsidR="0099176E" w:rsidRPr="001728CF" w:rsidRDefault="0099176E" w:rsidP="0099176E">
      <w:pPr>
        <w:spacing w:after="0" w:line="240" w:lineRule="auto"/>
        <w:rPr>
          <w:rFonts w:asciiTheme="minorHAnsi" w:hAnsiTheme="minorHAnsi" w:cstheme="minorHAnsi"/>
        </w:rPr>
      </w:pPr>
    </w:p>
    <w:p w14:paraId="7C826C7B"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lastRenderedPageBreak/>
        <w:t>DISADVANTAGES</w:t>
      </w:r>
    </w:p>
    <w:p w14:paraId="328892E9" w14:textId="77777777" w:rsidR="0099176E" w:rsidRPr="001728CF" w:rsidRDefault="0099176E" w:rsidP="00DA2C26">
      <w:pPr>
        <w:numPr>
          <w:ilvl w:val="0"/>
          <w:numId w:val="118"/>
        </w:numPr>
        <w:spacing w:after="0" w:line="240" w:lineRule="auto"/>
        <w:jc w:val="left"/>
        <w:rPr>
          <w:rFonts w:asciiTheme="minorHAnsi" w:hAnsiTheme="minorHAnsi" w:cstheme="minorHAnsi"/>
        </w:rPr>
      </w:pPr>
      <w:r>
        <w:rPr>
          <w:rFonts w:asciiTheme="minorHAnsi" w:hAnsiTheme="minorHAnsi" w:cstheme="minorHAnsi"/>
        </w:rPr>
        <w:t>H</w:t>
      </w:r>
      <w:r w:rsidRPr="001728CF">
        <w:rPr>
          <w:rFonts w:asciiTheme="minorHAnsi" w:hAnsiTheme="minorHAnsi" w:cstheme="minorHAnsi"/>
        </w:rPr>
        <w:t>igh spatial variability due to habitat dependence</w:t>
      </w:r>
    </w:p>
    <w:p w14:paraId="3C78C199" w14:textId="77777777" w:rsidR="0099176E" w:rsidRPr="001728CF" w:rsidRDefault="0099176E" w:rsidP="00DA2C26">
      <w:pPr>
        <w:numPr>
          <w:ilvl w:val="0"/>
          <w:numId w:val="118"/>
        </w:numPr>
        <w:spacing w:after="0" w:line="240" w:lineRule="auto"/>
        <w:jc w:val="left"/>
        <w:rPr>
          <w:rFonts w:asciiTheme="minorHAnsi" w:hAnsiTheme="minorHAnsi" w:cstheme="minorHAnsi"/>
        </w:rPr>
      </w:pPr>
      <w:r w:rsidRPr="001728CF">
        <w:rPr>
          <w:rFonts w:asciiTheme="minorHAnsi" w:hAnsiTheme="minorHAnsi" w:cstheme="minorHAnsi"/>
        </w:rPr>
        <w:t>Littoral habitat sampling may be difficult</w:t>
      </w:r>
    </w:p>
    <w:p w14:paraId="7FA7D2F6" w14:textId="77777777" w:rsidR="0099176E" w:rsidRPr="001728CF" w:rsidRDefault="0099176E" w:rsidP="00DA2C26">
      <w:pPr>
        <w:numPr>
          <w:ilvl w:val="0"/>
          <w:numId w:val="118"/>
        </w:numPr>
        <w:spacing w:after="0" w:line="240" w:lineRule="auto"/>
        <w:jc w:val="left"/>
        <w:rPr>
          <w:rFonts w:asciiTheme="minorHAnsi" w:hAnsiTheme="minorHAnsi" w:cstheme="minorHAnsi"/>
        </w:rPr>
      </w:pPr>
      <w:r w:rsidRPr="001728CF">
        <w:rPr>
          <w:rFonts w:asciiTheme="minorHAnsi" w:hAnsiTheme="minorHAnsi" w:cstheme="minorHAnsi"/>
        </w:rPr>
        <w:t>Metrics are not well developed and tested in lakes and wetlands</w:t>
      </w:r>
    </w:p>
    <w:p w14:paraId="6455130A" w14:textId="77777777" w:rsidR="0099176E" w:rsidRPr="001728CF" w:rsidRDefault="0099176E" w:rsidP="00DA2C26">
      <w:pPr>
        <w:numPr>
          <w:ilvl w:val="0"/>
          <w:numId w:val="118"/>
        </w:numPr>
        <w:spacing w:after="0" w:line="240" w:lineRule="auto"/>
        <w:jc w:val="left"/>
        <w:rPr>
          <w:rFonts w:asciiTheme="minorHAnsi" w:hAnsiTheme="minorHAnsi" w:cstheme="minorHAnsi"/>
        </w:rPr>
      </w:pPr>
      <w:r w:rsidRPr="001728CF">
        <w:rPr>
          <w:rFonts w:asciiTheme="minorHAnsi" w:hAnsiTheme="minorHAnsi" w:cstheme="minorHAnsi"/>
        </w:rPr>
        <w:t>Laboratory identification and count can be time consuming requires expertise.</w:t>
      </w:r>
    </w:p>
    <w:p w14:paraId="2EC84139" w14:textId="77777777" w:rsidR="0099176E" w:rsidRPr="001728CF" w:rsidRDefault="0099176E" w:rsidP="0099176E">
      <w:pPr>
        <w:spacing w:after="0" w:line="240" w:lineRule="auto"/>
        <w:rPr>
          <w:rFonts w:asciiTheme="minorHAnsi" w:hAnsiTheme="minorHAnsi" w:cstheme="minorHAnsi"/>
        </w:rPr>
      </w:pPr>
    </w:p>
    <w:p w14:paraId="537AF256"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ALTERNATIVES</w:t>
      </w:r>
    </w:p>
    <w:p w14:paraId="2EAFA3C9" w14:textId="77777777" w:rsidR="0099176E" w:rsidRPr="001728CF" w:rsidRDefault="0099176E" w:rsidP="00DA2C26">
      <w:pPr>
        <w:numPr>
          <w:ilvl w:val="0"/>
          <w:numId w:val="119"/>
        </w:numPr>
        <w:spacing w:after="0" w:line="240" w:lineRule="auto"/>
        <w:jc w:val="left"/>
        <w:rPr>
          <w:rFonts w:asciiTheme="minorHAnsi" w:hAnsiTheme="minorHAnsi" w:cstheme="minorHAnsi"/>
        </w:rPr>
      </w:pPr>
      <w:r w:rsidRPr="001728CF">
        <w:rPr>
          <w:rFonts w:asciiTheme="minorHAnsi" w:hAnsiTheme="minorHAnsi" w:cstheme="minorHAnsi"/>
        </w:rPr>
        <w:t>DO</w:t>
      </w:r>
    </w:p>
    <w:p w14:paraId="232B27FE" w14:textId="77777777" w:rsidR="0099176E" w:rsidRPr="001728CF" w:rsidRDefault="0099176E" w:rsidP="00DA2C26">
      <w:pPr>
        <w:numPr>
          <w:ilvl w:val="0"/>
          <w:numId w:val="119"/>
        </w:numPr>
        <w:spacing w:after="0" w:line="240" w:lineRule="auto"/>
        <w:jc w:val="left"/>
        <w:rPr>
          <w:rFonts w:asciiTheme="minorHAnsi" w:hAnsiTheme="minorHAnsi" w:cstheme="minorHAnsi"/>
        </w:rPr>
      </w:pPr>
      <w:r w:rsidRPr="001728CF">
        <w:rPr>
          <w:rFonts w:asciiTheme="minorHAnsi" w:hAnsiTheme="minorHAnsi" w:cstheme="minorHAnsi"/>
        </w:rPr>
        <w:t>Sediment TOC</w:t>
      </w:r>
    </w:p>
    <w:p w14:paraId="49AA0A2C" w14:textId="77777777" w:rsidR="0099176E" w:rsidRPr="001728CF" w:rsidRDefault="0099176E" w:rsidP="00DA2C26">
      <w:pPr>
        <w:numPr>
          <w:ilvl w:val="0"/>
          <w:numId w:val="119"/>
        </w:numPr>
        <w:spacing w:after="0" w:line="240" w:lineRule="auto"/>
        <w:jc w:val="left"/>
        <w:rPr>
          <w:rFonts w:asciiTheme="minorHAnsi" w:hAnsiTheme="minorHAnsi" w:cstheme="minorHAnsi"/>
        </w:rPr>
      </w:pPr>
      <w:r w:rsidRPr="001728CF">
        <w:rPr>
          <w:rFonts w:asciiTheme="minorHAnsi" w:hAnsiTheme="minorHAnsi" w:cstheme="minorHAnsi"/>
        </w:rPr>
        <w:t>Toxicity bioassays</w:t>
      </w:r>
    </w:p>
    <w:p w14:paraId="1B551E17" w14:textId="77777777" w:rsidR="0099176E" w:rsidRPr="001728CF" w:rsidRDefault="0099176E" w:rsidP="00DA2C26">
      <w:pPr>
        <w:numPr>
          <w:ilvl w:val="0"/>
          <w:numId w:val="119"/>
        </w:numPr>
        <w:spacing w:after="0" w:line="240" w:lineRule="auto"/>
        <w:jc w:val="left"/>
        <w:rPr>
          <w:rFonts w:asciiTheme="minorHAnsi" w:hAnsiTheme="minorHAnsi" w:cstheme="minorHAnsi"/>
        </w:rPr>
      </w:pPr>
      <w:r w:rsidRPr="001728CF">
        <w:rPr>
          <w:rFonts w:asciiTheme="minorHAnsi" w:hAnsiTheme="minorHAnsi" w:cstheme="minorHAnsi"/>
        </w:rPr>
        <w:t>Fish community structure</w:t>
      </w:r>
    </w:p>
    <w:p w14:paraId="2B70259C" w14:textId="77777777" w:rsidR="0099176E" w:rsidRPr="001728CF" w:rsidRDefault="0099176E" w:rsidP="0099176E">
      <w:pPr>
        <w:spacing w:after="0" w:line="240" w:lineRule="auto"/>
        <w:rPr>
          <w:rFonts w:asciiTheme="minorHAnsi" w:hAnsiTheme="minorHAnsi" w:cstheme="minorHAnsi"/>
        </w:rPr>
      </w:pPr>
    </w:p>
    <w:p w14:paraId="085F8F91"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sz w:val="24"/>
          <w:szCs w:val="24"/>
        </w:rPr>
      </w:pPr>
      <w:r w:rsidRPr="001728CF">
        <w:rPr>
          <w:rFonts w:asciiTheme="minorHAnsi" w:hAnsiTheme="minorHAnsi" w:cstheme="minorHAnsi"/>
          <w:b/>
          <w:sz w:val="24"/>
          <w:szCs w:val="24"/>
        </w:rPr>
        <w:t>Zooplankton</w:t>
      </w:r>
    </w:p>
    <w:p w14:paraId="55136280"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63B6A483" w14:textId="77777777" w:rsidR="0099176E" w:rsidRPr="001728CF" w:rsidRDefault="0099176E" w:rsidP="00DA2C26">
      <w:pPr>
        <w:numPr>
          <w:ilvl w:val="0"/>
          <w:numId w:val="120"/>
        </w:numPr>
        <w:spacing w:after="0" w:line="240" w:lineRule="auto"/>
        <w:jc w:val="left"/>
        <w:rPr>
          <w:rFonts w:asciiTheme="minorHAnsi" w:hAnsiTheme="minorHAnsi" w:cstheme="minorHAnsi"/>
        </w:rPr>
      </w:pPr>
      <w:r w:rsidRPr="001728CF">
        <w:rPr>
          <w:rFonts w:asciiTheme="minorHAnsi" w:hAnsiTheme="minorHAnsi" w:cstheme="minorHAnsi"/>
        </w:rPr>
        <w:t>Respond to fish, phytoplankton, thermal loading, acidity, and pesticides</w:t>
      </w:r>
    </w:p>
    <w:p w14:paraId="70D21186" w14:textId="77777777" w:rsidR="0099176E" w:rsidRPr="001728CF" w:rsidRDefault="0099176E" w:rsidP="00DA2C26">
      <w:pPr>
        <w:numPr>
          <w:ilvl w:val="0"/>
          <w:numId w:val="120"/>
        </w:numPr>
        <w:spacing w:after="0" w:line="240" w:lineRule="auto"/>
        <w:jc w:val="left"/>
        <w:rPr>
          <w:rFonts w:asciiTheme="minorHAnsi" w:hAnsiTheme="minorHAnsi" w:cstheme="minorHAnsi"/>
        </w:rPr>
      </w:pPr>
      <w:r w:rsidRPr="001728CF">
        <w:rPr>
          <w:rFonts w:asciiTheme="minorHAnsi" w:hAnsiTheme="minorHAnsi" w:cstheme="minorHAnsi"/>
        </w:rPr>
        <w:t>Field sampling and counting relatively easy but does require taxon expertise</w:t>
      </w:r>
    </w:p>
    <w:p w14:paraId="45F73D03" w14:textId="77777777" w:rsidR="0099176E" w:rsidRPr="001728CF" w:rsidRDefault="0099176E" w:rsidP="00DA2C26">
      <w:pPr>
        <w:numPr>
          <w:ilvl w:val="0"/>
          <w:numId w:val="120"/>
        </w:numPr>
        <w:spacing w:after="0" w:line="240" w:lineRule="auto"/>
        <w:jc w:val="left"/>
        <w:rPr>
          <w:rFonts w:asciiTheme="minorHAnsi" w:hAnsiTheme="minorHAnsi" w:cstheme="minorHAnsi"/>
        </w:rPr>
      </w:pPr>
      <w:r w:rsidRPr="001728CF">
        <w:rPr>
          <w:rFonts w:asciiTheme="minorHAnsi" w:hAnsiTheme="minorHAnsi" w:cstheme="minorHAnsi"/>
        </w:rPr>
        <w:t>Trophic link to fish</w:t>
      </w:r>
    </w:p>
    <w:p w14:paraId="38EC752E" w14:textId="77777777" w:rsidR="0099176E" w:rsidRPr="001728CF" w:rsidRDefault="0099176E" w:rsidP="00DA2C26">
      <w:pPr>
        <w:numPr>
          <w:ilvl w:val="0"/>
          <w:numId w:val="120"/>
        </w:numPr>
        <w:spacing w:after="0" w:line="240" w:lineRule="auto"/>
        <w:jc w:val="left"/>
        <w:rPr>
          <w:rFonts w:asciiTheme="minorHAnsi" w:hAnsiTheme="minorHAnsi" w:cstheme="minorHAnsi"/>
        </w:rPr>
      </w:pPr>
      <w:r w:rsidRPr="001728CF">
        <w:rPr>
          <w:rFonts w:asciiTheme="minorHAnsi" w:hAnsiTheme="minorHAnsi" w:cstheme="minorHAnsi"/>
        </w:rPr>
        <w:t>Sedimentary record for some groups</w:t>
      </w:r>
    </w:p>
    <w:p w14:paraId="62583E6D" w14:textId="77777777" w:rsidR="0099176E" w:rsidRPr="001728CF" w:rsidRDefault="0099176E" w:rsidP="0099176E">
      <w:pPr>
        <w:spacing w:after="0" w:line="240" w:lineRule="auto"/>
        <w:rPr>
          <w:rFonts w:asciiTheme="minorHAnsi" w:hAnsiTheme="minorHAnsi" w:cstheme="minorHAnsi"/>
        </w:rPr>
      </w:pPr>
    </w:p>
    <w:p w14:paraId="6E5FB7D5"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691C5738" w14:textId="77777777" w:rsidR="0099176E" w:rsidRPr="001728CF" w:rsidRDefault="0099176E" w:rsidP="00DA2C26">
      <w:pPr>
        <w:numPr>
          <w:ilvl w:val="0"/>
          <w:numId w:val="121"/>
        </w:numPr>
        <w:spacing w:after="0" w:line="240" w:lineRule="auto"/>
        <w:jc w:val="left"/>
        <w:rPr>
          <w:rFonts w:asciiTheme="minorHAnsi" w:hAnsiTheme="minorHAnsi" w:cstheme="minorHAnsi"/>
        </w:rPr>
      </w:pPr>
      <w:r w:rsidRPr="001728CF">
        <w:rPr>
          <w:rFonts w:asciiTheme="minorHAnsi" w:hAnsiTheme="minorHAnsi" w:cstheme="minorHAnsi"/>
        </w:rPr>
        <w:t>Response to human stressors and impacts not well documented</w:t>
      </w:r>
    </w:p>
    <w:p w14:paraId="7F4AEE4F" w14:textId="77777777" w:rsidR="0099176E" w:rsidRPr="001728CF" w:rsidRDefault="0099176E" w:rsidP="00DA2C26">
      <w:pPr>
        <w:numPr>
          <w:ilvl w:val="0"/>
          <w:numId w:val="121"/>
        </w:numPr>
        <w:spacing w:after="0" w:line="240" w:lineRule="auto"/>
        <w:jc w:val="left"/>
        <w:rPr>
          <w:rFonts w:asciiTheme="minorHAnsi" w:hAnsiTheme="minorHAnsi" w:cstheme="minorHAnsi"/>
        </w:rPr>
      </w:pPr>
      <w:r w:rsidRPr="001728CF">
        <w:rPr>
          <w:rFonts w:asciiTheme="minorHAnsi" w:hAnsiTheme="minorHAnsi" w:cstheme="minorHAnsi"/>
        </w:rPr>
        <w:t>Interpretation difficult: respond to both higher and lover trophic levels</w:t>
      </w:r>
    </w:p>
    <w:p w14:paraId="78A54D46" w14:textId="77777777" w:rsidR="0099176E" w:rsidRPr="001728CF" w:rsidRDefault="0099176E" w:rsidP="00DA2C26">
      <w:pPr>
        <w:numPr>
          <w:ilvl w:val="0"/>
          <w:numId w:val="121"/>
        </w:numPr>
        <w:spacing w:after="0" w:line="240" w:lineRule="auto"/>
        <w:jc w:val="left"/>
        <w:rPr>
          <w:rFonts w:asciiTheme="minorHAnsi" w:hAnsiTheme="minorHAnsi" w:cstheme="minorHAnsi"/>
        </w:rPr>
      </w:pPr>
      <w:r w:rsidRPr="001728CF">
        <w:rPr>
          <w:rFonts w:asciiTheme="minorHAnsi" w:hAnsiTheme="minorHAnsi" w:cstheme="minorHAnsi"/>
        </w:rPr>
        <w:t>Do not integrate well – high temporal variability</w:t>
      </w:r>
    </w:p>
    <w:p w14:paraId="78926AF1" w14:textId="77777777" w:rsidR="0099176E" w:rsidRPr="001728CF" w:rsidRDefault="0099176E" w:rsidP="0099176E">
      <w:pPr>
        <w:spacing w:after="0" w:line="240" w:lineRule="auto"/>
        <w:rPr>
          <w:rFonts w:asciiTheme="minorHAnsi" w:hAnsiTheme="minorHAnsi" w:cstheme="minorHAnsi"/>
        </w:rPr>
      </w:pPr>
    </w:p>
    <w:p w14:paraId="241D8AC6"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ALTERNATIVES</w:t>
      </w:r>
    </w:p>
    <w:p w14:paraId="1C61A513" w14:textId="77777777" w:rsidR="0099176E" w:rsidRPr="001728CF" w:rsidRDefault="0099176E" w:rsidP="00DA2C26">
      <w:pPr>
        <w:numPr>
          <w:ilvl w:val="0"/>
          <w:numId w:val="122"/>
        </w:numPr>
        <w:spacing w:after="0" w:line="240" w:lineRule="auto"/>
        <w:jc w:val="left"/>
        <w:rPr>
          <w:rFonts w:asciiTheme="minorHAnsi" w:hAnsiTheme="minorHAnsi" w:cstheme="minorHAnsi"/>
        </w:rPr>
      </w:pPr>
      <w:r w:rsidRPr="001728CF">
        <w:rPr>
          <w:rFonts w:asciiTheme="minorHAnsi" w:hAnsiTheme="minorHAnsi" w:cstheme="minorHAnsi"/>
        </w:rPr>
        <w:t>Fish community structure</w:t>
      </w:r>
    </w:p>
    <w:p w14:paraId="690686E4" w14:textId="77777777" w:rsidR="0099176E" w:rsidRPr="001728CF" w:rsidRDefault="0099176E" w:rsidP="00DA2C26">
      <w:pPr>
        <w:numPr>
          <w:ilvl w:val="0"/>
          <w:numId w:val="122"/>
        </w:numPr>
        <w:spacing w:after="0" w:line="240" w:lineRule="auto"/>
        <w:jc w:val="left"/>
        <w:rPr>
          <w:rFonts w:asciiTheme="minorHAnsi" w:hAnsiTheme="minorHAnsi" w:cstheme="minorHAnsi"/>
        </w:rPr>
      </w:pPr>
      <w:r w:rsidRPr="001728CF">
        <w:rPr>
          <w:rFonts w:asciiTheme="minorHAnsi" w:hAnsiTheme="minorHAnsi" w:cstheme="minorHAnsi"/>
        </w:rPr>
        <w:t>Trophic state – secchi depth, chlorophyll, phosphorus</w:t>
      </w:r>
    </w:p>
    <w:p w14:paraId="3A71D37D" w14:textId="77777777" w:rsidR="0099176E" w:rsidRPr="001728CF" w:rsidRDefault="0099176E" w:rsidP="00DA2C26">
      <w:pPr>
        <w:numPr>
          <w:ilvl w:val="0"/>
          <w:numId w:val="122"/>
        </w:numPr>
        <w:spacing w:after="0" w:line="240" w:lineRule="auto"/>
        <w:jc w:val="left"/>
        <w:rPr>
          <w:rFonts w:asciiTheme="minorHAnsi" w:hAnsiTheme="minorHAnsi" w:cstheme="minorHAnsi"/>
        </w:rPr>
      </w:pPr>
      <w:r w:rsidRPr="001728CF">
        <w:rPr>
          <w:rFonts w:asciiTheme="minorHAnsi" w:hAnsiTheme="minorHAnsi" w:cstheme="minorHAnsi"/>
        </w:rPr>
        <w:t>Algae</w:t>
      </w:r>
    </w:p>
    <w:p w14:paraId="3BCB2326" w14:textId="77777777" w:rsidR="0099176E" w:rsidRPr="001728CF" w:rsidRDefault="0099176E" w:rsidP="0099176E">
      <w:pPr>
        <w:spacing w:after="0" w:line="240" w:lineRule="auto"/>
        <w:rPr>
          <w:rFonts w:asciiTheme="minorHAnsi" w:hAnsiTheme="minorHAnsi" w:cstheme="minorHAnsi"/>
        </w:rPr>
      </w:pPr>
    </w:p>
    <w:p w14:paraId="7B10403E" w14:textId="77777777" w:rsidR="0099176E" w:rsidRPr="001728CF" w:rsidRDefault="0099176E" w:rsidP="0099176E">
      <w:pPr>
        <w:spacing w:after="0" w:line="240" w:lineRule="auto"/>
        <w:rPr>
          <w:rFonts w:asciiTheme="minorHAnsi" w:hAnsiTheme="minorHAnsi" w:cstheme="minorHAnsi"/>
        </w:rPr>
      </w:pPr>
    </w:p>
    <w:p w14:paraId="397D89C1"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sidRPr="001728CF">
        <w:rPr>
          <w:rFonts w:asciiTheme="minorHAnsi" w:hAnsiTheme="minorHAnsi" w:cstheme="minorHAnsi"/>
          <w:b/>
          <w:sz w:val="24"/>
          <w:szCs w:val="24"/>
        </w:rPr>
        <w:t>Fish</w:t>
      </w:r>
    </w:p>
    <w:p w14:paraId="201A74ED"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32046A56" w14:textId="77777777" w:rsidR="0099176E" w:rsidRPr="001728CF" w:rsidRDefault="0099176E" w:rsidP="00DA2C26">
      <w:pPr>
        <w:numPr>
          <w:ilvl w:val="0"/>
          <w:numId w:val="103"/>
        </w:numPr>
        <w:spacing w:after="0" w:line="240" w:lineRule="auto"/>
        <w:jc w:val="left"/>
        <w:rPr>
          <w:rFonts w:asciiTheme="minorHAnsi" w:hAnsiTheme="minorHAnsi" w:cstheme="minorHAnsi"/>
        </w:rPr>
      </w:pPr>
      <w:r>
        <w:rPr>
          <w:rFonts w:asciiTheme="minorHAnsi" w:hAnsiTheme="minorHAnsi" w:cstheme="minorHAnsi"/>
        </w:rPr>
        <w:t>C</w:t>
      </w:r>
      <w:r w:rsidRPr="001728CF">
        <w:rPr>
          <w:rFonts w:asciiTheme="minorHAnsi" w:hAnsiTheme="minorHAnsi" w:cstheme="minorHAnsi"/>
        </w:rPr>
        <w:t xml:space="preserve">ommunity metrics well-developed (Index of Biotic Integrity), </w:t>
      </w:r>
      <w:r w:rsidRPr="001728CF">
        <w:rPr>
          <w:rFonts w:asciiTheme="minorHAnsi" w:hAnsiTheme="minorHAnsi" w:cstheme="minorHAnsi"/>
          <w:b/>
        </w:rPr>
        <w:t>though not for wetlands</w:t>
      </w:r>
      <w:r w:rsidRPr="001728CF">
        <w:rPr>
          <w:rFonts w:asciiTheme="minorHAnsi" w:hAnsiTheme="minorHAnsi" w:cstheme="minorHAnsi"/>
        </w:rPr>
        <w:t>; many reputed indicators (e.g. carp)</w:t>
      </w:r>
    </w:p>
    <w:p w14:paraId="6E702E98" w14:textId="77777777" w:rsidR="0099176E" w:rsidRPr="001728CF" w:rsidRDefault="0099176E" w:rsidP="00DA2C26">
      <w:pPr>
        <w:numPr>
          <w:ilvl w:val="0"/>
          <w:numId w:val="103"/>
        </w:numPr>
        <w:spacing w:after="0" w:line="240" w:lineRule="auto"/>
        <w:jc w:val="left"/>
        <w:rPr>
          <w:rFonts w:asciiTheme="minorHAnsi" w:hAnsiTheme="minorHAnsi" w:cstheme="minorHAnsi"/>
        </w:rPr>
      </w:pPr>
      <w:r>
        <w:rPr>
          <w:rFonts w:asciiTheme="minorHAnsi" w:hAnsiTheme="minorHAnsi" w:cstheme="minorHAnsi"/>
        </w:rPr>
        <w:t>R</w:t>
      </w:r>
      <w:r w:rsidRPr="001728CF">
        <w:rPr>
          <w:rFonts w:asciiTheme="minorHAnsi" w:hAnsiTheme="minorHAnsi" w:cstheme="minorHAnsi"/>
        </w:rPr>
        <w:t>espond to: DO, pesticides, metals, organic enrichment, eutrophication, acidification, thermal loading</w:t>
      </w:r>
    </w:p>
    <w:p w14:paraId="60B876C0" w14:textId="77777777" w:rsidR="0099176E" w:rsidRPr="001728CF" w:rsidRDefault="0099176E" w:rsidP="00DA2C26">
      <w:pPr>
        <w:numPr>
          <w:ilvl w:val="0"/>
          <w:numId w:val="103"/>
        </w:numPr>
        <w:spacing w:after="0" w:line="240" w:lineRule="auto"/>
        <w:jc w:val="left"/>
        <w:rPr>
          <w:rFonts w:asciiTheme="minorHAnsi" w:hAnsiTheme="minorHAnsi" w:cstheme="minorHAnsi"/>
        </w:rPr>
      </w:pPr>
      <w:r>
        <w:rPr>
          <w:rFonts w:asciiTheme="minorHAnsi" w:hAnsiTheme="minorHAnsi" w:cstheme="minorHAnsi"/>
        </w:rPr>
        <w:t>M</w:t>
      </w:r>
      <w:r w:rsidRPr="001728CF">
        <w:rPr>
          <w:rFonts w:asciiTheme="minorHAnsi" w:hAnsiTheme="minorHAnsi" w:cstheme="minorHAnsi"/>
        </w:rPr>
        <w:t>ost comprehensive set of bioassay data, tolerance to stress known</w:t>
      </w:r>
    </w:p>
    <w:p w14:paraId="1FB0956B" w14:textId="77777777" w:rsidR="0099176E" w:rsidRPr="001728CF" w:rsidRDefault="0099176E" w:rsidP="00DA2C26">
      <w:pPr>
        <w:numPr>
          <w:ilvl w:val="0"/>
          <w:numId w:val="103"/>
        </w:numPr>
        <w:spacing w:after="0" w:line="240" w:lineRule="auto"/>
        <w:jc w:val="left"/>
        <w:rPr>
          <w:rFonts w:asciiTheme="minorHAnsi" w:hAnsiTheme="minorHAnsi" w:cstheme="minorHAnsi"/>
        </w:rPr>
      </w:pPr>
      <w:r>
        <w:rPr>
          <w:rFonts w:asciiTheme="minorHAnsi" w:hAnsiTheme="minorHAnsi" w:cstheme="minorHAnsi"/>
        </w:rPr>
        <w:t>C</w:t>
      </w:r>
      <w:r w:rsidRPr="001728CF">
        <w:rPr>
          <w:rFonts w:asciiTheme="minorHAnsi" w:hAnsiTheme="minorHAnsi" w:cstheme="minorHAnsi"/>
        </w:rPr>
        <w:t xml:space="preserve">an be caged for whole effluent bioassay and </w:t>
      </w:r>
      <w:r w:rsidRPr="001728CF">
        <w:rPr>
          <w:rFonts w:asciiTheme="minorHAnsi" w:hAnsiTheme="minorHAnsi" w:cstheme="minorHAnsi"/>
          <w:i/>
        </w:rPr>
        <w:t xml:space="preserve">in situ </w:t>
      </w:r>
      <w:r w:rsidRPr="001728CF">
        <w:rPr>
          <w:rFonts w:asciiTheme="minorHAnsi" w:hAnsiTheme="minorHAnsi" w:cstheme="minorHAnsi"/>
        </w:rPr>
        <w:t>studies, or avoidance measured using radiotelemetry</w:t>
      </w:r>
    </w:p>
    <w:p w14:paraId="5460F267" w14:textId="77777777" w:rsidR="0099176E" w:rsidRPr="001728CF" w:rsidRDefault="0099176E" w:rsidP="00DA2C26">
      <w:pPr>
        <w:numPr>
          <w:ilvl w:val="0"/>
          <w:numId w:val="103"/>
        </w:numPr>
        <w:spacing w:after="0" w:line="240" w:lineRule="auto"/>
        <w:jc w:val="left"/>
        <w:rPr>
          <w:rFonts w:asciiTheme="minorHAnsi" w:hAnsiTheme="minorHAnsi" w:cstheme="minorHAnsi"/>
        </w:rPr>
      </w:pPr>
      <w:r>
        <w:rPr>
          <w:rFonts w:asciiTheme="minorHAnsi" w:hAnsiTheme="minorHAnsi" w:cstheme="minorHAnsi"/>
        </w:rPr>
        <w:t>M</w:t>
      </w:r>
      <w:r w:rsidRPr="001728CF">
        <w:rPr>
          <w:rFonts w:asciiTheme="minorHAnsi" w:hAnsiTheme="minorHAnsi" w:cstheme="minorHAnsi"/>
        </w:rPr>
        <w:t>oderately bioaccumulative</w:t>
      </w:r>
    </w:p>
    <w:p w14:paraId="26402CAA" w14:textId="77777777" w:rsidR="0099176E" w:rsidRPr="001728CF" w:rsidRDefault="0099176E" w:rsidP="00DA2C26">
      <w:pPr>
        <w:numPr>
          <w:ilvl w:val="0"/>
          <w:numId w:val="103"/>
        </w:numPr>
        <w:spacing w:after="0" w:line="240" w:lineRule="auto"/>
        <w:jc w:val="left"/>
        <w:rPr>
          <w:rFonts w:asciiTheme="minorHAnsi" w:hAnsiTheme="minorHAnsi" w:cstheme="minorHAnsi"/>
        </w:rPr>
      </w:pPr>
      <w:r>
        <w:rPr>
          <w:rFonts w:asciiTheme="minorHAnsi" w:hAnsiTheme="minorHAnsi" w:cstheme="minorHAnsi"/>
        </w:rPr>
        <w:t>I</w:t>
      </w:r>
      <w:r w:rsidRPr="001728CF">
        <w:rPr>
          <w:rFonts w:asciiTheme="minorHAnsi" w:hAnsiTheme="minorHAnsi" w:cstheme="minorHAnsi"/>
        </w:rPr>
        <w:t>ntegrators of environmental conditions</w:t>
      </w:r>
    </w:p>
    <w:p w14:paraId="06FE4808" w14:textId="77777777" w:rsidR="0099176E" w:rsidRPr="001728CF" w:rsidRDefault="0099176E" w:rsidP="00DA2C26">
      <w:pPr>
        <w:numPr>
          <w:ilvl w:val="0"/>
          <w:numId w:val="103"/>
        </w:numPr>
        <w:spacing w:after="0" w:line="240" w:lineRule="auto"/>
        <w:jc w:val="left"/>
        <w:rPr>
          <w:rFonts w:asciiTheme="minorHAnsi" w:hAnsiTheme="minorHAnsi" w:cstheme="minorHAnsi"/>
        </w:rPr>
      </w:pPr>
      <w:r>
        <w:rPr>
          <w:rFonts w:asciiTheme="minorHAnsi" w:hAnsiTheme="minorHAnsi" w:cstheme="minorHAnsi"/>
        </w:rPr>
        <w:t>F</w:t>
      </w:r>
      <w:r w:rsidRPr="001728CF">
        <w:rPr>
          <w:rFonts w:asciiTheme="minorHAnsi" w:hAnsiTheme="minorHAnsi" w:cstheme="minorHAnsi"/>
        </w:rPr>
        <w:t>airly simple identification (except larval stages)</w:t>
      </w:r>
    </w:p>
    <w:p w14:paraId="641E1F50" w14:textId="77777777" w:rsidR="0099176E" w:rsidRPr="001728CF" w:rsidRDefault="0099176E" w:rsidP="00DA2C26">
      <w:pPr>
        <w:numPr>
          <w:ilvl w:val="0"/>
          <w:numId w:val="103"/>
        </w:numPr>
        <w:spacing w:after="0" w:line="240" w:lineRule="auto"/>
        <w:jc w:val="left"/>
        <w:rPr>
          <w:rFonts w:asciiTheme="minorHAnsi" w:hAnsiTheme="minorHAnsi" w:cstheme="minorHAnsi"/>
        </w:rPr>
      </w:pPr>
      <w:r>
        <w:rPr>
          <w:rFonts w:asciiTheme="minorHAnsi" w:hAnsiTheme="minorHAnsi" w:cstheme="minorHAnsi"/>
        </w:rPr>
        <w:t>P</w:t>
      </w:r>
      <w:r w:rsidRPr="001728CF">
        <w:rPr>
          <w:rFonts w:asciiTheme="minorHAnsi" w:hAnsiTheme="minorHAnsi" w:cstheme="minorHAnsi"/>
        </w:rPr>
        <w:t>opulation characteristics, growth fairly easy to discern</w:t>
      </w:r>
    </w:p>
    <w:p w14:paraId="72A43A0B" w14:textId="77777777" w:rsidR="0099176E" w:rsidRPr="001728CF" w:rsidRDefault="0099176E" w:rsidP="00DA2C26">
      <w:pPr>
        <w:numPr>
          <w:ilvl w:val="0"/>
          <w:numId w:val="103"/>
        </w:numPr>
        <w:spacing w:after="0" w:line="240" w:lineRule="auto"/>
        <w:jc w:val="left"/>
        <w:rPr>
          <w:rFonts w:asciiTheme="minorHAnsi" w:hAnsiTheme="minorHAnsi" w:cstheme="minorHAnsi"/>
        </w:rPr>
      </w:pPr>
      <w:r>
        <w:rPr>
          <w:rFonts w:asciiTheme="minorHAnsi" w:hAnsiTheme="minorHAnsi" w:cstheme="minorHAnsi"/>
        </w:rPr>
        <w:t>C</w:t>
      </w:r>
      <w:r w:rsidRPr="001728CF">
        <w:rPr>
          <w:rFonts w:asciiTheme="minorHAnsi" w:hAnsiTheme="minorHAnsi" w:cstheme="minorHAnsi"/>
        </w:rPr>
        <w:t>ontaminants may induce identifiable deformities</w:t>
      </w:r>
    </w:p>
    <w:p w14:paraId="2153AD1C" w14:textId="77777777" w:rsidR="0099176E" w:rsidRPr="001728CF" w:rsidRDefault="0099176E" w:rsidP="00DA2C26">
      <w:pPr>
        <w:numPr>
          <w:ilvl w:val="0"/>
          <w:numId w:val="103"/>
        </w:numPr>
        <w:spacing w:after="0" w:line="240" w:lineRule="auto"/>
        <w:jc w:val="left"/>
        <w:rPr>
          <w:rFonts w:asciiTheme="minorHAnsi" w:hAnsiTheme="minorHAnsi" w:cstheme="minorHAnsi"/>
        </w:rPr>
      </w:pPr>
      <w:r>
        <w:rPr>
          <w:rFonts w:asciiTheme="minorHAnsi" w:hAnsiTheme="minorHAnsi" w:cstheme="minorHAnsi"/>
        </w:rPr>
        <w:t>C</w:t>
      </w:r>
      <w:r w:rsidRPr="001728CF">
        <w:rPr>
          <w:rFonts w:asciiTheme="minorHAnsi" w:hAnsiTheme="minorHAnsi" w:cstheme="minorHAnsi"/>
        </w:rPr>
        <w:t>an be sampled year-round</w:t>
      </w:r>
    </w:p>
    <w:p w14:paraId="2224E16B" w14:textId="77777777" w:rsidR="0099176E" w:rsidRPr="001728CF" w:rsidRDefault="0099176E" w:rsidP="00DA2C26">
      <w:pPr>
        <w:numPr>
          <w:ilvl w:val="0"/>
          <w:numId w:val="103"/>
        </w:numPr>
        <w:spacing w:after="0" w:line="240" w:lineRule="auto"/>
        <w:jc w:val="left"/>
        <w:rPr>
          <w:rFonts w:asciiTheme="minorHAnsi" w:hAnsiTheme="minorHAnsi" w:cstheme="minorHAnsi"/>
        </w:rPr>
      </w:pPr>
      <w:r>
        <w:rPr>
          <w:rFonts w:asciiTheme="minorHAnsi" w:hAnsiTheme="minorHAnsi" w:cstheme="minorHAnsi"/>
        </w:rPr>
        <w:t>P</w:t>
      </w:r>
      <w:r w:rsidRPr="001728CF">
        <w:rPr>
          <w:rFonts w:asciiTheme="minorHAnsi" w:hAnsiTheme="minorHAnsi" w:cstheme="minorHAnsi"/>
        </w:rPr>
        <w:t>resumptive indicator of hydroperiod (absent from isolated wetlands with complete, sustained drawdown)</w:t>
      </w:r>
    </w:p>
    <w:p w14:paraId="7BE87BF7" w14:textId="77777777" w:rsidR="0099176E" w:rsidRPr="001728CF" w:rsidRDefault="0099176E" w:rsidP="00DA2C26">
      <w:pPr>
        <w:numPr>
          <w:ilvl w:val="0"/>
          <w:numId w:val="104"/>
        </w:numPr>
        <w:spacing w:after="0" w:line="240" w:lineRule="auto"/>
        <w:jc w:val="left"/>
        <w:rPr>
          <w:rFonts w:asciiTheme="minorHAnsi" w:hAnsiTheme="minorHAnsi" w:cstheme="minorHAnsi"/>
        </w:rPr>
      </w:pPr>
      <w:r>
        <w:rPr>
          <w:rFonts w:asciiTheme="minorHAnsi" w:hAnsiTheme="minorHAnsi" w:cstheme="minorHAnsi"/>
        </w:rPr>
        <w:t>I</w:t>
      </w:r>
      <w:r w:rsidRPr="001728CF">
        <w:rPr>
          <w:rFonts w:asciiTheme="minorHAnsi" w:hAnsiTheme="minorHAnsi" w:cstheme="minorHAnsi"/>
        </w:rPr>
        <w:t>ntegrate broad, longer-term, landscape-level impacts because of their mobility, high trophic position, and longer life span</w:t>
      </w:r>
    </w:p>
    <w:p w14:paraId="20E8B87B" w14:textId="77777777" w:rsidR="0099176E" w:rsidRPr="001728CF" w:rsidRDefault="0099176E" w:rsidP="00DA2C26">
      <w:pPr>
        <w:numPr>
          <w:ilvl w:val="0"/>
          <w:numId w:val="105"/>
        </w:numPr>
        <w:spacing w:after="0" w:line="240" w:lineRule="auto"/>
        <w:jc w:val="left"/>
        <w:rPr>
          <w:rFonts w:asciiTheme="minorHAnsi" w:hAnsiTheme="minorHAnsi" w:cstheme="minorHAnsi"/>
        </w:rPr>
      </w:pPr>
      <w:r>
        <w:rPr>
          <w:rFonts w:asciiTheme="minorHAnsi" w:hAnsiTheme="minorHAnsi" w:cstheme="minorHAnsi"/>
        </w:rPr>
        <w:t>H</w:t>
      </w:r>
      <w:r w:rsidRPr="001728CF">
        <w:rPr>
          <w:rFonts w:asciiTheme="minorHAnsi" w:hAnsiTheme="minorHAnsi" w:cstheme="minorHAnsi"/>
        </w:rPr>
        <w:t>igh social importance of most species; existing water quality standards for aquatic life focus on fish</w:t>
      </w:r>
    </w:p>
    <w:p w14:paraId="1AFA0301" w14:textId="77777777" w:rsidR="0099176E" w:rsidRPr="001728CF" w:rsidRDefault="0099176E" w:rsidP="0099176E">
      <w:pPr>
        <w:spacing w:after="0" w:line="240" w:lineRule="auto"/>
        <w:rPr>
          <w:rFonts w:asciiTheme="minorHAnsi" w:hAnsiTheme="minorHAnsi" w:cstheme="minorHAnsi"/>
        </w:rPr>
      </w:pPr>
    </w:p>
    <w:p w14:paraId="0451F94F"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57D60B2A" w14:textId="77777777" w:rsidR="0099176E" w:rsidRPr="001728CF" w:rsidRDefault="0099176E" w:rsidP="00DA2C26">
      <w:pPr>
        <w:numPr>
          <w:ilvl w:val="0"/>
          <w:numId w:val="106"/>
        </w:numPr>
        <w:spacing w:after="0" w:line="240" w:lineRule="auto"/>
        <w:jc w:val="left"/>
        <w:rPr>
          <w:rFonts w:asciiTheme="minorHAnsi" w:hAnsiTheme="minorHAnsi" w:cstheme="minorHAnsi"/>
        </w:rPr>
      </w:pPr>
      <w:r>
        <w:rPr>
          <w:rFonts w:asciiTheme="minorHAnsi" w:hAnsiTheme="minorHAnsi" w:cstheme="minorHAnsi"/>
        </w:rPr>
        <w:t>M</w:t>
      </w:r>
      <w:r w:rsidRPr="001728CF">
        <w:rPr>
          <w:rFonts w:asciiTheme="minorHAnsi" w:hAnsiTheme="minorHAnsi" w:cstheme="minorHAnsi"/>
        </w:rPr>
        <w:t>obility makes it difficult to locate specific contaminant sources</w:t>
      </w:r>
    </w:p>
    <w:p w14:paraId="49771E54" w14:textId="77777777" w:rsidR="0099176E" w:rsidRPr="001728CF" w:rsidRDefault="0099176E" w:rsidP="00DA2C26">
      <w:pPr>
        <w:numPr>
          <w:ilvl w:val="0"/>
          <w:numId w:val="106"/>
        </w:numPr>
        <w:spacing w:after="0" w:line="240" w:lineRule="auto"/>
        <w:jc w:val="left"/>
        <w:rPr>
          <w:rFonts w:asciiTheme="minorHAnsi" w:hAnsiTheme="minorHAnsi" w:cstheme="minorHAnsi"/>
        </w:rPr>
      </w:pPr>
      <w:r>
        <w:rPr>
          <w:rFonts w:asciiTheme="minorHAnsi" w:hAnsiTheme="minorHAnsi" w:cstheme="minorHAnsi"/>
        </w:rPr>
        <w:t>A</w:t>
      </w:r>
      <w:r w:rsidRPr="001728CF">
        <w:rPr>
          <w:rFonts w:asciiTheme="minorHAnsi" w:hAnsiTheme="minorHAnsi" w:cstheme="minorHAnsi"/>
        </w:rPr>
        <w:t>bsent (or present for only brief periods) in most wetlands</w:t>
      </w:r>
    </w:p>
    <w:p w14:paraId="79D34EB5" w14:textId="77777777" w:rsidR="0099176E" w:rsidRPr="001728CF" w:rsidRDefault="0099176E" w:rsidP="00DA2C26">
      <w:pPr>
        <w:numPr>
          <w:ilvl w:val="0"/>
          <w:numId w:val="106"/>
        </w:numPr>
        <w:spacing w:after="0" w:line="240" w:lineRule="auto"/>
        <w:jc w:val="left"/>
        <w:rPr>
          <w:rFonts w:asciiTheme="minorHAnsi" w:hAnsiTheme="minorHAnsi" w:cstheme="minorHAnsi"/>
        </w:rPr>
      </w:pPr>
      <w:r>
        <w:rPr>
          <w:rFonts w:asciiTheme="minorHAnsi" w:hAnsiTheme="minorHAnsi" w:cstheme="minorHAnsi"/>
        </w:rPr>
        <w:t>L</w:t>
      </w:r>
      <w:r w:rsidRPr="001728CF">
        <w:rPr>
          <w:rFonts w:asciiTheme="minorHAnsi" w:hAnsiTheme="minorHAnsi" w:cstheme="minorHAnsi"/>
        </w:rPr>
        <w:t>aborious sampling, field sampling is time consuming and expensive, with high spatial variance and gear problems</w:t>
      </w:r>
    </w:p>
    <w:p w14:paraId="3A7F7FEC" w14:textId="77777777" w:rsidR="0099176E" w:rsidRPr="001728CF" w:rsidRDefault="0099176E" w:rsidP="00DA2C26">
      <w:pPr>
        <w:numPr>
          <w:ilvl w:val="0"/>
          <w:numId w:val="106"/>
        </w:numPr>
        <w:spacing w:after="0" w:line="240" w:lineRule="auto"/>
        <w:jc w:val="left"/>
        <w:rPr>
          <w:rFonts w:asciiTheme="minorHAnsi" w:hAnsiTheme="minorHAnsi" w:cstheme="minorHAnsi"/>
        </w:rPr>
      </w:pPr>
      <w:r>
        <w:rPr>
          <w:rFonts w:asciiTheme="minorHAnsi" w:hAnsiTheme="minorHAnsi" w:cstheme="minorHAnsi"/>
        </w:rPr>
        <w:t>I</w:t>
      </w:r>
      <w:r w:rsidRPr="001728CF">
        <w:rPr>
          <w:rFonts w:asciiTheme="minorHAnsi" w:hAnsiTheme="minorHAnsi" w:cstheme="minorHAnsi"/>
        </w:rPr>
        <w:t xml:space="preserve">ntensively managed; stocking, angling impact </w:t>
      </w:r>
    </w:p>
    <w:p w14:paraId="485B587A" w14:textId="77777777" w:rsidR="0099176E" w:rsidRPr="001728CF" w:rsidRDefault="0099176E" w:rsidP="00DA2C26">
      <w:pPr>
        <w:numPr>
          <w:ilvl w:val="0"/>
          <w:numId w:val="106"/>
        </w:numPr>
        <w:spacing w:after="0" w:line="240" w:lineRule="auto"/>
        <w:jc w:val="left"/>
        <w:rPr>
          <w:rFonts w:asciiTheme="minorHAnsi" w:hAnsiTheme="minorHAnsi" w:cstheme="minorHAnsi"/>
        </w:rPr>
      </w:pPr>
      <w:r>
        <w:rPr>
          <w:rFonts w:asciiTheme="minorHAnsi" w:hAnsiTheme="minorHAnsi" w:cstheme="minorHAnsi"/>
        </w:rPr>
        <w:lastRenderedPageBreak/>
        <w:t>E</w:t>
      </w:r>
      <w:r w:rsidRPr="001728CF">
        <w:rPr>
          <w:rFonts w:asciiTheme="minorHAnsi" w:hAnsiTheme="minorHAnsi" w:cstheme="minorHAnsi"/>
        </w:rPr>
        <w:t>arly life stages and non-game species may be difficult to identify</w:t>
      </w:r>
    </w:p>
    <w:p w14:paraId="735E0EB1" w14:textId="77777777" w:rsidR="0099176E" w:rsidRPr="001728CF" w:rsidRDefault="0099176E" w:rsidP="00DA2C26">
      <w:pPr>
        <w:numPr>
          <w:ilvl w:val="0"/>
          <w:numId w:val="106"/>
        </w:numPr>
        <w:spacing w:after="0" w:line="240" w:lineRule="auto"/>
        <w:jc w:val="left"/>
        <w:rPr>
          <w:rFonts w:asciiTheme="minorHAnsi" w:hAnsiTheme="minorHAnsi" w:cstheme="minorHAnsi"/>
        </w:rPr>
      </w:pPr>
      <w:r>
        <w:rPr>
          <w:rFonts w:asciiTheme="minorHAnsi" w:hAnsiTheme="minorHAnsi" w:cstheme="minorHAnsi"/>
        </w:rPr>
        <w:t>T</w:t>
      </w:r>
      <w:r w:rsidRPr="001728CF">
        <w:rPr>
          <w:rFonts w:asciiTheme="minorHAnsi" w:hAnsiTheme="minorHAnsi" w:cstheme="minorHAnsi"/>
        </w:rPr>
        <w:t>he only index which has been developed and tested regionally</w:t>
      </w:r>
    </w:p>
    <w:p w14:paraId="7A669C5A" w14:textId="77777777" w:rsidR="0099176E" w:rsidRPr="001728CF" w:rsidRDefault="0099176E" w:rsidP="0099176E">
      <w:pPr>
        <w:spacing w:after="0" w:line="240" w:lineRule="auto"/>
        <w:rPr>
          <w:rFonts w:asciiTheme="minorHAnsi" w:hAnsiTheme="minorHAnsi" w:cstheme="minorHAnsi"/>
        </w:rPr>
      </w:pPr>
    </w:p>
    <w:p w14:paraId="4D8912DE"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ALTERNATIVES</w:t>
      </w:r>
    </w:p>
    <w:p w14:paraId="1EA5B753" w14:textId="77777777" w:rsidR="0099176E" w:rsidRPr="001728CF" w:rsidRDefault="0099176E" w:rsidP="00DA2C26">
      <w:pPr>
        <w:numPr>
          <w:ilvl w:val="0"/>
          <w:numId w:val="123"/>
        </w:numPr>
        <w:spacing w:after="0" w:line="240" w:lineRule="auto"/>
        <w:jc w:val="left"/>
        <w:rPr>
          <w:rFonts w:asciiTheme="minorHAnsi" w:hAnsiTheme="minorHAnsi" w:cstheme="minorHAnsi"/>
        </w:rPr>
      </w:pPr>
      <w:r w:rsidRPr="001728CF">
        <w:rPr>
          <w:rFonts w:asciiTheme="minorHAnsi" w:hAnsiTheme="minorHAnsi" w:cstheme="minorHAnsi"/>
        </w:rPr>
        <w:t>DO</w:t>
      </w:r>
    </w:p>
    <w:p w14:paraId="5676BB79" w14:textId="77777777" w:rsidR="0099176E" w:rsidRPr="001728CF" w:rsidRDefault="0099176E" w:rsidP="00DA2C26">
      <w:pPr>
        <w:numPr>
          <w:ilvl w:val="0"/>
          <w:numId w:val="123"/>
        </w:numPr>
        <w:spacing w:after="0" w:line="240" w:lineRule="auto"/>
        <w:jc w:val="left"/>
        <w:rPr>
          <w:rFonts w:asciiTheme="minorHAnsi" w:hAnsiTheme="minorHAnsi" w:cstheme="minorHAnsi"/>
        </w:rPr>
      </w:pPr>
      <w:r w:rsidRPr="001728CF">
        <w:rPr>
          <w:rFonts w:asciiTheme="minorHAnsi" w:hAnsiTheme="minorHAnsi" w:cstheme="minorHAnsi"/>
        </w:rPr>
        <w:t>Trophic state</w:t>
      </w:r>
    </w:p>
    <w:p w14:paraId="2403065F" w14:textId="77777777" w:rsidR="0099176E" w:rsidRPr="001728CF" w:rsidRDefault="0099176E" w:rsidP="00DA2C26">
      <w:pPr>
        <w:numPr>
          <w:ilvl w:val="0"/>
          <w:numId w:val="123"/>
        </w:numPr>
        <w:spacing w:after="0" w:line="240" w:lineRule="auto"/>
        <w:jc w:val="left"/>
        <w:rPr>
          <w:rFonts w:asciiTheme="minorHAnsi" w:hAnsiTheme="minorHAnsi" w:cstheme="minorHAnsi"/>
        </w:rPr>
      </w:pPr>
      <w:r w:rsidRPr="001728CF">
        <w:rPr>
          <w:rFonts w:asciiTheme="minorHAnsi" w:hAnsiTheme="minorHAnsi" w:cstheme="minorHAnsi"/>
        </w:rPr>
        <w:t>Toxicity bioassays</w:t>
      </w:r>
    </w:p>
    <w:p w14:paraId="23183631" w14:textId="77777777" w:rsidR="0099176E" w:rsidRPr="001728CF" w:rsidRDefault="0099176E" w:rsidP="00DA2C26">
      <w:pPr>
        <w:numPr>
          <w:ilvl w:val="0"/>
          <w:numId w:val="123"/>
        </w:numPr>
        <w:spacing w:after="0" w:line="240" w:lineRule="auto"/>
        <w:jc w:val="left"/>
        <w:rPr>
          <w:rFonts w:asciiTheme="minorHAnsi" w:hAnsiTheme="minorHAnsi" w:cstheme="minorHAnsi"/>
        </w:rPr>
      </w:pPr>
      <w:r w:rsidRPr="001728CF">
        <w:rPr>
          <w:rFonts w:asciiTheme="minorHAnsi" w:hAnsiTheme="minorHAnsi" w:cstheme="minorHAnsi"/>
        </w:rPr>
        <w:t>Contaminant analysis</w:t>
      </w:r>
    </w:p>
    <w:p w14:paraId="72E3BACF" w14:textId="77777777" w:rsidR="0099176E" w:rsidRPr="001728CF" w:rsidRDefault="0099176E" w:rsidP="00DA2C26">
      <w:pPr>
        <w:numPr>
          <w:ilvl w:val="0"/>
          <w:numId w:val="123"/>
        </w:numPr>
        <w:spacing w:after="0" w:line="240" w:lineRule="auto"/>
        <w:jc w:val="left"/>
        <w:rPr>
          <w:rFonts w:asciiTheme="minorHAnsi" w:hAnsiTheme="minorHAnsi" w:cstheme="minorHAnsi"/>
        </w:rPr>
      </w:pPr>
      <w:r w:rsidRPr="001728CF">
        <w:rPr>
          <w:rFonts w:asciiTheme="minorHAnsi" w:hAnsiTheme="minorHAnsi" w:cstheme="minorHAnsi"/>
        </w:rPr>
        <w:t>Alkalinity, pH measurement</w:t>
      </w:r>
    </w:p>
    <w:p w14:paraId="25827C34" w14:textId="77777777" w:rsidR="0099176E" w:rsidRPr="001728CF" w:rsidRDefault="0099176E" w:rsidP="0099176E">
      <w:pPr>
        <w:spacing w:after="0" w:line="240" w:lineRule="auto"/>
        <w:rPr>
          <w:rFonts w:asciiTheme="minorHAnsi" w:hAnsiTheme="minorHAnsi" w:cstheme="minorHAnsi"/>
        </w:rPr>
      </w:pPr>
    </w:p>
    <w:p w14:paraId="19E3AB0A"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 xml:space="preserve">                   </w:t>
      </w:r>
    </w:p>
    <w:p w14:paraId="4E25516F"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sidRPr="001728CF">
        <w:rPr>
          <w:rFonts w:asciiTheme="minorHAnsi" w:hAnsiTheme="minorHAnsi" w:cstheme="minorHAnsi"/>
          <w:b/>
          <w:sz w:val="24"/>
          <w:szCs w:val="24"/>
        </w:rPr>
        <w:t>Amphibians and Reptiles</w:t>
      </w:r>
    </w:p>
    <w:p w14:paraId="08B1EF03"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2D2AF7D8" w14:textId="77777777" w:rsidR="0099176E" w:rsidRPr="001728CF" w:rsidRDefault="0099176E" w:rsidP="00DA2C26">
      <w:pPr>
        <w:numPr>
          <w:ilvl w:val="0"/>
          <w:numId w:val="107"/>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mall home range relative to larger vertebrates</w:t>
      </w:r>
    </w:p>
    <w:p w14:paraId="6472E452" w14:textId="77777777" w:rsidR="0099176E" w:rsidRDefault="0099176E" w:rsidP="00DA2C26">
      <w:pPr>
        <w:numPr>
          <w:ilvl w:val="0"/>
          <w:numId w:val="107"/>
        </w:numPr>
        <w:spacing w:after="0" w:line="240" w:lineRule="auto"/>
        <w:jc w:val="left"/>
        <w:rPr>
          <w:rFonts w:asciiTheme="minorHAnsi" w:hAnsiTheme="minorHAnsi" w:cstheme="minorHAnsi"/>
        </w:rPr>
      </w:pPr>
      <w:r w:rsidRPr="001728CF">
        <w:rPr>
          <w:rFonts w:asciiTheme="minorHAnsi" w:hAnsiTheme="minorHAnsi" w:cstheme="minorHAnsi"/>
        </w:rPr>
        <w:t>Highly (e.g. tortoise) to moderately bioaccumulative</w:t>
      </w:r>
    </w:p>
    <w:p w14:paraId="26AE093D" w14:textId="77777777" w:rsidR="0099176E" w:rsidRPr="001728CF" w:rsidRDefault="0099176E" w:rsidP="00DA2C26">
      <w:pPr>
        <w:numPr>
          <w:ilvl w:val="0"/>
          <w:numId w:val="107"/>
        </w:numPr>
        <w:spacing w:after="0" w:line="240" w:lineRule="auto"/>
        <w:jc w:val="left"/>
        <w:rPr>
          <w:rFonts w:asciiTheme="minorHAnsi" w:hAnsiTheme="minorHAnsi" w:cstheme="minorHAnsi"/>
        </w:rPr>
      </w:pPr>
      <w:r w:rsidRPr="001728CF">
        <w:rPr>
          <w:rFonts w:asciiTheme="minorHAnsi" w:hAnsiTheme="minorHAnsi" w:cstheme="minorHAnsi"/>
        </w:rPr>
        <w:t>Some social recognition</w:t>
      </w:r>
    </w:p>
    <w:p w14:paraId="7DA52EC4" w14:textId="77777777" w:rsidR="0099176E" w:rsidRPr="001728CF" w:rsidRDefault="0099176E" w:rsidP="00DA2C26">
      <w:pPr>
        <w:numPr>
          <w:ilvl w:val="0"/>
          <w:numId w:val="107"/>
        </w:numPr>
        <w:spacing w:after="0" w:line="240" w:lineRule="auto"/>
        <w:jc w:val="left"/>
        <w:rPr>
          <w:rFonts w:asciiTheme="minorHAnsi" w:hAnsiTheme="minorHAnsi" w:cstheme="minorHAnsi"/>
        </w:rPr>
      </w:pPr>
      <w:r>
        <w:rPr>
          <w:rFonts w:asciiTheme="minorHAnsi" w:hAnsiTheme="minorHAnsi" w:cstheme="minorHAnsi"/>
        </w:rPr>
        <w:t>F</w:t>
      </w:r>
      <w:r w:rsidRPr="001728CF">
        <w:rPr>
          <w:rFonts w:asciiTheme="minorHAnsi" w:hAnsiTheme="minorHAnsi" w:cstheme="minorHAnsi"/>
        </w:rPr>
        <w:t>airly simple identification</w:t>
      </w:r>
    </w:p>
    <w:p w14:paraId="45000B97" w14:textId="77777777" w:rsidR="0099176E" w:rsidRPr="001728CF" w:rsidRDefault="0099176E" w:rsidP="00DA2C26">
      <w:pPr>
        <w:numPr>
          <w:ilvl w:val="0"/>
          <w:numId w:val="107"/>
        </w:numPr>
        <w:spacing w:after="0" w:line="240" w:lineRule="auto"/>
        <w:jc w:val="left"/>
        <w:rPr>
          <w:rFonts w:asciiTheme="minorHAnsi" w:hAnsiTheme="minorHAnsi" w:cstheme="minorHAnsi"/>
        </w:rPr>
      </w:pPr>
      <w:r>
        <w:rPr>
          <w:rFonts w:asciiTheme="minorHAnsi" w:hAnsiTheme="minorHAnsi" w:cstheme="minorHAnsi"/>
        </w:rPr>
        <w:t>F</w:t>
      </w:r>
      <w:r w:rsidRPr="001728CF">
        <w:rPr>
          <w:rFonts w:asciiTheme="minorHAnsi" w:hAnsiTheme="minorHAnsi" w:cstheme="minorHAnsi"/>
        </w:rPr>
        <w:t>airly well-established sampling protocols</w:t>
      </w:r>
    </w:p>
    <w:p w14:paraId="2DC97965" w14:textId="77777777" w:rsidR="0099176E" w:rsidRPr="001728CF" w:rsidRDefault="0099176E" w:rsidP="00DA2C26">
      <w:pPr>
        <w:numPr>
          <w:ilvl w:val="0"/>
          <w:numId w:val="107"/>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ensitive to hydroperiod alteration</w:t>
      </w:r>
    </w:p>
    <w:p w14:paraId="2542F3DB" w14:textId="77777777" w:rsidR="0099176E" w:rsidRPr="001728CF" w:rsidRDefault="0099176E" w:rsidP="00DA2C26">
      <w:pPr>
        <w:numPr>
          <w:ilvl w:val="0"/>
          <w:numId w:val="107"/>
        </w:numPr>
        <w:spacing w:after="0" w:line="240" w:lineRule="auto"/>
        <w:jc w:val="left"/>
        <w:rPr>
          <w:rFonts w:asciiTheme="minorHAnsi" w:hAnsiTheme="minorHAnsi" w:cstheme="minorHAnsi"/>
        </w:rPr>
      </w:pPr>
      <w:r>
        <w:rPr>
          <w:rFonts w:asciiTheme="minorHAnsi" w:hAnsiTheme="minorHAnsi" w:cstheme="minorHAnsi"/>
        </w:rPr>
        <w:t>P</w:t>
      </w:r>
      <w:r w:rsidRPr="001728CF">
        <w:rPr>
          <w:rFonts w:asciiTheme="minorHAnsi" w:hAnsiTheme="minorHAnsi" w:cstheme="minorHAnsi"/>
        </w:rPr>
        <w:t>resent in most inland wetland types</w:t>
      </w:r>
    </w:p>
    <w:p w14:paraId="1491DC12" w14:textId="77777777" w:rsidR="0099176E" w:rsidRPr="001728CF" w:rsidRDefault="0099176E" w:rsidP="0099176E">
      <w:pPr>
        <w:spacing w:after="0" w:line="240" w:lineRule="auto"/>
        <w:rPr>
          <w:rFonts w:asciiTheme="minorHAnsi" w:hAnsiTheme="minorHAnsi" w:cstheme="minorHAnsi"/>
        </w:rPr>
      </w:pPr>
    </w:p>
    <w:p w14:paraId="3AB46B44"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3683E98B" w14:textId="77777777" w:rsidR="0099176E" w:rsidRPr="001728CF" w:rsidRDefault="0099176E" w:rsidP="00DA2C26">
      <w:pPr>
        <w:numPr>
          <w:ilvl w:val="0"/>
          <w:numId w:val="108"/>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ampling limited to certain seasons in some regions</w:t>
      </w:r>
    </w:p>
    <w:p w14:paraId="7DA34B2A" w14:textId="77777777" w:rsidR="0099176E" w:rsidRPr="001728CF" w:rsidRDefault="0099176E" w:rsidP="00DA2C26">
      <w:pPr>
        <w:numPr>
          <w:ilvl w:val="0"/>
          <w:numId w:val="108"/>
        </w:numPr>
        <w:spacing w:after="0" w:line="240" w:lineRule="auto"/>
        <w:jc w:val="left"/>
        <w:rPr>
          <w:rFonts w:asciiTheme="minorHAnsi" w:hAnsiTheme="minorHAnsi" w:cstheme="minorHAnsi"/>
        </w:rPr>
      </w:pPr>
      <w:r>
        <w:rPr>
          <w:rFonts w:asciiTheme="minorHAnsi" w:hAnsiTheme="minorHAnsi" w:cstheme="minorHAnsi"/>
        </w:rPr>
        <w:t>M</w:t>
      </w:r>
      <w:r w:rsidRPr="001728CF">
        <w:rPr>
          <w:rFonts w:asciiTheme="minorHAnsi" w:hAnsiTheme="minorHAnsi" w:cstheme="minorHAnsi"/>
        </w:rPr>
        <w:t>ostly absent from tidal wetlands</w:t>
      </w:r>
    </w:p>
    <w:p w14:paraId="7C878A02" w14:textId="77777777" w:rsidR="0099176E" w:rsidRPr="001728CF" w:rsidRDefault="0099176E" w:rsidP="00DA2C26">
      <w:pPr>
        <w:numPr>
          <w:ilvl w:val="0"/>
          <w:numId w:val="108"/>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ampling can be laborious</w:t>
      </w:r>
    </w:p>
    <w:p w14:paraId="76C66363" w14:textId="77777777" w:rsidR="0099176E" w:rsidRPr="001728CF" w:rsidRDefault="0099176E" w:rsidP="00DA2C26">
      <w:pPr>
        <w:numPr>
          <w:ilvl w:val="0"/>
          <w:numId w:val="108"/>
        </w:numPr>
        <w:spacing w:after="0" w:line="240" w:lineRule="auto"/>
        <w:jc w:val="left"/>
        <w:rPr>
          <w:rFonts w:asciiTheme="minorHAnsi" w:hAnsiTheme="minorHAnsi" w:cstheme="minorHAnsi"/>
        </w:rPr>
      </w:pPr>
      <w:r>
        <w:rPr>
          <w:rFonts w:asciiTheme="minorHAnsi" w:hAnsiTheme="minorHAnsi" w:cstheme="minorHAnsi"/>
        </w:rPr>
        <w:t>P</w:t>
      </w:r>
      <w:r w:rsidRPr="001728CF">
        <w:rPr>
          <w:rFonts w:asciiTheme="minorHAnsi" w:hAnsiTheme="minorHAnsi" w:cstheme="minorHAnsi"/>
        </w:rPr>
        <w:t>resence can be strongly influenced by natural dispersal conditions</w:t>
      </w:r>
    </w:p>
    <w:p w14:paraId="33DFC620" w14:textId="77777777" w:rsidR="0099176E" w:rsidRPr="001728CF" w:rsidRDefault="0099176E" w:rsidP="0099176E">
      <w:pPr>
        <w:spacing w:after="0" w:line="240" w:lineRule="auto"/>
        <w:rPr>
          <w:rFonts w:asciiTheme="minorHAnsi" w:hAnsiTheme="minorHAnsi" w:cstheme="minorHAnsi"/>
        </w:rPr>
      </w:pPr>
    </w:p>
    <w:p w14:paraId="2AC08887"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sidRPr="001728CF">
        <w:rPr>
          <w:rFonts w:asciiTheme="minorHAnsi" w:hAnsiTheme="minorHAnsi" w:cstheme="minorHAnsi"/>
          <w:b/>
          <w:sz w:val="24"/>
          <w:szCs w:val="24"/>
        </w:rPr>
        <w:t>Birds</w:t>
      </w:r>
    </w:p>
    <w:p w14:paraId="374260C9"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0887CC46" w14:textId="77777777" w:rsidR="0099176E" w:rsidRPr="001728CF" w:rsidRDefault="0099176E" w:rsidP="00DA2C26">
      <w:pPr>
        <w:numPr>
          <w:ilvl w:val="0"/>
          <w:numId w:val="109"/>
        </w:numPr>
        <w:spacing w:after="0" w:line="240" w:lineRule="auto"/>
        <w:jc w:val="left"/>
        <w:rPr>
          <w:rFonts w:asciiTheme="minorHAnsi" w:hAnsiTheme="minorHAnsi" w:cstheme="minorHAnsi"/>
        </w:rPr>
      </w:pPr>
      <w:r>
        <w:rPr>
          <w:rFonts w:asciiTheme="minorHAnsi" w:hAnsiTheme="minorHAnsi" w:cstheme="minorHAnsi"/>
        </w:rPr>
        <w:t>H</w:t>
      </w:r>
      <w:r w:rsidRPr="001728CF">
        <w:rPr>
          <w:rFonts w:asciiTheme="minorHAnsi" w:hAnsiTheme="minorHAnsi" w:cstheme="minorHAnsi"/>
        </w:rPr>
        <w:t>igh social recognition, particularly waterfowl</w:t>
      </w:r>
    </w:p>
    <w:p w14:paraId="5CB45752" w14:textId="77777777" w:rsidR="0099176E" w:rsidRPr="001728CF" w:rsidRDefault="0099176E" w:rsidP="00DA2C26">
      <w:pPr>
        <w:numPr>
          <w:ilvl w:val="0"/>
          <w:numId w:val="109"/>
        </w:numPr>
        <w:spacing w:after="0" w:line="240" w:lineRule="auto"/>
        <w:jc w:val="left"/>
        <w:rPr>
          <w:rFonts w:asciiTheme="minorHAnsi" w:hAnsiTheme="minorHAnsi" w:cstheme="minorHAnsi"/>
        </w:rPr>
      </w:pPr>
      <w:r>
        <w:rPr>
          <w:rFonts w:asciiTheme="minorHAnsi" w:hAnsiTheme="minorHAnsi" w:cstheme="minorHAnsi"/>
        </w:rPr>
        <w:t>H</w:t>
      </w:r>
      <w:r w:rsidRPr="001728CF">
        <w:rPr>
          <w:rFonts w:asciiTheme="minorHAnsi" w:hAnsiTheme="minorHAnsi" w:cstheme="minorHAnsi"/>
        </w:rPr>
        <w:t>ave the only relatively extensive databases on trends, habitat needs, distribution</w:t>
      </w:r>
    </w:p>
    <w:p w14:paraId="0D86BFFB" w14:textId="77777777" w:rsidR="0099176E" w:rsidRPr="001728CF" w:rsidRDefault="0099176E" w:rsidP="00DA2C26">
      <w:pPr>
        <w:numPr>
          <w:ilvl w:val="0"/>
          <w:numId w:val="109"/>
        </w:numPr>
        <w:spacing w:after="0" w:line="240" w:lineRule="auto"/>
        <w:jc w:val="left"/>
        <w:rPr>
          <w:rFonts w:asciiTheme="minorHAnsi" w:hAnsiTheme="minorHAnsi" w:cstheme="minorHAnsi"/>
        </w:rPr>
      </w:pPr>
      <w:r>
        <w:rPr>
          <w:rFonts w:asciiTheme="minorHAnsi" w:hAnsiTheme="minorHAnsi" w:cstheme="minorHAnsi"/>
        </w:rPr>
        <w:t>M</w:t>
      </w:r>
      <w:r w:rsidRPr="001728CF">
        <w:rPr>
          <w:rFonts w:asciiTheme="minorHAnsi" w:hAnsiTheme="minorHAnsi" w:cstheme="minorHAnsi"/>
        </w:rPr>
        <w:t>oderately extensive bioassay data</w:t>
      </w:r>
    </w:p>
    <w:p w14:paraId="057FB5D6" w14:textId="77777777" w:rsidR="0099176E" w:rsidRPr="001728CF" w:rsidRDefault="0099176E" w:rsidP="00DA2C26">
      <w:pPr>
        <w:numPr>
          <w:ilvl w:val="0"/>
          <w:numId w:val="109"/>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ome species (e.g. wading birds, harrier) are highly bioaccumulative</w:t>
      </w:r>
    </w:p>
    <w:p w14:paraId="0F6F8852" w14:textId="77777777" w:rsidR="0099176E" w:rsidRPr="001728CF" w:rsidRDefault="0099176E" w:rsidP="00DA2C26">
      <w:pPr>
        <w:numPr>
          <w:ilvl w:val="0"/>
          <w:numId w:val="109"/>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imple sampling and identification</w:t>
      </w:r>
    </w:p>
    <w:p w14:paraId="44CD6065" w14:textId="77777777" w:rsidR="0099176E" w:rsidRPr="001728CF" w:rsidRDefault="0099176E" w:rsidP="00DA2C26">
      <w:pPr>
        <w:numPr>
          <w:ilvl w:val="0"/>
          <w:numId w:val="109"/>
        </w:numPr>
        <w:spacing w:after="0" w:line="240" w:lineRule="auto"/>
        <w:jc w:val="left"/>
        <w:rPr>
          <w:rFonts w:asciiTheme="minorHAnsi" w:hAnsiTheme="minorHAnsi" w:cstheme="minorHAnsi"/>
        </w:rPr>
      </w:pPr>
      <w:r>
        <w:rPr>
          <w:rFonts w:asciiTheme="minorHAnsi" w:hAnsiTheme="minorHAnsi" w:cstheme="minorHAnsi"/>
        </w:rPr>
        <w:t>P</w:t>
      </w:r>
      <w:r w:rsidRPr="001728CF">
        <w:rPr>
          <w:rFonts w:asciiTheme="minorHAnsi" w:hAnsiTheme="minorHAnsi" w:cstheme="minorHAnsi"/>
        </w:rPr>
        <w:t>resent in all wetland types</w:t>
      </w:r>
    </w:p>
    <w:p w14:paraId="15F7DBC9" w14:textId="77777777" w:rsidR="0099176E" w:rsidRPr="001728CF" w:rsidRDefault="0099176E" w:rsidP="00DA2C26">
      <w:pPr>
        <w:numPr>
          <w:ilvl w:val="0"/>
          <w:numId w:val="109"/>
        </w:numPr>
        <w:spacing w:after="0" w:line="240" w:lineRule="auto"/>
        <w:jc w:val="left"/>
        <w:rPr>
          <w:rFonts w:asciiTheme="minorHAnsi" w:hAnsiTheme="minorHAnsi" w:cstheme="minorHAnsi"/>
        </w:rPr>
      </w:pPr>
      <w:r>
        <w:rPr>
          <w:rFonts w:asciiTheme="minorHAnsi" w:hAnsiTheme="minorHAnsi" w:cstheme="minorHAnsi"/>
        </w:rPr>
        <w:t>E</w:t>
      </w:r>
      <w:r w:rsidRPr="001728CF">
        <w:rPr>
          <w:rFonts w:asciiTheme="minorHAnsi" w:hAnsiTheme="minorHAnsi" w:cstheme="minorHAnsi"/>
        </w:rPr>
        <w:t>stablished sampling protocols are available</w:t>
      </w:r>
    </w:p>
    <w:p w14:paraId="60B7605F" w14:textId="77777777" w:rsidR="0099176E" w:rsidRPr="001728CF" w:rsidRDefault="0099176E" w:rsidP="00DA2C26">
      <w:pPr>
        <w:numPr>
          <w:ilvl w:val="0"/>
          <w:numId w:val="109"/>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uitable indicator of degradation occurring at the landscape scale</w:t>
      </w:r>
    </w:p>
    <w:p w14:paraId="75F8F8BF" w14:textId="77777777" w:rsidR="0099176E" w:rsidRPr="001728CF" w:rsidRDefault="0099176E" w:rsidP="0099176E">
      <w:pPr>
        <w:spacing w:after="0" w:line="240" w:lineRule="auto"/>
        <w:rPr>
          <w:rFonts w:asciiTheme="minorHAnsi" w:hAnsiTheme="minorHAnsi" w:cstheme="minorHAnsi"/>
        </w:rPr>
      </w:pPr>
    </w:p>
    <w:p w14:paraId="6B6BA83A"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1C21A80B" w14:textId="77777777" w:rsidR="0099176E" w:rsidRPr="001728CF" w:rsidRDefault="0099176E" w:rsidP="00DA2C26">
      <w:pPr>
        <w:numPr>
          <w:ilvl w:val="0"/>
          <w:numId w:val="110"/>
        </w:numPr>
        <w:spacing w:after="0" w:line="240" w:lineRule="auto"/>
        <w:jc w:val="left"/>
        <w:rPr>
          <w:rFonts w:asciiTheme="minorHAnsi" w:hAnsiTheme="minorHAnsi" w:cstheme="minorHAnsi"/>
        </w:rPr>
      </w:pPr>
      <w:r w:rsidRPr="001728CF">
        <w:rPr>
          <w:rFonts w:asciiTheme="minorHAnsi" w:hAnsiTheme="minorHAnsi" w:cstheme="minorHAnsi"/>
        </w:rPr>
        <w:t>in general, community structure is highly controlled by physical habitat, and perhaps hunting mortality, rather than contaminants</w:t>
      </w:r>
    </w:p>
    <w:p w14:paraId="523861EC" w14:textId="77777777" w:rsidR="0099176E" w:rsidRPr="001728CF" w:rsidRDefault="0099176E" w:rsidP="00DA2C26">
      <w:pPr>
        <w:numPr>
          <w:ilvl w:val="0"/>
          <w:numId w:val="110"/>
        </w:numPr>
        <w:spacing w:after="0" w:line="240" w:lineRule="auto"/>
        <w:jc w:val="left"/>
        <w:rPr>
          <w:rFonts w:asciiTheme="minorHAnsi" w:hAnsiTheme="minorHAnsi" w:cstheme="minorHAnsi"/>
        </w:rPr>
      </w:pPr>
      <w:r w:rsidRPr="001728CF">
        <w:rPr>
          <w:rFonts w:asciiTheme="minorHAnsi" w:hAnsiTheme="minorHAnsi" w:cstheme="minorHAnsi"/>
        </w:rPr>
        <w:t>mobility makes it difficult to locate specific causes of mortality sources (could be thousands of miles away)</w:t>
      </w:r>
    </w:p>
    <w:p w14:paraId="58116FDA" w14:textId="77777777" w:rsidR="0099176E" w:rsidRPr="001728CF" w:rsidRDefault="0099176E" w:rsidP="00DA2C26">
      <w:pPr>
        <w:numPr>
          <w:ilvl w:val="0"/>
          <w:numId w:val="110"/>
        </w:numPr>
        <w:spacing w:after="0" w:line="240" w:lineRule="auto"/>
        <w:jc w:val="left"/>
        <w:rPr>
          <w:rFonts w:asciiTheme="minorHAnsi" w:hAnsiTheme="minorHAnsi" w:cstheme="minorHAnsi"/>
        </w:rPr>
      </w:pPr>
      <w:r w:rsidRPr="001728CF">
        <w:rPr>
          <w:rFonts w:asciiTheme="minorHAnsi" w:hAnsiTheme="minorHAnsi" w:cstheme="minorHAnsi"/>
        </w:rPr>
        <w:t>essentially absent from some wetlands in winter</w:t>
      </w:r>
    </w:p>
    <w:p w14:paraId="2FFCE539" w14:textId="77777777" w:rsidR="0099176E" w:rsidRPr="001728CF" w:rsidRDefault="0099176E" w:rsidP="0099176E">
      <w:pPr>
        <w:spacing w:after="0" w:line="240" w:lineRule="auto"/>
        <w:rPr>
          <w:rFonts w:asciiTheme="minorHAnsi" w:hAnsiTheme="minorHAnsi" w:cstheme="minorHAnsi"/>
        </w:rPr>
      </w:pPr>
    </w:p>
    <w:p w14:paraId="13F28C2F" w14:textId="77777777"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sidRPr="001728CF">
        <w:rPr>
          <w:rFonts w:asciiTheme="minorHAnsi" w:hAnsiTheme="minorHAnsi" w:cstheme="minorHAnsi"/>
          <w:b/>
          <w:sz w:val="24"/>
          <w:szCs w:val="24"/>
        </w:rPr>
        <w:t>Mammals</w:t>
      </w:r>
    </w:p>
    <w:p w14:paraId="5AF89DB2"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0EC69F77" w14:textId="77777777" w:rsidR="0099176E" w:rsidRPr="001728CF" w:rsidRDefault="0099176E" w:rsidP="00DA2C26">
      <w:pPr>
        <w:numPr>
          <w:ilvl w:val="0"/>
          <w:numId w:val="111"/>
        </w:numPr>
        <w:spacing w:after="0" w:line="240" w:lineRule="auto"/>
        <w:jc w:val="left"/>
        <w:rPr>
          <w:rFonts w:asciiTheme="minorHAnsi" w:hAnsiTheme="minorHAnsi" w:cstheme="minorHAnsi"/>
        </w:rPr>
      </w:pPr>
      <w:r w:rsidRPr="001728CF">
        <w:rPr>
          <w:rFonts w:asciiTheme="minorHAnsi" w:hAnsiTheme="minorHAnsi" w:cstheme="minorHAnsi"/>
        </w:rPr>
        <w:t xml:space="preserve">Many are highly bioaccumulative </w:t>
      </w:r>
    </w:p>
    <w:p w14:paraId="74E05DFC" w14:textId="77777777" w:rsidR="0099176E" w:rsidRPr="001728CF" w:rsidRDefault="0099176E" w:rsidP="00DA2C26">
      <w:pPr>
        <w:numPr>
          <w:ilvl w:val="0"/>
          <w:numId w:val="111"/>
        </w:numPr>
        <w:spacing w:after="0" w:line="240" w:lineRule="auto"/>
        <w:jc w:val="left"/>
        <w:rPr>
          <w:rFonts w:asciiTheme="minorHAnsi" w:hAnsiTheme="minorHAnsi" w:cstheme="minorHAnsi"/>
        </w:rPr>
      </w:pPr>
      <w:r>
        <w:rPr>
          <w:rFonts w:asciiTheme="minorHAnsi" w:hAnsiTheme="minorHAnsi" w:cstheme="minorHAnsi"/>
        </w:rPr>
        <w:t>H</w:t>
      </w:r>
      <w:r w:rsidRPr="001728CF">
        <w:rPr>
          <w:rFonts w:asciiTheme="minorHAnsi" w:hAnsiTheme="minorHAnsi" w:cstheme="minorHAnsi"/>
        </w:rPr>
        <w:t>igh social recognition and value (e.g. platypus)</w:t>
      </w:r>
    </w:p>
    <w:p w14:paraId="5E8290DE" w14:textId="77777777" w:rsidR="0099176E" w:rsidRPr="001728CF" w:rsidRDefault="0099176E" w:rsidP="00DA2C26">
      <w:pPr>
        <w:numPr>
          <w:ilvl w:val="0"/>
          <w:numId w:val="111"/>
        </w:numPr>
        <w:spacing w:after="0" w:line="240" w:lineRule="auto"/>
        <w:jc w:val="left"/>
        <w:rPr>
          <w:rFonts w:asciiTheme="minorHAnsi" w:hAnsiTheme="minorHAnsi" w:cstheme="minorHAnsi"/>
        </w:rPr>
      </w:pPr>
      <w:r>
        <w:rPr>
          <w:rFonts w:asciiTheme="minorHAnsi" w:hAnsiTheme="minorHAnsi" w:cstheme="minorHAnsi"/>
        </w:rPr>
        <w:t>F</w:t>
      </w:r>
      <w:r w:rsidRPr="001728CF">
        <w:rPr>
          <w:rFonts w:asciiTheme="minorHAnsi" w:hAnsiTheme="minorHAnsi" w:cstheme="minorHAnsi"/>
        </w:rPr>
        <w:t>airly simple sampling and identification</w:t>
      </w:r>
    </w:p>
    <w:p w14:paraId="51FC8C4F" w14:textId="77777777" w:rsidR="0099176E" w:rsidRPr="001728CF" w:rsidRDefault="0099176E" w:rsidP="00DA2C26">
      <w:pPr>
        <w:numPr>
          <w:ilvl w:val="0"/>
          <w:numId w:val="111"/>
        </w:numPr>
        <w:spacing w:after="0" w:line="240" w:lineRule="auto"/>
        <w:jc w:val="left"/>
        <w:rPr>
          <w:rFonts w:asciiTheme="minorHAnsi" w:hAnsiTheme="minorHAnsi" w:cstheme="minorHAnsi"/>
        </w:rPr>
      </w:pPr>
      <w:r>
        <w:rPr>
          <w:rFonts w:asciiTheme="minorHAnsi" w:hAnsiTheme="minorHAnsi" w:cstheme="minorHAnsi"/>
        </w:rPr>
        <w:t>P</w:t>
      </w:r>
      <w:r w:rsidRPr="001728CF">
        <w:rPr>
          <w:rFonts w:asciiTheme="minorHAnsi" w:hAnsiTheme="minorHAnsi" w:cstheme="minorHAnsi"/>
        </w:rPr>
        <w:t>resent in most wetland types</w:t>
      </w:r>
    </w:p>
    <w:p w14:paraId="609F8F9C" w14:textId="77777777" w:rsidR="0099176E" w:rsidRPr="001728CF" w:rsidRDefault="0099176E" w:rsidP="00DA2C26">
      <w:pPr>
        <w:numPr>
          <w:ilvl w:val="0"/>
          <w:numId w:val="111"/>
        </w:numPr>
        <w:spacing w:after="0" w:line="240" w:lineRule="auto"/>
        <w:jc w:val="left"/>
        <w:rPr>
          <w:rFonts w:asciiTheme="minorHAnsi" w:hAnsiTheme="minorHAnsi" w:cstheme="minorHAnsi"/>
        </w:rPr>
      </w:pPr>
      <w:r>
        <w:rPr>
          <w:rFonts w:asciiTheme="minorHAnsi" w:hAnsiTheme="minorHAnsi" w:cstheme="minorHAnsi"/>
        </w:rPr>
        <w:t>E</w:t>
      </w:r>
      <w:r w:rsidRPr="001728CF">
        <w:rPr>
          <w:rFonts w:asciiTheme="minorHAnsi" w:hAnsiTheme="minorHAnsi" w:cstheme="minorHAnsi"/>
        </w:rPr>
        <w:t>stablished sampling protocols are available</w:t>
      </w:r>
    </w:p>
    <w:p w14:paraId="64553680" w14:textId="77777777" w:rsidR="0099176E" w:rsidRPr="001728CF" w:rsidRDefault="0099176E" w:rsidP="0099176E">
      <w:pPr>
        <w:spacing w:after="0" w:line="240" w:lineRule="auto"/>
        <w:rPr>
          <w:rFonts w:asciiTheme="minorHAnsi" w:hAnsiTheme="minorHAnsi" w:cstheme="minorHAnsi"/>
        </w:rPr>
      </w:pPr>
    </w:p>
    <w:p w14:paraId="3418BCBE"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340DA29C" w14:textId="77777777" w:rsidR="0099176E" w:rsidRPr="001728CF" w:rsidRDefault="0099176E" w:rsidP="00DA2C26">
      <w:pPr>
        <w:numPr>
          <w:ilvl w:val="0"/>
          <w:numId w:val="112"/>
        </w:numPr>
        <w:spacing w:after="0" w:line="240" w:lineRule="auto"/>
        <w:jc w:val="left"/>
        <w:rPr>
          <w:rFonts w:asciiTheme="minorHAnsi" w:hAnsiTheme="minorHAnsi" w:cstheme="minorHAnsi"/>
        </w:rPr>
      </w:pPr>
      <w:r>
        <w:rPr>
          <w:rFonts w:asciiTheme="minorHAnsi" w:hAnsiTheme="minorHAnsi" w:cstheme="minorHAnsi"/>
        </w:rPr>
        <w:t>G</w:t>
      </w:r>
      <w:r w:rsidRPr="001728CF">
        <w:rPr>
          <w:rFonts w:asciiTheme="minorHAnsi" w:hAnsiTheme="minorHAnsi" w:cstheme="minorHAnsi"/>
        </w:rPr>
        <w:t>reat temporal and spatial variation (many species are cyclic) makes data interpretation difficult</w:t>
      </w:r>
    </w:p>
    <w:p w14:paraId="0A240F7F" w14:textId="77777777" w:rsidR="0099176E" w:rsidRPr="001728CF" w:rsidRDefault="0099176E" w:rsidP="00DA2C26">
      <w:pPr>
        <w:numPr>
          <w:ilvl w:val="0"/>
          <w:numId w:val="112"/>
        </w:numPr>
        <w:spacing w:after="0" w:line="240" w:lineRule="auto"/>
        <w:jc w:val="left"/>
        <w:rPr>
          <w:rFonts w:asciiTheme="minorHAnsi" w:hAnsiTheme="minorHAnsi" w:cstheme="minorHAnsi"/>
        </w:rPr>
      </w:pPr>
      <w:r>
        <w:rPr>
          <w:rFonts w:asciiTheme="minorHAnsi" w:hAnsiTheme="minorHAnsi" w:cstheme="minorHAnsi"/>
        </w:rPr>
        <w:lastRenderedPageBreak/>
        <w:t>I</w:t>
      </w:r>
      <w:r w:rsidRPr="001728CF">
        <w:rPr>
          <w:rFonts w:asciiTheme="minorHAnsi" w:hAnsiTheme="minorHAnsi" w:cstheme="minorHAnsi"/>
        </w:rPr>
        <w:t>n general, community structure is highly controlled by physical habitat, and perhaps trapping mortality, rather than contaminants</w:t>
      </w:r>
    </w:p>
    <w:p w14:paraId="24731FEE" w14:textId="77777777" w:rsidR="0099176E" w:rsidRPr="001728CF" w:rsidRDefault="0099176E" w:rsidP="00DA2C26">
      <w:pPr>
        <w:numPr>
          <w:ilvl w:val="0"/>
          <w:numId w:val="112"/>
        </w:numPr>
        <w:spacing w:after="0" w:line="240" w:lineRule="auto"/>
        <w:jc w:val="left"/>
        <w:rPr>
          <w:rFonts w:asciiTheme="minorHAnsi" w:hAnsiTheme="minorHAnsi" w:cstheme="minorHAnsi"/>
        </w:rPr>
      </w:pPr>
      <w:r>
        <w:rPr>
          <w:rFonts w:asciiTheme="minorHAnsi" w:hAnsiTheme="minorHAnsi" w:cstheme="minorHAnsi"/>
        </w:rPr>
        <w:t>M</w:t>
      </w:r>
      <w:r w:rsidRPr="001728CF">
        <w:rPr>
          <w:rFonts w:asciiTheme="minorHAnsi" w:hAnsiTheme="minorHAnsi" w:cstheme="minorHAnsi"/>
        </w:rPr>
        <w:t>obility (and frequent use of non-wetland habitat) makes it difficult to locate specific causes of mortality sources</w:t>
      </w:r>
    </w:p>
    <w:p w14:paraId="6F9CA80D" w14:textId="77777777" w:rsidR="0099176E" w:rsidRPr="001728CF" w:rsidRDefault="0099176E" w:rsidP="0099176E">
      <w:pPr>
        <w:spacing w:after="0" w:line="240" w:lineRule="auto"/>
        <w:rPr>
          <w:rFonts w:asciiTheme="minorHAnsi" w:hAnsiTheme="minorHAnsi" w:cstheme="minorHAnsi"/>
        </w:rPr>
      </w:pPr>
    </w:p>
    <w:p w14:paraId="67E7FC92" w14:textId="322DB73A" w:rsidR="0099176E" w:rsidRPr="001728CF" w:rsidRDefault="0099176E" w:rsidP="0099176E">
      <w:pPr>
        <w:shd w:val="clear" w:color="auto" w:fill="C3D8D7" w:themeFill="accent2" w:themeFillTint="99"/>
        <w:spacing w:after="0" w:line="240" w:lineRule="auto"/>
        <w:rPr>
          <w:rFonts w:asciiTheme="minorHAnsi" w:hAnsiTheme="minorHAnsi" w:cstheme="minorHAnsi"/>
          <w:b/>
          <w:sz w:val="24"/>
          <w:szCs w:val="24"/>
        </w:rPr>
      </w:pPr>
      <w:r>
        <w:rPr>
          <w:rFonts w:asciiTheme="minorHAnsi" w:hAnsiTheme="minorHAnsi" w:cstheme="minorHAnsi"/>
          <w:b/>
          <w:sz w:val="24"/>
          <w:szCs w:val="24"/>
        </w:rPr>
        <w:t>Ecosystem</w:t>
      </w:r>
      <w:r w:rsidRPr="001728CF">
        <w:rPr>
          <w:rFonts w:asciiTheme="minorHAnsi" w:hAnsiTheme="minorHAnsi" w:cstheme="minorHAnsi"/>
          <w:b/>
          <w:sz w:val="24"/>
          <w:szCs w:val="24"/>
        </w:rPr>
        <w:t xml:space="preserve"> Processes </w:t>
      </w:r>
    </w:p>
    <w:p w14:paraId="49D16500"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Definition: Whole-wetland measurement of photosynthesis, primary productivity, respiration, denitrification, nitrogen fixation, decomposition, leaching, and/or similar processes</w:t>
      </w:r>
    </w:p>
    <w:p w14:paraId="011C836D"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ADVANTAGES</w:t>
      </w:r>
    </w:p>
    <w:p w14:paraId="3DEA9895" w14:textId="77777777" w:rsidR="0099176E" w:rsidRPr="001728CF" w:rsidRDefault="0099176E" w:rsidP="00DA2C26">
      <w:pPr>
        <w:numPr>
          <w:ilvl w:val="0"/>
          <w:numId w:val="113"/>
        </w:numPr>
        <w:spacing w:after="0" w:line="240" w:lineRule="auto"/>
        <w:jc w:val="left"/>
        <w:rPr>
          <w:rFonts w:asciiTheme="minorHAnsi" w:hAnsiTheme="minorHAnsi" w:cstheme="minorHAnsi"/>
        </w:rPr>
      </w:pPr>
      <w:r>
        <w:rPr>
          <w:rFonts w:asciiTheme="minorHAnsi" w:hAnsiTheme="minorHAnsi" w:cstheme="minorHAnsi"/>
        </w:rPr>
        <w:t>M</w:t>
      </w:r>
      <w:r w:rsidRPr="001728CF">
        <w:rPr>
          <w:rFonts w:asciiTheme="minorHAnsi" w:hAnsiTheme="minorHAnsi" w:cstheme="minorHAnsi"/>
        </w:rPr>
        <w:t>ost important indicators of wetland sustainability and life support function</w:t>
      </w:r>
    </w:p>
    <w:p w14:paraId="6BEC5781" w14:textId="77777777" w:rsidR="0099176E" w:rsidRDefault="0099176E" w:rsidP="0099176E">
      <w:pPr>
        <w:spacing w:after="0" w:line="240" w:lineRule="auto"/>
        <w:rPr>
          <w:rFonts w:asciiTheme="minorHAnsi" w:hAnsiTheme="minorHAnsi" w:cstheme="minorHAnsi"/>
        </w:rPr>
      </w:pPr>
    </w:p>
    <w:p w14:paraId="64E5F130" w14:textId="77777777" w:rsidR="0099176E" w:rsidRPr="001728CF" w:rsidRDefault="0099176E" w:rsidP="0099176E">
      <w:pPr>
        <w:spacing w:after="0" w:line="240" w:lineRule="auto"/>
        <w:rPr>
          <w:rFonts w:asciiTheme="minorHAnsi" w:hAnsiTheme="minorHAnsi" w:cstheme="minorHAnsi"/>
        </w:rPr>
      </w:pPr>
      <w:r w:rsidRPr="001728CF">
        <w:rPr>
          <w:rFonts w:asciiTheme="minorHAnsi" w:hAnsiTheme="minorHAnsi" w:cstheme="minorHAnsi"/>
        </w:rPr>
        <w:t>DISADVANTAGES</w:t>
      </w:r>
    </w:p>
    <w:p w14:paraId="6462ABE8" w14:textId="77777777" w:rsidR="0099176E" w:rsidRPr="001728CF" w:rsidRDefault="0099176E" w:rsidP="00DA2C26">
      <w:pPr>
        <w:numPr>
          <w:ilvl w:val="0"/>
          <w:numId w:val="114"/>
        </w:numPr>
        <w:spacing w:after="0" w:line="240" w:lineRule="auto"/>
        <w:jc w:val="left"/>
        <w:rPr>
          <w:rFonts w:asciiTheme="minorHAnsi" w:hAnsiTheme="minorHAnsi" w:cstheme="minorHAnsi"/>
        </w:rPr>
      </w:pPr>
      <w:r>
        <w:rPr>
          <w:rFonts w:asciiTheme="minorHAnsi" w:hAnsiTheme="minorHAnsi" w:cstheme="minorHAnsi"/>
        </w:rPr>
        <w:t>N</w:t>
      </w:r>
      <w:r w:rsidRPr="001728CF">
        <w:rPr>
          <w:rFonts w:asciiTheme="minorHAnsi" w:hAnsiTheme="minorHAnsi" w:cstheme="minorHAnsi"/>
        </w:rPr>
        <w:t xml:space="preserve">ot as sensitive to contamination as is community structure or tissue analysis </w:t>
      </w:r>
    </w:p>
    <w:p w14:paraId="3869CB95" w14:textId="77777777" w:rsidR="0099176E" w:rsidRPr="001728CF" w:rsidRDefault="0099176E" w:rsidP="00DA2C26">
      <w:pPr>
        <w:numPr>
          <w:ilvl w:val="0"/>
          <w:numId w:val="114"/>
        </w:numPr>
        <w:spacing w:after="0" w:line="240" w:lineRule="auto"/>
        <w:jc w:val="left"/>
        <w:rPr>
          <w:rFonts w:asciiTheme="minorHAnsi" w:hAnsiTheme="minorHAnsi" w:cstheme="minorHAnsi"/>
        </w:rPr>
      </w:pPr>
      <w:r>
        <w:rPr>
          <w:rFonts w:asciiTheme="minorHAnsi" w:hAnsiTheme="minorHAnsi" w:cstheme="minorHAnsi"/>
        </w:rPr>
        <w:t>M</w:t>
      </w:r>
      <w:r w:rsidRPr="001728CF">
        <w:rPr>
          <w:rFonts w:asciiTheme="minorHAnsi" w:hAnsiTheme="minorHAnsi" w:cstheme="minorHAnsi"/>
        </w:rPr>
        <w:t>easurement is laborious, time-consuming (e.g. isotopes)</w:t>
      </w:r>
    </w:p>
    <w:p w14:paraId="4DB3E6F9" w14:textId="77777777" w:rsidR="0099176E" w:rsidRPr="001728CF" w:rsidRDefault="0099176E" w:rsidP="00DA2C26">
      <w:pPr>
        <w:numPr>
          <w:ilvl w:val="0"/>
          <w:numId w:val="114"/>
        </w:numPr>
        <w:spacing w:after="0" w:line="240" w:lineRule="auto"/>
        <w:jc w:val="left"/>
        <w:rPr>
          <w:rFonts w:asciiTheme="minorHAnsi" w:hAnsiTheme="minorHAnsi" w:cstheme="minorHAnsi"/>
        </w:rPr>
      </w:pPr>
      <w:r>
        <w:rPr>
          <w:rFonts w:asciiTheme="minorHAnsi" w:hAnsiTheme="minorHAnsi" w:cstheme="minorHAnsi"/>
        </w:rPr>
        <w:t>S</w:t>
      </w:r>
      <w:r w:rsidRPr="001728CF">
        <w:rPr>
          <w:rFonts w:asciiTheme="minorHAnsi" w:hAnsiTheme="minorHAnsi" w:cstheme="minorHAnsi"/>
        </w:rPr>
        <w:t>ocial recognition of importance is weak</w:t>
      </w:r>
    </w:p>
    <w:p w14:paraId="09B0C21E" w14:textId="77777777" w:rsidR="0099176E" w:rsidRPr="001728CF" w:rsidRDefault="0099176E" w:rsidP="00DA2C26">
      <w:pPr>
        <w:numPr>
          <w:ilvl w:val="0"/>
          <w:numId w:val="114"/>
        </w:numPr>
        <w:spacing w:after="0" w:line="240" w:lineRule="auto"/>
        <w:jc w:val="left"/>
        <w:rPr>
          <w:rFonts w:asciiTheme="minorHAnsi" w:hAnsiTheme="minorHAnsi" w:cstheme="minorHAnsi"/>
        </w:rPr>
      </w:pPr>
      <w:r>
        <w:rPr>
          <w:rFonts w:asciiTheme="minorHAnsi" w:hAnsiTheme="minorHAnsi" w:cstheme="minorHAnsi"/>
        </w:rPr>
        <w:t>E</w:t>
      </w:r>
      <w:r w:rsidRPr="001728CF">
        <w:rPr>
          <w:rFonts w:asciiTheme="minorHAnsi" w:hAnsiTheme="minorHAnsi" w:cstheme="minorHAnsi"/>
        </w:rPr>
        <w:t>xtreme spatial and temporal variation</w:t>
      </w:r>
    </w:p>
    <w:p w14:paraId="5D139C57" w14:textId="77777777" w:rsidR="0099176E" w:rsidRPr="001728CF" w:rsidRDefault="0099176E" w:rsidP="00DA2C26">
      <w:pPr>
        <w:numPr>
          <w:ilvl w:val="0"/>
          <w:numId w:val="114"/>
        </w:numPr>
        <w:spacing w:after="0" w:line="240" w:lineRule="auto"/>
        <w:jc w:val="left"/>
        <w:rPr>
          <w:rFonts w:asciiTheme="minorHAnsi" w:hAnsiTheme="minorHAnsi" w:cstheme="minorHAnsi"/>
        </w:rPr>
      </w:pPr>
      <w:r>
        <w:rPr>
          <w:rFonts w:asciiTheme="minorHAnsi" w:hAnsiTheme="minorHAnsi" w:cstheme="minorHAnsi"/>
        </w:rPr>
        <w:t>M</w:t>
      </w:r>
      <w:r w:rsidRPr="001728CF">
        <w:rPr>
          <w:rFonts w:asciiTheme="minorHAnsi" w:hAnsiTheme="minorHAnsi" w:cstheme="minorHAnsi"/>
        </w:rPr>
        <w:t>easured values may reflect natural successional stage rather than human-induced stress</w:t>
      </w:r>
    </w:p>
    <w:p w14:paraId="54618C39" w14:textId="77777777" w:rsidR="0099176E" w:rsidRPr="001728CF" w:rsidRDefault="0099176E" w:rsidP="0099176E">
      <w:pPr>
        <w:rPr>
          <w:rFonts w:asciiTheme="minorHAnsi" w:hAnsiTheme="minorHAnsi" w:cstheme="minorHAnsi"/>
        </w:rPr>
      </w:pPr>
    </w:p>
    <w:p w14:paraId="2CA2727C" w14:textId="77777777" w:rsidR="00042B02" w:rsidRPr="004E7EB5" w:rsidRDefault="00042B02" w:rsidP="00DD2BFB"/>
    <w:sectPr w:rsidR="00042B02" w:rsidRPr="004E7EB5" w:rsidSect="00CA27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A8E95E" w14:textId="77777777" w:rsidR="00174B32" w:rsidRDefault="00174B32" w:rsidP="00A74D24">
      <w:pPr>
        <w:spacing w:after="0" w:line="240" w:lineRule="auto"/>
      </w:pPr>
      <w:r>
        <w:separator/>
      </w:r>
    </w:p>
  </w:endnote>
  <w:endnote w:type="continuationSeparator" w:id="0">
    <w:p w14:paraId="0E55DCDF" w14:textId="77777777" w:rsidR="00174B32" w:rsidRDefault="00174B32" w:rsidP="00A74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FranklinGothicLT-Book">
    <w:altName w:val="ITCFranklinGothic LT Book"/>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LT">
    <w:altName w:val="Franklin Gothic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F41A2" w14:textId="77777777" w:rsidR="00174B32" w:rsidRDefault="00174B32" w:rsidP="00CB24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75D930" w14:textId="77777777" w:rsidR="00174B32" w:rsidRDefault="00174B32" w:rsidP="00CB245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277037"/>
      <w:docPartObj>
        <w:docPartGallery w:val="Page Numbers (Bottom of Page)"/>
        <w:docPartUnique/>
      </w:docPartObj>
    </w:sdtPr>
    <w:sdtEndPr>
      <w:rPr>
        <w:noProof/>
      </w:rPr>
    </w:sdtEndPr>
    <w:sdtContent>
      <w:p w14:paraId="4958B776" w14:textId="4193D127" w:rsidR="00174B32" w:rsidRDefault="00174B32">
        <w:pPr>
          <w:pStyle w:val="Footer"/>
          <w:jc w:val="right"/>
        </w:pPr>
        <w:r>
          <w:fldChar w:fldCharType="begin"/>
        </w:r>
        <w:r>
          <w:instrText xml:space="preserve"> PAGE   \* MERGEFORMAT </w:instrText>
        </w:r>
        <w:r>
          <w:fldChar w:fldCharType="separate"/>
        </w:r>
        <w:r w:rsidR="0056503E">
          <w:rPr>
            <w:noProof/>
          </w:rPr>
          <w:t>1</w:t>
        </w:r>
        <w:r>
          <w:rPr>
            <w:noProof/>
          </w:rPr>
          <w:fldChar w:fldCharType="end"/>
        </w:r>
      </w:p>
    </w:sdtContent>
  </w:sdt>
  <w:p w14:paraId="6B830640" w14:textId="77777777" w:rsidR="00174B32" w:rsidRDefault="00174B3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8669C" w14:textId="77777777" w:rsidR="00174B32" w:rsidRDefault="00174B32" w:rsidP="00A74D24">
      <w:pPr>
        <w:spacing w:after="0" w:line="240" w:lineRule="auto"/>
      </w:pPr>
      <w:r>
        <w:separator/>
      </w:r>
    </w:p>
  </w:footnote>
  <w:footnote w:type="continuationSeparator" w:id="0">
    <w:p w14:paraId="39E120D8" w14:textId="77777777" w:rsidR="00174B32" w:rsidRDefault="00174B32" w:rsidP="00A74D24">
      <w:pPr>
        <w:spacing w:after="0" w:line="240" w:lineRule="auto"/>
      </w:pPr>
      <w:r>
        <w:continuationSeparator/>
      </w:r>
    </w:p>
  </w:footnote>
  <w:footnote w:id="1">
    <w:p w14:paraId="3F4568D0" w14:textId="4EC0DD40" w:rsidR="00174B32" w:rsidRPr="00580904" w:rsidRDefault="00174B32" w:rsidP="00580904">
      <w:pPr>
        <w:pStyle w:val="FootnoteText"/>
        <w:rPr>
          <w:sz w:val="16"/>
          <w:szCs w:val="16"/>
        </w:rPr>
      </w:pPr>
      <w:r>
        <w:rPr>
          <w:rStyle w:val="FootnoteReference"/>
        </w:rPr>
        <w:footnoteRef/>
      </w:r>
      <w:r>
        <w:t xml:space="preserve"> </w:t>
      </w:r>
      <w:r w:rsidRPr="00580904">
        <w:rPr>
          <w:sz w:val="16"/>
          <w:szCs w:val="16"/>
        </w:rPr>
        <w:t>IECA adopts the</w:t>
      </w:r>
      <w:r>
        <w:rPr>
          <w:sz w:val="16"/>
          <w:szCs w:val="16"/>
        </w:rPr>
        <w:t xml:space="preserve"> IUCN-CMP Threat classification in which “t</w:t>
      </w:r>
      <w:r w:rsidRPr="00580904">
        <w:rPr>
          <w:sz w:val="16"/>
          <w:szCs w:val="16"/>
        </w:rPr>
        <w:t>hreats are synonymous with sources of stress</w:t>
      </w:r>
      <w:r>
        <w:rPr>
          <w:sz w:val="16"/>
          <w:szCs w:val="16"/>
        </w:rPr>
        <w:t xml:space="preserve"> </w:t>
      </w:r>
      <w:r w:rsidRPr="00580904">
        <w:rPr>
          <w:sz w:val="16"/>
          <w:szCs w:val="16"/>
        </w:rPr>
        <w:t>and proximate pressures. Threats can be past (historical),</w:t>
      </w:r>
      <w:r>
        <w:rPr>
          <w:sz w:val="16"/>
          <w:szCs w:val="16"/>
        </w:rPr>
        <w:t xml:space="preserve"> </w:t>
      </w:r>
      <w:r w:rsidRPr="00580904">
        <w:rPr>
          <w:sz w:val="16"/>
          <w:szCs w:val="16"/>
        </w:rPr>
        <w:t>ongoing, and/or likely to occur in the future</w:t>
      </w:r>
      <w:r>
        <w:rPr>
          <w:sz w:val="16"/>
          <w:szCs w:val="16"/>
        </w:rPr>
        <w:t xml:space="preserve">.” </w:t>
      </w:r>
      <w:r>
        <w:rPr>
          <w:sz w:val="16"/>
          <w:szCs w:val="16"/>
        </w:rPr>
        <w:fldChar w:fldCharType="begin"/>
      </w:r>
      <w:r>
        <w:rPr>
          <w:sz w:val="16"/>
          <w:szCs w:val="16"/>
        </w:rPr>
        <w:instrText xml:space="preserve"> ADDIN ZOTERO_ITEM CSL_CITATION {"citationID":"bppqbfn6q","properties":{"formattedCitation":"(Salafsky et al. 2008)","plainCitation":"(Salafsky et al. 2008)"},"citationItems":[{"id":732,"uris":["http://zotero.org/users/3119797/items/P4VZZF5R"],"uri":["http://zotero.org/users/3119797/items/P4VZZF5R"],"itemData":{"id":732,"type":"article-journal","title":"A Standard Lexicon for Biodiversity Conservation: Unified Classifications of Threats and Actions","container-title":"Conservation Biology","page":"897-911","volume":"22","issue":"4","source":"CrossRef","DOI":"10.1111/j.1523-1739.2008.00937.x","ISSN":"08888892, 15231739","shortTitle":"A Standard Lexicon for Biodiversity Conservation","language":"en","author":[{"family":"Salafsky","given":"Nick"},{"family":"Salzer","given":"Daniel"},{"family":"Stattersfield","given":"Alison J."},{"family":"Hilton-Taylor","given":"Craig"},{"family":"Neugarten","given":"Rachel"},{"family":"Butchart","given":"Stuart H. M."},{"family":"Collen","given":"Ben"},{"family":"Cox","given":"Neil"},{"family":"Master","given":"Lawrence L."},{"family":"O'Connor","given":"Sheila"},{"family":"Wilkie","given":"David"}],"issued":{"date-parts":[["2008",8]]}}}],"schema":"https://github.com/citation-style-language/schema/raw/master/csl-citation.json"} </w:instrText>
      </w:r>
      <w:r>
        <w:rPr>
          <w:sz w:val="16"/>
          <w:szCs w:val="16"/>
        </w:rPr>
        <w:fldChar w:fldCharType="separate"/>
      </w:r>
      <w:r w:rsidRPr="00580904">
        <w:rPr>
          <w:rFonts w:cs="Calibri"/>
          <w:sz w:val="16"/>
        </w:rPr>
        <w:t>(Salafsky et al. 2008)</w:t>
      </w:r>
      <w:r>
        <w:rPr>
          <w:sz w:val="16"/>
          <w:szCs w:val="16"/>
        </w:rPr>
        <w:fldChar w:fldCharType="end"/>
      </w:r>
      <w:r>
        <w:rPr>
          <w:sz w:val="16"/>
          <w:szCs w:val="16"/>
        </w:rPr>
        <w:t>.</w:t>
      </w:r>
    </w:p>
  </w:footnote>
  <w:footnote w:id="2">
    <w:p w14:paraId="73D135EC" w14:textId="5703181C" w:rsidR="00174B32" w:rsidRDefault="00174B32">
      <w:pPr>
        <w:pStyle w:val="FootnoteText"/>
      </w:pPr>
      <w:r>
        <w:rPr>
          <w:rStyle w:val="FootnoteReference"/>
        </w:rPr>
        <w:footnoteRef/>
      </w:r>
      <w:r>
        <w:t xml:space="preserve"> </w:t>
      </w:r>
      <w:r w:rsidRPr="00C9212D">
        <w:rPr>
          <w:sz w:val="16"/>
          <w:szCs w:val="16"/>
        </w:rPr>
        <w:t>Noting that the scale of the remote sensing needs to match the scale of the assessment.</w:t>
      </w:r>
    </w:p>
  </w:footnote>
  <w:footnote w:id="3">
    <w:p w14:paraId="38CD7DA3" w14:textId="63C368AB" w:rsidR="00174B32" w:rsidRDefault="00174B32" w:rsidP="00E80C12">
      <w:pPr>
        <w:pStyle w:val="FootnoteText"/>
        <w:jc w:val="left"/>
      </w:pPr>
      <w:r>
        <w:rPr>
          <w:rStyle w:val="FootnoteReference"/>
        </w:rPr>
        <w:footnoteRef/>
      </w:r>
      <w:r>
        <w:t xml:space="preserve"> </w:t>
      </w:r>
      <w:r w:rsidRPr="00E80C12">
        <w:rPr>
          <w:sz w:val="16"/>
          <w:szCs w:val="16"/>
        </w:rPr>
        <w:t xml:space="preserve">Available at </w:t>
      </w:r>
      <w:hyperlink r:id="rId1" w:history="1">
        <w:r w:rsidRPr="00E80C12">
          <w:rPr>
            <w:rStyle w:val="Hyperlink"/>
            <w:sz w:val="16"/>
            <w:szCs w:val="16"/>
          </w:rPr>
          <w:t>http://www.environment.gov.au/water/cewo/publications/interim-classification-aquatic-ecosystems-mdb</w:t>
        </w:r>
      </w:hyperlink>
    </w:p>
  </w:footnote>
  <w:footnote w:id="4">
    <w:p w14:paraId="11EE93F7" w14:textId="62386BEE" w:rsidR="00174B32" w:rsidRDefault="00174B32">
      <w:pPr>
        <w:pStyle w:val="FootnoteText"/>
      </w:pPr>
      <w:r>
        <w:rPr>
          <w:rStyle w:val="FootnoteReference"/>
        </w:rPr>
        <w:footnoteRef/>
      </w:r>
      <w:r>
        <w:t xml:space="preserve"> </w:t>
      </w:r>
      <w:r w:rsidRPr="008E39E6">
        <w:rPr>
          <w:sz w:val="16"/>
          <w:szCs w:val="16"/>
        </w:rPr>
        <w:t>Modifiers are also known as management levers, response modifiers, controlling factors, and sometimes drivers, in other programs</w:t>
      </w:r>
      <w:r>
        <w:rPr>
          <w:sz w:val="16"/>
          <w:szCs w:val="16"/>
        </w:rPr>
        <w:t>.</w:t>
      </w:r>
    </w:p>
  </w:footnote>
  <w:footnote w:id="5">
    <w:p w14:paraId="6A3934CC" w14:textId="77777777" w:rsidR="00174B32" w:rsidRDefault="00174B32" w:rsidP="003B32BD">
      <w:pPr>
        <w:pStyle w:val="FootnoteText"/>
      </w:pPr>
      <w:r w:rsidRPr="00FE69A8">
        <w:rPr>
          <w:rStyle w:val="FootnoteReference"/>
        </w:rPr>
        <w:footnoteRef/>
      </w:r>
      <w:r>
        <w:t xml:space="preserve"> </w:t>
      </w:r>
      <w:r w:rsidRPr="003404D5">
        <w:rPr>
          <w:sz w:val="16"/>
          <w:szCs w:val="16"/>
        </w:rPr>
        <w:t>Includes concept of intrinsic value</w:t>
      </w:r>
      <w:r>
        <w:rPr>
          <w:sz w:val="16"/>
          <w:szCs w:val="16"/>
        </w:rPr>
        <w:t>, see glossary for definition of intrinsic value.</w:t>
      </w:r>
      <w:r w:rsidRPr="003404D5">
        <w:rPr>
          <w:sz w:val="16"/>
          <w:szCs w:val="16"/>
        </w:rPr>
        <w:t xml:space="preserve"> </w:t>
      </w:r>
    </w:p>
  </w:footnote>
  <w:footnote w:id="6">
    <w:p w14:paraId="4EFBB585" w14:textId="77777777" w:rsidR="00174B32" w:rsidRPr="005C01C4" w:rsidRDefault="00174B32" w:rsidP="00987890">
      <w:pPr>
        <w:pStyle w:val="FootnoteText"/>
        <w:rPr>
          <w:sz w:val="16"/>
          <w:szCs w:val="16"/>
        </w:rPr>
      </w:pPr>
      <w:r w:rsidRPr="00FE69A8">
        <w:rPr>
          <w:rStyle w:val="FootnoteReference"/>
        </w:rPr>
        <w:footnoteRef/>
      </w:r>
      <w:r w:rsidRPr="005C01C4">
        <w:rPr>
          <w:sz w:val="16"/>
          <w:szCs w:val="16"/>
        </w:rPr>
        <w:t xml:space="preserve"> The Assessment Toolbox on WetlandInfo provides a comprehensive list of assessment methods see http://wetlandinfo.ehp.qld.gov.au/wetlands/resources/tools/assessment-search-tool/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7F872" w14:textId="59BD59AA" w:rsidR="00174B32" w:rsidRDefault="00174B32">
    <w:pPr>
      <w:pStyle w:val="Header"/>
    </w:pPr>
  </w:p>
  <w:p w14:paraId="25480F00" w14:textId="77777777" w:rsidR="00174B32" w:rsidRDefault="00174B3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DF634" w14:textId="7EC8DC28" w:rsidR="00174B32" w:rsidRDefault="00174B3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8CD36" w14:textId="51D2C0FA" w:rsidR="00174B32" w:rsidRDefault="00174B3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E24A1" w14:textId="1D421502" w:rsidR="00174B32" w:rsidRDefault="00174B32">
    <w:pPr>
      <w:pStyle w:val="Header"/>
    </w:pPr>
    <w:r>
      <w:rPr>
        <w:noProof/>
        <w:lang w:eastAsia="en-AU"/>
      </w:rPr>
      <w:drawing>
        <wp:inline distT="0" distB="0" distL="0" distR="0" wp14:anchorId="01067449" wp14:editId="49B578C1">
          <wp:extent cx="5728447" cy="533400"/>
          <wp:effectExtent l="57150" t="19050" r="62865" b="9525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p w14:paraId="470FE112" w14:textId="77777777" w:rsidR="00174B32" w:rsidRDefault="00174B3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6A865" w14:textId="330E9765" w:rsidR="00174B32" w:rsidRDefault="00174B3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58523" w14:textId="4C0B6439" w:rsidR="00174B32" w:rsidRDefault="00174B3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407C9" w14:textId="6C10C2A9" w:rsidR="00174B32" w:rsidRDefault="00174B32">
    <w:pPr>
      <w:pStyle w:val="Header"/>
    </w:pPr>
    <w:r>
      <w:rPr>
        <w:noProof/>
        <w:lang w:eastAsia="en-AU"/>
      </w:rPr>
      <w:drawing>
        <wp:inline distT="0" distB="0" distL="0" distR="0" wp14:anchorId="16A36E0C" wp14:editId="375C62B8">
          <wp:extent cx="5743978" cy="540913"/>
          <wp:effectExtent l="57150" t="19050" r="47625" b="88265"/>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p w14:paraId="1F0B7C11" w14:textId="77777777" w:rsidR="00174B32" w:rsidRDefault="00174B3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7E1E2" w14:textId="0B2CAD92" w:rsidR="00174B32" w:rsidRDefault="00174B3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3EE22" w14:textId="1ACAA61D" w:rsidR="00174B32" w:rsidRDefault="00174B3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10ADE" w14:textId="6B536194" w:rsidR="00174B32" w:rsidRDefault="00174B32">
    <w:pPr>
      <w:pStyle w:val="Header"/>
    </w:pPr>
    <w:r>
      <w:rPr>
        <w:noProof/>
        <w:lang w:eastAsia="en-AU"/>
      </w:rPr>
      <w:drawing>
        <wp:inline distT="0" distB="0" distL="0" distR="0" wp14:anchorId="5E516E22" wp14:editId="7AAACD9C">
          <wp:extent cx="5743978" cy="540913"/>
          <wp:effectExtent l="57150" t="19050" r="47625" b="8826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p w14:paraId="373A9ACD" w14:textId="77777777" w:rsidR="00174B32" w:rsidRDefault="00174B3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E202A" w14:textId="5A08B312" w:rsidR="00174B32" w:rsidRDefault="00174B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563CF" w14:textId="50B33C64" w:rsidR="00174B32" w:rsidRDefault="00174B3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4D973" w14:textId="5CBF3743" w:rsidR="00174B32" w:rsidRDefault="00174B3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6B468" w14:textId="2EB7DA16" w:rsidR="00174B32" w:rsidRDefault="00174B32">
    <w:pPr>
      <w:pStyle w:val="Header"/>
    </w:pPr>
    <w:r>
      <w:rPr>
        <w:noProof/>
        <w:lang w:eastAsia="en-AU"/>
      </w:rPr>
      <w:drawing>
        <wp:inline distT="0" distB="0" distL="0" distR="0" wp14:anchorId="15663DE5" wp14:editId="64F14856">
          <wp:extent cx="5727700" cy="666750"/>
          <wp:effectExtent l="57150" t="0" r="6350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p w14:paraId="5C53C981" w14:textId="77777777" w:rsidR="00174B32" w:rsidRDefault="00174B3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2CA4A" w14:textId="78D349B2" w:rsidR="00174B32" w:rsidRDefault="00174B3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84BDA" w14:textId="62959D6D" w:rsidR="00174B32" w:rsidRDefault="00174B32">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3CEAF" w14:textId="20C539B6" w:rsidR="00174B32" w:rsidRDefault="00174B32">
    <w:pPr>
      <w:pStyle w:val="Header"/>
    </w:pPr>
    <w:r>
      <w:rPr>
        <w:noProof/>
        <w:lang w:eastAsia="en-AU"/>
      </w:rPr>
      <w:drawing>
        <wp:inline distT="0" distB="0" distL="0" distR="0" wp14:anchorId="4EA135A7" wp14:editId="48E960B0">
          <wp:extent cx="5726546" cy="549564"/>
          <wp:effectExtent l="57150" t="19050" r="45720" b="222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p w14:paraId="2D5D0B53" w14:textId="33CA4CC3" w:rsidR="00174B32" w:rsidRDefault="00174B3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8E059" w14:textId="5E36422D" w:rsidR="00174B32" w:rsidRDefault="00174B3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BEA5B" w14:textId="499594F4" w:rsidR="00174B32" w:rsidRDefault="00174B32">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42EF0" w14:textId="0A80293D" w:rsidR="00174B32" w:rsidRDefault="00174B32">
    <w:pPr>
      <w:pStyle w:val="Header"/>
    </w:pPr>
    <w:r>
      <w:rPr>
        <w:noProof/>
        <w:lang w:eastAsia="en-AU"/>
      </w:rPr>
      <w:drawing>
        <wp:inline distT="0" distB="0" distL="0" distR="0" wp14:anchorId="55E49999" wp14:editId="050C36C3">
          <wp:extent cx="5726546" cy="549564"/>
          <wp:effectExtent l="57150" t="19050" r="45720" b="4127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p w14:paraId="6A297FD5" w14:textId="2D018AA2" w:rsidR="00174B32" w:rsidRDefault="00174B3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8CCE8" w14:textId="4943D029" w:rsidR="00174B32" w:rsidRDefault="00174B3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1FF26" w14:textId="244DE61B" w:rsidR="00174B32" w:rsidRDefault="00174B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237E0" w14:textId="0720A0D2" w:rsidR="00174B32" w:rsidRDefault="00174B32">
    <w:pPr>
      <w:pStyle w:val="Header"/>
    </w:pPr>
  </w:p>
  <w:p w14:paraId="1A4692A6" w14:textId="77777777" w:rsidR="00174B32" w:rsidRDefault="00174B3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F6B3C" w14:textId="5B814DE2" w:rsidR="00174B32" w:rsidRDefault="00174B32">
    <w:pPr>
      <w:pStyle w:val="Header"/>
    </w:pPr>
    <w:r>
      <w:rPr>
        <w:noProof/>
        <w:lang w:eastAsia="en-AU"/>
      </w:rPr>
      <w:drawing>
        <wp:inline distT="0" distB="0" distL="0" distR="0" wp14:anchorId="55360BE9" wp14:editId="2E6662AE">
          <wp:extent cx="5731099" cy="734096"/>
          <wp:effectExtent l="57150" t="0" r="6032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p w14:paraId="5BB1BD74" w14:textId="4D3F2280" w:rsidR="00174B32" w:rsidRDefault="00174B3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91D1A" w14:textId="71BABF68" w:rsidR="00174B32" w:rsidRDefault="00174B32">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D946C" w14:textId="2D136F51" w:rsidR="00174B32" w:rsidRDefault="00174B32">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8D889" w14:textId="5DA247A6" w:rsidR="00174B32" w:rsidRDefault="00174B32">
    <w:pPr>
      <w:pStyle w:val="Header"/>
    </w:pPr>
    <w:r>
      <w:rPr>
        <w:noProof/>
        <w:lang w:eastAsia="en-AU"/>
      </w:rPr>
      <w:drawing>
        <wp:inline distT="0" distB="0" distL="0" distR="0" wp14:anchorId="59C7B6C3" wp14:editId="201DC62F">
          <wp:extent cx="5731099" cy="721217"/>
          <wp:effectExtent l="57150" t="0" r="60325"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p w14:paraId="55B7F987" w14:textId="34DB053A" w:rsidR="00174B32" w:rsidRDefault="00174B32">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8517E" w14:textId="0A95BA29" w:rsidR="00174B32" w:rsidRDefault="00174B32">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09C2E" w14:textId="5CA234D6" w:rsidR="00174B32" w:rsidRDefault="00174B32">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F5607" w14:textId="55D1E59C" w:rsidR="00174B32" w:rsidRDefault="00174B32">
    <w:pPr>
      <w:pStyle w:val="Header"/>
    </w:pPr>
    <w:r>
      <w:rPr>
        <w:noProof/>
        <w:lang w:eastAsia="en-AU"/>
      </w:rPr>
      <w:drawing>
        <wp:inline distT="0" distB="0" distL="0" distR="0" wp14:anchorId="2D670CAF" wp14:editId="2BEC8D0B">
          <wp:extent cx="5731099" cy="721217"/>
          <wp:effectExtent l="57150" t="0" r="60325"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p w14:paraId="177425E2" w14:textId="77777777" w:rsidR="00174B32" w:rsidRDefault="00174B32">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A02C0" w14:textId="35A38140" w:rsidR="00174B32" w:rsidRDefault="00174B3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0DB16" w14:textId="0BDA25B8" w:rsidR="00174B32" w:rsidRDefault="00174B32">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A072C" w14:textId="4AE5CD33" w:rsidR="00174B32" w:rsidRDefault="00174B32">
    <w:pPr>
      <w:pStyle w:val="Header"/>
    </w:pPr>
    <w:r>
      <w:rPr>
        <w:noProof/>
        <w:lang w:eastAsia="en-AU"/>
      </w:rPr>
      <w:drawing>
        <wp:inline distT="0" distB="0" distL="0" distR="0" wp14:anchorId="68E0EABB" wp14:editId="504799A5">
          <wp:extent cx="5743978" cy="721217"/>
          <wp:effectExtent l="57150" t="0" r="28575"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p w14:paraId="7771E930" w14:textId="77777777" w:rsidR="00174B32" w:rsidRDefault="00174B3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EF750" w14:textId="5025AEE4" w:rsidR="00174B32" w:rsidRDefault="00174B32">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575B6" w14:textId="706272C7" w:rsidR="00174B32" w:rsidRDefault="00174B32">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2A810" w14:textId="6507CE54" w:rsidR="00174B32" w:rsidRDefault="00174B32">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85255" w14:textId="77835B7B" w:rsidR="00174B32" w:rsidRDefault="00174B32">
    <w:pPr>
      <w:pStyle w:val="Header"/>
    </w:pPr>
    <w:r>
      <w:rPr>
        <w:noProof/>
        <w:lang w:eastAsia="en-AU"/>
      </w:rPr>
      <w:drawing>
        <wp:inline distT="0" distB="0" distL="0" distR="0" wp14:anchorId="5F59DB8A" wp14:editId="56865663">
          <wp:extent cx="5731099" cy="682581"/>
          <wp:effectExtent l="57150" t="0" r="22225"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p w14:paraId="40EB5E2C" w14:textId="4977F6BD" w:rsidR="00174B32" w:rsidRDefault="00174B32">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73E82" w14:textId="6CFDF0B2" w:rsidR="00174B32" w:rsidRDefault="00174B32">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FB714" w14:textId="554D9E7D" w:rsidR="00174B32" w:rsidRDefault="00174B32">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F5305" w14:textId="1DC60C8F" w:rsidR="00174B32" w:rsidRDefault="00174B32">
    <w:pPr>
      <w:pStyle w:val="Header"/>
    </w:pPr>
  </w:p>
  <w:p w14:paraId="0930A65C" w14:textId="516F5736" w:rsidR="00174B32" w:rsidRDefault="00174B32">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0C2E4" w14:textId="05597E44" w:rsidR="00174B32" w:rsidRDefault="00174B3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8EEFC" w14:textId="1A4F2D9B" w:rsidR="00174B32" w:rsidRDefault="00174B3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11E77" w14:textId="6A955ACA" w:rsidR="00174B32" w:rsidRDefault="00174B32">
    <w:pPr>
      <w:pStyle w:val="Header"/>
    </w:pPr>
  </w:p>
  <w:p w14:paraId="76CA8508" w14:textId="77777777" w:rsidR="00174B32" w:rsidRDefault="00174B3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29356" w14:textId="09C65FA0" w:rsidR="00174B32" w:rsidRDefault="00174B3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9F956" w14:textId="7AB2F67E" w:rsidR="00174B32" w:rsidRDefault="00174B3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09ECF" w14:textId="3EA74BAA" w:rsidR="00174B32" w:rsidRDefault="00174B32">
    <w:pPr>
      <w:pStyle w:val="Header"/>
    </w:pPr>
    <w:r>
      <w:rPr>
        <w:noProof/>
        <w:lang w:eastAsia="en-AU"/>
      </w:rPr>
      <w:drawing>
        <wp:inline distT="0" distB="0" distL="0" distR="0" wp14:anchorId="302F38A3" wp14:editId="680460AD">
          <wp:extent cx="5728447" cy="533400"/>
          <wp:effectExtent l="57150" t="19050" r="62865" b="9525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p w14:paraId="47394F61" w14:textId="77777777" w:rsidR="00174B32" w:rsidRDefault="00174B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E730D"/>
    <w:multiLevelType w:val="hybridMultilevel"/>
    <w:tmpl w:val="12ACBBF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D117F"/>
    <w:multiLevelType w:val="hybridMultilevel"/>
    <w:tmpl w:val="BD32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9069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F23DC7"/>
    <w:multiLevelType w:val="hybridMultilevel"/>
    <w:tmpl w:val="9D3A6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4A4F65"/>
    <w:multiLevelType w:val="hybridMultilevel"/>
    <w:tmpl w:val="46FEF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660FB7"/>
    <w:multiLevelType w:val="hybridMultilevel"/>
    <w:tmpl w:val="2F5A1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8F22E3"/>
    <w:multiLevelType w:val="hybridMultilevel"/>
    <w:tmpl w:val="AFD2A7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8171A0E"/>
    <w:multiLevelType w:val="hybridMultilevel"/>
    <w:tmpl w:val="A1723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0F477D"/>
    <w:multiLevelType w:val="hybridMultilevel"/>
    <w:tmpl w:val="AF32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7464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C0B0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9A79D4"/>
    <w:multiLevelType w:val="hybridMultilevel"/>
    <w:tmpl w:val="2D822D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E35EF3"/>
    <w:multiLevelType w:val="hybridMultilevel"/>
    <w:tmpl w:val="7840B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68641E5E">
      <w:numFmt w:val="bullet"/>
      <w:lvlText w:val="•"/>
      <w:lvlJc w:val="left"/>
      <w:pPr>
        <w:ind w:left="2520" w:hanging="720"/>
      </w:pPr>
      <w:rPr>
        <w:rFonts w:ascii="Calibri" w:eastAsiaTheme="minorEastAsia"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F4C0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C5B34C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CBE199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D5105B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DDB39EE"/>
    <w:multiLevelType w:val="hybridMultilevel"/>
    <w:tmpl w:val="41301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E7F3E70"/>
    <w:multiLevelType w:val="hybridMultilevel"/>
    <w:tmpl w:val="74126ECC"/>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F431EB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F6671BD"/>
    <w:multiLevelType w:val="hybridMultilevel"/>
    <w:tmpl w:val="45A42E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FF13C0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11A4C44"/>
    <w:multiLevelType w:val="hybridMultilevel"/>
    <w:tmpl w:val="9EE8AC9A"/>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2B55311"/>
    <w:multiLevelType w:val="hybridMultilevel"/>
    <w:tmpl w:val="FE20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E17584"/>
    <w:multiLevelType w:val="hybridMultilevel"/>
    <w:tmpl w:val="DEA4D8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42805CD"/>
    <w:multiLevelType w:val="hybridMultilevel"/>
    <w:tmpl w:val="7B82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4D063F"/>
    <w:multiLevelType w:val="hybridMultilevel"/>
    <w:tmpl w:val="ADF8B69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AB267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562074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18035325"/>
    <w:multiLevelType w:val="hybridMultilevel"/>
    <w:tmpl w:val="E0FA5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0D592D"/>
    <w:multiLevelType w:val="hybridMultilevel"/>
    <w:tmpl w:val="B2806810"/>
    <w:lvl w:ilvl="0" w:tplc="3E9AF328">
      <w:start w:val="1"/>
      <w:numFmt w:val="bullet"/>
      <w:pStyle w:val="TblBll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8441CC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194700D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1A7A7040"/>
    <w:multiLevelType w:val="hybridMultilevel"/>
    <w:tmpl w:val="4356A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BAA089E"/>
    <w:multiLevelType w:val="hybridMultilevel"/>
    <w:tmpl w:val="895E8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11433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1E2B1CE6"/>
    <w:multiLevelType w:val="hybridMultilevel"/>
    <w:tmpl w:val="DA38106E"/>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1E487437"/>
    <w:multiLevelType w:val="hybridMultilevel"/>
    <w:tmpl w:val="407C5A26"/>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EF4304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1F471B27"/>
    <w:multiLevelType w:val="hybridMultilevel"/>
    <w:tmpl w:val="51489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03838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273E3D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29456A8C"/>
    <w:multiLevelType w:val="hybridMultilevel"/>
    <w:tmpl w:val="B44C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3D0F23"/>
    <w:multiLevelType w:val="hybridMultilevel"/>
    <w:tmpl w:val="9EE8AC9A"/>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B785478"/>
    <w:multiLevelType w:val="hybridMultilevel"/>
    <w:tmpl w:val="97B4838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2D0B3F33"/>
    <w:multiLevelType w:val="hybridMultilevel"/>
    <w:tmpl w:val="A4189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D61709"/>
    <w:multiLevelType w:val="hybridMultilevel"/>
    <w:tmpl w:val="E59C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F2B3150"/>
    <w:multiLevelType w:val="hybridMultilevel"/>
    <w:tmpl w:val="F9A83D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F4767B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30723C8F"/>
    <w:multiLevelType w:val="hybridMultilevel"/>
    <w:tmpl w:val="E1D0A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15A104A"/>
    <w:multiLevelType w:val="hybridMultilevel"/>
    <w:tmpl w:val="74126ECC"/>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2220A8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32867FE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33B86182"/>
    <w:multiLevelType w:val="hybridMultilevel"/>
    <w:tmpl w:val="E3188B8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33EA4BC8"/>
    <w:multiLevelType w:val="hybridMultilevel"/>
    <w:tmpl w:val="F04C44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47230D2"/>
    <w:multiLevelType w:val="hybridMultilevel"/>
    <w:tmpl w:val="6BF89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4A00D1E"/>
    <w:multiLevelType w:val="hybridMultilevel"/>
    <w:tmpl w:val="ED02F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579253D"/>
    <w:multiLevelType w:val="hybridMultilevel"/>
    <w:tmpl w:val="EFA2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815324B"/>
    <w:multiLevelType w:val="hybridMultilevel"/>
    <w:tmpl w:val="31088D3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9" w15:restartNumberingAfterBreak="0">
    <w:nsid w:val="383E6007"/>
    <w:multiLevelType w:val="hybridMultilevel"/>
    <w:tmpl w:val="5C92BD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A35518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3D0816C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3E295A3A"/>
    <w:multiLevelType w:val="hybridMultilevel"/>
    <w:tmpl w:val="4148E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E7E223B"/>
    <w:multiLevelType w:val="hybridMultilevel"/>
    <w:tmpl w:val="BF628B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0386811"/>
    <w:multiLevelType w:val="hybridMultilevel"/>
    <w:tmpl w:val="20165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0DA2E3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410C2277"/>
    <w:multiLevelType w:val="hybridMultilevel"/>
    <w:tmpl w:val="EB502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1A77698"/>
    <w:multiLevelType w:val="hybridMultilevel"/>
    <w:tmpl w:val="F3ACA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21301C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42377482"/>
    <w:multiLevelType w:val="hybridMultilevel"/>
    <w:tmpl w:val="C71C2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0C631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433217DF"/>
    <w:multiLevelType w:val="hybridMultilevel"/>
    <w:tmpl w:val="00481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415284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44867E8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44EA1A2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479F6BD9"/>
    <w:multiLevelType w:val="hybridMultilevel"/>
    <w:tmpl w:val="726CF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8563DEB"/>
    <w:multiLevelType w:val="hybridMultilevel"/>
    <w:tmpl w:val="DF869C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8F050A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4C367411"/>
    <w:multiLevelType w:val="hybridMultilevel"/>
    <w:tmpl w:val="03809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E0C769D"/>
    <w:multiLevelType w:val="hybridMultilevel"/>
    <w:tmpl w:val="7E3E8DB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80" w15:restartNumberingAfterBreak="0">
    <w:nsid w:val="4E2A741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50E225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52344A4C"/>
    <w:multiLevelType w:val="hybridMultilevel"/>
    <w:tmpl w:val="31BC7F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4FF043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571F139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57825BD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58D36F9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5A36050A"/>
    <w:multiLevelType w:val="hybridMultilevel"/>
    <w:tmpl w:val="3EB8A8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C3224AF"/>
    <w:multiLevelType w:val="hybridMultilevel"/>
    <w:tmpl w:val="25A48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D997B9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5E634BBA"/>
    <w:multiLevelType w:val="hybridMultilevel"/>
    <w:tmpl w:val="BC64C2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5E8D1591"/>
    <w:multiLevelType w:val="hybridMultilevel"/>
    <w:tmpl w:val="256632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F4075E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60D51C48"/>
    <w:multiLevelType w:val="hybridMultilevel"/>
    <w:tmpl w:val="39CC9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204056C"/>
    <w:multiLevelType w:val="hybridMultilevel"/>
    <w:tmpl w:val="79FC5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25C32B6"/>
    <w:multiLevelType w:val="hybridMultilevel"/>
    <w:tmpl w:val="764A921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6" w15:restartNumberingAfterBreak="0">
    <w:nsid w:val="62C01B25"/>
    <w:multiLevelType w:val="hybridMultilevel"/>
    <w:tmpl w:val="1EE0C6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3226E29"/>
    <w:multiLevelType w:val="hybridMultilevel"/>
    <w:tmpl w:val="E036F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A86468"/>
    <w:multiLevelType w:val="hybridMultilevel"/>
    <w:tmpl w:val="A9BE8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4B42648"/>
    <w:multiLevelType w:val="hybridMultilevel"/>
    <w:tmpl w:val="C4D47C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5860059"/>
    <w:multiLevelType w:val="hybridMultilevel"/>
    <w:tmpl w:val="0408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5F1295F"/>
    <w:multiLevelType w:val="hybridMultilevel"/>
    <w:tmpl w:val="AF2CA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69F2F0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67CC5CD5"/>
    <w:multiLevelType w:val="hybridMultilevel"/>
    <w:tmpl w:val="3DBA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A4C2496"/>
    <w:multiLevelType w:val="hybridMultilevel"/>
    <w:tmpl w:val="AE6CD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15:restartNumberingAfterBreak="0">
    <w:nsid w:val="6A78518D"/>
    <w:multiLevelType w:val="hybridMultilevel"/>
    <w:tmpl w:val="CF023D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6B5D2CBF"/>
    <w:multiLevelType w:val="hybridMultilevel"/>
    <w:tmpl w:val="A7A4E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B887E16"/>
    <w:multiLevelType w:val="hybridMultilevel"/>
    <w:tmpl w:val="A9188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CC637D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6EE75A1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6F90490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704A06CC"/>
    <w:multiLevelType w:val="hybridMultilevel"/>
    <w:tmpl w:val="BDF4B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3706BC2"/>
    <w:multiLevelType w:val="hybridMultilevel"/>
    <w:tmpl w:val="86084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3C06E55"/>
    <w:multiLevelType w:val="hybridMultilevel"/>
    <w:tmpl w:val="1D3A8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4244DBA"/>
    <w:multiLevelType w:val="hybridMultilevel"/>
    <w:tmpl w:val="276E23A0"/>
    <w:lvl w:ilvl="0" w:tplc="ED6A9E50">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752A108B"/>
    <w:multiLevelType w:val="hybridMultilevel"/>
    <w:tmpl w:val="97B4838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6" w15:restartNumberingAfterBreak="0">
    <w:nsid w:val="76526C0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7" w15:restartNumberingAfterBreak="0">
    <w:nsid w:val="79256304"/>
    <w:multiLevelType w:val="hybridMultilevel"/>
    <w:tmpl w:val="AE5CB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9D12B67"/>
    <w:multiLevelType w:val="hybridMultilevel"/>
    <w:tmpl w:val="A7F88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AFA12F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7BF82927"/>
    <w:multiLevelType w:val="multilevel"/>
    <w:tmpl w:val="7176451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285"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1" w15:restartNumberingAfterBreak="0">
    <w:nsid w:val="7EE44B3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7FF66676"/>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20"/>
  </w:num>
  <w:num w:numId="2">
    <w:abstractNumId w:val="29"/>
  </w:num>
  <w:num w:numId="3">
    <w:abstractNumId w:val="25"/>
  </w:num>
  <w:num w:numId="4">
    <w:abstractNumId w:val="82"/>
  </w:num>
  <w:num w:numId="5">
    <w:abstractNumId w:val="58"/>
  </w:num>
  <w:num w:numId="6">
    <w:abstractNumId w:val="34"/>
  </w:num>
  <w:num w:numId="7">
    <w:abstractNumId w:val="118"/>
  </w:num>
  <w:num w:numId="8">
    <w:abstractNumId w:val="47"/>
  </w:num>
  <w:num w:numId="9">
    <w:abstractNumId w:val="36"/>
  </w:num>
  <w:num w:numId="10">
    <w:abstractNumId w:val="100"/>
  </w:num>
  <w:num w:numId="11">
    <w:abstractNumId w:val="91"/>
  </w:num>
  <w:num w:numId="12">
    <w:abstractNumId w:val="37"/>
  </w:num>
  <w:num w:numId="13">
    <w:abstractNumId w:val="57"/>
  </w:num>
  <w:num w:numId="14">
    <w:abstractNumId w:val="6"/>
  </w:num>
  <w:num w:numId="15">
    <w:abstractNumId w:val="22"/>
  </w:num>
  <w:num w:numId="16">
    <w:abstractNumId w:val="88"/>
  </w:num>
  <w:num w:numId="17">
    <w:abstractNumId w:val="46"/>
  </w:num>
  <w:num w:numId="18">
    <w:abstractNumId w:val="93"/>
  </w:num>
  <w:num w:numId="19">
    <w:abstractNumId w:val="103"/>
  </w:num>
  <w:num w:numId="20">
    <w:abstractNumId w:val="53"/>
  </w:num>
  <w:num w:numId="21">
    <w:abstractNumId w:val="104"/>
  </w:num>
  <w:num w:numId="22">
    <w:abstractNumId w:val="115"/>
  </w:num>
  <w:num w:numId="23">
    <w:abstractNumId w:val="0"/>
  </w:num>
  <w:num w:numId="24">
    <w:abstractNumId w:val="87"/>
  </w:num>
  <w:num w:numId="25">
    <w:abstractNumId w:val="26"/>
  </w:num>
  <w:num w:numId="26">
    <w:abstractNumId w:val="112"/>
  </w:num>
  <w:num w:numId="27">
    <w:abstractNumId w:val="63"/>
  </w:num>
  <w:num w:numId="28">
    <w:abstractNumId w:val="99"/>
  </w:num>
  <w:num w:numId="29">
    <w:abstractNumId w:val="64"/>
  </w:num>
  <w:num w:numId="30">
    <w:abstractNumId w:val="79"/>
  </w:num>
  <w:num w:numId="31">
    <w:abstractNumId w:val="49"/>
  </w:num>
  <w:num w:numId="32">
    <w:abstractNumId w:val="95"/>
  </w:num>
  <w:num w:numId="33">
    <w:abstractNumId w:val="43"/>
  </w:num>
  <w:num w:numId="34">
    <w:abstractNumId w:val="50"/>
  </w:num>
  <w:num w:numId="35">
    <w:abstractNumId w:val="94"/>
  </w:num>
  <w:num w:numId="36">
    <w:abstractNumId w:val="24"/>
  </w:num>
  <w:num w:numId="37">
    <w:abstractNumId w:val="18"/>
  </w:num>
  <w:num w:numId="38">
    <w:abstractNumId w:val="39"/>
  </w:num>
  <w:num w:numId="39">
    <w:abstractNumId w:val="76"/>
  </w:num>
  <w:num w:numId="40">
    <w:abstractNumId w:val="96"/>
  </w:num>
  <w:num w:numId="41">
    <w:abstractNumId w:val="20"/>
  </w:num>
  <w:num w:numId="42">
    <w:abstractNumId w:val="30"/>
  </w:num>
  <w:num w:numId="43">
    <w:abstractNumId w:val="67"/>
  </w:num>
  <w:num w:numId="44">
    <w:abstractNumId w:val="59"/>
  </w:num>
  <w:num w:numId="45">
    <w:abstractNumId w:val="66"/>
  </w:num>
  <w:num w:numId="46">
    <w:abstractNumId w:val="17"/>
  </w:num>
  <w:num w:numId="47">
    <w:abstractNumId w:val="54"/>
  </w:num>
  <w:num w:numId="48">
    <w:abstractNumId w:val="117"/>
  </w:num>
  <w:num w:numId="49">
    <w:abstractNumId w:val="98"/>
  </w:num>
  <w:num w:numId="50">
    <w:abstractNumId w:val="101"/>
  </w:num>
  <w:num w:numId="51">
    <w:abstractNumId w:val="111"/>
  </w:num>
  <w:num w:numId="52">
    <w:abstractNumId w:val="106"/>
  </w:num>
  <w:num w:numId="53">
    <w:abstractNumId w:val="55"/>
  </w:num>
  <w:num w:numId="54">
    <w:abstractNumId w:val="75"/>
  </w:num>
  <w:num w:numId="55">
    <w:abstractNumId w:val="33"/>
  </w:num>
  <w:num w:numId="56">
    <w:abstractNumId w:val="62"/>
  </w:num>
  <w:num w:numId="57">
    <w:abstractNumId w:val="44"/>
  </w:num>
  <w:num w:numId="58">
    <w:abstractNumId w:val="114"/>
  </w:num>
  <w:num w:numId="59">
    <w:abstractNumId w:val="12"/>
  </w:num>
  <w:num w:numId="60">
    <w:abstractNumId w:val="8"/>
  </w:num>
  <w:num w:numId="61">
    <w:abstractNumId w:val="69"/>
  </w:num>
  <w:num w:numId="62">
    <w:abstractNumId w:val="1"/>
  </w:num>
  <w:num w:numId="63">
    <w:abstractNumId w:val="42"/>
  </w:num>
  <w:num w:numId="64">
    <w:abstractNumId w:val="23"/>
  </w:num>
  <w:num w:numId="65">
    <w:abstractNumId w:val="90"/>
  </w:num>
  <w:num w:numId="66">
    <w:abstractNumId w:val="45"/>
  </w:num>
  <w:num w:numId="67">
    <w:abstractNumId w:val="56"/>
  </w:num>
  <w:num w:numId="68">
    <w:abstractNumId w:val="113"/>
  </w:num>
  <w:num w:numId="69">
    <w:abstractNumId w:val="107"/>
  </w:num>
  <w:num w:numId="70">
    <w:abstractNumId w:val="7"/>
  </w:num>
  <w:num w:numId="71">
    <w:abstractNumId w:val="97"/>
  </w:num>
  <w:num w:numId="72">
    <w:abstractNumId w:val="4"/>
  </w:num>
  <w:num w:numId="73">
    <w:abstractNumId w:val="11"/>
  </w:num>
  <w:num w:numId="74">
    <w:abstractNumId w:val="105"/>
  </w:num>
  <w:num w:numId="75">
    <w:abstractNumId w:val="3"/>
  </w:num>
  <w:num w:numId="76">
    <w:abstractNumId w:val="78"/>
  </w:num>
  <w:num w:numId="77">
    <w:abstractNumId w:val="5"/>
  </w:num>
  <w:num w:numId="78">
    <w:abstractNumId w:val="71"/>
  </w:num>
  <w:num w:numId="79">
    <w:abstractNumId w:val="110"/>
  </w:num>
  <w:num w:numId="80">
    <w:abstractNumId w:val="80"/>
  </w:num>
  <w:num w:numId="81">
    <w:abstractNumId w:val="16"/>
  </w:num>
  <w:num w:numId="82">
    <w:abstractNumId w:val="9"/>
  </w:num>
  <w:num w:numId="83">
    <w:abstractNumId w:val="109"/>
  </w:num>
  <w:num w:numId="84">
    <w:abstractNumId w:val="60"/>
  </w:num>
  <w:num w:numId="85">
    <w:abstractNumId w:val="85"/>
  </w:num>
  <w:num w:numId="86">
    <w:abstractNumId w:val="41"/>
  </w:num>
  <w:num w:numId="87">
    <w:abstractNumId w:val="61"/>
  </w:num>
  <w:num w:numId="88">
    <w:abstractNumId w:val="86"/>
  </w:num>
  <w:num w:numId="89">
    <w:abstractNumId w:val="70"/>
  </w:num>
  <w:num w:numId="90">
    <w:abstractNumId w:val="48"/>
  </w:num>
  <w:num w:numId="91">
    <w:abstractNumId w:val="72"/>
  </w:num>
  <w:num w:numId="92">
    <w:abstractNumId w:val="19"/>
  </w:num>
  <w:num w:numId="93">
    <w:abstractNumId w:val="21"/>
  </w:num>
  <w:num w:numId="94">
    <w:abstractNumId w:val="31"/>
  </w:num>
  <w:num w:numId="95">
    <w:abstractNumId w:val="13"/>
  </w:num>
  <w:num w:numId="96">
    <w:abstractNumId w:val="38"/>
  </w:num>
  <w:num w:numId="97">
    <w:abstractNumId w:val="102"/>
  </w:num>
  <w:num w:numId="98">
    <w:abstractNumId w:val="35"/>
  </w:num>
  <w:num w:numId="99">
    <w:abstractNumId w:val="65"/>
  </w:num>
  <w:num w:numId="100">
    <w:abstractNumId w:val="84"/>
  </w:num>
  <w:num w:numId="101">
    <w:abstractNumId w:val="119"/>
  </w:num>
  <w:num w:numId="102">
    <w:abstractNumId w:val="77"/>
  </w:num>
  <w:num w:numId="103">
    <w:abstractNumId w:val="122"/>
  </w:num>
  <w:num w:numId="104">
    <w:abstractNumId w:val="10"/>
  </w:num>
  <w:num w:numId="105">
    <w:abstractNumId w:val="89"/>
  </w:num>
  <w:num w:numId="106">
    <w:abstractNumId w:val="40"/>
  </w:num>
  <w:num w:numId="107">
    <w:abstractNumId w:val="74"/>
  </w:num>
  <w:num w:numId="108">
    <w:abstractNumId w:val="15"/>
  </w:num>
  <w:num w:numId="109">
    <w:abstractNumId w:val="81"/>
  </w:num>
  <w:num w:numId="110">
    <w:abstractNumId w:val="83"/>
  </w:num>
  <w:num w:numId="111">
    <w:abstractNumId w:val="68"/>
  </w:num>
  <w:num w:numId="112">
    <w:abstractNumId w:val="73"/>
  </w:num>
  <w:num w:numId="113">
    <w:abstractNumId w:val="116"/>
  </w:num>
  <w:num w:numId="114">
    <w:abstractNumId w:val="51"/>
  </w:num>
  <w:num w:numId="115">
    <w:abstractNumId w:val="108"/>
  </w:num>
  <w:num w:numId="116">
    <w:abstractNumId w:val="32"/>
  </w:num>
  <w:num w:numId="117">
    <w:abstractNumId w:val="14"/>
  </w:num>
  <w:num w:numId="118">
    <w:abstractNumId w:val="52"/>
  </w:num>
  <w:num w:numId="119">
    <w:abstractNumId w:val="28"/>
  </w:num>
  <w:num w:numId="120">
    <w:abstractNumId w:val="27"/>
  </w:num>
  <w:num w:numId="121">
    <w:abstractNumId w:val="121"/>
  </w:num>
  <w:num w:numId="122">
    <w:abstractNumId w:val="2"/>
  </w:num>
  <w:num w:numId="123">
    <w:abstractNumId w:val="9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0" w:nlCheck="1" w:checkStyle="1"/>
  <w:activeWritingStyle w:appName="MSWord" w:lang="en-GB" w:vendorID="64" w:dllVersion="0" w:nlCheck="1" w:checkStyle="1"/>
  <w:activeWritingStyle w:appName="MSWord" w:lang="en-US" w:vendorID="64" w:dllVersion="0" w:nlCheck="1" w:checkStyle="1"/>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defaultTabStop w:val="720"/>
  <w:defaultTableStyle w:val="LightList-Accent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5FD"/>
    <w:rsid w:val="00010261"/>
    <w:rsid w:val="00011B21"/>
    <w:rsid w:val="00011C2B"/>
    <w:rsid w:val="00015A06"/>
    <w:rsid w:val="0001626E"/>
    <w:rsid w:val="000179F2"/>
    <w:rsid w:val="00023DF5"/>
    <w:rsid w:val="000245FD"/>
    <w:rsid w:val="00024C72"/>
    <w:rsid w:val="000256DB"/>
    <w:rsid w:val="00025B8B"/>
    <w:rsid w:val="00025D35"/>
    <w:rsid w:val="000313D6"/>
    <w:rsid w:val="00031BC3"/>
    <w:rsid w:val="000328CD"/>
    <w:rsid w:val="00034623"/>
    <w:rsid w:val="000370E2"/>
    <w:rsid w:val="000412B2"/>
    <w:rsid w:val="0004186A"/>
    <w:rsid w:val="00042A79"/>
    <w:rsid w:val="00042B02"/>
    <w:rsid w:val="00042E61"/>
    <w:rsid w:val="0004321D"/>
    <w:rsid w:val="0004476C"/>
    <w:rsid w:val="00053BFA"/>
    <w:rsid w:val="00056CD2"/>
    <w:rsid w:val="000604B7"/>
    <w:rsid w:val="00061CA8"/>
    <w:rsid w:val="000627ED"/>
    <w:rsid w:val="00062910"/>
    <w:rsid w:val="00062C2D"/>
    <w:rsid w:val="00064A41"/>
    <w:rsid w:val="00064AA7"/>
    <w:rsid w:val="00066A10"/>
    <w:rsid w:val="00067E16"/>
    <w:rsid w:val="00072902"/>
    <w:rsid w:val="00074AAB"/>
    <w:rsid w:val="000750A5"/>
    <w:rsid w:val="0007512A"/>
    <w:rsid w:val="00075D29"/>
    <w:rsid w:val="00077782"/>
    <w:rsid w:val="00077D12"/>
    <w:rsid w:val="00080F55"/>
    <w:rsid w:val="00081E8B"/>
    <w:rsid w:val="00082E99"/>
    <w:rsid w:val="0008739D"/>
    <w:rsid w:val="00087647"/>
    <w:rsid w:val="00087881"/>
    <w:rsid w:val="00090143"/>
    <w:rsid w:val="00090154"/>
    <w:rsid w:val="00092970"/>
    <w:rsid w:val="000A078A"/>
    <w:rsid w:val="000A0C1A"/>
    <w:rsid w:val="000A112F"/>
    <w:rsid w:val="000A1A1C"/>
    <w:rsid w:val="000A5100"/>
    <w:rsid w:val="000A5254"/>
    <w:rsid w:val="000A5C94"/>
    <w:rsid w:val="000B08F3"/>
    <w:rsid w:val="000B3C7C"/>
    <w:rsid w:val="000B4FF8"/>
    <w:rsid w:val="000B5F05"/>
    <w:rsid w:val="000B7E20"/>
    <w:rsid w:val="000C07B4"/>
    <w:rsid w:val="000C410F"/>
    <w:rsid w:val="000C4DCD"/>
    <w:rsid w:val="000C5976"/>
    <w:rsid w:val="000C73FD"/>
    <w:rsid w:val="000D336A"/>
    <w:rsid w:val="000D4DC5"/>
    <w:rsid w:val="000D6A3D"/>
    <w:rsid w:val="000E012E"/>
    <w:rsid w:val="000E0D71"/>
    <w:rsid w:val="000E3823"/>
    <w:rsid w:val="000E3E45"/>
    <w:rsid w:val="000E4018"/>
    <w:rsid w:val="000E5922"/>
    <w:rsid w:val="000E5D35"/>
    <w:rsid w:val="000E5DAB"/>
    <w:rsid w:val="000E71A5"/>
    <w:rsid w:val="000E74C5"/>
    <w:rsid w:val="000F00E3"/>
    <w:rsid w:val="000F1364"/>
    <w:rsid w:val="000F1765"/>
    <w:rsid w:val="000F3A03"/>
    <w:rsid w:val="000F76A2"/>
    <w:rsid w:val="001004DB"/>
    <w:rsid w:val="00100BAB"/>
    <w:rsid w:val="0010106B"/>
    <w:rsid w:val="001011B0"/>
    <w:rsid w:val="001042C4"/>
    <w:rsid w:val="001067B6"/>
    <w:rsid w:val="001070A1"/>
    <w:rsid w:val="00110039"/>
    <w:rsid w:val="00112156"/>
    <w:rsid w:val="0011284F"/>
    <w:rsid w:val="0011527F"/>
    <w:rsid w:val="00115491"/>
    <w:rsid w:val="001160C8"/>
    <w:rsid w:val="0011644C"/>
    <w:rsid w:val="00117BDD"/>
    <w:rsid w:val="00121882"/>
    <w:rsid w:val="00122000"/>
    <w:rsid w:val="00122F7E"/>
    <w:rsid w:val="001232A0"/>
    <w:rsid w:val="00125155"/>
    <w:rsid w:val="0012788C"/>
    <w:rsid w:val="001309CC"/>
    <w:rsid w:val="00131B31"/>
    <w:rsid w:val="00132387"/>
    <w:rsid w:val="001334EE"/>
    <w:rsid w:val="00133EB4"/>
    <w:rsid w:val="00134EEE"/>
    <w:rsid w:val="00137E28"/>
    <w:rsid w:val="00140160"/>
    <w:rsid w:val="00144E90"/>
    <w:rsid w:val="001456FA"/>
    <w:rsid w:val="00145B1F"/>
    <w:rsid w:val="00145E76"/>
    <w:rsid w:val="00146EDC"/>
    <w:rsid w:val="00147B64"/>
    <w:rsid w:val="00150C91"/>
    <w:rsid w:val="001517ED"/>
    <w:rsid w:val="00153B91"/>
    <w:rsid w:val="0015618E"/>
    <w:rsid w:val="0015781A"/>
    <w:rsid w:val="001601D2"/>
    <w:rsid w:val="0016270C"/>
    <w:rsid w:val="001645CD"/>
    <w:rsid w:val="00164A0D"/>
    <w:rsid w:val="0017074A"/>
    <w:rsid w:val="00171790"/>
    <w:rsid w:val="00172351"/>
    <w:rsid w:val="001729AB"/>
    <w:rsid w:val="00173166"/>
    <w:rsid w:val="00174B32"/>
    <w:rsid w:val="00175469"/>
    <w:rsid w:val="00175B5A"/>
    <w:rsid w:val="00176ABB"/>
    <w:rsid w:val="001778A8"/>
    <w:rsid w:val="0018013E"/>
    <w:rsid w:val="001806B4"/>
    <w:rsid w:val="00182554"/>
    <w:rsid w:val="00182D57"/>
    <w:rsid w:val="00182EE4"/>
    <w:rsid w:val="00183325"/>
    <w:rsid w:val="00183E75"/>
    <w:rsid w:val="001843DF"/>
    <w:rsid w:val="001874B6"/>
    <w:rsid w:val="00187F2A"/>
    <w:rsid w:val="001900AF"/>
    <w:rsid w:val="00190607"/>
    <w:rsid w:val="00190633"/>
    <w:rsid w:val="00191574"/>
    <w:rsid w:val="001A192F"/>
    <w:rsid w:val="001B0B9D"/>
    <w:rsid w:val="001B1863"/>
    <w:rsid w:val="001B2EF0"/>
    <w:rsid w:val="001B498F"/>
    <w:rsid w:val="001B602A"/>
    <w:rsid w:val="001B60AD"/>
    <w:rsid w:val="001B70AE"/>
    <w:rsid w:val="001B7494"/>
    <w:rsid w:val="001B7C9E"/>
    <w:rsid w:val="001B7DA1"/>
    <w:rsid w:val="001C189D"/>
    <w:rsid w:val="001C36F6"/>
    <w:rsid w:val="001C4237"/>
    <w:rsid w:val="001C78CD"/>
    <w:rsid w:val="001D13CD"/>
    <w:rsid w:val="001D2A3F"/>
    <w:rsid w:val="001D3B4B"/>
    <w:rsid w:val="001D7249"/>
    <w:rsid w:val="001D7FFE"/>
    <w:rsid w:val="001E0282"/>
    <w:rsid w:val="001E2343"/>
    <w:rsid w:val="001E253C"/>
    <w:rsid w:val="001E3984"/>
    <w:rsid w:val="001E4D71"/>
    <w:rsid w:val="001E650E"/>
    <w:rsid w:val="001E66E7"/>
    <w:rsid w:val="001E7295"/>
    <w:rsid w:val="001E76C4"/>
    <w:rsid w:val="001F01E3"/>
    <w:rsid w:val="001F0F1D"/>
    <w:rsid w:val="001F1725"/>
    <w:rsid w:val="001F4582"/>
    <w:rsid w:val="001F4F98"/>
    <w:rsid w:val="001F6648"/>
    <w:rsid w:val="00203A94"/>
    <w:rsid w:val="00203FD2"/>
    <w:rsid w:val="00206331"/>
    <w:rsid w:val="002071A0"/>
    <w:rsid w:val="002116A1"/>
    <w:rsid w:val="00212ADB"/>
    <w:rsid w:val="00213C1E"/>
    <w:rsid w:val="0021440B"/>
    <w:rsid w:val="00215708"/>
    <w:rsid w:val="00216CC8"/>
    <w:rsid w:val="00217192"/>
    <w:rsid w:val="00217B0F"/>
    <w:rsid w:val="002201EA"/>
    <w:rsid w:val="00221457"/>
    <w:rsid w:val="002217EA"/>
    <w:rsid w:val="0022250E"/>
    <w:rsid w:val="00223AA7"/>
    <w:rsid w:val="00225465"/>
    <w:rsid w:val="0022603A"/>
    <w:rsid w:val="002262A6"/>
    <w:rsid w:val="00226F1F"/>
    <w:rsid w:val="002271B6"/>
    <w:rsid w:val="00227F42"/>
    <w:rsid w:val="00230FDF"/>
    <w:rsid w:val="00231B77"/>
    <w:rsid w:val="002322CC"/>
    <w:rsid w:val="00234600"/>
    <w:rsid w:val="00234EA0"/>
    <w:rsid w:val="00235ED5"/>
    <w:rsid w:val="002361CC"/>
    <w:rsid w:val="00241403"/>
    <w:rsid w:val="00242175"/>
    <w:rsid w:val="0024298C"/>
    <w:rsid w:val="002429D4"/>
    <w:rsid w:val="00246AEA"/>
    <w:rsid w:val="002472A0"/>
    <w:rsid w:val="002478CE"/>
    <w:rsid w:val="00250510"/>
    <w:rsid w:val="002540F9"/>
    <w:rsid w:val="00255067"/>
    <w:rsid w:val="002562AA"/>
    <w:rsid w:val="00256A26"/>
    <w:rsid w:val="00257AA4"/>
    <w:rsid w:val="00261157"/>
    <w:rsid w:val="00261787"/>
    <w:rsid w:val="00261EBE"/>
    <w:rsid w:val="0026315D"/>
    <w:rsid w:val="002635E8"/>
    <w:rsid w:val="002641EB"/>
    <w:rsid w:val="00266115"/>
    <w:rsid w:val="0027151F"/>
    <w:rsid w:val="002719A2"/>
    <w:rsid w:val="00271BF5"/>
    <w:rsid w:val="002721BB"/>
    <w:rsid w:val="00272B0E"/>
    <w:rsid w:val="0027366D"/>
    <w:rsid w:val="00273CFB"/>
    <w:rsid w:val="00280141"/>
    <w:rsid w:val="00283035"/>
    <w:rsid w:val="002853B4"/>
    <w:rsid w:val="00285E72"/>
    <w:rsid w:val="00286212"/>
    <w:rsid w:val="00286308"/>
    <w:rsid w:val="002873A1"/>
    <w:rsid w:val="00292202"/>
    <w:rsid w:val="00292252"/>
    <w:rsid w:val="002925AB"/>
    <w:rsid w:val="00295997"/>
    <w:rsid w:val="00295D14"/>
    <w:rsid w:val="00297C1F"/>
    <w:rsid w:val="002A08E9"/>
    <w:rsid w:val="002A23E5"/>
    <w:rsid w:val="002A23F4"/>
    <w:rsid w:val="002A3527"/>
    <w:rsid w:val="002A3E09"/>
    <w:rsid w:val="002A52D0"/>
    <w:rsid w:val="002A5A6D"/>
    <w:rsid w:val="002A6752"/>
    <w:rsid w:val="002A6E08"/>
    <w:rsid w:val="002A7273"/>
    <w:rsid w:val="002A7DC5"/>
    <w:rsid w:val="002B2422"/>
    <w:rsid w:val="002B403D"/>
    <w:rsid w:val="002B54BE"/>
    <w:rsid w:val="002C225B"/>
    <w:rsid w:val="002C25F2"/>
    <w:rsid w:val="002C28F1"/>
    <w:rsid w:val="002C2AF7"/>
    <w:rsid w:val="002C5ED6"/>
    <w:rsid w:val="002C7DD8"/>
    <w:rsid w:val="002D275F"/>
    <w:rsid w:val="002D2B21"/>
    <w:rsid w:val="002D2C2D"/>
    <w:rsid w:val="002D48E5"/>
    <w:rsid w:val="002D6513"/>
    <w:rsid w:val="002E0E3C"/>
    <w:rsid w:val="002E1BDB"/>
    <w:rsid w:val="002E39B6"/>
    <w:rsid w:val="002E3ED6"/>
    <w:rsid w:val="002E4085"/>
    <w:rsid w:val="002F042F"/>
    <w:rsid w:val="002F0A90"/>
    <w:rsid w:val="002F1DC7"/>
    <w:rsid w:val="002F33A1"/>
    <w:rsid w:val="002F3E8E"/>
    <w:rsid w:val="002F6D8E"/>
    <w:rsid w:val="00301945"/>
    <w:rsid w:val="00303022"/>
    <w:rsid w:val="003030D3"/>
    <w:rsid w:val="00303448"/>
    <w:rsid w:val="003043CE"/>
    <w:rsid w:val="003056EE"/>
    <w:rsid w:val="0030735D"/>
    <w:rsid w:val="00311811"/>
    <w:rsid w:val="003128AC"/>
    <w:rsid w:val="00312B8A"/>
    <w:rsid w:val="0031538F"/>
    <w:rsid w:val="003158A2"/>
    <w:rsid w:val="00317A09"/>
    <w:rsid w:val="00317B32"/>
    <w:rsid w:val="003258E4"/>
    <w:rsid w:val="00331855"/>
    <w:rsid w:val="003319D6"/>
    <w:rsid w:val="00331D3E"/>
    <w:rsid w:val="00332B30"/>
    <w:rsid w:val="00333214"/>
    <w:rsid w:val="00333763"/>
    <w:rsid w:val="00334F80"/>
    <w:rsid w:val="00335134"/>
    <w:rsid w:val="003404D5"/>
    <w:rsid w:val="003413E9"/>
    <w:rsid w:val="0034143D"/>
    <w:rsid w:val="003444F0"/>
    <w:rsid w:val="0034792E"/>
    <w:rsid w:val="0035013E"/>
    <w:rsid w:val="0035168B"/>
    <w:rsid w:val="0035179A"/>
    <w:rsid w:val="00352EB4"/>
    <w:rsid w:val="0035357B"/>
    <w:rsid w:val="00353E6C"/>
    <w:rsid w:val="00355E76"/>
    <w:rsid w:val="0035618C"/>
    <w:rsid w:val="00356E3B"/>
    <w:rsid w:val="003573CE"/>
    <w:rsid w:val="00357854"/>
    <w:rsid w:val="003616F1"/>
    <w:rsid w:val="003653D7"/>
    <w:rsid w:val="00366004"/>
    <w:rsid w:val="003661F5"/>
    <w:rsid w:val="0036657A"/>
    <w:rsid w:val="0036708E"/>
    <w:rsid w:val="00367895"/>
    <w:rsid w:val="003705EC"/>
    <w:rsid w:val="003718AF"/>
    <w:rsid w:val="00373D15"/>
    <w:rsid w:val="00374C23"/>
    <w:rsid w:val="003756E0"/>
    <w:rsid w:val="003758B5"/>
    <w:rsid w:val="00381112"/>
    <w:rsid w:val="00382817"/>
    <w:rsid w:val="00383B51"/>
    <w:rsid w:val="00383F41"/>
    <w:rsid w:val="00384215"/>
    <w:rsid w:val="00384B14"/>
    <w:rsid w:val="0038572D"/>
    <w:rsid w:val="0039063C"/>
    <w:rsid w:val="003909B8"/>
    <w:rsid w:val="00390A27"/>
    <w:rsid w:val="00391A9E"/>
    <w:rsid w:val="0039227A"/>
    <w:rsid w:val="00392844"/>
    <w:rsid w:val="0039384F"/>
    <w:rsid w:val="00395233"/>
    <w:rsid w:val="003A0B88"/>
    <w:rsid w:val="003A0D76"/>
    <w:rsid w:val="003A187F"/>
    <w:rsid w:val="003A2452"/>
    <w:rsid w:val="003A2740"/>
    <w:rsid w:val="003A47AE"/>
    <w:rsid w:val="003B069E"/>
    <w:rsid w:val="003B096A"/>
    <w:rsid w:val="003B1ABE"/>
    <w:rsid w:val="003B1F08"/>
    <w:rsid w:val="003B32BD"/>
    <w:rsid w:val="003B343A"/>
    <w:rsid w:val="003B3A89"/>
    <w:rsid w:val="003B3E35"/>
    <w:rsid w:val="003C08AE"/>
    <w:rsid w:val="003C181E"/>
    <w:rsid w:val="003C4DF8"/>
    <w:rsid w:val="003C5773"/>
    <w:rsid w:val="003D0BA3"/>
    <w:rsid w:val="003D0CBA"/>
    <w:rsid w:val="003D21D0"/>
    <w:rsid w:val="003D27FB"/>
    <w:rsid w:val="003D2D97"/>
    <w:rsid w:val="003D3A89"/>
    <w:rsid w:val="003D6FC9"/>
    <w:rsid w:val="003D75D6"/>
    <w:rsid w:val="003E14F8"/>
    <w:rsid w:val="003E5078"/>
    <w:rsid w:val="003E7472"/>
    <w:rsid w:val="003F2D41"/>
    <w:rsid w:val="003F4690"/>
    <w:rsid w:val="003F6269"/>
    <w:rsid w:val="004006CD"/>
    <w:rsid w:val="00402A9E"/>
    <w:rsid w:val="00404722"/>
    <w:rsid w:val="00406D00"/>
    <w:rsid w:val="0040773F"/>
    <w:rsid w:val="0041461E"/>
    <w:rsid w:val="00416292"/>
    <w:rsid w:val="00416BA1"/>
    <w:rsid w:val="00417EB0"/>
    <w:rsid w:val="00425685"/>
    <w:rsid w:val="004257F4"/>
    <w:rsid w:val="00425A9D"/>
    <w:rsid w:val="00426C71"/>
    <w:rsid w:val="00426E46"/>
    <w:rsid w:val="00430622"/>
    <w:rsid w:val="004377E3"/>
    <w:rsid w:val="00440E6A"/>
    <w:rsid w:val="0044172D"/>
    <w:rsid w:val="00441943"/>
    <w:rsid w:val="00443FA0"/>
    <w:rsid w:val="00450A21"/>
    <w:rsid w:val="00452F31"/>
    <w:rsid w:val="00456C6A"/>
    <w:rsid w:val="00457374"/>
    <w:rsid w:val="00457D75"/>
    <w:rsid w:val="004604A9"/>
    <w:rsid w:val="00460799"/>
    <w:rsid w:val="00460C5C"/>
    <w:rsid w:val="004624F4"/>
    <w:rsid w:val="004637B3"/>
    <w:rsid w:val="00467211"/>
    <w:rsid w:val="00470CFF"/>
    <w:rsid w:val="00475097"/>
    <w:rsid w:val="0047530C"/>
    <w:rsid w:val="0048069D"/>
    <w:rsid w:val="004815D0"/>
    <w:rsid w:val="00482BF5"/>
    <w:rsid w:val="00483D11"/>
    <w:rsid w:val="004840F7"/>
    <w:rsid w:val="00485166"/>
    <w:rsid w:val="00485D6A"/>
    <w:rsid w:val="00486FBA"/>
    <w:rsid w:val="004875C1"/>
    <w:rsid w:val="0048764E"/>
    <w:rsid w:val="00491582"/>
    <w:rsid w:val="00491F32"/>
    <w:rsid w:val="00492AB4"/>
    <w:rsid w:val="00492DB0"/>
    <w:rsid w:val="00493E72"/>
    <w:rsid w:val="00496ED6"/>
    <w:rsid w:val="004A182C"/>
    <w:rsid w:val="004A4B0E"/>
    <w:rsid w:val="004A4B7F"/>
    <w:rsid w:val="004A4B9D"/>
    <w:rsid w:val="004A60EA"/>
    <w:rsid w:val="004A7CB0"/>
    <w:rsid w:val="004B21AC"/>
    <w:rsid w:val="004B3D04"/>
    <w:rsid w:val="004B5E30"/>
    <w:rsid w:val="004C206C"/>
    <w:rsid w:val="004C272A"/>
    <w:rsid w:val="004C3070"/>
    <w:rsid w:val="004C4730"/>
    <w:rsid w:val="004C6171"/>
    <w:rsid w:val="004D5914"/>
    <w:rsid w:val="004D6F68"/>
    <w:rsid w:val="004E15BD"/>
    <w:rsid w:val="004E1AB0"/>
    <w:rsid w:val="004E1F96"/>
    <w:rsid w:val="004E2CC6"/>
    <w:rsid w:val="004E4F49"/>
    <w:rsid w:val="004E70FC"/>
    <w:rsid w:val="004E7EB5"/>
    <w:rsid w:val="004F2B53"/>
    <w:rsid w:val="004F6E35"/>
    <w:rsid w:val="004F7EF8"/>
    <w:rsid w:val="00501627"/>
    <w:rsid w:val="005039A1"/>
    <w:rsid w:val="005051BB"/>
    <w:rsid w:val="00505AC0"/>
    <w:rsid w:val="00505C17"/>
    <w:rsid w:val="0050757B"/>
    <w:rsid w:val="0051150D"/>
    <w:rsid w:val="0051272A"/>
    <w:rsid w:val="00515800"/>
    <w:rsid w:val="0051679D"/>
    <w:rsid w:val="00517658"/>
    <w:rsid w:val="00521513"/>
    <w:rsid w:val="0052354E"/>
    <w:rsid w:val="00525288"/>
    <w:rsid w:val="0052599A"/>
    <w:rsid w:val="005259ED"/>
    <w:rsid w:val="00526808"/>
    <w:rsid w:val="00532898"/>
    <w:rsid w:val="00534BB8"/>
    <w:rsid w:val="00536AEE"/>
    <w:rsid w:val="00540766"/>
    <w:rsid w:val="00540B57"/>
    <w:rsid w:val="00542076"/>
    <w:rsid w:val="005441CC"/>
    <w:rsid w:val="00544F2E"/>
    <w:rsid w:val="00545071"/>
    <w:rsid w:val="00545524"/>
    <w:rsid w:val="0054717B"/>
    <w:rsid w:val="005517D0"/>
    <w:rsid w:val="00552BEC"/>
    <w:rsid w:val="005545F3"/>
    <w:rsid w:val="00554832"/>
    <w:rsid w:val="0055555E"/>
    <w:rsid w:val="0055655A"/>
    <w:rsid w:val="005569E2"/>
    <w:rsid w:val="0055767F"/>
    <w:rsid w:val="0056065E"/>
    <w:rsid w:val="0056152E"/>
    <w:rsid w:val="005628CD"/>
    <w:rsid w:val="00563BFB"/>
    <w:rsid w:val="005648CE"/>
    <w:rsid w:val="0056503E"/>
    <w:rsid w:val="00565D53"/>
    <w:rsid w:val="00566AAB"/>
    <w:rsid w:val="00567101"/>
    <w:rsid w:val="00575895"/>
    <w:rsid w:val="005763CF"/>
    <w:rsid w:val="00580904"/>
    <w:rsid w:val="00583019"/>
    <w:rsid w:val="00583A43"/>
    <w:rsid w:val="00584C8B"/>
    <w:rsid w:val="0058600C"/>
    <w:rsid w:val="005867B9"/>
    <w:rsid w:val="00586B81"/>
    <w:rsid w:val="0059011B"/>
    <w:rsid w:val="00590C92"/>
    <w:rsid w:val="0059374F"/>
    <w:rsid w:val="0059402B"/>
    <w:rsid w:val="005948D2"/>
    <w:rsid w:val="00594AEA"/>
    <w:rsid w:val="0059580D"/>
    <w:rsid w:val="00597325"/>
    <w:rsid w:val="00597FF8"/>
    <w:rsid w:val="005A257E"/>
    <w:rsid w:val="005A41C5"/>
    <w:rsid w:val="005A4F68"/>
    <w:rsid w:val="005A6BA8"/>
    <w:rsid w:val="005A7105"/>
    <w:rsid w:val="005B084D"/>
    <w:rsid w:val="005B234A"/>
    <w:rsid w:val="005B3C31"/>
    <w:rsid w:val="005B5099"/>
    <w:rsid w:val="005B51C7"/>
    <w:rsid w:val="005B5B4F"/>
    <w:rsid w:val="005B7A8C"/>
    <w:rsid w:val="005C01C4"/>
    <w:rsid w:val="005C2CB6"/>
    <w:rsid w:val="005C349F"/>
    <w:rsid w:val="005C5922"/>
    <w:rsid w:val="005C626F"/>
    <w:rsid w:val="005C69BC"/>
    <w:rsid w:val="005C6C30"/>
    <w:rsid w:val="005C6DA4"/>
    <w:rsid w:val="005C70CC"/>
    <w:rsid w:val="005C7EAB"/>
    <w:rsid w:val="005D074D"/>
    <w:rsid w:val="005D3448"/>
    <w:rsid w:val="005D61FA"/>
    <w:rsid w:val="005E1A9F"/>
    <w:rsid w:val="005E4821"/>
    <w:rsid w:val="005E4AB3"/>
    <w:rsid w:val="005E5F90"/>
    <w:rsid w:val="005E61C2"/>
    <w:rsid w:val="005F0515"/>
    <w:rsid w:val="005F1380"/>
    <w:rsid w:val="005F359C"/>
    <w:rsid w:val="005F3815"/>
    <w:rsid w:val="005F47C2"/>
    <w:rsid w:val="00601CEC"/>
    <w:rsid w:val="006058AA"/>
    <w:rsid w:val="00605B67"/>
    <w:rsid w:val="00607691"/>
    <w:rsid w:val="0061002B"/>
    <w:rsid w:val="00610F11"/>
    <w:rsid w:val="00611262"/>
    <w:rsid w:val="00611C1B"/>
    <w:rsid w:val="00612005"/>
    <w:rsid w:val="00612E50"/>
    <w:rsid w:val="00612F20"/>
    <w:rsid w:val="006143C1"/>
    <w:rsid w:val="00614B52"/>
    <w:rsid w:val="00622829"/>
    <w:rsid w:val="006260B1"/>
    <w:rsid w:val="00626E02"/>
    <w:rsid w:val="00627082"/>
    <w:rsid w:val="0062765D"/>
    <w:rsid w:val="00630316"/>
    <w:rsid w:val="006305FA"/>
    <w:rsid w:val="00631652"/>
    <w:rsid w:val="00632F7D"/>
    <w:rsid w:val="006332B0"/>
    <w:rsid w:val="00633CFF"/>
    <w:rsid w:val="00633E5B"/>
    <w:rsid w:val="00634554"/>
    <w:rsid w:val="00635D0C"/>
    <w:rsid w:val="00641A6D"/>
    <w:rsid w:val="00642C5B"/>
    <w:rsid w:val="006435D1"/>
    <w:rsid w:val="00643E8D"/>
    <w:rsid w:val="00645FC3"/>
    <w:rsid w:val="006467DB"/>
    <w:rsid w:val="00650435"/>
    <w:rsid w:val="00651563"/>
    <w:rsid w:val="00651A64"/>
    <w:rsid w:val="006606EA"/>
    <w:rsid w:val="00660F35"/>
    <w:rsid w:val="00661B1A"/>
    <w:rsid w:val="0066327E"/>
    <w:rsid w:val="00663879"/>
    <w:rsid w:val="00663A00"/>
    <w:rsid w:val="00663E47"/>
    <w:rsid w:val="0066787C"/>
    <w:rsid w:val="00673F64"/>
    <w:rsid w:val="006755EF"/>
    <w:rsid w:val="00675718"/>
    <w:rsid w:val="006768A9"/>
    <w:rsid w:val="00676FB2"/>
    <w:rsid w:val="00677159"/>
    <w:rsid w:val="00677450"/>
    <w:rsid w:val="006777E5"/>
    <w:rsid w:val="006808B7"/>
    <w:rsid w:val="00680BB3"/>
    <w:rsid w:val="00682A51"/>
    <w:rsid w:val="006841C7"/>
    <w:rsid w:val="00684735"/>
    <w:rsid w:val="00685AE7"/>
    <w:rsid w:val="00686A9B"/>
    <w:rsid w:val="00686E95"/>
    <w:rsid w:val="006901D0"/>
    <w:rsid w:val="006912B6"/>
    <w:rsid w:val="00693D1C"/>
    <w:rsid w:val="00694E8E"/>
    <w:rsid w:val="006965E3"/>
    <w:rsid w:val="00697F68"/>
    <w:rsid w:val="006A1D44"/>
    <w:rsid w:val="006A2A6B"/>
    <w:rsid w:val="006A3CDB"/>
    <w:rsid w:val="006A3F6E"/>
    <w:rsid w:val="006A5780"/>
    <w:rsid w:val="006A5ECF"/>
    <w:rsid w:val="006A6E1F"/>
    <w:rsid w:val="006A7BED"/>
    <w:rsid w:val="006B1302"/>
    <w:rsid w:val="006B1EAE"/>
    <w:rsid w:val="006B2EF3"/>
    <w:rsid w:val="006B32E1"/>
    <w:rsid w:val="006B3BB9"/>
    <w:rsid w:val="006B4464"/>
    <w:rsid w:val="006B4A4B"/>
    <w:rsid w:val="006B4D46"/>
    <w:rsid w:val="006B7105"/>
    <w:rsid w:val="006C0E72"/>
    <w:rsid w:val="006C1032"/>
    <w:rsid w:val="006C66F3"/>
    <w:rsid w:val="006C6AE7"/>
    <w:rsid w:val="006D0158"/>
    <w:rsid w:val="006D2929"/>
    <w:rsid w:val="006D425E"/>
    <w:rsid w:val="006D4CAA"/>
    <w:rsid w:val="006D4FE7"/>
    <w:rsid w:val="006D5B01"/>
    <w:rsid w:val="006D757F"/>
    <w:rsid w:val="006D7CBF"/>
    <w:rsid w:val="006E06E1"/>
    <w:rsid w:val="006E6D41"/>
    <w:rsid w:val="006E7E90"/>
    <w:rsid w:val="006F0116"/>
    <w:rsid w:val="006F2133"/>
    <w:rsid w:val="006F2547"/>
    <w:rsid w:val="006F2DBA"/>
    <w:rsid w:val="006F48E6"/>
    <w:rsid w:val="006F496C"/>
    <w:rsid w:val="006F70A1"/>
    <w:rsid w:val="006F7B48"/>
    <w:rsid w:val="007005FC"/>
    <w:rsid w:val="00707DA9"/>
    <w:rsid w:val="007105F6"/>
    <w:rsid w:val="007143DA"/>
    <w:rsid w:val="00714575"/>
    <w:rsid w:val="007152D3"/>
    <w:rsid w:val="007164FF"/>
    <w:rsid w:val="00716565"/>
    <w:rsid w:val="007168D1"/>
    <w:rsid w:val="0071788B"/>
    <w:rsid w:val="00720769"/>
    <w:rsid w:val="0072297A"/>
    <w:rsid w:val="00723864"/>
    <w:rsid w:val="00724940"/>
    <w:rsid w:val="007249B4"/>
    <w:rsid w:val="0072573B"/>
    <w:rsid w:val="007259A9"/>
    <w:rsid w:val="0073025D"/>
    <w:rsid w:val="00731E04"/>
    <w:rsid w:val="007339E7"/>
    <w:rsid w:val="0073455C"/>
    <w:rsid w:val="00736D3B"/>
    <w:rsid w:val="0073742B"/>
    <w:rsid w:val="00740FE1"/>
    <w:rsid w:val="00742273"/>
    <w:rsid w:val="007422C6"/>
    <w:rsid w:val="0074329A"/>
    <w:rsid w:val="00743582"/>
    <w:rsid w:val="00744F28"/>
    <w:rsid w:val="0074563D"/>
    <w:rsid w:val="0074642E"/>
    <w:rsid w:val="0074693E"/>
    <w:rsid w:val="0074725D"/>
    <w:rsid w:val="00747A48"/>
    <w:rsid w:val="00751C8F"/>
    <w:rsid w:val="0075439E"/>
    <w:rsid w:val="00754931"/>
    <w:rsid w:val="00754C12"/>
    <w:rsid w:val="007556F2"/>
    <w:rsid w:val="00755FA5"/>
    <w:rsid w:val="007641D9"/>
    <w:rsid w:val="00765119"/>
    <w:rsid w:val="0076596C"/>
    <w:rsid w:val="00765F5C"/>
    <w:rsid w:val="007665BD"/>
    <w:rsid w:val="007672C5"/>
    <w:rsid w:val="00770DB8"/>
    <w:rsid w:val="00772C28"/>
    <w:rsid w:val="00773EDA"/>
    <w:rsid w:val="007741C8"/>
    <w:rsid w:val="00774E5B"/>
    <w:rsid w:val="00775890"/>
    <w:rsid w:val="00776521"/>
    <w:rsid w:val="0077691D"/>
    <w:rsid w:val="00776ACC"/>
    <w:rsid w:val="00780BFC"/>
    <w:rsid w:val="00780D56"/>
    <w:rsid w:val="0078377F"/>
    <w:rsid w:val="007852F0"/>
    <w:rsid w:val="00786248"/>
    <w:rsid w:val="0078686E"/>
    <w:rsid w:val="00787918"/>
    <w:rsid w:val="00791116"/>
    <w:rsid w:val="00791D1E"/>
    <w:rsid w:val="00791D4C"/>
    <w:rsid w:val="007930DF"/>
    <w:rsid w:val="007951A6"/>
    <w:rsid w:val="00796183"/>
    <w:rsid w:val="0079708F"/>
    <w:rsid w:val="007A08D5"/>
    <w:rsid w:val="007A1FFF"/>
    <w:rsid w:val="007A4369"/>
    <w:rsid w:val="007A4A2F"/>
    <w:rsid w:val="007B014A"/>
    <w:rsid w:val="007B20A6"/>
    <w:rsid w:val="007B2E86"/>
    <w:rsid w:val="007B3DF9"/>
    <w:rsid w:val="007B59BC"/>
    <w:rsid w:val="007B7A12"/>
    <w:rsid w:val="007C032F"/>
    <w:rsid w:val="007C0C45"/>
    <w:rsid w:val="007C1974"/>
    <w:rsid w:val="007C5B4D"/>
    <w:rsid w:val="007C6F62"/>
    <w:rsid w:val="007D25BD"/>
    <w:rsid w:val="007D47CE"/>
    <w:rsid w:val="007D6E8B"/>
    <w:rsid w:val="007D709E"/>
    <w:rsid w:val="007E0CDB"/>
    <w:rsid w:val="007E0F24"/>
    <w:rsid w:val="007E3B5B"/>
    <w:rsid w:val="007E5359"/>
    <w:rsid w:val="007E550D"/>
    <w:rsid w:val="007E5A3F"/>
    <w:rsid w:val="007E7E80"/>
    <w:rsid w:val="007F142B"/>
    <w:rsid w:val="007F1E7A"/>
    <w:rsid w:val="007F3D4E"/>
    <w:rsid w:val="007F4309"/>
    <w:rsid w:val="007F4DB5"/>
    <w:rsid w:val="007F5B07"/>
    <w:rsid w:val="007F5B2A"/>
    <w:rsid w:val="008032C5"/>
    <w:rsid w:val="00805F31"/>
    <w:rsid w:val="008068BF"/>
    <w:rsid w:val="0080702E"/>
    <w:rsid w:val="00811169"/>
    <w:rsid w:val="00811594"/>
    <w:rsid w:val="00811D06"/>
    <w:rsid w:val="00815013"/>
    <w:rsid w:val="00815EE1"/>
    <w:rsid w:val="00816CE6"/>
    <w:rsid w:val="00821E89"/>
    <w:rsid w:val="00822E4F"/>
    <w:rsid w:val="008232CD"/>
    <w:rsid w:val="0082511F"/>
    <w:rsid w:val="0082666C"/>
    <w:rsid w:val="00826F31"/>
    <w:rsid w:val="008271EA"/>
    <w:rsid w:val="00833958"/>
    <w:rsid w:val="008362E5"/>
    <w:rsid w:val="00836C82"/>
    <w:rsid w:val="00837A04"/>
    <w:rsid w:val="00844319"/>
    <w:rsid w:val="0084477D"/>
    <w:rsid w:val="008451B3"/>
    <w:rsid w:val="008452E7"/>
    <w:rsid w:val="00846980"/>
    <w:rsid w:val="00846B3F"/>
    <w:rsid w:val="00852A58"/>
    <w:rsid w:val="00852DD2"/>
    <w:rsid w:val="008547E5"/>
    <w:rsid w:val="00855E81"/>
    <w:rsid w:val="00856734"/>
    <w:rsid w:val="00860DB6"/>
    <w:rsid w:val="00861029"/>
    <w:rsid w:val="00865CF9"/>
    <w:rsid w:val="00866DDA"/>
    <w:rsid w:val="00866E6B"/>
    <w:rsid w:val="0087253B"/>
    <w:rsid w:val="00872A24"/>
    <w:rsid w:val="00875979"/>
    <w:rsid w:val="008769D3"/>
    <w:rsid w:val="00876ED1"/>
    <w:rsid w:val="00877524"/>
    <w:rsid w:val="008778F8"/>
    <w:rsid w:val="00880F69"/>
    <w:rsid w:val="008822C9"/>
    <w:rsid w:val="00882D5E"/>
    <w:rsid w:val="00884406"/>
    <w:rsid w:val="00887C93"/>
    <w:rsid w:val="00891B0A"/>
    <w:rsid w:val="00893227"/>
    <w:rsid w:val="0089513D"/>
    <w:rsid w:val="00895A3E"/>
    <w:rsid w:val="008A206E"/>
    <w:rsid w:val="008A47AC"/>
    <w:rsid w:val="008A62DB"/>
    <w:rsid w:val="008B12AC"/>
    <w:rsid w:val="008B21D1"/>
    <w:rsid w:val="008B2B83"/>
    <w:rsid w:val="008B5DF4"/>
    <w:rsid w:val="008B6C64"/>
    <w:rsid w:val="008C0B27"/>
    <w:rsid w:val="008C2224"/>
    <w:rsid w:val="008C5996"/>
    <w:rsid w:val="008C5F41"/>
    <w:rsid w:val="008C6095"/>
    <w:rsid w:val="008C7112"/>
    <w:rsid w:val="008C7DB4"/>
    <w:rsid w:val="008D1837"/>
    <w:rsid w:val="008D1C98"/>
    <w:rsid w:val="008D1E3C"/>
    <w:rsid w:val="008D2F4F"/>
    <w:rsid w:val="008D3A0F"/>
    <w:rsid w:val="008D3D2A"/>
    <w:rsid w:val="008E07F9"/>
    <w:rsid w:val="008E0AA0"/>
    <w:rsid w:val="008E10DD"/>
    <w:rsid w:val="008E39E6"/>
    <w:rsid w:val="008E3E62"/>
    <w:rsid w:val="008E58DA"/>
    <w:rsid w:val="008E63EE"/>
    <w:rsid w:val="008E6452"/>
    <w:rsid w:val="008E7FF5"/>
    <w:rsid w:val="008F33C1"/>
    <w:rsid w:val="008F3F96"/>
    <w:rsid w:val="008F4D83"/>
    <w:rsid w:val="008F5913"/>
    <w:rsid w:val="008F5E55"/>
    <w:rsid w:val="00902F5B"/>
    <w:rsid w:val="0090342F"/>
    <w:rsid w:val="0090449A"/>
    <w:rsid w:val="00906EDF"/>
    <w:rsid w:val="00911700"/>
    <w:rsid w:val="00911B1D"/>
    <w:rsid w:val="009156AA"/>
    <w:rsid w:val="00915885"/>
    <w:rsid w:val="00915FEA"/>
    <w:rsid w:val="00916966"/>
    <w:rsid w:val="00916BED"/>
    <w:rsid w:val="00920795"/>
    <w:rsid w:val="009238AB"/>
    <w:rsid w:val="009238CC"/>
    <w:rsid w:val="009272A0"/>
    <w:rsid w:val="00927702"/>
    <w:rsid w:val="00927C3F"/>
    <w:rsid w:val="00931FE3"/>
    <w:rsid w:val="009335A6"/>
    <w:rsid w:val="00933FD1"/>
    <w:rsid w:val="00937151"/>
    <w:rsid w:val="00937FED"/>
    <w:rsid w:val="00944149"/>
    <w:rsid w:val="00946E89"/>
    <w:rsid w:val="0094782D"/>
    <w:rsid w:val="00947F17"/>
    <w:rsid w:val="00952396"/>
    <w:rsid w:val="00952744"/>
    <w:rsid w:val="00952FB6"/>
    <w:rsid w:val="00954430"/>
    <w:rsid w:val="00955658"/>
    <w:rsid w:val="00955DF5"/>
    <w:rsid w:val="00957B0C"/>
    <w:rsid w:val="009605C4"/>
    <w:rsid w:val="00962E2D"/>
    <w:rsid w:val="00964661"/>
    <w:rsid w:val="00964C6A"/>
    <w:rsid w:val="00965DB6"/>
    <w:rsid w:val="00966D16"/>
    <w:rsid w:val="00971A1B"/>
    <w:rsid w:val="00972E61"/>
    <w:rsid w:val="009756D6"/>
    <w:rsid w:val="009779E7"/>
    <w:rsid w:val="0098016B"/>
    <w:rsid w:val="0098070E"/>
    <w:rsid w:val="00981FAF"/>
    <w:rsid w:val="00982784"/>
    <w:rsid w:val="009844E0"/>
    <w:rsid w:val="0098472E"/>
    <w:rsid w:val="0098673E"/>
    <w:rsid w:val="009872E9"/>
    <w:rsid w:val="00987890"/>
    <w:rsid w:val="00987A14"/>
    <w:rsid w:val="0099176E"/>
    <w:rsid w:val="0099357F"/>
    <w:rsid w:val="009951E4"/>
    <w:rsid w:val="00995448"/>
    <w:rsid w:val="0099669A"/>
    <w:rsid w:val="00996754"/>
    <w:rsid w:val="009A1C9A"/>
    <w:rsid w:val="009A3155"/>
    <w:rsid w:val="009A342F"/>
    <w:rsid w:val="009A5841"/>
    <w:rsid w:val="009B0B32"/>
    <w:rsid w:val="009B2D5E"/>
    <w:rsid w:val="009B3547"/>
    <w:rsid w:val="009B43DE"/>
    <w:rsid w:val="009B5B68"/>
    <w:rsid w:val="009B5EAA"/>
    <w:rsid w:val="009B679A"/>
    <w:rsid w:val="009B6B03"/>
    <w:rsid w:val="009B715B"/>
    <w:rsid w:val="009C510E"/>
    <w:rsid w:val="009D38CC"/>
    <w:rsid w:val="009D6A60"/>
    <w:rsid w:val="009D6D67"/>
    <w:rsid w:val="009D7446"/>
    <w:rsid w:val="009E1164"/>
    <w:rsid w:val="009E2301"/>
    <w:rsid w:val="009E328B"/>
    <w:rsid w:val="009E3551"/>
    <w:rsid w:val="009E5B8F"/>
    <w:rsid w:val="009F2C3C"/>
    <w:rsid w:val="009F54BA"/>
    <w:rsid w:val="009F6DC7"/>
    <w:rsid w:val="00A00008"/>
    <w:rsid w:val="00A00B5D"/>
    <w:rsid w:val="00A01CF7"/>
    <w:rsid w:val="00A04D96"/>
    <w:rsid w:val="00A05834"/>
    <w:rsid w:val="00A07287"/>
    <w:rsid w:val="00A105EC"/>
    <w:rsid w:val="00A12A0E"/>
    <w:rsid w:val="00A1432B"/>
    <w:rsid w:val="00A1493F"/>
    <w:rsid w:val="00A15237"/>
    <w:rsid w:val="00A152AB"/>
    <w:rsid w:val="00A15FCA"/>
    <w:rsid w:val="00A16766"/>
    <w:rsid w:val="00A20758"/>
    <w:rsid w:val="00A22107"/>
    <w:rsid w:val="00A2421C"/>
    <w:rsid w:val="00A243C2"/>
    <w:rsid w:val="00A266BE"/>
    <w:rsid w:val="00A30F4E"/>
    <w:rsid w:val="00A33248"/>
    <w:rsid w:val="00A33684"/>
    <w:rsid w:val="00A33C58"/>
    <w:rsid w:val="00A33E54"/>
    <w:rsid w:val="00A3422D"/>
    <w:rsid w:val="00A37D79"/>
    <w:rsid w:val="00A40346"/>
    <w:rsid w:val="00A43AA7"/>
    <w:rsid w:val="00A46DEA"/>
    <w:rsid w:val="00A52F12"/>
    <w:rsid w:val="00A55883"/>
    <w:rsid w:val="00A61173"/>
    <w:rsid w:val="00A64197"/>
    <w:rsid w:val="00A64D45"/>
    <w:rsid w:val="00A66191"/>
    <w:rsid w:val="00A70F8A"/>
    <w:rsid w:val="00A71507"/>
    <w:rsid w:val="00A71CE4"/>
    <w:rsid w:val="00A744A3"/>
    <w:rsid w:val="00A74D24"/>
    <w:rsid w:val="00A75002"/>
    <w:rsid w:val="00A8145C"/>
    <w:rsid w:val="00A8720F"/>
    <w:rsid w:val="00A879BC"/>
    <w:rsid w:val="00A9151A"/>
    <w:rsid w:val="00A93D20"/>
    <w:rsid w:val="00A93FF5"/>
    <w:rsid w:val="00A94E33"/>
    <w:rsid w:val="00A95871"/>
    <w:rsid w:val="00A97687"/>
    <w:rsid w:val="00AA01AA"/>
    <w:rsid w:val="00AA121E"/>
    <w:rsid w:val="00AA1EAB"/>
    <w:rsid w:val="00AA303E"/>
    <w:rsid w:val="00AA3144"/>
    <w:rsid w:val="00AA4D02"/>
    <w:rsid w:val="00AA789B"/>
    <w:rsid w:val="00AA7A59"/>
    <w:rsid w:val="00AB43EA"/>
    <w:rsid w:val="00AB4DC5"/>
    <w:rsid w:val="00AB55F8"/>
    <w:rsid w:val="00AB5D21"/>
    <w:rsid w:val="00AB6755"/>
    <w:rsid w:val="00AB6AF0"/>
    <w:rsid w:val="00AB6D46"/>
    <w:rsid w:val="00AB6DB2"/>
    <w:rsid w:val="00AB7116"/>
    <w:rsid w:val="00AB789D"/>
    <w:rsid w:val="00AB7E8B"/>
    <w:rsid w:val="00AC0597"/>
    <w:rsid w:val="00AC2DA4"/>
    <w:rsid w:val="00AC341B"/>
    <w:rsid w:val="00AC3A57"/>
    <w:rsid w:val="00AC4BB1"/>
    <w:rsid w:val="00AC6F18"/>
    <w:rsid w:val="00AD356B"/>
    <w:rsid w:val="00AD5BBE"/>
    <w:rsid w:val="00AD6131"/>
    <w:rsid w:val="00AD6716"/>
    <w:rsid w:val="00AD6740"/>
    <w:rsid w:val="00AE0082"/>
    <w:rsid w:val="00AE0219"/>
    <w:rsid w:val="00AE0E00"/>
    <w:rsid w:val="00AE1607"/>
    <w:rsid w:val="00AE25AA"/>
    <w:rsid w:val="00AE27EB"/>
    <w:rsid w:val="00AE2BEB"/>
    <w:rsid w:val="00AE4A84"/>
    <w:rsid w:val="00AE602F"/>
    <w:rsid w:val="00AE69A3"/>
    <w:rsid w:val="00AE76DE"/>
    <w:rsid w:val="00AF0126"/>
    <w:rsid w:val="00AF0576"/>
    <w:rsid w:val="00AF1266"/>
    <w:rsid w:val="00AF1AA6"/>
    <w:rsid w:val="00AF1C28"/>
    <w:rsid w:val="00AF20D8"/>
    <w:rsid w:val="00AF446E"/>
    <w:rsid w:val="00B0013B"/>
    <w:rsid w:val="00B013CE"/>
    <w:rsid w:val="00B02D54"/>
    <w:rsid w:val="00B03D0E"/>
    <w:rsid w:val="00B070CD"/>
    <w:rsid w:val="00B07ED8"/>
    <w:rsid w:val="00B12602"/>
    <w:rsid w:val="00B129CF"/>
    <w:rsid w:val="00B13F50"/>
    <w:rsid w:val="00B15361"/>
    <w:rsid w:val="00B15BB8"/>
    <w:rsid w:val="00B16686"/>
    <w:rsid w:val="00B17EC9"/>
    <w:rsid w:val="00B224C2"/>
    <w:rsid w:val="00B239C0"/>
    <w:rsid w:val="00B23D37"/>
    <w:rsid w:val="00B264EE"/>
    <w:rsid w:val="00B27620"/>
    <w:rsid w:val="00B27B0F"/>
    <w:rsid w:val="00B3247E"/>
    <w:rsid w:val="00B3254B"/>
    <w:rsid w:val="00B33A37"/>
    <w:rsid w:val="00B350BC"/>
    <w:rsid w:val="00B376B4"/>
    <w:rsid w:val="00B37C48"/>
    <w:rsid w:val="00B37CF5"/>
    <w:rsid w:val="00B413EE"/>
    <w:rsid w:val="00B41B66"/>
    <w:rsid w:val="00B451F1"/>
    <w:rsid w:val="00B456D8"/>
    <w:rsid w:val="00B46CD8"/>
    <w:rsid w:val="00B47E19"/>
    <w:rsid w:val="00B5154F"/>
    <w:rsid w:val="00B51E63"/>
    <w:rsid w:val="00B525BA"/>
    <w:rsid w:val="00B5336C"/>
    <w:rsid w:val="00B54201"/>
    <w:rsid w:val="00B55002"/>
    <w:rsid w:val="00B55775"/>
    <w:rsid w:val="00B55D97"/>
    <w:rsid w:val="00B55E3E"/>
    <w:rsid w:val="00B56657"/>
    <w:rsid w:val="00B56B9B"/>
    <w:rsid w:val="00B56D6A"/>
    <w:rsid w:val="00B6253D"/>
    <w:rsid w:val="00B6383B"/>
    <w:rsid w:val="00B6684D"/>
    <w:rsid w:val="00B70EB2"/>
    <w:rsid w:val="00B71A4A"/>
    <w:rsid w:val="00B72C06"/>
    <w:rsid w:val="00B72EB1"/>
    <w:rsid w:val="00B74499"/>
    <w:rsid w:val="00B81379"/>
    <w:rsid w:val="00B8247B"/>
    <w:rsid w:val="00B84036"/>
    <w:rsid w:val="00B85CA1"/>
    <w:rsid w:val="00B86128"/>
    <w:rsid w:val="00B8676B"/>
    <w:rsid w:val="00B8683C"/>
    <w:rsid w:val="00B905D8"/>
    <w:rsid w:val="00B90934"/>
    <w:rsid w:val="00B90D68"/>
    <w:rsid w:val="00B94D36"/>
    <w:rsid w:val="00B97207"/>
    <w:rsid w:val="00B972F0"/>
    <w:rsid w:val="00BA09E3"/>
    <w:rsid w:val="00BA0DEB"/>
    <w:rsid w:val="00BA2B40"/>
    <w:rsid w:val="00BA31A9"/>
    <w:rsid w:val="00BA3D97"/>
    <w:rsid w:val="00BA456F"/>
    <w:rsid w:val="00BA58A7"/>
    <w:rsid w:val="00BA5F18"/>
    <w:rsid w:val="00BA71A0"/>
    <w:rsid w:val="00BA7453"/>
    <w:rsid w:val="00BB004C"/>
    <w:rsid w:val="00BB00BC"/>
    <w:rsid w:val="00BC1852"/>
    <w:rsid w:val="00BC2E53"/>
    <w:rsid w:val="00BC416F"/>
    <w:rsid w:val="00BC5AEA"/>
    <w:rsid w:val="00BC6887"/>
    <w:rsid w:val="00BD2337"/>
    <w:rsid w:val="00BD300C"/>
    <w:rsid w:val="00BD3574"/>
    <w:rsid w:val="00BD4486"/>
    <w:rsid w:val="00BD500F"/>
    <w:rsid w:val="00BD5B58"/>
    <w:rsid w:val="00BD6567"/>
    <w:rsid w:val="00BD7770"/>
    <w:rsid w:val="00BE1EB5"/>
    <w:rsid w:val="00BE266C"/>
    <w:rsid w:val="00BE3993"/>
    <w:rsid w:val="00BE5277"/>
    <w:rsid w:val="00BF3637"/>
    <w:rsid w:val="00BF37DE"/>
    <w:rsid w:val="00BF456F"/>
    <w:rsid w:val="00BF510F"/>
    <w:rsid w:val="00BF5528"/>
    <w:rsid w:val="00BF5A2E"/>
    <w:rsid w:val="00BF78C2"/>
    <w:rsid w:val="00C003F8"/>
    <w:rsid w:val="00C02F9A"/>
    <w:rsid w:val="00C03A4F"/>
    <w:rsid w:val="00C0562B"/>
    <w:rsid w:val="00C05BC7"/>
    <w:rsid w:val="00C068A0"/>
    <w:rsid w:val="00C0747B"/>
    <w:rsid w:val="00C107D0"/>
    <w:rsid w:val="00C12911"/>
    <w:rsid w:val="00C13C45"/>
    <w:rsid w:val="00C149FE"/>
    <w:rsid w:val="00C15728"/>
    <w:rsid w:val="00C1578A"/>
    <w:rsid w:val="00C20833"/>
    <w:rsid w:val="00C21AC0"/>
    <w:rsid w:val="00C24DAD"/>
    <w:rsid w:val="00C2605E"/>
    <w:rsid w:val="00C27582"/>
    <w:rsid w:val="00C31388"/>
    <w:rsid w:val="00C32B71"/>
    <w:rsid w:val="00C333E9"/>
    <w:rsid w:val="00C33CC2"/>
    <w:rsid w:val="00C36E44"/>
    <w:rsid w:val="00C440B8"/>
    <w:rsid w:val="00C47118"/>
    <w:rsid w:val="00C47611"/>
    <w:rsid w:val="00C50720"/>
    <w:rsid w:val="00C52F78"/>
    <w:rsid w:val="00C531F5"/>
    <w:rsid w:val="00C54BB5"/>
    <w:rsid w:val="00C55445"/>
    <w:rsid w:val="00C55C74"/>
    <w:rsid w:val="00C57B91"/>
    <w:rsid w:val="00C60E9F"/>
    <w:rsid w:val="00C617F9"/>
    <w:rsid w:val="00C650CD"/>
    <w:rsid w:val="00C66171"/>
    <w:rsid w:val="00C66D21"/>
    <w:rsid w:val="00C6709E"/>
    <w:rsid w:val="00C7087C"/>
    <w:rsid w:val="00C74197"/>
    <w:rsid w:val="00C80C51"/>
    <w:rsid w:val="00C80F4B"/>
    <w:rsid w:val="00C810C6"/>
    <w:rsid w:val="00C81E0B"/>
    <w:rsid w:val="00C81FDE"/>
    <w:rsid w:val="00C824A5"/>
    <w:rsid w:val="00C8254B"/>
    <w:rsid w:val="00C84109"/>
    <w:rsid w:val="00C8647E"/>
    <w:rsid w:val="00C9212D"/>
    <w:rsid w:val="00C9331E"/>
    <w:rsid w:val="00C9530A"/>
    <w:rsid w:val="00CA02CC"/>
    <w:rsid w:val="00CA2773"/>
    <w:rsid w:val="00CA2FE8"/>
    <w:rsid w:val="00CA4636"/>
    <w:rsid w:val="00CA5260"/>
    <w:rsid w:val="00CA58AC"/>
    <w:rsid w:val="00CA62A5"/>
    <w:rsid w:val="00CA68D3"/>
    <w:rsid w:val="00CA7442"/>
    <w:rsid w:val="00CA788F"/>
    <w:rsid w:val="00CA7D9F"/>
    <w:rsid w:val="00CB00EB"/>
    <w:rsid w:val="00CB0A54"/>
    <w:rsid w:val="00CB0CCE"/>
    <w:rsid w:val="00CB113E"/>
    <w:rsid w:val="00CB1D38"/>
    <w:rsid w:val="00CB245B"/>
    <w:rsid w:val="00CB256D"/>
    <w:rsid w:val="00CB4963"/>
    <w:rsid w:val="00CB51D8"/>
    <w:rsid w:val="00CB6D08"/>
    <w:rsid w:val="00CB72BF"/>
    <w:rsid w:val="00CC162A"/>
    <w:rsid w:val="00CC2C34"/>
    <w:rsid w:val="00CC3F30"/>
    <w:rsid w:val="00CC5D2B"/>
    <w:rsid w:val="00CC5F90"/>
    <w:rsid w:val="00CC61B3"/>
    <w:rsid w:val="00CC6C04"/>
    <w:rsid w:val="00CC7493"/>
    <w:rsid w:val="00CD1873"/>
    <w:rsid w:val="00CD1E31"/>
    <w:rsid w:val="00CD42D9"/>
    <w:rsid w:val="00CD5639"/>
    <w:rsid w:val="00CD70C3"/>
    <w:rsid w:val="00CE3B09"/>
    <w:rsid w:val="00CE4A53"/>
    <w:rsid w:val="00CE52EA"/>
    <w:rsid w:val="00CE594A"/>
    <w:rsid w:val="00CE744D"/>
    <w:rsid w:val="00CF149A"/>
    <w:rsid w:val="00CF5F58"/>
    <w:rsid w:val="00CF702C"/>
    <w:rsid w:val="00D013EF"/>
    <w:rsid w:val="00D02424"/>
    <w:rsid w:val="00D0588F"/>
    <w:rsid w:val="00D10D0B"/>
    <w:rsid w:val="00D148A7"/>
    <w:rsid w:val="00D14A4B"/>
    <w:rsid w:val="00D179D2"/>
    <w:rsid w:val="00D17BC6"/>
    <w:rsid w:val="00D208C9"/>
    <w:rsid w:val="00D227ED"/>
    <w:rsid w:val="00D22F26"/>
    <w:rsid w:val="00D246DA"/>
    <w:rsid w:val="00D24EBC"/>
    <w:rsid w:val="00D26D2D"/>
    <w:rsid w:val="00D26F67"/>
    <w:rsid w:val="00D27C62"/>
    <w:rsid w:val="00D31DE6"/>
    <w:rsid w:val="00D3519B"/>
    <w:rsid w:val="00D41B34"/>
    <w:rsid w:val="00D42D68"/>
    <w:rsid w:val="00D4651E"/>
    <w:rsid w:val="00D505C1"/>
    <w:rsid w:val="00D508A3"/>
    <w:rsid w:val="00D534FF"/>
    <w:rsid w:val="00D54122"/>
    <w:rsid w:val="00D547B8"/>
    <w:rsid w:val="00D561BB"/>
    <w:rsid w:val="00D579FA"/>
    <w:rsid w:val="00D60118"/>
    <w:rsid w:val="00D606B8"/>
    <w:rsid w:val="00D6082B"/>
    <w:rsid w:val="00D608C0"/>
    <w:rsid w:val="00D60B3B"/>
    <w:rsid w:val="00D61D09"/>
    <w:rsid w:val="00D6580B"/>
    <w:rsid w:val="00D66451"/>
    <w:rsid w:val="00D71947"/>
    <w:rsid w:val="00D71C00"/>
    <w:rsid w:val="00D72A17"/>
    <w:rsid w:val="00D73722"/>
    <w:rsid w:val="00D7489A"/>
    <w:rsid w:val="00D74EC9"/>
    <w:rsid w:val="00D764D7"/>
    <w:rsid w:val="00D7785E"/>
    <w:rsid w:val="00D82D24"/>
    <w:rsid w:val="00D82ED8"/>
    <w:rsid w:val="00D83A95"/>
    <w:rsid w:val="00D83E7F"/>
    <w:rsid w:val="00D85B77"/>
    <w:rsid w:val="00D87458"/>
    <w:rsid w:val="00D87EF9"/>
    <w:rsid w:val="00D907E7"/>
    <w:rsid w:val="00D91972"/>
    <w:rsid w:val="00D93D56"/>
    <w:rsid w:val="00D942C2"/>
    <w:rsid w:val="00D94695"/>
    <w:rsid w:val="00D94EE6"/>
    <w:rsid w:val="00D95F8D"/>
    <w:rsid w:val="00DA2C26"/>
    <w:rsid w:val="00DA30A1"/>
    <w:rsid w:val="00DA49F9"/>
    <w:rsid w:val="00DA7F47"/>
    <w:rsid w:val="00DB395E"/>
    <w:rsid w:val="00DB4CA0"/>
    <w:rsid w:val="00DB6DA2"/>
    <w:rsid w:val="00DB6EE9"/>
    <w:rsid w:val="00DB76EF"/>
    <w:rsid w:val="00DB7A5B"/>
    <w:rsid w:val="00DC1B93"/>
    <w:rsid w:val="00DC259F"/>
    <w:rsid w:val="00DC407E"/>
    <w:rsid w:val="00DC418A"/>
    <w:rsid w:val="00DC6A1F"/>
    <w:rsid w:val="00DC70B2"/>
    <w:rsid w:val="00DD2BFB"/>
    <w:rsid w:val="00DD6123"/>
    <w:rsid w:val="00DD6B5E"/>
    <w:rsid w:val="00DD7D13"/>
    <w:rsid w:val="00DE1C80"/>
    <w:rsid w:val="00DE1EF2"/>
    <w:rsid w:val="00DE4591"/>
    <w:rsid w:val="00DE4A60"/>
    <w:rsid w:val="00DF1095"/>
    <w:rsid w:val="00DF27A9"/>
    <w:rsid w:val="00DF4120"/>
    <w:rsid w:val="00DF4DE4"/>
    <w:rsid w:val="00DF58E3"/>
    <w:rsid w:val="00DF6F32"/>
    <w:rsid w:val="00DF7E32"/>
    <w:rsid w:val="00E00183"/>
    <w:rsid w:val="00E0243D"/>
    <w:rsid w:val="00E02473"/>
    <w:rsid w:val="00E026E7"/>
    <w:rsid w:val="00E033F4"/>
    <w:rsid w:val="00E040D0"/>
    <w:rsid w:val="00E04E37"/>
    <w:rsid w:val="00E06A60"/>
    <w:rsid w:val="00E07D3B"/>
    <w:rsid w:val="00E07D4E"/>
    <w:rsid w:val="00E127C5"/>
    <w:rsid w:val="00E14721"/>
    <w:rsid w:val="00E15152"/>
    <w:rsid w:val="00E209C0"/>
    <w:rsid w:val="00E221CF"/>
    <w:rsid w:val="00E2238E"/>
    <w:rsid w:val="00E22CC2"/>
    <w:rsid w:val="00E24185"/>
    <w:rsid w:val="00E24333"/>
    <w:rsid w:val="00E315A3"/>
    <w:rsid w:val="00E32DD7"/>
    <w:rsid w:val="00E3514A"/>
    <w:rsid w:val="00E36247"/>
    <w:rsid w:val="00E421EB"/>
    <w:rsid w:val="00E432F0"/>
    <w:rsid w:val="00E4353F"/>
    <w:rsid w:val="00E43589"/>
    <w:rsid w:val="00E45061"/>
    <w:rsid w:val="00E46BAC"/>
    <w:rsid w:val="00E46DC8"/>
    <w:rsid w:val="00E47071"/>
    <w:rsid w:val="00E50F4C"/>
    <w:rsid w:val="00E51C2E"/>
    <w:rsid w:val="00E52ED5"/>
    <w:rsid w:val="00E5380B"/>
    <w:rsid w:val="00E557B7"/>
    <w:rsid w:val="00E55B91"/>
    <w:rsid w:val="00E57391"/>
    <w:rsid w:val="00E577D5"/>
    <w:rsid w:val="00E624C1"/>
    <w:rsid w:val="00E67AAE"/>
    <w:rsid w:val="00E67EC2"/>
    <w:rsid w:val="00E73518"/>
    <w:rsid w:val="00E73909"/>
    <w:rsid w:val="00E80C12"/>
    <w:rsid w:val="00E8154A"/>
    <w:rsid w:val="00E82C76"/>
    <w:rsid w:val="00E830DF"/>
    <w:rsid w:val="00E8416D"/>
    <w:rsid w:val="00E86C0D"/>
    <w:rsid w:val="00E86CA4"/>
    <w:rsid w:val="00E87653"/>
    <w:rsid w:val="00E9168C"/>
    <w:rsid w:val="00E924A3"/>
    <w:rsid w:val="00E930A2"/>
    <w:rsid w:val="00E93967"/>
    <w:rsid w:val="00E93C55"/>
    <w:rsid w:val="00E945A1"/>
    <w:rsid w:val="00E97A91"/>
    <w:rsid w:val="00EA3E09"/>
    <w:rsid w:val="00EA4526"/>
    <w:rsid w:val="00EA6629"/>
    <w:rsid w:val="00EB1582"/>
    <w:rsid w:val="00EB2FB9"/>
    <w:rsid w:val="00EB7926"/>
    <w:rsid w:val="00EC00C9"/>
    <w:rsid w:val="00EC176E"/>
    <w:rsid w:val="00EC2EEA"/>
    <w:rsid w:val="00EC706E"/>
    <w:rsid w:val="00EC7357"/>
    <w:rsid w:val="00EC7AA1"/>
    <w:rsid w:val="00ED0493"/>
    <w:rsid w:val="00ED0A3C"/>
    <w:rsid w:val="00ED0B16"/>
    <w:rsid w:val="00ED20FD"/>
    <w:rsid w:val="00ED2C17"/>
    <w:rsid w:val="00ED5C31"/>
    <w:rsid w:val="00ED7AB2"/>
    <w:rsid w:val="00EE0583"/>
    <w:rsid w:val="00EE0616"/>
    <w:rsid w:val="00EE1676"/>
    <w:rsid w:val="00EE21A8"/>
    <w:rsid w:val="00EE5403"/>
    <w:rsid w:val="00EE659B"/>
    <w:rsid w:val="00EE73C5"/>
    <w:rsid w:val="00EE7837"/>
    <w:rsid w:val="00EE7FDA"/>
    <w:rsid w:val="00EF05B9"/>
    <w:rsid w:val="00EF0766"/>
    <w:rsid w:val="00EF1EC4"/>
    <w:rsid w:val="00EF74DD"/>
    <w:rsid w:val="00F015B3"/>
    <w:rsid w:val="00F01B0B"/>
    <w:rsid w:val="00F03CF2"/>
    <w:rsid w:val="00F05E06"/>
    <w:rsid w:val="00F0726B"/>
    <w:rsid w:val="00F10826"/>
    <w:rsid w:val="00F10E2A"/>
    <w:rsid w:val="00F10E3F"/>
    <w:rsid w:val="00F11288"/>
    <w:rsid w:val="00F11C35"/>
    <w:rsid w:val="00F12795"/>
    <w:rsid w:val="00F14D5B"/>
    <w:rsid w:val="00F151DE"/>
    <w:rsid w:val="00F15695"/>
    <w:rsid w:val="00F15949"/>
    <w:rsid w:val="00F21574"/>
    <w:rsid w:val="00F22013"/>
    <w:rsid w:val="00F22565"/>
    <w:rsid w:val="00F2409D"/>
    <w:rsid w:val="00F24430"/>
    <w:rsid w:val="00F25F4B"/>
    <w:rsid w:val="00F275A5"/>
    <w:rsid w:val="00F30476"/>
    <w:rsid w:val="00F30C30"/>
    <w:rsid w:val="00F311AA"/>
    <w:rsid w:val="00F3163B"/>
    <w:rsid w:val="00F327AD"/>
    <w:rsid w:val="00F348B1"/>
    <w:rsid w:val="00F34D84"/>
    <w:rsid w:val="00F36953"/>
    <w:rsid w:val="00F36BE1"/>
    <w:rsid w:val="00F37F65"/>
    <w:rsid w:val="00F4328F"/>
    <w:rsid w:val="00F4362A"/>
    <w:rsid w:val="00F43684"/>
    <w:rsid w:val="00F43DDF"/>
    <w:rsid w:val="00F44421"/>
    <w:rsid w:val="00F478C0"/>
    <w:rsid w:val="00F51DA8"/>
    <w:rsid w:val="00F54631"/>
    <w:rsid w:val="00F54B97"/>
    <w:rsid w:val="00F56B81"/>
    <w:rsid w:val="00F57AFF"/>
    <w:rsid w:val="00F6299C"/>
    <w:rsid w:val="00F6362E"/>
    <w:rsid w:val="00F63E90"/>
    <w:rsid w:val="00F66339"/>
    <w:rsid w:val="00F663F7"/>
    <w:rsid w:val="00F71DB9"/>
    <w:rsid w:val="00F7203A"/>
    <w:rsid w:val="00F728EA"/>
    <w:rsid w:val="00F739EE"/>
    <w:rsid w:val="00F74251"/>
    <w:rsid w:val="00F7587A"/>
    <w:rsid w:val="00F75940"/>
    <w:rsid w:val="00F77789"/>
    <w:rsid w:val="00F8135F"/>
    <w:rsid w:val="00F81F73"/>
    <w:rsid w:val="00F82653"/>
    <w:rsid w:val="00F837E1"/>
    <w:rsid w:val="00F84758"/>
    <w:rsid w:val="00F85764"/>
    <w:rsid w:val="00F85FCC"/>
    <w:rsid w:val="00F8780B"/>
    <w:rsid w:val="00F90A64"/>
    <w:rsid w:val="00F928A8"/>
    <w:rsid w:val="00F92EC3"/>
    <w:rsid w:val="00F931A9"/>
    <w:rsid w:val="00F947A8"/>
    <w:rsid w:val="00F963F5"/>
    <w:rsid w:val="00F96DCB"/>
    <w:rsid w:val="00F97BE1"/>
    <w:rsid w:val="00FA00EA"/>
    <w:rsid w:val="00FA186A"/>
    <w:rsid w:val="00FA4279"/>
    <w:rsid w:val="00FB021F"/>
    <w:rsid w:val="00FB1F37"/>
    <w:rsid w:val="00FB1FB7"/>
    <w:rsid w:val="00FB39DB"/>
    <w:rsid w:val="00FB59CA"/>
    <w:rsid w:val="00FC0542"/>
    <w:rsid w:val="00FC0B20"/>
    <w:rsid w:val="00FC16B8"/>
    <w:rsid w:val="00FC2116"/>
    <w:rsid w:val="00FC3416"/>
    <w:rsid w:val="00FC4E1C"/>
    <w:rsid w:val="00FD0C8B"/>
    <w:rsid w:val="00FD0D5E"/>
    <w:rsid w:val="00FD1AAD"/>
    <w:rsid w:val="00FD3852"/>
    <w:rsid w:val="00FD3957"/>
    <w:rsid w:val="00FD43F1"/>
    <w:rsid w:val="00FD50A9"/>
    <w:rsid w:val="00FD5B0C"/>
    <w:rsid w:val="00FD5C15"/>
    <w:rsid w:val="00FD667F"/>
    <w:rsid w:val="00FE509A"/>
    <w:rsid w:val="00FE69A8"/>
    <w:rsid w:val="00FE6ECE"/>
    <w:rsid w:val="00FF1BE5"/>
    <w:rsid w:val="00FF36E6"/>
    <w:rsid w:val="00FF46BE"/>
    <w:rsid w:val="00FF6DF8"/>
    <w:rsid w:val="00FF79B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41B9E6E"/>
  <w15:docId w15:val="{E3135854-BAFB-4273-AC3A-879CAE690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heme="minorBidi"/>
        <w:lang w:val="en-AU"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5BA"/>
  </w:style>
  <w:style w:type="paragraph" w:styleId="Heading1">
    <w:name w:val="heading 1"/>
    <w:basedOn w:val="Normal"/>
    <w:next w:val="Normal"/>
    <w:link w:val="Heading1Char"/>
    <w:uiPriority w:val="9"/>
    <w:qFormat/>
    <w:rsid w:val="008B12AC"/>
    <w:pPr>
      <w:numPr>
        <w:numId w:val="1"/>
      </w:numPr>
      <w:spacing w:before="300" w:after="40"/>
      <w:jc w:val="left"/>
      <w:outlineLvl w:val="0"/>
    </w:pPr>
    <w:rPr>
      <w:b/>
      <w:smallCaps/>
      <w:color w:val="848057" w:themeColor="accent1" w:themeShade="BF"/>
      <w:spacing w:val="5"/>
      <w:sz w:val="32"/>
      <w:szCs w:val="32"/>
    </w:rPr>
  </w:style>
  <w:style w:type="paragraph" w:styleId="Heading2">
    <w:name w:val="heading 2"/>
    <w:basedOn w:val="Normal"/>
    <w:next w:val="Normal"/>
    <w:link w:val="Heading2Char"/>
    <w:uiPriority w:val="9"/>
    <w:unhideWhenUsed/>
    <w:qFormat/>
    <w:rsid w:val="008B12AC"/>
    <w:pPr>
      <w:numPr>
        <w:ilvl w:val="1"/>
        <w:numId w:val="1"/>
      </w:numPr>
      <w:spacing w:before="240" w:after="80"/>
      <w:jc w:val="left"/>
      <w:outlineLvl w:val="1"/>
    </w:pPr>
    <w:rPr>
      <w:b/>
      <w:smallCaps/>
      <w:color w:val="848057" w:themeColor="accent1" w:themeShade="BF"/>
      <w:spacing w:val="5"/>
      <w:sz w:val="28"/>
      <w:szCs w:val="28"/>
    </w:rPr>
  </w:style>
  <w:style w:type="paragraph" w:styleId="Heading3">
    <w:name w:val="heading 3"/>
    <w:basedOn w:val="Normal"/>
    <w:next w:val="Normal"/>
    <w:link w:val="Heading3Char"/>
    <w:uiPriority w:val="9"/>
    <w:unhideWhenUsed/>
    <w:qFormat/>
    <w:rsid w:val="00BA5F18"/>
    <w:pPr>
      <w:numPr>
        <w:ilvl w:val="2"/>
        <w:numId w:val="1"/>
      </w:numPr>
      <w:spacing w:after="0"/>
      <w:jc w:val="left"/>
      <w:outlineLvl w:val="2"/>
    </w:pPr>
    <w:rPr>
      <w:b/>
      <w:smallCaps/>
      <w:spacing w:val="5"/>
      <w:sz w:val="24"/>
      <w:szCs w:val="24"/>
    </w:rPr>
  </w:style>
  <w:style w:type="paragraph" w:styleId="Heading4">
    <w:name w:val="heading 4"/>
    <w:basedOn w:val="Normal"/>
    <w:next w:val="Normal"/>
    <w:link w:val="Heading4Char"/>
    <w:uiPriority w:val="9"/>
    <w:unhideWhenUsed/>
    <w:qFormat/>
    <w:rsid w:val="00E14721"/>
    <w:pPr>
      <w:numPr>
        <w:ilvl w:val="3"/>
        <w:numId w:val="1"/>
      </w:numPr>
      <w:spacing w:before="240" w:after="0"/>
      <w:jc w:val="left"/>
      <w:outlineLvl w:val="3"/>
    </w:pPr>
    <w:rPr>
      <w:b/>
      <w:i/>
      <w:smallCaps/>
      <w:spacing w:val="10"/>
      <w:sz w:val="22"/>
      <w:szCs w:val="22"/>
    </w:rPr>
  </w:style>
  <w:style w:type="paragraph" w:styleId="Heading5">
    <w:name w:val="heading 5"/>
    <w:basedOn w:val="Normal"/>
    <w:next w:val="Normal"/>
    <w:link w:val="Heading5Char"/>
    <w:uiPriority w:val="9"/>
    <w:semiHidden/>
    <w:unhideWhenUsed/>
    <w:qFormat/>
    <w:rsid w:val="00B525BA"/>
    <w:pPr>
      <w:numPr>
        <w:ilvl w:val="4"/>
        <w:numId w:val="1"/>
      </w:numPr>
      <w:spacing w:before="200" w:after="0"/>
      <w:jc w:val="left"/>
      <w:outlineLvl w:val="4"/>
    </w:pPr>
    <w:rPr>
      <w:smallCaps/>
      <w:color w:val="679B9A" w:themeColor="accent2" w:themeShade="BF"/>
      <w:spacing w:val="10"/>
      <w:sz w:val="22"/>
      <w:szCs w:val="26"/>
    </w:rPr>
  </w:style>
  <w:style w:type="paragraph" w:styleId="Heading6">
    <w:name w:val="heading 6"/>
    <w:basedOn w:val="Normal"/>
    <w:next w:val="Normal"/>
    <w:link w:val="Heading6Char"/>
    <w:uiPriority w:val="9"/>
    <w:semiHidden/>
    <w:unhideWhenUsed/>
    <w:qFormat/>
    <w:rsid w:val="00B525BA"/>
    <w:pPr>
      <w:numPr>
        <w:ilvl w:val="5"/>
        <w:numId w:val="1"/>
      </w:numPr>
      <w:spacing w:after="0"/>
      <w:jc w:val="left"/>
      <w:outlineLvl w:val="5"/>
    </w:pPr>
    <w:rPr>
      <w:smallCaps/>
      <w:color w:val="9CBEBD" w:themeColor="accent2"/>
      <w:spacing w:val="5"/>
      <w:sz w:val="22"/>
    </w:rPr>
  </w:style>
  <w:style w:type="paragraph" w:styleId="Heading7">
    <w:name w:val="heading 7"/>
    <w:basedOn w:val="Normal"/>
    <w:next w:val="Normal"/>
    <w:link w:val="Heading7Char"/>
    <w:uiPriority w:val="9"/>
    <w:semiHidden/>
    <w:unhideWhenUsed/>
    <w:qFormat/>
    <w:rsid w:val="00B525BA"/>
    <w:pPr>
      <w:numPr>
        <w:ilvl w:val="6"/>
        <w:numId w:val="1"/>
      </w:numPr>
      <w:spacing w:after="0"/>
      <w:jc w:val="left"/>
      <w:outlineLvl w:val="6"/>
    </w:pPr>
    <w:rPr>
      <w:b/>
      <w:smallCaps/>
      <w:color w:val="9CBEBD" w:themeColor="accent2"/>
      <w:spacing w:val="10"/>
    </w:rPr>
  </w:style>
  <w:style w:type="paragraph" w:styleId="Heading8">
    <w:name w:val="heading 8"/>
    <w:basedOn w:val="Normal"/>
    <w:next w:val="Normal"/>
    <w:link w:val="Heading8Char"/>
    <w:uiPriority w:val="9"/>
    <w:semiHidden/>
    <w:unhideWhenUsed/>
    <w:qFormat/>
    <w:rsid w:val="00B525BA"/>
    <w:pPr>
      <w:numPr>
        <w:ilvl w:val="7"/>
        <w:numId w:val="1"/>
      </w:numPr>
      <w:spacing w:after="0"/>
      <w:jc w:val="left"/>
      <w:outlineLvl w:val="7"/>
    </w:pPr>
    <w:rPr>
      <w:b/>
      <w:i/>
      <w:smallCaps/>
      <w:color w:val="679B9A" w:themeColor="accent2" w:themeShade="BF"/>
    </w:rPr>
  </w:style>
  <w:style w:type="paragraph" w:styleId="Heading9">
    <w:name w:val="heading 9"/>
    <w:basedOn w:val="Normal"/>
    <w:next w:val="Normal"/>
    <w:link w:val="Heading9Char"/>
    <w:uiPriority w:val="9"/>
    <w:semiHidden/>
    <w:unhideWhenUsed/>
    <w:qFormat/>
    <w:rsid w:val="00B525BA"/>
    <w:pPr>
      <w:numPr>
        <w:ilvl w:val="8"/>
        <w:numId w:val="1"/>
      </w:numPr>
      <w:spacing w:after="0"/>
      <w:jc w:val="left"/>
      <w:outlineLvl w:val="8"/>
    </w:pPr>
    <w:rPr>
      <w:b/>
      <w:i/>
      <w:smallCaps/>
      <w:color w:val="44676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able title"/>
    <w:basedOn w:val="Normal"/>
    <w:next w:val="Normal"/>
    <w:link w:val="TitleChar"/>
    <w:uiPriority w:val="10"/>
    <w:qFormat/>
    <w:rsid w:val="00B525BA"/>
    <w:pPr>
      <w:pBdr>
        <w:top w:val="single" w:sz="12" w:space="1" w:color="9CBEBD" w:themeColor="accent2"/>
      </w:pBdr>
      <w:spacing w:line="240" w:lineRule="auto"/>
      <w:jc w:val="right"/>
    </w:pPr>
    <w:rPr>
      <w:smallCaps/>
      <w:sz w:val="48"/>
      <w:szCs w:val="48"/>
    </w:rPr>
  </w:style>
  <w:style w:type="character" w:customStyle="1" w:styleId="TitleChar">
    <w:name w:val="Title Char"/>
    <w:aliases w:val="Table title Char"/>
    <w:basedOn w:val="DefaultParagraphFont"/>
    <w:link w:val="Title"/>
    <w:uiPriority w:val="10"/>
    <w:rsid w:val="00B525BA"/>
    <w:rPr>
      <w:smallCaps/>
      <w:sz w:val="48"/>
      <w:szCs w:val="48"/>
    </w:rPr>
  </w:style>
  <w:style w:type="character" w:customStyle="1" w:styleId="Heading1Char">
    <w:name w:val="Heading 1 Char"/>
    <w:basedOn w:val="DefaultParagraphFont"/>
    <w:link w:val="Heading1"/>
    <w:uiPriority w:val="9"/>
    <w:rsid w:val="008B12AC"/>
    <w:rPr>
      <w:b/>
      <w:smallCaps/>
      <w:color w:val="848057" w:themeColor="accent1" w:themeShade="BF"/>
      <w:spacing w:val="5"/>
      <w:sz w:val="32"/>
      <w:szCs w:val="32"/>
    </w:rPr>
  </w:style>
  <w:style w:type="paragraph" w:styleId="Subtitle">
    <w:name w:val="Subtitle"/>
    <w:basedOn w:val="Normal"/>
    <w:next w:val="Normal"/>
    <w:link w:val="SubtitleChar"/>
    <w:uiPriority w:val="11"/>
    <w:qFormat/>
    <w:rsid w:val="00B525BA"/>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525BA"/>
    <w:rPr>
      <w:rFonts w:asciiTheme="majorHAnsi" w:eastAsiaTheme="majorEastAsia" w:hAnsiTheme="majorHAnsi" w:cstheme="majorBidi"/>
      <w:szCs w:val="22"/>
    </w:rPr>
  </w:style>
  <w:style w:type="character" w:customStyle="1" w:styleId="Heading2Char">
    <w:name w:val="Heading 2 Char"/>
    <w:basedOn w:val="DefaultParagraphFont"/>
    <w:link w:val="Heading2"/>
    <w:uiPriority w:val="9"/>
    <w:rsid w:val="008B12AC"/>
    <w:rPr>
      <w:b/>
      <w:smallCaps/>
      <w:color w:val="848057" w:themeColor="accent1" w:themeShade="BF"/>
      <w:spacing w:val="5"/>
      <w:sz w:val="28"/>
      <w:szCs w:val="28"/>
    </w:rPr>
  </w:style>
  <w:style w:type="paragraph" w:styleId="ListParagraph">
    <w:name w:val="List Paragraph"/>
    <w:basedOn w:val="Normal"/>
    <w:uiPriority w:val="34"/>
    <w:qFormat/>
    <w:rsid w:val="00B525BA"/>
    <w:pPr>
      <w:ind w:left="720"/>
      <w:contextualSpacing/>
    </w:pPr>
  </w:style>
  <w:style w:type="table" w:styleId="TableGrid">
    <w:name w:val="Table Grid"/>
    <w:basedOn w:val="TableNormal"/>
    <w:uiPriority w:val="39"/>
    <w:rsid w:val="00FC3416"/>
    <w:pPr>
      <w:spacing w:after="0" w:line="240" w:lineRule="auto"/>
    </w:pPr>
    <w:rPr>
      <w:rFonts w:eastAsia="Calibri" w:cs="Times New Roman"/>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styleId="BalloonText">
    <w:name w:val="Balloon Text"/>
    <w:basedOn w:val="Normal"/>
    <w:link w:val="BalloonTextChar"/>
    <w:uiPriority w:val="99"/>
    <w:semiHidden/>
    <w:unhideWhenUsed/>
    <w:rsid w:val="00263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15D"/>
    <w:rPr>
      <w:rFonts w:ascii="Tahoma" w:hAnsi="Tahoma" w:cs="Tahoma"/>
      <w:sz w:val="16"/>
      <w:szCs w:val="16"/>
    </w:rPr>
  </w:style>
  <w:style w:type="paragraph" w:styleId="Header">
    <w:name w:val="header"/>
    <w:basedOn w:val="Normal"/>
    <w:link w:val="HeaderChar"/>
    <w:uiPriority w:val="99"/>
    <w:unhideWhenUsed/>
    <w:rsid w:val="00A74D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4D24"/>
  </w:style>
  <w:style w:type="paragraph" w:styleId="Footer">
    <w:name w:val="footer"/>
    <w:basedOn w:val="Normal"/>
    <w:link w:val="FooterChar"/>
    <w:uiPriority w:val="99"/>
    <w:unhideWhenUsed/>
    <w:rsid w:val="00A74D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4D24"/>
  </w:style>
  <w:style w:type="character" w:styleId="CommentReference">
    <w:name w:val="annotation reference"/>
    <w:basedOn w:val="DefaultParagraphFont"/>
    <w:uiPriority w:val="99"/>
    <w:unhideWhenUsed/>
    <w:rsid w:val="00597325"/>
    <w:rPr>
      <w:sz w:val="18"/>
      <w:szCs w:val="18"/>
    </w:rPr>
  </w:style>
  <w:style w:type="paragraph" w:styleId="CommentText">
    <w:name w:val="annotation text"/>
    <w:basedOn w:val="Normal"/>
    <w:link w:val="CommentTextChar"/>
    <w:uiPriority w:val="99"/>
    <w:unhideWhenUsed/>
    <w:rsid w:val="00597325"/>
    <w:pPr>
      <w:spacing w:line="240" w:lineRule="auto"/>
    </w:pPr>
    <w:rPr>
      <w:sz w:val="24"/>
      <w:szCs w:val="24"/>
    </w:rPr>
  </w:style>
  <w:style w:type="character" w:customStyle="1" w:styleId="CommentTextChar">
    <w:name w:val="Comment Text Char"/>
    <w:basedOn w:val="DefaultParagraphFont"/>
    <w:link w:val="CommentText"/>
    <w:uiPriority w:val="99"/>
    <w:rsid w:val="00597325"/>
    <w:rPr>
      <w:sz w:val="24"/>
      <w:szCs w:val="24"/>
    </w:rPr>
  </w:style>
  <w:style w:type="paragraph" w:styleId="CommentSubject">
    <w:name w:val="annotation subject"/>
    <w:basedOn w:val="CommentText"/>
    <w:next w:val="CommentText"/>
    <w:link w:val="CommentSubjectChar"/>
    <w:uiPriority w:val="99"/>
    <w:semiHidden/>
    <w:unhideWhenUsed/>
    <w:rsid w:val="00597325"/>
    <w:rPr>
      <w:b/>
      <w:bCs/>
      <w:sz w:val="20"/>
      <w:szCs w:val="20"/>
    </w:rPr>
  </w:style>
  <w:style w:type="character" w:customStyle="1" w:styleId="CommentSubjectChar">
    <w:name w:val="Comment Subject Char"/>
    <w:basedOn w:val="CommentTextChar"/>
    <w:link w:val="CommentSubject"/>
    <w:uiPriority w:val="99"/>
    <w:semiHidden/>
    <w:rsid w:val="00597325"/>
    <w:rPr>
      <w:b/>
      <w:bCs/>
      <w:sz w:val="20"/>
      <w:szCs w:val="20"/>
    </w:rPr>
  </w:style>
  <w:style w:type="character" w:styleId="PageNumber">
    <w:name w:val="page number"/>
    <w:basedOn w:val="DefaultParagraphFont"/>
    <w:uiPriority w:val="99"/>
    <w:semiHidden/>
    <w:unhideWhenUsed/>
    <w:rsid w:val="00CB245B"/>
  </w:style>
  <w:style w:type="character" w:styleId="Hyperlink">
    <w:name w:val="Hyperlink"/>
    <w:basedOn w:val="DefaultParagraphFont"/>
    <w:uiPriority w:val="99"/>
    <w:unhideWhenUsed/>
    <w:rsid w:val="0035168B"/>
    <w:rPr>
      <w:color w:val="D25814" w:themeColor="hyperlink"/>
      <w:u w:val="single"/>
    </w:rPr>
  </w:style>
  <w:style w:type="paragraph" w:styleId="TOCHeading">
    <w:name w:val="TOC Heading"/>
    <w:basedOn w:val="Heading1"/>
    <w:next w:val="Normal"/>
    <w:uiPriority w:val="39"/>
    <w:unhideWhenUsed/>
    <w:qFormat/>
    <w:rsid w:val="00B525BA"/>
    <w:pPr>
      <w:numPr>
        <w:numId w:val="0"/>
      </w:numPr>
      <w:outlineLvl w:val="9"/>
    </w:pPr>
    <w:rPr>
      <w:lang w:bidi="en-US"/>
    </w:rPr>
  </w:style>
  <w:style w:type="paragraph" w:styleId="TOC1">
    <w:name w:val="toc 1"/>
    <w:basedOn w:val="Normal"/>
    <w:next w:val="Normal"/>
    <w:autoRedefine/>
    <w:uiPriority w:val="39"/>
    <w:unhideWhenUsed/>
    <w:rsid w:val="00981FAF"/>
    <w:pPr>
      <w:spacing w:after="100"/>
    </w:pPr>
  </w:style>
  <w:style w:type="character" w:styleId="IntenseEmphasis">
    <w:name w:val="Intense Emphasis"/>
    <w:uiPriority w:val="21"/>
    <w:qFormat/>
    <w:rsid w:val="00B525BA"/>
    <w:rPr>
      <w:b/>
      <w:i/>
      <w:color w:val="9CBEBD" w:themeColor="accent2"/>
      <w:spacing w:val="10"/>
    </w:rPr>
  </w:style>
  <w:style w:type="character" w:customStyle="1" w:styleId="Heading3Char">
    <w:name w:val="Heading 3 Char"/>
    <w:basedOn w:val="DefaultParagraphFont"/>
    <w:link w:val="Heading3"/>
    <w:uiPriority w:val="9"/>
    <w:rsid w:val="00BA5F18"/>
    <w:rPr>
      <w:b/>
      <w:smallCaps/>
      <w:spacing w:val="5"/>
      <w:sz w:val="24"/>
      <w:szCs w:val="24"/>
    </w:rPr>
  </w:style>
  <w:style w:type="paragraph" w:styleId="NoSpacing">
    <w:name w:val="No Spacing"/>
    <w:basedOn w:val="Normal"/>
    <w:link w:val="NoSpacingChar"/>
    <w:uiPriority w:val="1"/>
    <w:qFormat/>
    <w:rsid w:val="00B525BA"/>
    <w:pPr>
      <w:spacing w:after="0" w:line="240" w:lineRule="auto"/>
    </w:pPr>
  </w:style>
  <w:style w:type="paragraph" w:styleId="List">
    <w:name w:val="List"/>
    <w:basedOn w:val="Normal"/>
    <w:uiPriority w:val="99"/>
    <w:semiHidden/>
    <w:unhideWhenUsed/>
    <w:rsid w:val="00A8720F"/>
    <w:pPr>
      <w:ind w:left="283" w:hanging="283"/>
      <w:contextualSpacing/>
    </w:pPr>
  </w:style>
  <w:style w:type="character" w:customStyle="1" w:styleId="Heading4Char">
    <w:name w:val="Heading 4 Char"/>
    <w:basedOn w:val="DefaultParagraphFont"/>
    <w:link w:val="Heading4"/>
    <w:uiPriority w:val="9"/>
    <w:rsid w:val="00E14721"/>
    <w:rPr>
      <w:b/>
      <w:i/>
      <w:smallCaps/>
      <w:spacing w:val="10"/>
      <w:sz w:val="22"/>
      <w:szCs w:val="22"/>
    </w:rPr>
  </w:style>
  <w:style w:type="character" w:customStyle="1" w:styleId="Heading5Char">
    <w:name w:val="Heading 5 Char"/>
    <w:basedOn w:val="DefaultParagraphFont"/>
    <w:link w:val="Heading5"/>
    <w:uiPriority w:val="9"/>
    <w:semiHidden/>
    <w:rsid w:val="00B525BA"/>
    <w:rPr>
      <w:smallCaps/>
      <w:color w:val="679B9A" w:themeColor="accent2" w:themeShade="BF"/>
      <w:spacing w:val="10"/>
      <w:sz w:val="22"/>
      <w:szCs w:val="26"/>
    </w:rPr>
  </w:style>
  <w:style w:type="character" w:customStyle="1" w:styleId="Heading6Char">
    <w:name w:val="Heading 6 Char"/>
    <w:basedOn w:val="DefaultParagraphFont"/>
    <w:link w:val="Heading6"/>
    <w:uiPriority w:val="9"/>
    <w:semiHidden/>
    <w:rsid w:val="00B525BA"/>
    <w:rPr>
      <w:smallCaps/>
      <w:color w:val="9CBEBD" w:themeColor="accent2"/>
      <w:spacing w:val="5"/>
      <w:sz w:val="22"/>
    </w:rPr>
  </w:style>
  <w:style w:type="character" w:customStyle="1" w:styleId="Heading7Char">
    <w:name w:val="Heading 7 Char"/>
    <w:basedOn w:val="DefaultParagraphFont"/>
    <w:link w:val="Heading7"/>
    <w:uiPriority w:val="9"/>
    <w:semiHidden/>
    <w:rsid w:val="00B525BA"/>
    <w:rPr>
      <w:b/>
      <w:smallCaps/>
      <w:color w:val="9CBEBD" w:themeColor="accent2"/>
      <w:spacing w:val="10"/>
    </w:rPr>
  </w:style>
  <w:style w:type="character" w:customStyle="1" w:styleId="Heading8Char">
    <w:name w:val="Heading 8 Char"/>
    <w:basedOn w:val="DefaultParagraphFont"/>
    <w:link w:val="Heading8"/>
    <w:uiPriority w:val="9"/>
    <w:semiHidden/>
    <w:rsid w:val="00B525BA"/>
    <w:rPr>
      <w:b/>
      <w:i/>
      <w:smallCaps/>
      <w:color w:val="679B9A" w:themeColor="accent2" w:themeShade="BF"/>
    </w:rPr>
  </w:style>
  <w:style w:type="character" w:customStyle="1" w:styleId="Heading9Char">
    <w:name w:val="Heading 9 Char"/>
    <w:basedOn w:val="DefaultParagraphFont"/>
    <w:link w:val="Heading9"/>
    <w:uiPriority w:val="9"/>
    <w:semiHidden/>
    <w:rsid w:val="00B525BA"/>
    <w:rPr>
      <w:b/>
      <w:i/>
      <w:smallCaps/>
      <w:color w:val="446766" w:themeColor="accent2" w:themeShade="7F"/>
    </w:rPr>
  </w:style>
  <w:style w:type="paragraph" w:styleId="TOC2">
    <w:name w:val="toc 2"/>
    <w:basedOn w:val="Normal"/>
    <w:next w:val="Normal"/>
    <w:autoRedefine/>
    <w:uiPriority w:val="39"/>
    <w:unhideWhenUsed/>
    <w:rsid w:val="00042B02"/>
    <w:pPr>
      <w:spacing w:after="100"/>
      <w:ind w:left="220"/>
    </w:pPr>
  </w:style>
  <w:style w:type="paragraph" w:styleId="TOC3">
    <w:name w:val="toc 3"/>
    <w:basedOn w:val="Normal"/>
    <w:next w:val="Normal"/>
    <w:autoRedefine/>
    <w:uiPriority w:val="39"/>
    <w:unhideWhenUsed/>
    <w:rsid w:val="00042B02"/>
    <w:pPr>
      <w:spacing w:after="100"/>
      <w:ind w:left="440"/>
    </w:pPr>
  </w:style>
  <w:style w:type="paragraph" w:styleId="Caption">
    <w:name w:val="caption"/>
    <w:aliases w:val="Figure Caption"/>
    <w:basedOn w:val="Normal"/>
    <w:next w:val="Normal"/>
    <w:link w:val="CaptionChar"/>
    <w:unhideWhenUsed/>
    <w:qFormat/>
    <w:rsid w:val="0035179A"/>
    <w:rPr>
      <w:b/>
      <w:bCs/>
      <w:caps/>
      <w:sz w:val="18"/>
      <w:szCs w:val="18"/>
    </w:rPr>
  </w:style>
  <w:style w:type="character" w:styleId="Strong">
    <w:name w:val="Strong"/>
    <w:qFormat/>
    <w:rsid w:val="00B525BA"/>
    <w:rPr>
      <w:b/>
      <w:color w:val="9CBEBD" w:themeColor="accent2"/>
    </w:rPr>
  </w:style>
  <w:style w:type="character" w:styleId="Emphasis">
    <w:name w:val="Emphasis"/>
    <w:uiPriority w:val="20"/>
    <w:qFormat/>
    <w:rsid w:val="00B525BA"/>
    <w:rPr>
      <w:b/>
      <w:i/>
      <w:spacing w:val="10"/>
    </w:rPr>
  </w:style>
  <w:style w:type="character" w:customStyle="1" w:styleId="NoSpacingChar">
    <w:name w:val="No Spacing Char"/>
    <w:basedOn w:val="DefaultParagraphFont"/>
    <w:link w:val="NoSpacing"/>
    <w:uiPriority w:val="1"/>
    <w:rsid w:val="00B525BA"/>
  </w:style>
  <w:style w:type="paragraph" w:styleId="Quote">
    <w:name w:val="Quote"/>
    <w:basedOn w:val="Normal"/>
    <w:next w:val="Normal"/>
    <w:link w:val="QuoteChar"/>
    <w:uiPriority w:val="29"/>
    <w:qFormat/>
    <w:rsid w:val="00B525BA"/>
    <w:rPr>
      <w:i/>
    </w:rPr>
  </w:style>
  <w:style w:type="character" w:customStyle="1" w:styleId="QuoteChar">
    <w:name w:val="Quote Char"/>
    <w:basedOn w:val="DefaultParagraphFont"/>
    <w:link w:val="Quote"/>
    <w:uiPriority w:val="29"/>
    <w:rsid w:val="00B525BA"/>
    <w:rPr>
      <w:i/>
    </w:rPr>
  </w:style>
  <w:style w:type="paragraph" w:styleId="IntenseQuote">
    <w:name w:val="Intense Quote"/>
    <w:basedOn w:val="Normal"/>
    <w:next w:val="Normal"/>
    <w:link w:val="IntenseQuoteChar"/>
    <w:uiPriority w:val="30"/>
    <w:qFormat/>
    <w:rsid w:val="00B525BA"/>
    <w:pPr>
      <w:pBdr>
        <w:top w:val="single" w:sz="8" w:space="10" w:color="679B9A" w:themeColor="accent2" w:themeShade="BF"/>
        <w:left w:val="single" w:sz="8" w:space="10" w:color="679B9A" w:themeColor="accent2" w:themeShade="BF"/>
        <w:bottom w:val="single" w:sz="8" w:space="10" w:color="679B9A" w:themeColor="accent2" w:themeShade="BF"/>
        <w:right w:val="single" w:sz="8" w:space="10" w:color="679B9A" w:themeColor="accent2" w:themeShade="BF"/>
      </w:pBdr>
      <w:shd w:val="clear" w:color="auto" w:fill="9CBEB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525BA"/>
    <w:rPr>
      <w:b/>
      <w:i/>
      <w:color w:val="FFFFFF" w:themeColor="background1"/>
      <w:shd w:val="clear" w:color="auto" w:fill="9CBEBD" w:themeFill="accent2"/>
    </w:rPr>
  </w:style>
  <w:style w:type="character" w:styleId="SubtleEmphasis">
    <w:name w:val="Subtle Emphasis"/>
    <w:uiPriority w:val="19"/>
    <w:qFormat/>
    <w:rsid w:val="00B525BA"/>
    <w:rPr>
      <w:i/>
    </w:rPr>
  </w:style>
  <w:style w:type="character" w:styleId="SubtleReference">
    <w:name w:val="Subtle Reference"/>
    <w:uiPriority w:val="31"/>
    <w:qFormat/>
    <w:rsid w:val="00B525BA"/>
    <w:rPr>
      <w:b/>
    </w:rPr>
  </w:style>
  <w:style w:type="character" w:styleId="IntenseReference">
    <w:name w:val="Intense Reference"/>
    <w:uiPriority w:val="32"/>
    <w:qFormat/>
    <w:rsid w:val="00B525BA"/>
    <w:rPr>
      <w:b/>
      <w:bCs/>
      <w:smallCaps/>
      <w:spacing w:val="5"/>
      <w:sz w:val="22"/>
      <w:szCs w:val="22"/>
      <w:u w:val="single"/>
    </w:rPr>
  </w:style>
  <w:style w:type="character" w:styleId="BookTitle">
    <w:name w:val="Book Title"/>
    <w:uiPriority w:val="33"/>
    <w:qFormat/>
    <w:rsid w:val="00B525BA"/>
    <w:rPr>
      <w:rFonts w:asciiTheme="majorHAnsi" w:eastAsiaTheme="majorEastAsia" w:hAnsiTheme="majorHAnsi" w:cstheme="majorBidi"/>
      <w:i/>
      <w:iCs/>
      <w:sz w:val="20"/>
      <w:szCs w:val="20"/>
    </w:rPr>
  </w:style>
  <w:style w:type="paragraph" w:customStyle="1" w:styleId="H1notnumberedinTOC">
    <w:name w:val="H1 not numbered in TOC"/>
    <w:basedOn w:val="Heading1"/>
    <w:uiPriority w:val="4"/>
    <w:qFormat/>
    <w:rsid w:val="00CA2773"/>
    <w:pPr>
      <w:keepNext/>
      <w:keepLines/>
      <w:numPr>
        <w:numId w:val="0"/>
      </w:numPr>
      <w:spacing w:before="0" w:after="120" w:line="288" w:lineRule="auto"/>
      <w:ind w:left="432" w:hanging="432"/>
    </w:pPr>
    <w:rPr>
      <w:rFonts w:ascii="Arial Rounded MT Bold" w:eastAsiaTheme="majorEastAsia" w:hAnsi="Arial Rounded MT Bold" w:cstheme="majorBidi"/>
      <w:b w:val="0"/>
      <w:bCs/>
      <w:smallCaps w:val="0"/>
      <w:color w:val="58553A" w:themeColor="accent1" w:themeShade="80"/>
      <w:spacing w:val="0"/>
      <w:kern w:val="28"/>
      <w:sz w:val="40"/>
      <w:szCs w:val="28"/>
      <w:lang w:val="en-GB"/>
    </w:rPr>
  </w:style>
  <w:style w:type="character" w:customStyle="1" w:styleId="ital">
    <w:name w:val="ital"/>
    <w:uiPriority w:val="99"/>
    <w:rsid w:val="00CA2773"/>
    <w:rPr>
      <w:i/>
      <w:iCs/>
    </w:rPr>
  </w:style>
  <w:style w:type="character" w:customStyle="1" w:styleId="Medium">
    <w:name w:val="Medium"/>
    <w:uiPriority w:val="99"/>
    <w:rsid w:val="00CA2773"/>
  </w:style>
  <w:style w:type="paragraph" w:customStyle="1" w:styleId="Tabletext">
    <w:name w:val="Tabletext"/>
    <w:basedOn w:val="Normal"/>
    <w:uiPriority w:val="99"/>
    <w:rsid w:val="00CA2773"/>
    <w:pPr>
      <w:widowControl w:val="0"/>
      <w:suppressAutoHyphens/>
      <w:autoSpaceDE w:val="0"/>
      <w:autoSpaceDN w:val="0"/>
      <w:adjustRightInd w:val="0"/>
      <w:spacing w:after="113" w:line="260" w:lineRule="atLeast"/>
      <w:jc w:val="left"/>
      <w:textAlignment w:val="center"/>
    </w:pPr>
    <w:rPr>
      <w:rFonts w:ascii="FranklinGothicLT-Book" w:hAnsi="FranklinGothicLT-Book" w:cs="FranklinGothicLT-Book"/>
      <w:color w:val="000000"/>
      <w:lang w:val="en-US" w:eastAsia="ja-JP"/>
    </w:rPr>
  </w:style>
  <w:style w:type="paragraph" w:customStyle="1" w:styleId="Table">
    <w:name w:val="Table"/>
    <w:basedOn w:val="Normal"/>
    <w:qFormat/>
    <w:rsid w:val="00261157"/>
    <w:pPr>
      <w:spacing w:after="0" w:line="288" w:lineRule="auto"/>
      <w:jc w:val="left"/>
    </w:pPr>
    <w:rPr>
      <w:rFonts w:ascii="Franklin Gothic Book" w:eastAsiaTheme="minorHAnsi" w:hAnsi="Franklin Gothic Book"/>
      <w:szCs w:val="18"/>
      <w:lang w:val="en-GB"/>
    </w:rPr>
  </w:style>
  <w:style w:type="table" w:styleId="LightShading">
    <w:name w:val="Light Shading"/>
    <w:basedOn w:val="TableNormal"/>
    <w:uiPriority w:val="60"/>
    <w:rsid w:val="00261157"/>
    <w:pPr>
      <w:spacing w:after="0" w:line="240" w:lineRule="auto"/>
    </w:pPr>
    <w:rPr>
      <w:color w:val="232018" w:themeColor="text1" w:themeShade="BF"/>
    </w:rPr>
    <w:tblPr>
      <w:tblStyleRowBandSize w:val="1"/>
      <w:tblStyleColBandSize w:val="1"/>
      <w:tblBorders>
        <w:top w:val="single" w:sz="8" w:space="0" w:color="2F2B20" w:themeColor="text1"/>
        <w:bottom w:val="single" w:sz="8" w:space="0" w:color="2F2B20" w:themeColor="text1"/>
      </w:tblBorders>
    </w:tblPr>
    <w:tblStylePr w:type="firstRow">
      <w:pPr>
        <w:spacing w:before="0" w:after="0" w:line="240" w:lineRule="auto"/>
      </w:pPr>
      <w:rPr>
        <w:b/>
        <w:bCs/>
      </w:rPr>
      <w:tblPr/>
      <w:tcPr>
        <w:tcBorders>
          <w:top w:val="single" w:sz="8" w:space="0" w:color="2F2B20" w:themeColor="text1"/>
          <w:left w:val="nil"/>
          <w:bottom w:val="single" w:sz="8" w:space="0" w:color="2F2B20" w:themeColor="text1"/>
          <w:right w:val="nil"/>
          <w:insideH w:val="nil"/>
          <w:insideV w:val="nil"/>
        </w:tcBorders>
      </w:tcPr>
    </w:tblStylePr>
    <w:tblStylePr w:type="lastRow">
      <w:pPr>
        <w:spacing w:before="0" w:after="0" w:line="240" w:lineRule="auto"/>
      </w:pPr>
      <w:rPr>
        <w:b/>
        <w:bCs/>
      </w:rPr>
      <w:tblPr/>
      <w:tcPr>
        <w:tcBorders>
          <w:top w:val="single" w:sz="8" w:space="0" w:color="2F2B20" w:themeColor="text1"/>
          <w:left w:val="nil"/>
          <w:bottom w:val="single" w:sz="8" w:space="0" w:color="2F2B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CEBF" w:themeFill="text1" w:themeFillTint="3F"/>
      </w:tcPr>
    </w:tblStylePr>
    <w:tblStylePr w:type="band1Horz">
      <w:tblPr/>
      <w:tcPr>
        <w:tcBorders>
          <w:left w:val="nil"/>
          <w:right w:val="nil"/>
          <w:insideH w:val="nil"/>
          <w:insideV w:val="nil"/>
        </w:tcBorders>
        <w:shd w:val="clear" w:color="auto" w:fill="D3CEBF" w:themeFill="text1" w:themeFillTint="3F"/>
      </w:tcPr>
    </w:tblStylePr>
  </w:style>
  <w:style w:type="table" w:styleId="ColorfulList">
    <w:name w:val="Colorful List"/>
    <w:basedOn w:val="TableNormal"/>
    <w:uiPriority w:val="72"/>
    <w:rsid w:val="00FE6ECE"/>
    <w:pPr>
      <w:spacing w:after="0" w:line="240" w:lineRule="auto"/>
    </w:pPr>
    <w:rPr>
      <w:color w:val="2F2B20" w:themeColor="text1"/>
    </w:rPr>
    <w:tblPr>
      <w:tblStyleRowBandSize w:val="1"/>
      <w:tblStyleColBandSize w:val="1"/>
    </w:tblPr>
    <w:tcPr>
      <w:shd w:val="clear" w:color="auto" w:fill="EEEBE5" w:themeFill="text1" w:themeFillTint="19"/>
    </w:tcPr>
    <w:tblStylePr w:type="firstRow">
      <w:rPr>
        <w:b/>
        <w:bCs/>
        <w:color w:val="FFFFFF" w:themeColor="background1"/>
      </w:rPr>
      <w:tblPr/>
      <w:tcPr>
        <w:tcBorders>
          <w:bottom w:val="single" w:sz="12" w:space="0" w:color="FFFFFF" w:themeColor="background1"/>
        </w:tcBorders>
        <w:shd w:val="clear" w:color="auto" w:fill="72A2A1" w:themeFill="accent2" w:themeFillShade="CC"/>
      </w:tcPr>
    </w:tblStylePr>
    <w:tblStylePr w:type="lastRow">
      <w:rPr>
        <w:b/>
        <w:bCs/>
        <w:color w:val="72A2A1" w:themeColor="accent2" w:themeShade="CC"/>
      </w:rPr>
      <w:tblPr/>
      <w:tcPr>
        <w:tcBorders>
          <w:top w:val="single" w:sz="12" w:space="0" w:color="2F2B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CEBF" w:themeFill="text1" w:themeFillTint="3F"/>
      </w:tcPr>
    </w:tblStylePr>
    <w:tblStylePr w:type="band1Horz">
      <w:tblPr/>
      <w:tcPr>
        <w:shd w:val="clear" w:color="auto" w:fill="DCD7CB" w:themeFill="text1" w:themeFillTint="33"/>
      </w:tcPr>
    </w:tblStylePr>
  </w:style>
  <w:style w:type="table" w:styleId="ColorfulList-Accent2">
    <w:name w:val="Colorful List Accent 2"/>
    <w:basedOn w:val="TableNormal"/>
    <w:uiPriority w:val="72"/>
    <w:rsid w:val="00426C71"/>
    <w:pPr>
      <w:spacing w:after="0" w:line="240" w:lineRule="auto"/>
    </w:pPr>
    <w:rPr>
      <w:color w:val="2F2B20" w:themeColor="text1"/>
    </w:rPr>
    <w:tblPr>
      <w:tblStyleRowBandSize w:val="1"/>
      <w:tblStyleColBandSize w:val="1"/>
    </w:tblPr>
    <w:tcPr>
      <w:shd w:val="clear" w:color="auto" w:fill="F5F8F8" w:themeFill="accent2" w:themeFillTint="19"/>
    </w:tcPr>
    <w:tblStylePr w:type="firstRow">
      <w:rPr>
        <w:b/>
        <w:bCs/>
        <w:color w:val="FFFFFF" w:themeColor="background1"/>
      </w:rPr>
      <w:tblPr/>
      <w:tcPr>
        <w:tcBorders>
          <w:bottom w:val="single" w:sz="12" w:space="0" w:color="FFFFFF" w:themeColor="background1"/>
        </w:tcBorders>
        <w:shd w:val="clear" w:color="auto" w:fill="72A2A1" w:themeFill="accent2" w:themeFillShade="CC"/>
      </w:tcPr>
    </w:tblStylePr>
    <w:tblStylePr w:type="lastRow">
      <w:rPr>
        <w:b/>
        <w:bCs/>
        <w:color w:val="72A2A1" w:themeColor="accent2" w:themeShade="CC"/>
      </w:rPr>
      <w:tblPr/>
      <w:tcPr>
        <w:tcBorders>
          <w:top w:val="single" w:sz="12" w:space="0" w:color="2F2B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FEE" w:themeFill="accent2" w:themeFillTint="3F"/>
      </w:tcPr>
    </w:tblStylePr>
    <w:tblStylePr w:type="band1Horz">
      <w:tblPr/>
      <w:tcPr>
        <w:shd w:val="clear" w:color="auto" w:fill="EBF2F1" w:themeFill="accent2" w:themeFillTint="33"/>
      </w:tcPr>
    </w:tblStylePr>
  </w:style>
  <w:style w:type="character" w:customStyle="1" w:styleId="grammaticalnote">
    <w:name w:val="grammatical_note"/>
    <w:basedOn w:val="DefaultParagraphFont"/>
    <w:rsid w:val="00B5336C"/>
  </w:style>
  <w:style w:type="character" w:customStyle="1" w:styleId="apple-converted-space">
    <w:name w:val="apple-converted-space"/>
    <w:basedOn w:val="DefaultParagraphFont"/>
    <w:rsid w:val="00B5336C"/>
  </w:style>
  <w:style w:type="character" w:customStyle="1" w:styleId="ind">
    <w:name w:val="ind"/>
    <w:basedOn w:val="DefaultParagraphFont"/>
    <w:rsid w:val="00B5336C"/>
  </w:style>
  <w:style w:type="table" w:styleId="TableWeb1">
    <w:name w:val="Table Web 1"/>
    <w:basedOn w:val="TableNormal"/>
    <w:rsid w:val="009E2301"/>
    <w:pPr>
      <w:spacing w:after="0" w:line="240" w:lineRule="auto"/>
      <w:jc w:val="left"/>
    </w:pPr>
    <w:rPr>
      <w:rFonts w:ascii="Times New Roman" w:eastAsia="Times New Roman" w:hAnsi="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DELWPTable">
    <w:name w:val="DELWP_Table"/>
    <w:basedOn w:val="TableNormal"/>
    <w:uiPriority w:val="99"/>
    <w:rsid w:val="00754931"/>
    <w:pPr>
      <w:spacing w:after="0" w:line="240" w:lineRule="auto"/>
      <w:jc w:val="left"/>
    </w:pPr>
    <w:rPr>
      <w:rFonts w:ascii="Times New Roman" w:eastAsia="Times New Roman" w:hAnsi="Times New Roman" w:cs="Times New Roman"/>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styleId="Revision">
    <w:name w:val="Revision"/>
    <w:hidden/>
    <w:uiPriority w:val="99"/>
    <w:semiHidden/>
    <w:rsid w:val="003158A2"/>
    <w:pPr>
      <w:spacing w:after="0" w:line="240" w:lineRule="auto"/>
      <w:jc w:val="left"/>
    </w:pPr>
  </w:style>
  <w:style w:type="paragraph" w:styleId="FootnoteText">
    <w:name w:val="footnote text"/>
    <w:basedOn w:val="Normal"/>
    <w:link w:val="FootnoteTextChar"/>
    <w:uiPriority w:val="99"/>
    <w:semiHidden/>
    <w:unhideWhenUsed/>
    <w:rsid w:val="0061002B"/>
    <w:pPr>
      <w:spacing w:after="0" w:line="240" w:lineRule="auto"/>
    </w:pPr>
  </w:style>
  <w:style w:type="character" w:customStyle="1" w:styleId="FootnoteTextChar">
    <w:name w:val="Footnote Text Char"/>
    <w:basedOn w:val="DefaultParagraphFont"/>
    <w:link w:val="FootnoteText"/>
    <w:uiPriority w:val="99"/>
    <w:semiHidden/>
    <w:rsid w:val="0061002B"/>
  </w:style>
  <w:style w:type="character" w:styleId="FootnoteReference">
    <w:name w:val="footnote reference"/>
    <w:basedOn w:val="DefaultParagraphFont"/>
    <w:uiPriority w:val="99"/>
    <w:semiHidden/>
    <w:unhideWhenUsed/>
    <w:rsid w:val="0061002B"/>
    <w:rPr>
      <w:vertAlign w:val="superscript"/>
    </w:rPr>
  </w:style>
  <w:style w:type="paragraph" w:styleId="Bibliography">
    <w:name w:val="Bibliography"/>
    <w:basedOn w:val="Normal"/>
    <w:next w:val="Normal"/>
    <w:uiPriority w:val="37"/>
    <w:unhideWhenUsed/>
    <w:rsid w:val="002A6E08"/>
    <w:pPr>
      <w:spacing w:after="0" w:line="240" w:lineRule="auto"/>
      <w:ind w:left="720" w:hanging="720"/>
    </w:pPr>
  </w:style>
  <w:style w:type="character" w:styleId="FollowedHyperlink">
    <w:name w:val="FollowedHyperlink"/>
    <w:basedOn w:val="DefaultParagraphFont"/>
    <w:uiPriority w:val="99"/>
    <w:semiHidden/>
    <w:unhideWhenUsed/>
    <w:rsid w:val="00CC61B3"/>
    <w:rPr>
      <w:color w:val="849A0A" w:themeColor="followedHyperlink"/>
      <w:u w:val="single"/>
    </w:rPr>
  </w:style>
  <w:style w:type="paragraph" w:customStyle="1" w:styleId="EndNoteBibliography">
    <w:name w:val="EndNote Bibliography"/>
    <w:basedOn w:val="Normal"/>
    <w:link w:val="EndNoteBibliographyChar"/>
    <w:rsid w:val="00E9168C"/>
    <w:pPr>
      <w:spacing w:after="120" w:line="240" w:lineRule="atLeast"/>
      <w:jc w:val="center"/>
    </w:pPr>
    <w:rPr>
      <w:rFonts w:ascii="Garamond" w:eastAsia="Times New Roman" w:hAnsi="Garamond" w:cs="Arial"/>
      <w:noProof/>
      <w:sz w:val="24"/>
      <w:lang w:val="en-US"/>
    </w:rPr>
  </w:style>
  <w:style w:type="character" w:customStyle="1" w:styleId="EndNoteBibliographyChar">
    <w:name w:val="EndNote Bibliography Char"/>
    <w:basedOn w:val="DefaultParagraphFont"/>
    <w:link w:val="EndNoteBibliography"/>
    <w:rsid w:val="00E9168C"/>
    <w:rPr>
      <w:rFonts w:ascii="Garamond" w:eastAsia="Times New Roman" w:hAnsi="Garamond" w:cs="Arial"/>
      <w:noProof/>
      <w:sz w:val="24"/>
      <w:lang w:val="en-US"/>
    </w:rPr>
  </w:style>
  <w:style w:type="table" w:styleId="LightList-Accent3">
    <w:name w:val="Light List Accent 3"/>
    <w:basedOn w:val="TableNormal"/>
    <w:uiPriority w:val="61"/>
    <w:rsid w:val="00971A1B"/>
    <w:pPr>
      <w:spacing w:after="0" w:line="240" w:lineRule="auto"/>
    </w:pPr>
    <w:tblPr>
      <w:tblStyleRowBandSize w:val="1"/>
      <w:tblStyleColBandSize w:val="1"/>
      <w:tblBorders>
        <w:top w:val="single" w:sz="8" w:space="0" w:color="D2CB6C" w:themeColor="accent3"/>
        <w:left w:val="single" w:sz="8" w:space="0" w:color="D2CB6C" w:themeColor="accent3"/>
        <w:bottom w:val="single" w:sz="8" w:space="0" w:color="D2CB6C" w:themeColor="accent3"/>
        <w:right w:val="single" w:sz="8" w:space="0" w:color="D2CB6C" w:themeColor="accent3"/>
      </w:tblBorders>
    </w:tblPr>
    <w:tblStylePr w:type="firstRow">
      <w:pPr>
        <w:spacing w:before="0" w:after="0" w:line="240" w:lineRule="auto"/>
      </w:pPr>
      <w:rPr>
        <w:b/>
        <w:bCs/>
        <w:color w:val="FFFFFF" w:themeColor="background1"/>
      </w:rPr>
      <w:tblPr/>
      <w:tcPr>
        <w:shd w:val="clear" w:color="auto" w:fill="D2CB6C" w:themeFill="accent3"/>
      </w:tcPr>
    </w:tblStylePr>
    <w:tblStylePr w:type="lastRow">
      <w:pPr>
        <w:spacing w:before="0" w:after="0" w:line="240" w:lineRule="auto"/>
      </w:pPr>
      <w:rPr>
        <w:b/>
        <w:bCs/>
      </w:rPr>
      <w:tblPr/>
      <w:tcPr>
        <w:tcBorders>
          <w:top w:val="double" w:sz="6" w:space="0" w:color="D2CB6C" w:themeColor="accent3"/>
          <w:left w:val="single" w:sz="8" w:space="0" w:color="D2CB6C" w:themeColor="accent3"/>
          <w:bottom w:val="single" w:sz="8" w:space="0" w:color="D2CB6C" w:themeColor="accent3"/>
          <w:right w:val="single" w:sz="8" w:space="0" w:color="D2CB6C" w:themeColor="accent3"/>
        </w:tcBorders>
      </w:tcPr>
    </w:tblStylePr>
    <w:tblStylePr w:type="firstCol">
      <w:rPr>
        <w:b/>
        <w:bCs/>
      </w:rPr>
    </w:tblStylePr>
    <w:tblStylePr w:type="lastCol">
      <w:rPr>
        <w:b/>
        <w:bCs/>
      </w:rPr>
    </w:tblStylePr>
    <w:tblStylePr w:type="band1Vert">
      <w:tblPr/>
      <w:tcPr>
        <w:tcBorders>
          <w:top w:val="single" w:sz="8" w:space="0" w:color="D2CB6C" w:themeColor="accent3"/>
          <w:left w:val="single" w:sz="8" w:space="0" w:color="D2CB6C" w:themeColor="accent3"/>
          <w:bottom w:val="single" w:sz="8" w:space="0" w:color="D2CB6C" w:themeColor="accent3"/>
          <w:right w:val="single" w:sz="8" w:space="0" w:color="D2CB6C" w:themeColor="accent3"/>
        </w:tcBorders>
      </w:tcPr>
    </w:tblStylePr>
    <w:tblStylePr w:type="band1Horz">
      <w:tblPr/>
      <w:tcPr>
        <w:tcBorders>
          <w:top w:val="single" w:sz="8" w:space="0" w:color="D2CB6C" w:themeColor="accent3"/>
          <w:left w:val="single" w:sz="8" w:space="0" w:color="D2CB6C" w:themeColor="accent3"/>
          <w:bottom w:val="single" w:sz="8" w:space="0" w:color="D2CB6C" w:themeColor="accent3"/>
          <w:right w:val="single" w:sz="8" w:space="0" w:color="D2CB6C" w:themeColor="accent3"/>
        </w:tcBorders>
      </w:tcPr>
    </w:tblStylePr>
  </w:style>
  <w:style w:type="table" w:styleId="LightList-Accent2">
    <w:name w:val="Light List Accent 2"/>
    <w:basedOn w:val="TableNormal"/>
    <w:uiPriority w:val="61"/>
    <w:rsid w:val="00BB004C"/>
    <w:pPr>
      <w:spacing w:after="0" w:line="240" w:lineRule="auto"/>
    </w:pPr>
    <w:tblPr>
      <w:tblStyleRowBandSize w:val="1"/>
      <w:tblStyleColBandSize w:val="1"/>
      <w:tblBorders>
        <w:top w:val="single" w:sz="8" w:space="0" w:color="9CBEBD" w:themeColor="accent2"/>
        <w:left w:val="single" w:sz="8" w:space="0" w:color="9CBEBD" w:themeColor="accent2"/>
        <w:bottom w:val="single" w:sz="8" w:space="0" w:color="9CBEBD" w:themeColor="accent2"/>
        <w:right w:val="single" w:sz="8" w:space="0" w:color="9CBEBD" w:themeColor="accent2"/>
      </w:tblBorders>
    </w:tblPr>
    <w:tblStylePr w:type="firstRow">
      <w:pPr>
        <w:spacing w:before="0" w:after="0" w:line="240" w:lineRule="auto"/>
      </w:pPr>
      <w:rPr>
        <w:b/>
        <w:bCs/>
        <w:color w:val="FFFFFF" w:themeColor="background1"/>
      </w:rPr>
      <w:tblPr/>
      <w:tcPr>
        <w:shd w:val="clear" w:color="auto" w:fill="9CBEBD" w:themeFill="accent2"/>
      </w:tcPr>
    </w:tblStylePr>
    <w:tblStylePr w:type="lastRow">
      <w:pPr>
        <w:spacing w:before="0" w:after="0" w:line="240" w:lineRule="auto"/>
      </w:pPr>
      <w:rPr>
        <w:b/>
        <w:bCs/>
      </w:rPr>
      <w:tblPr/>
      <w:tcPr>
        <w:tcBorders>
          <w:top w:val="double" w:sz="6" w:space="0" w:color="9CBEBD" w:themeColor="accent2"/>
          <w:left w:val="single" w:sz="8" w:space="0" w:color="9CBEBD" w:themeColor="accent2"/>
          <w:bottom w:val="single" w:sz="8" w:space="0" w:color="9CBEBD" w:themeColor="accent2"/>
          <w:right w:val="single" w:sz="8" w:space="0" w:color="9CBEBD" w:themeColor="accent2"/>
        </w:tcBorders>
      </w:tcPr>
    </w:tblStylePr>
    <w:tblStylePr w:type="firstCol">
      <w:rPr>
        <w:b/>
        <w:bCs/>
      </w:rPr>
    </w:tblStylePr>
    <w:tblStylePr w:type="lastCol">
      <w:rPr>
        <w:b/>
        <w:bCs/>
      </w:rPr>
    </w:tblStylePr>
    <w:tblStylePr w:type="band1Vert">
      <w:tblPr/>
      <w:tcPr>
        <w:tcBorders>
          <w:top w:val="single" w:sz="8" w:space="0" w:color="9CBEBD" w:themeColor="accent2"/>
          <w:left w:val="single" w:sz="8" w:space="0" w:color="9CBEBD" w:themeColor="accent2"/>
          <w:bottom w:val="single" w:sz="8" w:space="0" w:color="9CBEBD" w:themeColor="accent2"/>
          <w:right w:val="single" w:sz="8" w:space="0" w:color="9CBEBD" w:themeColor="accent2"/>
        </w:tcBorders>
      </w:tcPr>
    </w:tblStylePr>
    <w:tblStylePr w:type="band1Horz">
      <w:tblPr/>
      <w:tcPr>
        <w:tcBorders>
          <w:top w:val="single" w:sz="8" w:space="0" w:color="9CBEBD" w:themeColor="accent2"/>
          <w:left w:val="single" w:sz="8" w:space="0" w:color="9CBEBD" w:themeColor="accent2"/>
          <w:bottom w:val="single" w:sz="8" w:space="0" w:color="9CBEBD" w:themeColor="accent2"/>
          <w:right w:val="single" w:sz="8" w:space="0" w:color="9CBEBD" w:themeColor="accent2"/>
        </w:tcBorders>
      </w:tcPr>
    </w:tblStylePr>
  </w:style>
  <w:style w:type="paragraph" w:customStyle="1" w:styleId="Default">
    <w:name w:val="Default"/>
    <w:rsid w:val="00DB7A5B"/>
    <w:pPr>
      <w:autoSpaceDE w:val="0"/>
      <w:autoSpaceDN w:val="0"/>
      <w:adjustRightInd w:val="0"/>
      <w:spacing w:after="0" w:line="240" w:lineRule="auto"/>
      <w:jc w:val="left"/>
    </w:pPr>
    <w:rPr>
      <w:rFonts w:ascii="Franklin Gothic LT" w:hAnsi="Franklin Gothic LT" w:cs="Franklin Gothic LT"/>
      <w:color w:val="000000"/>
      <w:sz w:val="24"/>
      <w:szCs w:val="24"/>
      <w:lang w:val="en-US"/>
    </w:rPr>
  </w:style>
  <w:style w:type="character" w:styleId="EndnoteReference">
    <w:name w:val="endnote reference"/>
    <w:basedOn w:val="DefaultParagraphFont"/>
    <w:uiPriority w:val="99"/>
    <w:semiHidden/>
    <w:unhideWhenUsed/>
    <w:rsid w:val="00FE69A8"/>
    <w:rPr>
      <w:vertAlign w:val="superscript"/>
    </w:rPr>
  </w:style>
  <w:style w:type="table" w:customStyle="1" w:styleId="Style131">
    <w:name w:val="Style131"/>
    <w:basedOn w:val="TableNormal"/>
    <w:uiPriority w:val="99"/>
    <w:rsid w:val="002540F9"/>
    <w:pPr>
      <w:spacing w:after="0" w:line="240" w:lineRule="auto"/>
      <w:jc w:val="left"/>
    </w:pPr>
    <w:rPr>
      <w:rFonts w:eastAsia="Times New Roman" w:cs="Times New Roman"/>
      <w:sz w:val="18"/>
      <w:lang w:eastAsia="en-A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sz w:val="18"/>
      </w:rPr>
      <w:tblPr/>
      <w:tcPr>
        <w:shd w:val="clear" w:color="auto" w:fill="C6D9F1"/>
      </w:tcPr>
    </w:tblStylePr>
    <w:tblStylePr w:type="firstCol">
      <w:rPr>
        <w:rFonts w:ascii="Calibri" w:hAnsi="Calibri"/>
        <w:b w:val="0"/>
        <w:sz w:val="22"/>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tcPr>
    </w:tblStylePr>
  </w:style>
  <w:style w:type="character" w:customStyle="1" w:styleId="CaptionChar">
    <w:name w:val="Caption Char"/>
    <w:aliases w:val="Figure Caption Char"/>
    <w:basedOn w:val="DefaultParagraphFont"/>
    <w:link w:val="Caption"/>
    <w:rsid w:val="002540F9"/>
    <w:rPr>
      <w:b/>
      <w:bCs/>
      <w:caps/>
      <w:sz w:val="18"/>
      <w:szCs w:val="18"/>
    </w:rPr>
  </w:style>
  <w:style w:type="table" w:styleId="LightList-Accent1">
    <w:name w:val="Light List Accent 1"/>
    <w:basedOn w:val="TableNormal"/>
    <w:uiPriority w:val="61"/>
    <w:rsid w:val="002540F9"/>
    <w:pPr>
      <w:spacing w:after="0" w:line="240" w:lineRule="auto"/>
    </w:pPr>
    <w:tblPr>
      <w:tblStyleRowBandSize w:val="1"/>
      <w:tblStyleColBandSize w:val="1"/>
      <w:tblBorders>
        <w:top w:val="single" w:sz="8" w:space="0" w:color="A9A57C" w:themeColor="accent1"/>
        <w:left w:val="single" w:sz="8" w:space="0" w:color="A9A57C" w:themeColor="accent1"/>
        <w:bottom w:val="single" w:sz="8" w:space="0" w:color="A9A57C" w:themeColor="accent1"/>
        <w:right w:val="single" w:sz="8" w:space="0" w:color="A9A57C" w:themeColor="accent1"/>
      </w:tblBorders>
    </w:tblPr>
    <w:tblStylePr w:type="firstRow">
      <w:pPr>
        <w:spacing w:before="0" w:after="0" w:line="240" w:lineRule="auto"/>
      </w:pPr>
      <w:rPr>
        <w:b/>
        <w:bCs/>
        <w:color w:val="FFFFFF" w:themeColor="background1"/>
      </w:rPr>
      <w:tblPr/>
      <w:tcPr>
        <w:shd w:val="clear" w:color="auto" w:fill="A9A57C" w:themeFill="accent1"/>
      </w:tcPr>
    </w:tblStylePr>
    <w:tblStylePr w:type="lastRow">
      <w:pPr>
        <w:spacing w:before="0" w:after="0" w:line="240" w:lineRule="auto"/>
      </w:pPr>
      <w:rPr>
        <w:b/>
        <w:bCs/>
      </w:rPr>
      <w:tblPr/>
      <w:tcPr>
        <w:tcBorders>
          <w:top w:val="double" w:sz="6" w:space="0" w:color="A9A57C" w:themeColor="accent1"/>
          <w:left w:val="single" w:sz="8" w:space="0" w:color="A9A57C" w:themeColor="accent1"/>
          <w:bottom w:val="single" w:sz="8" w:space="0" w:color="A9A57C" w:themeColor="accent1"/>
          <w:right w:val="single" w:sz="8" w:space="0" w:color="A9A57C" w:themeColor="accent1"/>
        </w:tcBorders>
      </w:tcPr>
    </w:tblStylePr>
    <w:tblStylePr w:type="firstCol">
      <w:rPr>
        <w:b/>
        <w:bCs/>
      </w:rPr>
    </w:tblStylePr>
    <w:tblStylePr w:type="lastCol">
      <w:rPr>
        <w:b/>
        <w:bCs/>
      </w:rPr>
    </w:tblStylePr>
    <w:tblStylePr w:type="band1Vert">
      <w:tblPr/>
      <w:tcPr>
        <w:tcBorders>
          <w:top w:val="single" w:sz="8" w:space="0" w:color="A9A57C" w:themeColor="accent1"/>
          <w:left w:val="single" w:sz="8" w:space="0" w:color="A9A57C" w:themeColor="accent1"/>
          <w:bottom w:val="single" w:sz="8" w:space="0" w:color="A9A57C" w:themeColor="accent1"/>
          <w:right w:val="single" w:sz="8" w:space="0" w:color="A9A57C" w:themeColor="accent1"/>
        </w:tcBorders>
      </w:tcPr>
    </w:tblStylePr>
    <w:tblStylePr w:type="band1Horz">
      <w:tblPr/>
      <w:tcPr>
        <w:tcBorders>
          <w:top w:val="single" w:sz="8" w:space="0" w:color="A9A57C" w:themeColor="accent1"/>
          <w:left w:val="single" w:sz="8" w:space="0" w:color="A9A57C" w:themeColor="accent1"/>
          <w:bottom w:val="single" w:sz="8" w:space="0" w:color="A9A57C" w:themeColor="accent1"/>
          <w:right w:val="single" w:sz="8" w:space="0" w:color="A9A57C" w:themeColor="accent1"/>
        </w:tcBorders>
      </w:tcPr>
    </w:tblStylePr>
  </w:style>
  <w:style w:type="table" w:customStyle="1" w:styleId="Style1311">
    <w:name w:val="Style1311"/>
    <w:basedOn w:val="TableNormal"/>
    <w:uiPriority w:val="99"/>
    <w:rsid w:val="00FA00EA"/>
    <w:pPr>
      <w:spacing w:after="0" w:line="240" w:lineRule="auto"/>
      <w:jc w:val="left"/>
    </w:pPr>
    <w:rPr>
      <w:rFonts w:eastAsia="Times New Roman" w:cs="Times New Roman"/>
      <w:sz w:val="18"/>
      <w:lang w:eastAsia="en-A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sz w:val="18"/>
      </w:rPr>
      <w:tblPr/>
      <w:tcPr>
        <w:shd w:val="clear" w:color="auto" w:fill="C6D9F1"/>
      </w:tcPr>
    </w:tblStylePr>
    <w:tblStylePr w:type="firstCol">
      <w:rPr>
        <w:rFonts w:ascii="Calibri" w:hAnsi="Calibri"/>
        <w:b w:val="0"/>
        <w:sz w:val="22"/>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tcPr>
    </w:tblStylePr>
  </w:style>
  <w:style w:type="paragraph" w:customStyle="1" w:styleId="tblBody">
    <w:name w:val="_tblBody"/>
    <w:basedOn w:val="Tabletext0"/>
    <w:qFormat/>
    <w:rsid w:val="00AE69A3"/>
  </w:style>
  <w:style w:type="paragraph" w:customStyle="1" w:styleId="Tabletext0">
    <w:name w:val="Table text"/>
    <w:basedOn w:val="Normal"/>
    <w:qFormat/>
    <w:rsid w:val="00AE69A3"/>
    <w:pPr>
      <w:autoSpaceDE w:val="0"/>
      <w:autoSpaceDN w:val="0"/>
      <w:adjustRightInd w:val="0"/>
      <w:spacing w:after="0" w:line="240" w:lineRule="auto"/>
      <w:jc w:val="left"/>
    </w:pPr>
    <w:rPr>
      <w:rFonts w:eastAsiaTheme="minorHAnsi"/>
      <w:sz w:val="18"/>
      <w:szCs w:val="22"/>
    </w:rPr>
  </w:style>
  <w:style w:type="table" w:customStyle="1" w:styleId="ListTable3-Accent211">
    <w:name w:val="List Table 3 - Accent 211"/>
    <w:basedOn w:val="TableNormal"/>
    <w:uiPriority w:val="48"/>
    <w:rsid w:val="00FF1BE5"/>
    <w:pPr>
      <w:spacing w:after="0" w:line="240" w:lineRule="auto"/>
    </w:pPr>
    <w:tblPr>
      <w:tblStyleRowBandSize w:val="1"/>
      <w:tblStyleColBandSize w:val="1"/>
      <w:tblBorders>
        <w:top w:val="single" w:sz="4" w:space="0" w:color="9CBEBD" w:themeColor="accent2"/>
        <w:left w:val="single" w:sz="4" w:space="0" w:color="9CBEBD" w:themeColor="accent2"/>
        <w:bottom w:val="single" w:sz="4" w:space="0" w:color="9CBEBD" w:themeColor="accent2"/>
        <w:right w:val="single" w:sz="4" w:space="0" w:color="9CBEBD" w:themeColor="accent2"/>
      </w:tblBorders>
    </w:tblPr>
    <w:tblStylePr w:type="firstRow">
      <w:rPr>
        <w:b/>
        <w:bCs/>
        <w:color w:val="FFFFFF" w:themeColor="background1"/>
      </w:rPr>
      <w:tblPr/>
      <w:tcPr>
        <w:shd w:val="clear" w:color="auto" w:fill="9CBEBD" w:themeFill="accent2"/>
      </w:tcPr>
    </w:tblStylePr>
    <w:tblStylePr w:type="lastRow">
      <w:rPr>
        <w:b/>
        <w:bCs/>
      </w:rPr>
      <w:tblPr/>
      <w:tcPr>
        <w:tcBorders>
          <w:top w:val="double" w:sz="4" w:space="0" w:color="9CBE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BEBD" w:themeColor="accent2"/>
          <w:right w:val="single" w:sz="4" w:space="0" w:color="9CBEBD" w:themeColor="accent2"/>
        </w:tcBorders>
      </w:tcPr>
    </w:tblStylePr>
    <w:tblStylePr w:type="band1Horz">
      <w:tblPr/>
      <w:tcPr>
        <w:tcBorders>
          <w:top w:val="single" w:sz="4" w:space="0" w:color="9CBEBD" w:themeColor="accent2"/>
          <w:bottom w:val="single" w:sz="4" w:space="0" w:color="9CBE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BEBD" w:themeColor="accent2"/>
          <w:left w:val="nil"/>
        </w:tcBorders>
      </w:tcPr>
    </w:tblStylePr>
    <w:tblStylePr w:type="swCell">
      <w:tblPr/>
      <w:tcPr>
        <w:tcBorders>
          <w:top w:val="double" w:sz="4" w:space="0" w:color="9CBEBD" w:themeColor="accent2"/>
          <w:right w:val="nil"/>
        </w:tcBorders>
      </w:tcPr>
    </w:tblStylePr>
  </w:style>
  <w:style w:type="paragraph" w:customStyle="1" w:styleId="TblBllt">
    <w:name w:val="_TblBllt"/>
    <w:basedOn w:val="Normal"/>
    <w:rsid w:val="0076596C"/>
    <w:pPr>
      <w:numPr>
        <w:numId w:val="42"/>
      </w:numPr>
    </w:pPr>
  </w:style>
  <w:style w:type="table" w:customStyle="1" w:styleId="TableGrid1">
    <w:name w:val="Table Grid1"/>
    <w:basedOn w:val="TableNormal"/>
    <w:next w:val="TableGrid"/>
    <w:uiPriority w:val="39"/>
    <w:rsid w:val="001517ED"/>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9407">
      <w:bodyDiv w:val="1"/>
      <w:marLeft w:val="0"/>
      <w:marRight w:val="0"/>
      <w:marTop w:val="0"/>
      <w:marBottom w:val="0"/>
      <w:divBdr>
        <w:top w:val="none" w:sz="0" w:space="0" w:color="auto"/>
        <w:left w:val="none" w:sz="0" w:space="0" w:color="auto"/>
        <w:bottom w:val="none" w:sz="0" w:space="0" w:color="auto"/>
        <w:right w:val="none" w:sz="0" w:space="0" w:color="auto"/>
      </w:divBdr>
    </w:div>
    <w:div w:id="292441712">
      <w:bodyDiv w:val="1"/>
      <w:marLeft w:val="0"/>
      <w:marRight w:val="0"/>
      <w:marTop w:val="0"/>
      <w:marBottom w:val="0"/>
      <w:divBdr>
        <w:top w:val="none" w:sz="0" w:space="0" w:color="auto"/>
        <w:left w:val="none" w:sz="0" w:space="0" w:color="auto"/>
        <w:bottom w:val="none" w:sz="0" w:space="0" w:color="auto"/>
        <w:right w:val="none" w:sz="0" w:space="0" w:color="auto"/>
      </w:divBdr>
    </w:div>
    <w:div w:id="356859546">
      <w:bodyDiv w:val="1"/>
      <w:marLeft w:val="0"/>
      <w:marRight w:val="0"/>
      <w:marTop w:val="0"/>
      <w:marBottom w:val="0"/>
      <w:divBdr>
        <w:top w:val="none" w:sz="0" w:space="0" w:color="auto"/>
        <w:left w:val="none" w:sz="0" w:space="0" w:color="auto"/>
        <w:bottom w:val="none" w:sz="0" w:space="0" w:color="auto"/>
        <w:right w:val="none" w:sz="0" w:space="0" w:color="auto"/>
      </w:divBdr>
      <w:divsChild>
        <w:div w:id="2026974205">
          <w:marLeft w:val="0"/>
          <w:marRight w:val="0"/>
          <w:marTop w:val="0"/>
          <w:marBottom w:val="0"/>
          <w:divBdr>
            <w:top w:val="none" w:sz="0" w:space="0" w:color="auto"/>
            <w:left w:val="none" w:sz="0" w:space="0" w:color="auto"/>
            <w:bottom w:val="none" w:sz="0" w:space="0" w:color="auto"/>
            <w:right w:val="none" w:sz="0" w:space="0" w:color="auto"/>
          </w:divBdr>
          <w:divsChild>
            <w:div w:id="1355960385">
              <w:marLeft w:val="0"/>
              <w:marRight w:val="0"/>
              <w:marTop w:val="0"/>
              <w:marBottom w:val="0"/>
              <w:divBdr>
                <w:top w:val="none" w:sz="0" w:space="0" w:color="auto"/>
                <w:left w:val="none" w:sz="0" w:space="0" w:color="auto"/>
                <w:bottom w:val="none" w:sz="0" w:space="0" w:color="auto"/>
                <w:right w:val="none" w:sz="0" w:space="0" w:color="auto"/>
              </w:divBdr>
              <w:divsChild>
                <w:div w:id="1709984075">
                  <w:marLeft w:val="0"/>
                  <w:marRight w:val="0"/>
                  <w:marTop w:val="0"/>
                  <w:marBottom w:val="0"/>
                  <w:divBdr>
                    <w:top w:val="none" w:sz="0" w:space="0" w:color="auto"/>
                    <w:left w:val="none" w:sz="0" w:space="0" w:color="auto"/>
                    <w:bottom w:val="none" w:sz="0" w:space="0" w:color="auto"/>
                    <w:right w:val="none" w:sz="0" w:space="0" w:color="auto"/>
                  </w:divBdr>
                  <w:divsChild>
                    <w:div w:id="959192485">
                      <w:marLeft w:val="0"/>
                      <w:marRight w:val="0"/>
                      <w:marTop w:val="0"/>
                      <w:marBottom w:val="0"/>
                      <w:divBdr>
                        <w:top w:val="none" w:sz="0" w:space="0" w:color="auto"/>
                        <w:left w:val="none" w:sz="0" w:space="0" w:color="auto"/>
                        <w:bottom w:val="none" w:sz="0" w:space="0" w:color="auto"/>
                        <w:right w:val="none" w:sz="0" w:space="0" w:color="auto"/>
                      </w:divBdr>
                      <w:divsChild>
                        <w:div w:id="2101951006">
                          <w:marLeft w:val="0"/>
                          <w:marRight w:val="0"/>
                          <w:marTop w:val="0"/>
                          <w:marBottom w:val="0"/>
                          <w:divBdr>
                            <w:top w:val="none" w:sz="0" w:space="0" w:color="auto"/>
                            <w:left w:val="none" w:sz="0" w:space="0" w:color="auto"/>
                            <w:bottom w:val="none" w:sz="0" w:space="0" w:color="auto"/>
                            <w:right w:val="none" w:sz="0" w:space="0" w:color="auto"/>
                          </w:divBdr>
                          <w:divsChild>
                            <w:div w:id="827358754">
                              <w:marLeft w:val="0"/>
                              <w:marRight w:val="0"/>
                              <w:marTop w:val="0"/>
                              <w:marBottom w:val="0"/>
                              <w:divBdr>
                                <w:top w:val="none" w:sz="0" w:space="0" w:color="auto"/>
                                <w:left w:val="none" w:sz="0" w:space="0" w:color="auto"/>
                                <w:bottom w:val="none" w:sz="0" w:space="0" w:color="auto"/>
                                <w:right w:val="none" w:sz="0" w:space="0" w:color="auto"/>
                              </w:divBdr>
                              <w:divsChild>
                                <w:div w:id="1791242611">
                                  <w:marLeft w:val="0"/>
                                  <w:marRight w:val="0"/>
                                  <w:marTop w:val="0"/>
                                  <w:marBottom w:val="0"/>
                                  <w:divBdr>
                                    <w:top w:val="none" w:sz="0" w:space="0" w:color="auto"/>
                                    <w:left w:val="none" w:sz="0" w:space="0" w:color="auto"/>
                                    <w:bottom w:val="none" w:sz="0" w:space="0" w:color="auto"/>
                                    <w:right w:val="none" w:sz="0" w:space="0" w:color="auto"/>
                                  </w:divBdr>
                                  <w:divsChild>
                                    <w:div w:id="2054188519">
                                      <w:marLeft w:val="0"/>
                                      <w:marRight w:val="0"/>
                                      <w:marTop w:val="0"/>
                                      <w:marBottom w:val="0"/>
                                      <w:divBdr>
                                        <w:top w:val="none" w:sz="0" w:space="0" w:color="auto"/>
                                        <w:left w:val="none" w:sz="0" w:space="0" w:color="auto"/>
                                        <w:bottom w:val="none" w:sz="0" w:space="0" w:color="auto"/>
                                        <w:right w:val="none" w:sz="0" w:space="0" w:color="auto"/>
                                      </w:divBdr>
                                      <w:divsChild>
                                        <w:div w:id="298806723">
                                          <w:marLeft w:val="0"/>
                                          <w:marRight w:val="0"/>
                                          <w:marTop w:val="0"/>
                                          <w:marBottom w:val="0"/>
                                          <w:divBdr>
                                            <w:top w:val="none" w:sz="0" w:space="0" w:color="auto"/>
                                            <w:left w:val="none" w:sz="0" w:space="0" w:color="auto"/>
                                            <w:bottom w:val="none" w:sz="0" w:space="0" w:color="auto"/>
                                            <w:right w:val="none" w:sz="0" w:space="0" w:color="auto"/>
                                          </w:divBdr>
                                          <w:divsChild>
                                            <w:div w:id="1906573439">
                                              <w:marLeft w:val="0"/>
                                              <w:marRight w:val="0"/>
                                              <w:marTop w:val="0"/>
                                              <w:marBottom w:val="0"/>
                                              <w:divBdr>
                                                <w:top w:val="none" w:sz="0" w:space="0" w:color="auto"/>
                                                <w:left w:val="none" w:sz="0" w:space="0" w:color="auto"/>
                                                <w:bottom w:val="none" w:sz="0" w:space="0" w:color="auto"/>
                                                <w:right w:val="none" w:sz="0" w:space="0" w:color="auto"/>
                                              </w:divBdr>
                                              <w:divsChild>
                                                <w:div w:id="46298657">
                                                  <w:marLeft w:val="0"/>
                                                  <w:marRight w:val="0"/>
                                                  <w:marTop w:val="0"/>
                                                  <w:marBottom w:val="0"/>
                                                  <w:divBdr>
                                                    <w:top w:val="single" w:sz="12" w:space="2" w:color="FFFFCC"/>
                                                    <w:left w:val="single" w:sz="12" w:space="2" w:color="FFFFCC"/>
                                                    <w:bottom w:val="single" w:sz="12" w:space="2" w:color="FFFFCC"/>
                                                    <w:right w:val="single" w:sz="12" w:space="0" w:color="FFFFCC"/>
                                                  </w:divBdr>
                                                  <w:divsChild>
                                                    <w:div w:id="615717263">
                                                      <w:marLeft w:val="0"/>
                                                      <w:marRight w:val="0"/>
                                                      <w:marTop w:val="0"/>
                                                      <w:marBottom w:val="0"/>
                                                      <w:divBdr>
                                                        <w:top w:val="none" w:sz="0" w:space="0" w:color="auto"/>
                                                        <w:left w:val="none" w:sz="0" w:space="0" w:color="auto"/>
                                                        <w:bottom w:val="none" w:sz="0" w:space="0" w:color="auto"/>
                                                        <w:right w:val="none" w:sz="0" w:space="0" w:color="auto"/>
                                                      </w:divBdr>
                                                      <w:divsChild>
                                                        <w:div w:id="431324186">
                                                          <w:marLeft w:val="0"/>
                                                          <w:marRight w:val="0"/>
                                                          <w:marTop w:val="0"/>
                                                          <w:marBottom w:val="0"/>
                                                          <w:divBdr>
                                                            <w:top w:val="none" w:sz="0" w:space="0" w:color="auto"/>
                                                            <w:left w:val="none" w:sz="0" w:space="0" w:color="auto"/>
                                                            <w:bottom w:val="none" w:sz="0" w:space="0" w:color="auto"/>
                                                            <w:right w:val="none" w:sz="0" w:space="0" w:color="auto"/>
                                                          </w:divBdr>
                                                          <w:divsChild>
                                                            <w:div w:id="2132940902">
                                                              <w:marLeft w:val="0"/>
                                                              <w:marRight w:val="0"/>
                                                              <w:marTop w:val="0"/>
                                                              <w:marBottom w:val="0"/>
                                                              <w:divBdr>
                                                                <w:top w:val="none" w:sz="0" w:space="0" w:color="auto"/>
                                                                <w:left w:val="none" w:sz="0" w:space="0" w:color="auto"/>
                                                                <w:bottom w:val="none" w:sz="0" w:space="0" w:color="auto"/>
                                                                <w:right w:val="none" w:sz="0" w:space="0" w:color="auto"/>
                                                              </w:divBdr>
                                                              <w:divsChild>
                                                                <w:div w:id="201985742">
                                                                  <w:marLeft w:val="0"/>
                                                                  <w:marRight w:val="0"/>
                                                                  <w:marTop w:val="0"/>
                                                                  <w:marBottom w:val="0"/>
                                                                  <w:divBdr>
                                                                    <w:top w:val="none" w:sz="0" w:space="0" w:color="auto"/>
                                                                    <w:left w:val="none" w:sz="0" w:space="0" w:color="auto"/>
                                                                    <w:bottom w:val="none" w:sz="0" w:space="0" w:color="auto"/>
                                                                    <w:right w:val="none" w:sz="0" w:space="0" w:color="auto"/>
                                                                  </w:divBdr>
                                                                  <w:divsChild>
                                                                    <w:div w:id="709962682">
                                                                      <w:marLeft w:val="0"/>
                                                                      <w:marRight w:val="0"/>
                                                                      <w:marTop w:val="0"/>
                                                                      <w:marBottom w:val="0"/>
                                                                      <w:divBdr>
                                                                        <w:top w:val="none" w:sz="0" w:space="0" w:color="auto"/>
                                                                        <w:left w:val="none" w:sz="0" w:space="0" w:color="auto"/>
                                                                        <w:bottom w:val="none" w:sz="0" w:space="0" w:color="auto"/>
                                                                        <w:right w:val="none" w:sz="0" w:space="0" w:color="auto"/>
                                                                      </w:divBdr>
                                                                      <w:divsChild>
                                                                        <w:div w:id="2033413642">
                                                                          <w:marLeft w:val="0"/>
                                                                          <w:marRight w:val="0"/>
                                                                          <w:marTop w:val="0"/>
                                                                          <w:marBottom w:val="0"/>
                                                                          <w:divBdr>
                                                                            <w:top w:val="none" w:sz="0" w:space="0" w:color="auto"/>
                                                                            <w:left w:val="none" w:sz="0" w:space="0" w:color="auto"/>
                                                                            <w:bottom w:val="none" w:sz="0" w:space="0" w:color="auto"/>
                                                                            <w:right w:val="none" w:sz="0" w:space="0" w:color="auto"/>
                                                                          </w:divBdr>
                                                                          <w:divsChild>
                                                                            <w:div w:id="182020703">
                                                                              <w:marLeft w:val="0"/>
                                                                              <w:marRight w:val="0"/>
                                                                              <w:marTop w:val="0"/>
                                                                              <w:marBottom w:val="0"/>
                                                                              <w:divBdr>
                                                                                <w:top w:val="none" w:sz="0" w:space="0" w:color="auto"/>
                                                                                <w:left w:val="none" w:sz="0" w:space="0" w:color="auto"/>
                                                                                <w:bottom w:val="none" w:sz="0" w:space="0" w:color="auto"/>
                                                                                <w:right w:val="none" w:sz="0" w:space="0" w:color="auto"/>
                                                                              </w:divBdr>
                                                                              <w:divsChild>
                                                                                <w:div w:id="1275359086">
                                                                                  <w:marLeft w:val="0"/>
                                                                                  <w:marRight w:val="0"/>
                                                                                  <w:marTop w:val="0"/>
                                                                                  <w:marBottom w:val="0"/>
                                                                                  <w:divBdr>
                                                                                    <w:top w:val="none" w:sz="0" w:space="0" w:color="auto"/>
                                                                                    <w:left w:val="none" w:sz="0" w:space="0" w:color="auto"/>
                                                                                    <w:bottom w:val="none" w:sz="0" w:space="0" w:color="auto"/>
                                                                                    <w:right w:val="none" w:sz="0" w:space="0" w:color="auto"/>
                                                                                  </w:divBdr>
                                                                                  <w:divsChild>
                                                                                    <w:div w:id="2039163629">
                                                                                      <w:marLeft w:val="0"/>
                                                                                      <w:marRight w:val="0"/>
                                                                                      <w:marTop w:val="0"/>
                                                                                      <w:marBottom w:val="0"/>
                                                                                      <w:divBdr>
                                                                                        <w:top w:val="none" w:sz="0" w:space="0" w:color="auto"/>
                                                                                        <w:left w:val="none" w:sz="0" w:space="0" w:color="auto"/>
                                                                                        <w:bottom w:val="none" w:sz="0" w:space="0" w:color="auto"/>
                                                                                        <w:right w:val="none" w:sz="0" w:space="0" w:color="auto"/>
                                                                                      </w:divBdr>
                                                                                      <w:divsChild>
                                                                                        <w:div w:id="1920627930">
                                                                                          <w:marLeft w:val="0"/>
                                                                                          <w:marRight w:val="0"/>
                                                                                          <w:marTop w:val="0"/>
                                                                                          <w:marBottom w:val="0"/>
                                                                                          <w:divBdr>
                                                                                            <w:top w:val="none" w:sz="0" w:space="0" w:color="auto"/>
                                                                                            <w:left w:val="none" w:sz="0" w:space="0" w:color="auto"/>
                                                                                            <w:bottom w:val="none" w:sz="0" w:space="0" w:color="auto"/>
                                                                                            <w:right w:val="none" w:sz="0" w:space="0" w:color="auto"/>
                                                                                          </w:divBdr>
                                                                                          <w:divsChild>
                                                                                            <w:div w:id="55312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7503570">
                                                                                                  <w:marLeft w:val="0"/>
                                                                                                  <w:marRight w:val="0"/>
                                                                                                  <w:marTop w:val="0"/>
                                                                                                  <w:marBottom w:val="0"/>
                                                                                                  <w:divBdr>
                                                                                                    <w:top w:val="none" w:sz="0" w:space="0" w:color="auto"/>
                                                                                                    <w:left w:val="none" w:sz="0" w:space="0" w:color="auto"/>
                                                                                                    <w:bottom w:val="none" w:sz="0" w:space="0" w:color="auto"/>
                                                                                                    <w:right w:val="none" w:sz="0" w:space="0" w:color="auto"/>
                                                                                                  </w:divBdr>
                                                                                                  <w:divsChild>
                                                                                                    <w:div w:id="1040086381">
                                                                                                      <w:marLeft w:val="0"/>
                                                                                                      <w:marRight w:val="0"/>
                                                                                                      <w:marTop w:val="0"/>
                                                                                                      <w:marBottom w:val="0"/>
                                                                                                      <w:divBdr>
                                                                                                        <w:top w:val="none" w:sz="0" w:space="0" w:color="auto"/>
                                                                                                        <w:left w:val="none" w:sz="0" w:space="0" w:color="auto"/>
                                                                                                        <w:bottom w:val="none" w:sz="0" w:space="0" w:color="auto"/>
                                                                                                        <w:right w:val="none" w:sz="0" w:space="0" w:color="auto"/>
                                                                                                      </w:divBdr>
                                                                                                      <w:divsChild>
                                                                                                        <w:div w:id="1876768280">
                                                                                                          <w:marLeft w:val="0"/>
                                                                                                          <w:marRight w:val="0"/>
                                                                                                          <w:marTop w:val="0"/>
                                                                                                          <w:marBottom w:val="0"/>
                                                                                                          <w:divBdr>
                                                                                                            <w:top w:val="none" w:sz="0" w:space="0" w:color="auto"/>
                                                                                                            <w:left w:val="none" w:sz="0" w:space="0" w:color="auto"/>
                                                                                                            <w:bottom w:val="none" w:sz="0" w:space="0" w:color="auto"/>
                                                                                                            <w:right w:val="none" w:sz="0" w:space="0" w:color="auto"/>
                                                                                                          </w:divBdr>
                                                                                                          <w:divsChild>
                                                                                                            <w:div w:id="1577397284">
                                                                                                              <w:marLeft w:val="0"/>
                                                                                                              <w:marRight w:val="0"/>
                                                                                                              <w:marTop w:val="0"/>
                                                                                                              <w:marBottom w:val="0"/>
                                                                                                              <w:divBdr>
                                                                                                                <w:top w:val="none" w:sz="0" w:space="0" w:color="auto"/>
                                                                                                                <w:left w:val="none" w:sz="0" w:space="0" w:color="auto"/>
                                                                                                                <w:bottom w:val="none" w:sz="0" w:space="0" w:color="auto"/>
                                                                                                                <w:right w:val="none" w:sz="0" w:space="0" w:color="auto"/>
                                                                                                              </w:divBdr>
                                                                                                              <w:divsChild>
                                                                                                                <w:div w:id="449011517">
                                                                                                                  <w:marLeft w:val="0"/>
                                                                                                                  <w:marRight w:val="0"/>
                                                                                                                  <w:marTop w:val="0"/>
                                                                                                                  <w:marBottom w:val="0"/>
                                                                                                                  <w:divBdr>
                                                                                                                    <w:top w:val="none" w:sz="0" w:space="0" w:color="auto"/>
                                                                                                                    <w:left w:val="none" w:sz="0" w:space="0" w:color="auto"/>
                                                                                                                    <w:bottom w:val="none" w:sz="0" w:space="0" w:color="auto"/>
                                                                                                                    <w:right w:val="none" w:sz="0" w:space="0" w:color="auto"/>
                                                                                                                  </w:divBdr>
                                                                                                                  <w:divsChild>
                                                                                                                    <w:div w:id="3260566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49715078">
                                                                                                                          <w:marLeft w:val="225"/>
                                                                                                                          <w:marRight w:val="225"/>
                                                                                                                          <w:marTop w:val="75"/>
                                                                                                                          <w:marBottom w:val="75"/>
                                                                                                                          <w:divBdr>
                                                                                                                            <w:top w:val="none" w:sz="0" w:space="0" w:color="auto"/>
                                                                                                                            <w:left w:val="none" w:sz="0" w:space="0" w:color="auto"/>
                                                                                                                            <w:bottom w:val="none" w:sz="0" w:space="0" w:color="auto"/>
                                                                                                                            <w:right w:val="none" w:sz="0" w:space="0" w:color="auto"/>
                                                                                                                          </w:divBdr>
                                                                                                                          <w:divsChild>
                                                                                                                            <w:div w:id="1383020243">
                                                                                                                              <w:marLeft w:val="0"/>
                                                                                                                              <w:marRight w:val="0"/>
                                                                                                                              <w:marTop w:val="0"/>
                                                                                                                              <w:marBottom w:val="0"/>
                                                                                                                              <w:divBdr>
                                                                                                                                <w:top w:val="single" w:sz="6" w:space="0" w:color="auto"/>
                                                                                                                                <w:left w:val="single" w:sz="6" w:space="0" w:color="auto"/>
                                                                                                                                <w:bottom w:val="single" w:sz="6" w:space="0" w:color="auto"/>
                                                                                                                                <w:right w:val="single" w:sz="6" w:space="0" w:color="auto"/>
                                                                                                                              </w:divBdr>
                                                                                                                              <w:divsChild>
                                                                                                                                <w:div w:id="1213300210">
                                                                                                                                  <w:marLeft w:val="0"/>
                                                                                                                                  <w:marRight w:val="0"/>
                                                                                                                                  <w:marTop w:val="0"/>
                                                                                                                                  <w:marBottom w:val="0"/>
                                                                                                                                  <w:divBdr>
                                                                                                                                    <w:top w:val="none" w:sz="0" w:space="0" w:color="auto"/>
                                                                                                                                    <w:left w:val="none" w:sz="0" w:space="0" w:color="auto"/>
                                                                                                                                    <w:bottom w:val="none" w:sz="0" w:space="0" w:color="auto"/>
                                                                                                                                    <w:right w:val="none" w:sz="0" w:space="0" w:color="auto"/>
                                                                                                                                  </w:divBdr>
                                                                                                                                  <w:divsChild>
                                                                                                                                    <w:div w:id="135168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1834020">
      <w:bodyDiv w:val="1"/>
      <w:marLeft w:val="0"/>
      <w:marRight w:val="0"/>
      <w:marTop w:val="0"/>
      <w:marBottom w:val="0"/>
      <w:divBdr>
        <w:top w:val="none" w:sz="0" w:space="0" w:color="auto"/>
        <w:left w:val="none" w:sz="0" w:space="0" w:color="auto"/>
        <w:bottom w:val="none" w:sz="0" w:space="0" w:color="auto"/>
        <w:right w:val="none" w:sz="0" w:space="0" w:color="auto"/>
      </w:divBdr>
      <w:divsChild>
        <w:div w:id="1631549759">
          <w:marLeft w:val="0"/>
          <w:marRight w:val="0"/>
          <w:marTop w:val="0"/>
          <w:marBottom w:val="0"/>
          <w:divBdr>
            <w:top w:val="none" w:sz="0" w:space="0" w:color="auto"/>
            <w:left w:val="none" w:sz="0" w:space="0" w:color="auto"/>
            <w:bottom w:val="none" w:sz="0" w:space="0" w:color="auto"/>
            <w:right w:val="none" w:sz="0" w:space="0" w:color="auto"/>
          </w:divBdr>
          <w:divsChild>
            <w:div w:id="2114474606">
              <w:marLeft w:val="0"/>
              <w:marRight w:val="0"/>
              <w:marTop w:val="0"/>
              <w:marBottom w:val="0"/>
              <w:divBdr>
                <w:top w:val="none" w:sz="0" w:space="0" w:color="auto"/>
                <w:left w:val="none" w:sz="0" w:space="0" w:color="auto"/>
                <w:bottom w:val="none" w:sz="0" w:space="0" w:color="auto"/>
                <w:right w:val="none" w:sz="0" w:space="0" w:color="auto"/>
              </w:divBdr>
              <w:divsChild>
                <w:div w:id="47653393">
                  <w:marLeft w:val="0"/>
                  <w:marRight w:val="0"/>
                  <w:marTop w:val="0"/>
                  <w:marBottom w:val="0"/>
                  <w:divBdr>
                    <w:top w:val="none" w:sz="0" w:space="0" w:color="auto"/>
                    <w:left w:val="none" w:sz="0" w:space="0" w:color="auto"/>
                    <w:bottom w:val="none" w:sz="0" w:space="0" w:color="auto"/>
                    <w:right w:val="none" w:sz="0" w:space="0" w:color="auto"/>
                  </w:divBdr>
                  <w:divsChild>
                    <w:div w:id="1713190862">
                      <w:marLeft w:val="0"/>
                      <w:marRight w:val="0"/>
                      <w:marTop w:val="0"/>
                      <w:marBottom w:val="0"/>
                      <w:divBdr>
                        <w:top w:val="none" w:sz="0" w:space="0" w:color="auto"/>
                        <w:left w:val="none" w:sz="0" w:space="0" w:color="auto"/>
                        <w:bottom w:val="none" w:sz="0" w:space="0" w:color="auto"/>
                        <w:right w:val="none" w:sz="0" w:space="0" w:color="auto"/>
                      </w:divBdr>
                      <w:divsChild>
                        <w:div w:id="243416248">
                          <w:marLeft w:val="0"/>
                          <w:marRight w:val="0"/>
                          <w:marTop w:val="0"/>
                          <w:marBottom w:val="0"/>
                          <w:divBdr>
                            <w:top w:val="none" w:sz="0" w:space="0" w:color="auto"/>
                            <w:left w:val="none" w:sz="0" w:space="0" w:color="auto"/>
                            <w:bottom w:val="none" w:sz="0" w:space="0" w:color="auto"/>
                            <w:right w:val="none" w:sz="0" w:space="0" w:color="auto"/>
                          </w:divBdr>
                          <w:divsChild>
                            <w:div w:id="1914966231">
                              <w:marLeft w:val="0"/>
                              <w:marRight w:val="0"/>
                              <w:marTop w:val="0"/>
                              <w:marBottom w:val="0"/>
                              <w:divBdr>
                                <w:top w:val="none" w:sz="0" w:space="0" w:color="auto"/>
                                <w:left w:val="none" w:sz="0" w:space="0" w:color="auto"/>
                                <w:bottom w:val="none" w:sz="0" w:space="0" w:color="auto"/>
                                <w:right w:val="none" w:sz="0" w:space="0" w:color="auto"/>
                              </w:divBdr>
                              <w:divsChild>
                                <w:div w:id="8871392">
                                  <w:marLeft w:val="0"/>
                                  <w:marRight w:val="0"/>
                                  <w:marTop w:val="0"/>
                                  <w:marBottom w:val="0"/>
                                  <w:divBdr>
                                    <w:top w:val="none" w:sz="0" w:space="0" w:color="auto"/>
                                    <w:left w:val="none" w:sz="0" w:space="0" w:color="auto"/>
                                    <w:bottom w:val="none" w:sz="0" w:space="0" w:color="auto"/>
                                    <w:right w:val="none" w:sz="0" w:space="0" w:color="auto"/>
                                  </w:divBdr>
                                  <w:divsChild>
                                    <w:div w:id="1239285853">
                                      <w:marLeft w:val="0"/>
                                      <w:marRight w:val="0"/>
                                      <w:marTop w:val="0"/>
                                      <w:marBottom w:val="0"/>
                                      <w:divBdr>
                                        <w:top w:val="none" w:sz="0" w:space="0" w:color="auto"/>
                                        <w:left w:val="none" w:sz="0" w:space="0" w:color="auto"/>
                                        <w:bottom w:val="none" w:sz="0" w:space="0" w:color="auto"/>
                                        <w:right w:val="none" w:sz="0" w:space="0" w:color="auto"/>
                                      </w:divBdr>
                                      <w:divsChild>
                                        <w:div w:id="1917393230">
                                          <w:marLeft w:val="0"/>
                                          <w:marRight w:val="0"/>
                                          <w:marTop w:val="0"/>
                                          <w:marBottom w:val="0"/>
                                          <w:divBdr>
                                            <w:top w:val="none" w:sz="0" w:space="0" w:color="auto"/>
                                            <w:left w:val="none" w:sz="0" w:space="0" w:color="auto"/>
                                            <w:bottom w:val="none" w:sz="0" w:space="0" w:color="auto"/>
                                            <w:right w:val="none" w:sz="0" w:space="0" w:color="auto"/>
                                          </w:divBdr>
                                          <w:divsChild>
                                            <w:div w:id="199052329">
                                              <w:marLeft w:val="0"/>
                                              <w:marRight w:val="0"/>
                                              <w:marTop w:val="0"/>
                                              <w:marBottom w:val="0"/>
                                              <w:divBdr>
                                                <w:top w:val="single" w:sz="12" w:space="2" w:color="FFFFCC"/>
                                                <w:left w:val="single" w:sz="12" w:space="2" w:color="FFFFCC"/>
                                                <w:bottom w:val="single" w:sz="12" w:space="2" w:color="FFFFCC"/>
                                                <w:right w:val="single" w:sz="12" w:space="0" w:color="FFFFCC"/>
                                              </w:divBdr>
                                              <w:divsChild>
                                                <w:div w:id="1556546417">
                                                  <w:marLeft w:val="0"/>
                                                  <w:marRight w:val="0"/>
                                                  <w:marTop w:val="0"/>
                                                  <w:marBottom w:val="0"/>
                                                  <w:divBdr>
                                                    <w:top w:val="none" w:sz="0" w:space="0" w:color="auto"/>
                                                    <w:left w:val="none" w:sz="0" w:space="0" w:color="auto"/>
                                                    <w:bottom w:val="none" w:sz="0" w:space="0" w:color="auto"/>
                                                    <w:right w:val="none" w:sz="0" w:space="0" w:color="auto"/>
                                                  </w:divBdr>
                                                  <w:divsChild>
                                                    <w:div w:id="1434590476">
                                                      <w:marLeft w:val="0"/>
                                                      <w:marRight w:val="0"/>
                                                      <w:marTop w:val="0"/>
                                                      <w:marBottom w:val="0"/>
                                                      <w:divBdr>
                                                        <w:top w:val="none" w:sz="0" w:space="0" w:color="auto"/>
                                                        <w:left w:val="none" w:sz="0" w:space="0" w:color="auto"/>
                                                        <w:bottom w:val="none" w:sz="0" w:space="0" w:color="auto"/>
                                                        <w:right w:val="none" w:sz="0" w:space="0" w:color="auto"/>
                                                      </w:divBdr>
                                                      <w:divsChild>
                                                        <w:div w:id="241108194">
                                                          <w:marLeft w:val="0"/>
                                                          <w:marRight w:val="0"/>
                                                          <w:marTop w:val="0"/>
                                                          <w:marBottom w:val="0"/>
                                                          <w:divBdr>
                                                            <w:top w:val="none" w:sz="0" w:space="0" w:color="auto"/>
                                                            <w:left w:val="none" w:sz="0" w:space="0" w:color="auto"/>
                                                            <w:bottom w:val="none" w:sz="0" w:space="0" w:color="auto"/>
                                                            <w:right w:val="none" w:sz="0" w:space="0" w:color="auto"/>
                                                          </w:divBdr>
                                                          <w:divsChild>
                                                            <w:div w:id="1726446497">
                                                              <w:marLeft w:val="0"/>
                                                              <w:marRight w:val="0"/>
                                                              <w:marTop w:val="0"/>
                                                              <w:marBottom w:val="0"/>
                                                              <w:divBdr>
                                                                <w:top w:val="none" w:sz="0" w:space="0" w:color="auto"/>
                                                                <w:left w:val="none" w:sz="0" w:space="0" w:color="auto"/>
                                                                <w:bottom w:val="none" w:sz="0" w:space="0" w:color="auto"/>
                                                                <w:right w:val="none" w:sz="0" w:space="0" w:color="auto"/>
                                                              </w:divBdr>
                                                              <w:divsChild>
                                                                <w:div w:id="1158570447">
                                                                  <w:marLeft w:val="0"/>
                                                                  <w:marRight w:val="0"/>
                                                                  <w:marTop w:val="0"/>
                                                                  <w:marBottom w:val="0"/>
                                                                  <w:divBdr>
                                                                    <w:top w:val="none" w:sz="0" w:space="0" w:color="auto"/>
                                                                    <w:left w:val="none" w:sz="0" w:space="0" w:color="auto"/>
                                                                    <w:bottom w:val="none" w:sz="0" w:space="0" w:color="auto"/>
                                                                    <w:right w:val="none" w:sz="0" w:space="0" w:color="auto"/>
                                                                  </w:divBdr>
                                                                  <w:divsChild>
                                                                    <w:div w:id="260649750">
                                                                      <w:marLeft w:val="0"/>
                                                                      <w:marRight w:val="0"/>
                                                                      <w:marTop w:val="0"/>
                                                                      <w:marBottom w:val="0"/>
                                                                      <w:divBdr>
                                                                        <w:top w:val="none" w:sz="0" w:space="0" w:color="auto"/>
                                                                        <w:left w:val="none" w:sz="0" w:space="0" w:color="auto"/>
                                                                        <w:bottom w:val="none" w:sz="0" w:space="0" w:color="auto"/>
                                                                        <w:right w:val="none" w:sz="0" w:space="0" w:color="auto"/>
                                                                      </w:divBdr>
                                                                      <w:divsChild>
                                                                        <w:div w:id="54201282">
                                                                          <w:marLeft w:val="0"/>
                                                                          <w:marRight w:val="0"/>
                                                                          <w:marTop w:val="0"/>
                                                                          <w:marBottom w:val="0"/>
                                                                          <w:divBdr>
                                                                            <w:top w:val="none" w:sz="0" w:space="0" w:color="auto"/>
                                                                            <w:left w:val="none" w:sz="0" w:space="0" w:color="auto"/>
                                                                            <w:bottom w:val="none" w:sz="0" w:space="0" w:color="auto"/>
                                                                            <w:right w:val="none" w:sz="0" w:space="0" w:color="auto"/>
                                                                          </w:divBdr>
                                                                          <w:divsChild>
                                                                            <w:div w:id="581186377">
                                                                              <w:marLeft w:val="0"/>
                                                                              <w:marRight w:val="0"/>
                                                                              <w:marTop w:val="0"/>
                                                                              <w:marBottom w:val="0"/>
                                                                              <w:divBdr>
                                                                                <w:top w:val="none" w:sz="0" w:space="0" w:color="auto"/>
                                                                                <w:left w:val="none" w:sz="0" w:space="0" w:color="auto"/>
                                                                                <w:bottom w:val="none" w:sz="0" w:space="0" w:color="auto"/>
                                                                                <w:right w:val="none" w:sz="0" w:space="0" w:color="auto"/>
                                                                              </w:divBdr>
                                                                              <w:divsChild>
                                                                                <w:div w:id="1934312937">
                                                                                  <w:marLeft w:val="0"/>
                                                                                  <w:marRight w:val="0"/>
                                                                                  <w:marTop w:val="0"/>
                                                                                  <w:marBottom w:val="0"/>
                                                                                  <w:divBdr>
                                                                                    <w:top w:val="none" w:sz="0" w:space="0" w:color="auto"/>
                                                                                    <w:left w:val="none" w:sz="0" w:space="0" w:color="auto"/>
                                                                                    <w:bottom w:val="none" w:sz="0" w:space="0" w:color="auto"/>
                                                                                    <w:right w:val="none" w:sz="0" w:space="0" w:color="auto"/>
                                                                                  </w:divBdr>
                                                                                  <w:divsChild>
                                                                                    <w:div w:id="1971353841">
                                                                                      <w:marLeft w:val="0"/>
                                                                                      <w:marRight w:val="0"/>
                                                                                      <w:marTop w:val="0"/>
                                                                                      <w:marBottom w:val="0"/>
                                                                                      <w:divBdr>
                                                                                        <w:top w:val="none" w:sz="0" w:space="0" w:color="auto"/>
                                                                                        <w:left w:val="none" w:sz="0" w:space="0" w:color="auto"/>
                                                                                        <w:bottom w:val="none" w:sz="0" w:space="0" w:color="auto"/>
                                                                                        <w:right w:val="none" w:sz="0" w:space="0" w:color="auto"/>
                                                                                      </w:divBdr>
                                                                                      <w:divsChild>
                                                                                        <w:div w:id="125778948">
                                                                                          <w:marLeft w:val="0"/>
                                                                                          <w:marRight w:val="120"/>
                                                                                          <w:marTop w:val="0"/>
                                                                                          <w:marBottom w:val="150"/>
                                                                                          <w:divBdr>
                                                                                            <w:top w:val="single" w:sz="2" w:space="0" w:color="EFEFEF"/>
                                                                                            <w:left w:val="single" w:sz="6" w:space="0" w:color="EFEFEF"/>
                                                                                            <w:bottom w:val="single" w:sz="6" w:space="0" w:color="E2E2E2"/>
                                                                                            <w:right w:val="single" w:sz="6" w:space="0" w:color="EFEFEF"/>
                                                                                          </w:divBdr>
                                                                                          <w:divsChild>
                                                                                            <w:div w:id="1977026284">
                                                                                              <w:marLeft w:val="0"/>
                                                                                              <w:marRight w:val="0"/>
                                                                                              <w:marTop w:val="0"/>
                                                                                              <w:marBottom w:val="0"/>
                                                                                              <w:divBdr>
                                                                                                <w:top w:val="none" w:sz="0" w:space="0" w:color="auto"/>
                                                                                                <w:left w:val="none" w:sz="0" w:space="0" w:color="auto"/>
                                                                                                <w:bottom w:val="none" w:sz="0" w:space="0" w:color="auto"/>
                                                                                                <w:right w:val="none" w:sz="0" w:space="0" w:color="auto"/>
                                                                                              </w:divBdr>
                                                                                              <w:divsChild>
                                                                                                <w:div w:id="1648972832">
                                                                                                  <w:marLeft w:val="0"/>
                                                                                                  <w:marRight w:val="0"/>
                                                                                                  <w:marTop w:val="0"/>
                                                                                                  <w:marBottom w:val="0"/>
                                                                                                  <w:divBdr>
                                                                                                    <w:top w:val="none" w:sz="0" w:space="0" w:color="auto"/>
                                                                                                    <w:left w:val="none" w:sz="0" w:space="0" w:color="auto"/>
                                                                                                    <w:bottom w:val="none" w:sz="0" w:space="0" w:color="auto"/>
                                                                                                    <w:right w:val="none" w:sz="0" w:space="0" w:color="auto"/>
                                                                                                  </w:divBdr>
                                                                                                  <w:divsChild>
                                                                                                    <w:div w:id="2055612835">
                                                                                                      <w:marLeft w:val="0"/>
                                                                                                      <w:marRight w:val="0"/>
                                                                                                      <w:marTop w:val="0"/>
                                                                                                      <w:marBottom w:val="0"/>
                                                                                                      <w:divBdr>
                                                                                                        <w:top w:val="none" w:sz="0" w:space="0" w:color="auto"/>
                                                                                                        <w:left w:val="none" w:sz="0" w:space="0" w:color="auto"/>
                                                                                                        <w:bottom w:val="none" w:sz="0" w:space="0" w:color="auto"/>
                                                                                                        <w:right w:val="none" w:sz="0" w:space="0" w:color="auto"/>
                                                                                                      </w:divBdr>
                                                                                                      <w:divsChild>
                                                                                                        <w:div w:id="2061976704">
                                                                                                          <w:marLeft w:val="0"/>
                                                                                                          <w:marRight w:val="0"/>
                                                                                                          <w:marTop w:val="0"/>
                                                                                                          <w:marBottom w:val="0"/>
                                                                                                          <w:divBdr>
                                                                                                            <w:top w:val="none" w:sz="0" w:space="0" w:color="auto"/>
                                                                                                            <w:left w:val="none" w:sz="0" w:space="0" w:color="auto"/>
                                                                                                            <w:bottom w:val="none" w:sz="0" w:space="0" w:color="auto"/>
                                                                                                            <w:right w:val="none" w:sz="0" w:space="0" w:color="auto"/>
                                                                                                          </w:divBdr>
                                                                                                          <w:divsChild>
                                                                                                            <w:div w:id="1255437463">
                                                                                                              <w:marLeft w:val="0"/>
                                                                                                              <w:marRight w:val="0"/>
                                                                                                              <w:marTop w:val="0"/>
                                                                                                              <w:marBottom w:val="0"/>
                                                                                                              <w:divBdr>
                                                                                                                <w:top w:val="single" w:sz="2" w:space="4" w:color="D8D8D8"/>
                                                                                                                <w:left w:val="single" w:sz="2" w:space="0" w:color="D8D8D8"/>
                                                                                                                <w:bottom w:val="single" w:sz="2" w:space="4" w:color="D8D8D8"/>
                                                                                                                <w:right w:val="single" w:sz="2" w:space="0" w:color="D8D8D8"/>
                                                                                                              </w:divBdr>
                                                                                                              <w:divsChild>
                                                                                                                <w:div w:id="1910573879">
                                                                                                                  <w:marLeft w:val="225"/>
                                                                                                                  <w:marRight w:val="225"/>
                                                                                                                  <w:marTop w:val="75"/>
                                                                                                                  <w:marBottom w:val="75"/>
                                                                                                                  <w:divBdr>
                                                                                                                    <w:top w:val="none" w:sz="0" w:space="0" w:color="auto"/>
                                                                                                                    <w:left w:val="none" w:sz="0" w:space="0" w:color="auto"/>
                                                                                                                    <w:bottom w:val="none" w:sz="0" w:space="0" w:color="auto"/>
                                                                                                                    <w:right w:val="none" w:sz="0" w:space="0" w:color="auto"/>
                                                                                                                  </w:divBdr>
                                                                                                                  <w:divsChild>
                                                                                                                    <w:div w:id="909314405">
                                                                                                                      <w:marLeft w:val="0"/>
                                                                                                                      <w:marRight w:val="0"/>
                                                                                                                      <w:marTop w:val="0"/>
                                                                                                                      <w:marBottom w:val="0"/>
                                                                                                                      <w:divBdr>
                                                                                                                        <w:top w:val="single" w:sz="6" w:space="0" w:color="auto"/>
                                                                                                                        <w:left w:val="single" w:sz="6" w:space="0" w:color="auto"/>
                                                                                                                        <w:bottom w:val="single" w:sz="6" w:space="0" w:color="auto"/>
                                                                                                                        <w:right w:val="single" w:sz="6" w:space="0" w:color="auto"/>
                                                                                                                      </w:divBdr>
                                                                                                                      <w:divsChild>
                                                                                                                        <w:div w:id="704604546">
                                                                                                                          <w:marLeft w:val="0"/>
                                                                                                                          <w:marRight w:val="0"/>
                                                                                                                          <w:marTop w:val="0"/>
                                                                                                                          <w:marBottom w:val="0"/>
                                                                                                                          <w:divBdr>
                                                                                                                            <w:top w:val="none" w:sz="0" w:space="0" w:color="auto"/>
                                                                                                                            <w:left w:val="none" w:sz="0" w:space="0" w:color="auto"/>
                                                                                                                            <w:bottom w:val="none" w:sz="0" w:space="0" w:color="auto"/>
                                                                                                                            <w:right w:val="none" w:sz="0" w:space="0" w:color="auto"/>
                                                                                                                          </w:divBdr>
                                                                                                                          <w:divsChild>
                                                                                                                            <w:div w:id="11744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632783">
      <w:bodyDiv w:val="1"/>
      <w:marLeft w:val="0"/>
      <w:marRight w:val="0"/>
      <w:marTop w:val="0"/>
      <w:marBottom w:val="0"/>
      <w:divBdr>
        <w:top w:val="none" w:sz="0" w:space="0" w:color="auto"/>
        <w:left w:val="none" w:sz="0" w:space="0" w:color="auto"/>
        <w:bottom w:val="none" w:sz="0" w:space="0" w:color="auto"/>
        <w:right w:val="none" w:sz="0" w:space="0" w:color="auto"/>
      </w:divBdr>
      <w:divsChild>
        <w:div w:id="1748644722">
          <w:marLeft w:val="547"/>
          <w:marRight w:val="0"/>
          <w:marTop w:val="0"/>
          <w:marBottom w:val="0"/>
          <w:divBdr>
            <w:top w:val="none" w:sz="0" w:space="0" w:color="auto"/>
            <w:left w:val="none" w:sz="0" w:space="0" w:color="auto"/>
            <w:bottom w:val="none" w:sz="0" w:space="0" w:color="auto"/>
            <w:right w:val="none" w:sz="0" w:space="0" w:color="auto"/>
          </w:divBdr>
        </w:div>
      </w:divsChild>
    </w:div>
    <w:div w:id="704714653">
      <w:bodyDiv w:val="1"/>
      <w:marLeft w:val="0"/>
      <w:marRight w:val="0"/>
      <w:marTop w:val="0"/>
      <w:marBottom w:val="0"/>
      <w:divBdr>
        <w:top w:val="none" w:sz="0" w:space="0" w:color="auto"/>
        <w:left w:val="none" w:sz="0" w:space="0" w:color="auto"/>
        <w:bottom w:val="none" w:sz="0" w:space="0" w:color="auto"/>
        <w:right w:val="none" w:sz="0" w:space="0" w:color="auto"/>
      </w:divBdr>
    </w:div>
    <w:div w:id="850296568">
      <w:bodyDiv w:val="1"/>
      <w:marLeft w:val="0"/>
      <w:marRight w:val="0"/>
      <w:marTop w:val="0"/>
      <w:marBottom w:val="0"/>
      <w:divBdr>
        <w:top w:val="none" w:sz="0" w:space="0" w:color="auto"/>
        <w:left w:val="none" w:sz="0" w:space="0" w:color="auto"/>
        <w:bottom w:val="none" w:sz="0" w:space="0" w:color="auto"/>
        <w:right w:val="none" w:sz="0" w:space="0" w:color="auto"/>
      </w:divBdr>
    </w:div>
    <w:div w:id="958486226">
      <w:bodyDiv w:val="1"/>
      <w:marLeft w:val="0"/>
      <w:marRight w:val="0"/>
      <w:marTop w:val="0"/>
      <w:marBottom w:val="0"/>
      <w:divBdr>
        <w:top w:val="none" w:sz="0" w:space="0" w:color="auto"/>
        <w:left w:val="none" w:sz="0" w:space="0" w:color="auto"/>
        <w:bottom w:val="none" w:sz="0" w:space="0" w:color="auto"/>
        <w:right w:val="none" w:sz="0" w:space="0" w:color="auto"/>
      </w:divBdr>
      <w:divsChild>
        <w:div w:id="943422291">
          <w:marLeft w:val="0"/>
          <w:marRight w:val="0"/>
          <w:marTop w:val="0"/>
          <w:marBottom w:val="0"/>
          <w:divBdr>
            <w:top w:val="none" w:sz="0" w:space="0" w:color="auto"/>
            <w:left w:val="none" w:sz="0" w:space="0" w:color="auto"/>
            <w:bottom w:val="none" w:sz="0" w:space="0" w:color="auto"/>
            <w:right w:val="none" w:sz="0" w:space="0" w:color="auto"/>
          </w:divBdr>
          <w:divsChild>
            <w:div w:id="660045487">
              <w:marLeft w:val="0"/>
              <w:marRight w:val="0"/>
              <w:marTop w:val="0"/>
              <w:marBottom w:val="0"/>
              <w:divBdr>
                <w:top w:val="none" w:sz="0" w:space="0" w:color="auto"/>
                <w:left w:val="none" w:sz="0" w:space="0" w:color="auto"/>
                <w:bottom w:val="none" w:sz="0" w:space="0" w:color="auto"/>
                <w:right w:val="none" w:sz="0" w:space="0" w:color="auto"/>
              </w:divBdr>
              <w:divsChild>
                <w:div w:id="168637932">
                  <w:marLeft w:val="0"/>
                  <w:marRight w:val="0"/>
                  <w:marTop w:val="0"/>
                  <w:marBottom w:val="0"/>
                  <w:divBdr>
                    <w:top w:val="none" w:sz="0" w:space="0" w:color="auto"/>
                    <w:left w:val="none" w:sz="0" w:space="0" w:color="auto"/>
                    <w:bottom w:val="none" w:sz="0" w:space="0" w:color="auto"/>
                    <w:right w:val="none" w:sz="0" w:space="0" w:color="auto"/>
                  </w:divBdr>
                  <w:divsChild>
                    <w:div w:id="1113981876">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sChild>
                            <w:div w:id="78912114">
                              <w:marLeft w:val="0"/>
                              <w:marRight w:val="0"/>
                              <w:marTop w:val="0"/>
                              <w:marBottom w:val="0"/>
                              <w:divBdr>
                                <w:top w:val="none" w:sz="0" w:space="0" w:color="auto"/>
                                <w:left w:val="none" w:sz="0" w:space="0" w:color="auto"/>
                                <w:bottom w:val="none" w:sz="0" w:space="0" w:color="auto"/>
                                <w:right w:val="none" w:sz="0" w:space="0" w:color="auto"/>
                              </w:divBdr>
                              <w:divsChild>
                                <w:div w:id="1368483153">
                                  <w:marLeft w:val="0"/>
                                  <w:marRight w:val="0"/>
                                  <w:marTop w:val="0"/>
                                  <w:marBottom w:val="0"/>
                                  <w:divBdr>
                                    <w:top w:val="none" w:sz="0" w:space="0" w:color="auto"/>
                                    <w:left w:val="none" w:sz="0" w:space="0" w:color="auto"/>
                                    <w:bottom w:val="none" w:sz="0" w:space="0" w:color="auto"/>
                                    <w:right w:val="none" w:sz="0" w:space="0" w:color="auto"/>
                                  </w:divBdr>
                                  <w:divsChild>
                                    <w:div w:id="887647088">
                                      <w:marLeft w:val="0"/>
                                      <w:marRight w:val="0"/>
                                      <w:marTop w:val="0"/>
                                      <w:marBottom w:val="0"/>
                                      <w:divBdr>
                                        <w:top w:val="none" w:sz="0" w:space="0" w:color="auto"/>
                                        <w:left w:val="none" w:sz="0" w:space="0" w:color="auto"/>
                                        <w:bottom w:val="none" w:sz="0" w:space="0" w:color="auto"/>
                                        <w:right w:val="none" w:sz="0" w:space="0" w:color="auto"/>
                                      </w:divBdr>
                                      <w:divsChild>
                                        <w:div w:id="1421491486">
                                          <w:marLeft w:val="0"/>
                                          <w:marRight w:val="0"/>
                                          <w:marTop w:val="0"/>
                                          <w:marBottom w:val="0"/>
                                          <w:divBdr>
                                            <w:top w:val="none" w:sz="0" w:space="0" w:color="auto"/>
                                            <w:left w:val="none" w:sz="0" w:space="0" w:color="auto"/>
                                            <w:bottom w:val="none" w:sz="0" w:space="0" w:color="auto"/>
                                            <w:right w:val="none" w:sz="0" w:space="0" w:color="auto"/>
                                          </w:divBdr>
                                          <w:divsChild>
                                            <w:div w:id="1847750329">
                                              <w:marLeft w:val="0"/>
                                              <w:marRight w:val="0"/>
                                              <w:marTop w:val="0"/>
                                              <w:marBottom w:val="0"/>
                                              <w:divBdr>
                                                <w:top w:val="single" w:sz="12" w:space="2" w:color="FFFFCC"/>
                                                <w:left w:val="single" w:sz="12" w:space="2" w:color="FFFFCC"/>
                                                <w:bottom w:val="single" w:sz="12" w:space="2" w:color="FFFFCC"/>
                                                <w:right w:val="single" w:sz="12" w:space="0" w:color="FFFFCC"/>
                                              </w:divBdr>
                                              <w:divsChild>
                                                <w:div w:id="132604998">
                                                  <w:marLeft w:val="0"/>
                                                  <w:marRight w:val="0"/>
                                                  <w:marTop w:val="0"/>
                                                  <w:marBottom w:val="0"/>
                                                  <w:divBdr>
                                                    <w:top w:val="none" w:sz="0" w:space="0" w:color="auto"/>
                                                    <w:left w:val="none" w:sz="0" w:space="0" w:color="auto"/>
                                                    <w:bottom w:val="none" w:sz="0" w:space="0" w:color="auto"/>
                                                    <w:right w:val="none" w:sz="0" w:space="0" w:color="auto"/>
                                                  </w:divBdr>
                                                  <w:divsChild>
                                                    <w:div w:id="1349409832">
                                                      <w:marLeft w:val="0"/>
                                                      <w:marRight w:val="0"/>
                                                      <w:marTop w:val="0"/>
                                                      <w:marBottom w:val="0"/>
                                                      <w:divBdr>
                                                        <w:top w:val="none" w:sz="0" w:space="0" w:color="auto"/>
                                                        <w:left w:val="none" w:sz="0" w:space="0" w:color="auto"/>
                                                        <w:bottom w:val="none" w:sz="0" w:space="0" w:color="auto"/>
                                                        <w:right w:val="none" w:sz="0" w:space="0" w:color="auto"/>
                                                      </w:divBdr>
                                                      <w:divsChild>
                                                        <w:div w:id="1349331232">
                                                          <w:marLeft w:val="0"/>
                                                          <w:marRight w:val="0"/>
                                                          <w:marTop w:val="0"/>
                                                          <w:marBottom w:val="0"/>
                                                          <w:divBdr>
                                                            <w:top w:val="none" w:sz="0" w:space="0" w:color="auto"/>
                                                            <w:left w:val="none" w:sz="0" w:space="0" w:color="auto"/>
                                                            <w:bottom w:val="none" w:sz="0" w:space="0" w:color="auto"/>
                                                            <w:right w:val="none" w:sz="0" w:space="0" w:color="auto"/>
                                                          </w:divBdr>
                                                          <w:divsChild>
                                                            <w:div w:id="577055165">
                                                              <w:marLeft w:val="0"/>
                                                              <w:marRight w:val="0"/>
                                                              <w:marTop w:val="0"/>
                                                              <w:marBottom w:val="0"/>
                                                              <w:divBdr>
                                                                <w:top w:val="none" w:sz="0" w:space="0" w:color="auto"/>
                                                                <w:left w:val="none" w:sz="0" w:space="0" w:color="auto"/>
                                                                <w:bottom w:val="none" w:sz="0" w:space="0" w:color="auto"/>
                                                                <w:right w:val="none" w:sz="0" w:space="0" w:color="auto"/>
                                                              </w:divBdr>
                                                              <w:divsChild>
                                                                <w:div w:id="864447246">
                                                                  <w:marLeft w:val="0"/>
                                                                  <w:marRight w:val="0"/>
                                                                  <w:marTop w:val="0"/>
                                                                  <w:marBottom w:val="0"/>
                                                                  <w:divBdr>
                                                                    <w:top w:val="none" w:sz="0" w:space="0" w:color="auto"/>
                                                                    <w:left w:val="none" w:sz="0" w:space="0" w:color="auto"/>
                                                                    <w:bottom w:val="none" w:sz="0" w:space="0" w:color="auto"/>
                                                                    <w:right w:val="none" w:sz="0" w:space="0" w:color="auto"/>
                                                                  </w:divBdr>
                                                                  <w:divsChild>
                                                                    <w:div w:id="398479552">
                                                                      <w:marLeft w:val="0"/>
                                                                      <w:marRight w:val="0"/>
                                                                      <w:marTop w:val="0"/>
                                                                      <w:marBottom w:val="0"/>
                                                                      <w:divBdr>
                                                                        <w:top w:val="none" w:sz="0" w:space="0" w:color="auto"/>
                                                                        <w:left w:val="none" w:sz="0" w:space="0" w:color="auto"/>
                                                                        <w:bottom w:val="none" w:sz="0" w:space="0" w:color="auto"/>
                                                                        <w:right w:val="none" w:sz="0" w:space="0" w:color="auto"/>
                                                                      </w:divBdr>
                                                                      <w:divsChild>
                                                                        <w:div w:id="170535366">
                                                                          <w:marLeft w:val="0"/>
                                                                          <w:marRight w:val="0"/>
                                                                          <w:marTop w:val="0"/>
                                                                          <w:marBottom w:val="0"/>
                                                                          <w:divBdr>
                                                                            <w:top w:val="none" w:sz="0" w:space="0" w:color="auto"/>
                                                                            <w:left w:val="none" w:sz="0" w:space="0" w:color="auto"/>
                                                                            <w:bottom w:val="none" w:sz="0" w:space="0" w:color="auto"/>
                                                                            <w:right w:val="none" w:sz="0" w:space="0" w:color="auto"/>
                                                                          </w:divBdr>
                                                                          <w:divsChild>
                                                                            <w:div w:id="1436560084">
                                                                              <w:marLeft w:val="0"/>
                                                                              <w:marRight w:val="0"/>
                                                                              <w:marTop w:val="0"/>
                                                                              <w:marBottom w:val="0"/>
                                                                              <w:divBdr>
                                                                                <w:top w:val="none" w:sz="0" w:space="0" w:color="auto"/>
                                                                                <w:left w:val="none" w:sz="0" w:space="0" w:color="auto"/>
                                                                                <w:bottom w:val="none" w:sz="0" w:space="0" w:color="auto"/>
                                                                                <w:right w:val="none" w:sz="0" w:space="0" w:color="auto"/>
                                                                              </w:divBdr>
                                                                              <w:divsChild>
                                                                                <w:div w:id="1484274638">
                                                                                  <w:marLeft w:val="0"/>
                                                                                  <w:marRight w:val="0"/>
                                                                                  <w:marTop w:val="0"/>
                                                                                  <w:marBottom w:val="0"/>
                                                                                  <w:divBdr>
                                                                                    <w:top w:val="none" w:sz="0" w:space="0" w:color="auto"/>
                                                                                    <w:left w:val="none" w:sz="0" w:space="0" w:color="auto"/>
                                                                                    <w:bottom w:val="none" w:sz="0" w:space="0" w:color="auto"/>
                                                                                    <w:right w:val="none" w:sz="0" w:space="0" w:color="auto"/>
                                                                                  </w:divBdr>
                                                                                  <w:divsChild>
                                                                                    <w:div w:id="1495603391">
                                                                                      <w:marLeft w:val="0"/>
                                                                                      <w:marRight w:val="0"/>
                                                                                      <w:marTop w:val="0"/>
                                                                                      <w:marBottom w:val="0"/>
                                                                                      <w:divBdr>
                                                                                        <w:top w:val="none" w:sz="0" w:space="0" w:color="auto"/>
                                                                                        <w:left w:val="none" w:sz="0" w:space="0" w:color="auto"/>
                                                                                        <w:bottom w:val="none" w:sz="0" w:space="0" w:color="auto"/>
                                                                                        <w:right w:val="none" w:sz="0" w:space="0" w:color="auto"/>
                                                                                      </w:divBdr>
                                                                                      <w:divsChild>
                                                                                        <w:div w:id="1737361224">
                                                                                          <w:marLeft w:val="0"/>
                                                                                          <w:marRight w:val="120"/>
                                                                                          <w:marTop w:val="0"/>
                                                                                          <w:marBottom w:val="150"/>
                                                                                          <w:divBdr>
                                                                                            <w:top w:val="single" w:sz="2" w:space="0" w:color="EFEFEF"/>
                                                                                            <w:left w:val="single" w:sz="6" w:space="0" w:color="EFEFEF"/>
                                                                                            <w:bottom w:val="single" w:sz="6" w:space="0" w:color="E2E2E2"/>
                                                                                            <w:right w:val="single" w:sz="6" w:space="0" w:color="EFEFEF"/>
                                                                                          </w:divBdr>
                                                                                          <w:divsChild>
                                                                                            <w:div w:id="1939101184">
                                                                                              <w:marLeft w:val="0"/>
                                                                                              <w:marRight w:val="0"/>
                                                                                              <w:marTop w:val="0"/>
                                                                                              <w:marBottom w:val="0"/>
                                                                                              <w:divBdr>
                                                                                                <w:top w:val="none" w:sz="0" w:space="0" w:color="auto"/>
                                                                                                <w:left w:val="none" w:sz="0" w:space="0" w:color="auto"/>
                                                                                                <w:bottom w:val="none" w:sz="0" w:space="0" w:color="auto"/>
                                                                                                <w:right w:val="none" w:sz="0" w:space="0" w:color="auto"/>
                                                                                              </w:divBdr>
                                                                                              <w:divsChild>
                                                                                                <w:div w:id="462693405">
                                                                                                  <w:marLeft w:val="0"/>
                                                                                                  <w:marRight w:val="0"/>
                                                                                                  <w:marTop w:val="0"/>
                                                                                                  <w:marBottom w:val="0"/>
                                                                                                  <w:divBdr>
                                                                                                    <w:top w:val="none" w:sz="0" w:space="0" w:color="auto"/>
                                                                                                    <w:left w:val="none" w:sz="0" w:space="0" w:color="auto"/>
                                                                                                    <w:bottom w:val="none" w:sz="0" w:space="0" w:color="auto"/>
                                                                                                    <w:right w:val="none" w:sz="0" w:space="0" w:color="auto"/>
                                                                                                  </w:divBdr>
                                                                                                  <w:divsChild>
                                                                                                    <w:div w:id="1708144504">
                                                                                                      <w:marLeft w:val="0"/>
                                                                                                      <w:marRight w:val="0"/>
                                                                                                      <w:marTop w:val="0"/>
                                                                                                      <w:marBottom w:val="0"/>
                                                                                                      <w:divBdr>
                                                                                                        <w:top w:val="none" w:sz="0" w:space="0" w:color="auto"/>
                                                                                                        <w:left w:val="none" w:sz="0" w:space="0" w:color="auto"/>
                                                                                                        <w:bottom w:val="none" w:sz="0" w:space="0" w:color="auto"/>
                                                                                                        <w:right w:val="none" w:sz="0" w:space="0" w:color="auto"/>
                                                                                                      </w:divBdr>
                                                                                                      <w:divsChild>
                                                                                                        <w:div w:id="561907949">
                                                                                                          <w:marLeft w:val="0"/>
                                                                                                          <w:marRight w:val="0"/>
                                                                                                          <w:marTop w:val="0"/>
                                                                                                          <w:marBottom w:val="0"/>
                                                                                                          <w:divBdr>
                                                                                                            <w:top w:val="none" w:sz="0" w:space="0" w:color="auto"/>
                                                                                                            <w:left w:val="none" w:sz="0" w:space="0" w:color="auto"/>
                                                                                                            <w:bottom w:val="none" w:sz="0" w:space="0" w:color="auto"/>
                                                                                                            <w:right w:val="none" w:sz="0" w:space="0" w:color="auto"/>
                                                                                                          </w:divBdr>
                                                                                                          <w:divsChild>
                                                                                                            <w:div w:id="229735847">
                                                                                                              <w:marLeft w:val="0"/>
                                                                                                              <w:marRight w:val="0"/>
                                                                                                              <w:marTop w:val="0"/>
                                                                                                              <w:marBottom w:val="0"/>
                                                                                                              <w:divBdr>
                                                                                                                <w:top w:val="single" w:sz="2" w:space="4" w:color="D8D8D8"/>
                                                                                                                <w:left w:val="single" w:sz="2" w:space="0" w:color="D8D8D8"/>
                                                                                                                <w:bottom w:val="single" w:sz="2" w:space="4" w:color="D8D8D8"/>
                                                                                                                <w:right w:val="single" w:sz="2" w:space="0" w:color="D8D8D8"/>
                                                                                                              </w:divBdr>
                                                                                                              <w:divsChild>
                                                                                                                <w:div w:id="297997370">
                                                                                                                  <w:marLeft w:val="225"/>
                                                                                                                  <w:marRight w:val="225"/>
                                                                                                                  <w:marTop w:val="75"/>
                                                                                                                  <w:marBottom w:val="75"/>
                                                                                                                  <w:divBdr>
                                                                                                                    <w:top w:val="none" w:sz="0" w:space="0" w:color="auto"/>
                                                                                                                    <w:left w:val="none" w:sz="0" w:space="0" w:color="auto"/>
                                                                                                                    <w:bottom w:val="none" w:sz="0" w:space="0" w:color="auto"/>
                                                                                                                    <w:right w:val="none" w:sz="0" w:space="0" w:color="auto"/>
                                                                                                                  </w:divBdr>
                                                                                                                  <w:divsChild>
                                                                                                                    <w:div w:id="2094741845">
                                                                                                                      <w:marLeft w:val="0"/>
                                                                                                                      <w:marRight w:val="0"/>
                                                                                                                      <w:marTop w:val="0"/>
                                                                                                                      <w:marBottom w:val="0"/>
                                                                                                                      <w:divBdr>
                                                                                                                        <w:top w:val="single" w:sz="6" w:space="0" w:color="auto"/>
                                                                                                                        <w:left w:val="single" w:sz="6" w:space="0" w:color="auto"/>
                                                                                                                        <w:bottom w:val="single" w:sz="6" w:space="0" w:color="auto"/>
                                                                                                                        <w:right w:val="single" w:sz="6" w:space="0" w:color="auto"/>
                                                                                                                      </w:divBdr>
                                                                                                                      <w:divsChild>
                                                                                                                        <w:div w:id="1804615844">
                                                                                                                          <w:marLeft w:val="0"/>
                                                                                                                          <w:marRight w:val="0"/>
                                                                                                                          <w:marTop w:val="0"/>
                                                                                                                          <w:marBottom w:val="0"/>
                                                                                                                          <w:divBdr>
                                                                                                                            <w:top w:val="none" w:sz="0" w:space="0" w:color="auto"/>
                                                                                                                            <w:left w:val="none" w:sz="0" w:space="0" w:color="auto"/>
                                                                                                                            <w:bottom w:val="none" w:sz="0" w:space="0" w:color="auto"/>
                                                                                                                            <w:right w:val="none" w:sz="0" w:space="0" w:color="auto"/>
                                                                                                                          </w:divBdr>
                                                                                                                          <w:divsChild>
                                                                                                                            <w:div w:id="17122334">
                                                                                                                              <w:marLeft w:val="0"/>
                                                                                                                              <w:marRight w:val="0"/>
                                                                                                                              <w:marTop w:val="100"/>
                                                                                                                              <w:marBottom w:val="100"/>
                                                                                                                              <w:divBdr>
                                                                                                                                <w:top w:val="none" w:sz="0" w:space="0" w:color="auto"/>
                                                                                                                                <w:left w:val="none" w:sz="0" w:space="0" w:color="auto"/>
                                                                                                                                <w:bottom w:val="none" w:sz="0" w:space="0" w:color="auto"/>
                                                                                                                                <w:right w:val="none" w:sz="0" w:space="0" w:color="auto"/>
                                                                                                                              </w:divBdr>
                                                                                                                            </w:div>
                                                                                                                            <w:div w:id="272371959">
                                                                                                                              <w:marLeft w:val="0"/>
                                                                                                                              <w:marRight w:val="0"/>
                                                                                                                              <w:marTop w:val="100"/>
                                                                                                                              <w:marBottom w:val="100"/>
                                                                                                                              <w:divBdr>
                                                                                                                                <w:top w:val="none" w:sz="0" w:space="0" w:color="auto"/>
                                                                                                                                <w:left w:val="none" w:sz="0" w:space="0" w:color="auto"/>
                                                                                                                                <w:bottom w:val="none" w:sz="0" w:space="0" w:color="auto"/>
                                                                                                                                <w:right w:val="none" w:sz="0" w:space="0" w:color="auto"/>
                                                                                                                              </w:divBdr>
                                                                                                                            </w:div>
                                                                                                                            <w:div w:id="1131942796">
                                                                                                                              <w:marLeft w:val="0"/>
                                                                                                                              <w:marRight w:val="0"/>
                                                                                                                              <w:marTop w:val="100"/>
                                                                                                                              <w:marBottom w:val="100"/>
                                                                                                                              <w:divBdr>
                                                                                                                                <w:top w:val="none" w:sz="0" w:space="0" w:color="auto"/>
                                                                                                                                <w:left w:val="none" w:sz="0" w:space="0" w:color="auto"/>
                                                                                                                                <w:bottom w:val="none" w:sz="0" w:space="0" w:color="auto"/>
                                                                                                                                <w:right w:val="none" w:sz="0" w:space="0" w:color="auto"/>
                                                                                                                              </w:divBdr>
                                                                                                                            </w:div>
                                                                                                                            <w:div w:id="1580165473">
                                                                                                                              <w:marLeft w:val="0"/>
                                                                                                                              <w:marRight w:val="0"/>
                                                                                                                              <w:marTop w:val="100"/>
                                                                                                                              <w:marBottom w:val="100"/>
                                                                                                                              <w:divBdr>
                                                                                                                                <w:top w:val="none" w:sz="0" w:space="0" w:color="auto"/>
                                                                                                                                <w:left w:val="none" w:sz="0" w:space="0" w:color="auto"/>
                                                                                                                                <w:bottom w:val="none" w:sz="0" w:space="0" w:color="auto"/>
                                                                                                                                <w:right w:val="none" w:sz="0" w:space="0" w:color="auto"/>
                                                                                                                              </w:divBdr>
                                                                                                                            </w:div>
                                                                                                                            <w:div w:id="15840221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354467">
      <w:bodyDiv w:val="1"/>
      <w:marLeft w:val="0"/>
      <w:marRight w:val="0"/>
      <w:marTop w:val="0"/>
      <w:marBottom w:val="0"/>
      <w:divBdr>
        <w:top w:val="none" w:sz="0" w:space="0" w:color="auto"/>
        <w:left w:val="none" w:sz="0" w:space="0" w:color="auto"/>
        <w:bottom w:val="none" w:sz="0" w:space="0" w:color="auto"/>
        <w:right w:val="none" w:sz="0" w:space="0" w:color="auto"/>
      </w:divBdr>
      <w:divsChild>
        <w:div w:id="1577006829">
          <w:marLeft w:val="547"/>
          <w:marRight w:val="0"/>
          <w:marTop w:val="0"/>
          <w:marBottom w:val="0"/>
          <w:divBdr>
            <w:top w:val="none" w:sz="0" w:space="0" w:color="auto"/>
            <w:left w:val="none" w:sz="0" w:space="0" w:color="auto"/>
            <w:bottom w:val="none" w:sz="0" w:space="0" w:color="auto"/>
            <w:right w:val="none" w:sz="0" w:space="0" w:color="auto"/>
          </w:divBdr>
        </w:div>
      </w:divsChild>
    </w:div>
    <w:div w:id="1003120510">
      <w:bodyDiv w:val="1"/>
      <w:marLeft w:val="0"/>
      <w:marRight w:val="0"/>
      <w:marTop w:val="0"/>
      <w:marBottom w:val="0"/>
      <w:divBdr>
        <w:top w:val="none" w:sz="0" w:space="0" w:color="auto"/>
        <w:left w:val="none" w:sz="0" w:space="0" w:color="auto"/>
        <w:bottom w:val="none" w:sz="0" w:space="0" w:color="auto"/>
        <w:right w:val="none" w:sz="0" w:space="0" w:color="auto"/>
      </w:divBdr>
      <w:divsChild>
        <w:div w:id="2112166605">
          <w:marLeft w:val="547"/>
          <w:marRight w:val="0"/>
          <w:marTop w:val="0"/>
          <w:marBottom w:val="0"/>
          <w:divBdr>
            <w:top w:val="none" w:sz="0" w:space="0" w:color="auto"/>
            <w:left w:val="none" w:sz="0" w:space="0" w:color="auto"/>
            <w:bottom w:val="none" w:sz="0" w:space="0" w:color="auto"/>
            <w:right w:val="none" w:sz="0" w:space="0" w:color="auto"/>
          </w:divBdr>
        </w:div>
      </w:divsChild>
    </w:div>
    <w:div w:id="1105269212">
      <w:bodyDiv w:val="1"/>
      <w:marLeft w:val="0"/>
      <w:marRight w:val="0"/>
      <w:marTop w:val="0"/>
      <w:marBottom w:val="0"/>
      <w:divBdr>
        <w:top w:val="none" w:sz="0" w:space="0" w:color="auto"/>
        <w:left w:val="none" w:sz="0" w:space="0" w:color="auto"/>
        <w:bottom w:val="none" w:sz="0" w:space="0" w:color="auto"/>
        <w:right w:val="none" w:sz="0" w:space="0" w:color="auto"/>
      </w:divBdr>
      <w:divsChild>
        <w:div w:id="70585894">
          <w:marLeft w:val="547"/>
          <w:marRight w:val="0"/>
          <w:marTop w:val="0"/>
          <w:marBottom w:val="0"/>
          <w:divBdr>
            <w:top w:val="none" w:sz="0" w:space="0" w:color="auto"/>
            <w:left w:val="none" w:sz="0" w:space="0" w:color="auto"/>
            <w:bottom w:val="none" w:sz="0" w:space="0" w:color="auto"/>
            <w:right w:val="none" w:sz="0" w:space="0" w:color="auto"/>
          </w:divBdr>
        </w:div>
        <w:div w:id="316032143">
          <w:marLeft w:val="547"/>
          <w:marRight w:val="0"/>
          <w:marTop w:val="0"/>
          <w:marBottom w:val="0"/>
          <w:divBdr>
            <w:top w:val="none" w:sz="0" w:space="0" w:color="auto"/>
            <w:left w:val="none" w:sz="0" w:space="0" w:color="auto"/>
            <w:bottom w:val="none" w:sz="0" w:space="0" w:color="auto"/>
            <w:right w:val="none" w:sz="0" w:space="0" w:color="auto"/>
          </w:divBdr>
        </w:div>
        <w:div w:id="1817066435">
          <w:marLeft w:val="547"/>
          <w:marRight w:val="0"/>
          <w:marTop w:val="0"/>
          <w:marBottom w:val="0"/>
          <w:divBdr>
            <w:top w:val="none" w:sz="0" w:space="0" w:color="auto"/>
            <w:left w:val="none" w:sz="0" w:space="0" w:color="auto"/>
            <w:bottom w:val="none" w:sz="0" w:space="0" w:color="auto"/>
            <w:right w:val="none" w:sz="0" w:space="0" w:color="auto"/>
          </w:divBdr>
        </w:div>
      </w:divsChild>
    </w:div>
    <w:div w:id="1286156442">
      <w:bodyDiv w:val="1"/>
      <w:marLeft w:val="0"/>
      <w:marRight w:val="0"/>
      <w:marTop w:val="0"/>
      <w:marBottom w:val="0"/>
      <w:divBdr>
        <w:top w:val="none" w:sz="0" w:space="0" w:color="auto"/>
        <w:left w:val="none" w:sz="0" w:space="0" w:color="auto"/>
        <w:bottom w:val="none" w:sz="0" w:space="0" w:color="auto"/>
        <w:right w:val="none" w:sz="0" w:space="0" w:color="auto"/>
      </w:divBdr>
    </w:div>
    <w:div w:id="1366640997">
      <w:bodyDiv w:val="1"/>
      <w:marLeft w:val="0"/>
      <w:marRight w:val="0"/>
      <w:marTop w:val="0"/>
      <w:marBottom w:val="0"/>
      <w:divBdr>
        <w:top w:val="none" w:sz="0" w:space="0" w:color="auto"/>
        <w:left w:val="none" w:sz="0" w:space="0" w:color="auto"/>
        <w:bottom w:val="none" w:sz="0" w:space="0" w:color="auto"/>
        <w:right w:val="none" w:sz="0" w:space="0" w:color="auto"/>
      </w:divBdr>
    </w:div>
    <w:div w:id="1376395574">
      <w:bodyDiv w:val="1"/>
      <w:marLeft w:val="0"/>
      <w:marRight w:val="0"/>
      <w:marTop w:val="0"/>
      <w:marBottom w:val="0"/>
      <w:divBdr>
        <w:top w:val="none" w:sz="0" w:space="0" w:color="auto"/>
        <w:left w:val="none" w:sz="0" w:space="0" w:color="auto"/>
        <w:bottom w:val="none" w:sz="0" w:space="0" w:color="auto"/>
        <w:right w:val="none" w:sz="0" w:space="0" w:color="auto"/>
      </w:divBdr>
      <w:divsChild>
        <w:div w:id="431121637">
          <w:marLeft w:val="547"/>
          <w:marRight w:val="0"/>
          <w:marTop w:val="0"/>
          <w:marBottom w:val="0"/>
          <w:divBdr>
            <w:top w:val="none" w:sz="0" w:space="0" w:color="auto"/>
            <w:left w:val="none" w:sz="0" w:space="0" w:color="auto"/>
            <w:bottom w:val="none" w:sz="0" w:space="0" w:color="auto"/>
            <w:right w:val="none" w:sz="0" w:space="0" w:color="auto"/>
          </w:divBdr>
        </w:div>
        <w:div w:id="550072195">
          <w:marLeft w:val="547"/>
          <w:marRight w:val="0"/>
          <w:marTop w:val="0"/>
          <w:marBottom w:val="0"/>
          <w:divBdr>
            <w:top w:val="none" w:sz="0" w:space="0" w:color="auto"/>
            <w:left w:val="none" w:sz="0" w:space="0" w:color="auto"/>
            <w:bottom w:val="none" w:sz="0" w:space="0" w:color="auto"/>
            <w:right w:val="none" w:sz="0" w:space="0" w:color="auto"/>
          </w:divBdr>
        </w:div>
        <w:div w:id="1528450142">
          <w:marLeft w:val="547"/>
          <w:marRight w:val="0"/>
          <w:marTop w:val="0"/>
          <w:marBottom w:val="0"/>
          <w:divBdr>
            <w:top w:val="none" w:sz="0" w:space="0" w:color="auto"/>
            <w:left w:val="none" w:sz="0" w:space="0" w:color="auto"/>
            <w:bottom w:val="none" w:sz="0" w:space="0" w:color="auto"/>
            <w:right w:val="none" w:sz="0" w:space="0" w:color="auto"/>
          </w:divBdr>
        </w:div>
        <w:div w:id="1770270253">
          <w:marLeft w:val="547"/>
          <w:marRight w:val="0"/>
          <w:marTop w:val="0"/>
          <w:marBottom w:val="0"/>
          <w:divBdr>
            <w:top w:val="none" w:sz="0" w:space="0" w:color="auto"/>
            <w:left w:val="none" w:sz="0" w:space="0" w:color="auto"/>
            <w:bottom w:val="none" w:sz="0" w:space="0" w:color="auto"/>
            <w:right w:val="none" w:sz="0" w:space="0" w:color="auto"/>
          </w:divBdr>
        </w:div>
      </w:divsChild>
    </w:div>
    <w:div w:id="1445346367">
      <w:bodyDiv w:val="1"/>
      <w:marLeft w:val="0"/>
      <w:marRight w:val="0"/>
      <w:marTop w:val="0"/>
      <w:marBottom w:val="0"/>
      <w:divBdr>
        <w:top w:val="none" w:sz="0" w:space="0" w:color="auto"/>
        <w:left w:val="none" w:sz="0" w:space="0" w:color="auto"/>
        <w:bottom w:val="none" w:sz="0" w:space="0" w:color="auto"/>
        <w:right w:val="none" w:sz="0" w:space="0" w:color="auto"/>
      </w:divBdr>
    </w:div>
    <w:div w:id="1599025828">
      <w:bodyDiv w:val="1"/>
      <w:marLeft w:val="0"/>
      <w:marRight w:val="0"/>
      <w:marTop w:val="0"/>
      <w:marBottom w:val="0"/>
      <w:divBdr>
        <w:top w:val="none" w:sz="0" w:space="0" w:color="auto"/>
        <w:left w:val="none" w:sz="0" w:space="0" w:color="auto"/>
        <w:bottom w:val="none" w:sz="0" w:space="0" w:color="auto"/>
        <w:right w:val="none" w:sz="0" w:space="0" w:color="auto"/>
      </w:divBdr>
    </w:div>
    <w:div w:id="1656058655">
      <w:bodyDiv w:val="1"/>
      <w:marLeft w:val="0"/>
      <w:marRight w:val="0"/>
      <w:marTop w:val="0"/>
      <w:marBottom w:val="0"/>
      <w:divBdr>
        <w:top w:val="none" w:sz="0" w:space="0" w:color="auto"/>
        <w:left w:val="none" w:sz="0" w:space="0" w:color="auto"/>
        <w:bottom w:val="none" w:sz="0" w:space="0" w:color="auto"/>
        <w:right w:val="none" w:sz="0" w:space="0" w:color="auto"/>
      </w:divBdr>
    </w:div>
    <w:div w:id="1855419602">
      <w:bodyDiv w:val="1"/>
      <w:marLeft w:val="0"/>
      <w:marRight w:val="0"/>
      <w:marTop w:val="0"/>
      <w:marBottom w:val="0"/>
      <w:divBdr>
        <w:top w:val="none" w:sz="0" w:space="0" w:color="auto"/>
        <w:left w:val="none" w:sz="0" w:space="0" w:color="auto"/>
        <w:bottom w:val="none" w:sz="0" w:space="0" w:color="auto"/>
        <w:right w:val="none" w:sz="0" w:space="0" w:color="auto"/>
      </w:divBdr>
      <w:divsChild>
        <w:div w:id="429206237">
          <w:marLeft w:val="547"/>
          <w:marRight w:val="0"/>
          <w:marTop w:val="0"/>
          <w:marBottom w:val="0"/>
          <w:divBdr>
            <w:top w:val="none" w:sz="0" w:space="0" w:color="auto"/>
            <w:left w:val="none" w:sz="0" w:space="0" w:color="auto"/>
            <w:bottom w:val="none" w:sz="0" w:space="0" w:color="auto"/>
            <w:right w:val="none" w:sz="0" w:space="0" w:color="auto"/>
          </w:divBdr>
        </w:div>
      </w:divsChild>
    </w:div>
    <w:div w:id="1917131657">
      <w:bodyDiv w:val="1"/>
      <w:marLeft w:val="0"/>
      <w:marRight w:val="0"/>
      <w:marTop w:val="0"/>
      <w:marBottom w:val="0"/>
      <w:divBdr>
        <w:top w:val="none" w:sz="0" w:space="0" w:color="auto"/>
        <w:left w:val="none" w:sz="0" w:space="0" w:color="auto"/>
        <w:bottom w:val="none" w:sz="0" w:space="0" w:color="auto"/>
        <w:right w:val="none" w:sz="0" w:space="0" w:color="auto"/>
      </w:divBdr>
      <w:divsChild>
        <w:div w:id="15735432">
          <w:marLeft w:val="1152"/>
          <w:marRight w:val="0"/>
          <w:marTop w:val="82"/>
          <w:marBottom w:val="0"/>
          <w:divBdr>
            <w:top w:val="none" w:sz="0" w:space="0" w:color="auto"/>
            <w:left w:val="none" w:sz="0" w:space="0" w:color="auto"/>
            <w:bottom w:val="none" w:sz="0" w:space="0" w:color="auto"/>
            <w:right w:val="none" w:sz="0" w:space="0" w:color="auto"/>
          </w:divBdr>
        </w:div>
        <w:div w:id="16809238">
          <w:marLeft w:val="1152"/>
          <w:marRight w:val="0"/>
          <w:marTop w:val="82"/>
          <w:marBottom w:val="0"/>
          <w:divBdr>
            <w:top w:val="none" w:sz="0" w:space="0" w:color="auto"/>
            <w:left w:val="none" w:sz="0" w:space="0" w:color="auto"/>
            <w:bottom w:val="none" w:sz="0" w:space="0" w:color="auto"/>
            <w:right w:val="none" w:sz="0" w:space="0" w:color="auto"/>
          </w:divBdr>
        </w:div>
        <w:div w:id="414979277">
          <w:marLeft w:val="1152"/>
          <w:marRight w:val="0"/>
          <w:marTop w:val="82"/>
          <w:marBottom w:val="0"/>
          <w:divBdr>
            <w:top w:val="none" w:sz="0" w:space="0" w:color="auto"/>
            <w:left w:val="none" w:sz="0" w:space="0" w:color="auto"/>
            <w:bottom w:val="none" w:sz="0" w:space="0" w:color="auto"/>
            <w:right w:val="none" w:sz="0" w:space="0" w:color="auto"/>
          </w:divBdr>
        </w:div>
        <w:div w:id="816531026">
          <w:marLeft w:val="1152"/>
          <w:marRight w:val="0"/>
          <w:marTop w:val="82"/>
          <w:marBottom w:val="0"/>
          <w:divBdr>
            <w:top w:val="none" w:sz="0" w:space="0" w:color="auto"/>
            <w:left w:val="none" w:sz="0" w:space="0" w:color="auto"/>
            <w:bottom w:val="none" w:sz="0" w:space="0" w:color="auto"/>
            <w:right w:val="none" w:sz="0" w:space="0" w:color="auto"/>
          </w:divBdr>
        </w:div>
        <w:div w:id="869683922">
          <w:marLeft w:val="720"/>
          <w:marRight w:val="0"/>
          <w:marTop w:val="91"/>
          <w:marBottom w:val="0"/>
          <w:divBdr>
            <w:top w:val="none" w:sz="0" w:space="0" w:color="auto"/>
            <w:left w:val="none" w:sz="0" w:space="0" w:color="auto"/>
            <w:bottom w:val="none" w:sz="0" w:space="0" w:color="auto"/>
            <w:right w:val="none" w:sz="0" w:space="0" w:color="auto"/>
          </w:divBdr>
        </w:div>
        <w:div w:id="1006372089">
          <w:marLeft w:val="720"/>
          <w:marRight w:val="0"/>
          <w:marTop w:val="91"/>
          <w:marBottom w:val="0"/>
          <w:divBdr>
            <w:top w:val="none" w:sz="0" w:space="0" w:color="auto"/>
            <w:left w:val="none" w:sz="0" w:space="0" w:color="auto"/>
            <w:bottom w:val="none" w:sz="0" w:space="0" w:color="auto"/>
            <w:right w:val="none" w:sz="0" w:space="0" w:color="auto"/>
          </w:divBdr>
        </w:div>
        <w:div w:id="1353072698">
          <w:marLeft w:val="1152"/>
          <w:marRight w:val="0"/>
          <w:marTop w:val="82"/>
          <w:marBottom w:val="0"/>
          <w:divBdr>
            <w:top w:val="none" w:sz="0" w:space="0" w:color="auto"/>
            <w:left w:val="none" w:sz="0" w:space="0" w:color="auto"/>
            <w:bottom w:val="none" w:sz="0" w:space="0" w:color="auto"/>
            <w:right w:val="none" w:sz="0" w:space="0" w:color="auto"/>
          </w:divBdr>
        </w:div>
        <w:div w:id="1575816910">
          <w:marLeft w:val="288"/>
          <w:marRight w:val="0"/>
          <w:marTop w:val="106"/>
          <w:marBottom w:val="0"/>
          <w:divBdr>
            <w:top w:val="none" w:sz="0" w:space="0" w:color="auto"/>
            <w:left w:val="none" w:sz="0" w:space="0" w:color="auto"/>
            <w:bottom w:val="none" w:sz="0" w:space="0" w:color="auto"/>
            <w:right w:val="none" w:sz="0" w:space="0" w:color="auto"/>
          </w:divBdr>
        </w:div>
        <w:div w:id="1614022157">
          <w:marLeft w:val="1152"/>
          <w:marRight w:val="0"/>
          <w:marTop w:val="82"/>
          <w:marBottom w:val="0"/>
          <w:divBdr>
            <w:top w:val="none" w:sz="0" w:space="0" w:color="auto"/>
            <w:left w:val="none" w:sz="0" w:space="0" w:color="auto"/>
            <w:bottom w:val="none" w:sz="0" w:space="0" w:color="auto"/>
            <w:right w:val="none" w:sz="0" w:space="0" w:color="auto"/>
          </w:divBdr>
        </w:div>
        <w:div w:id="1796488696">
          <w:marLeft w:val="1152"/>
          <w:marRight w:val="0"/>
          <w:marTop w:val="82"/>
          <w:marBottom w:val="0"/>
          <w:divBdr>
            <w:top w:val="none" w:sz="0" w:space="0" w:color="auto"/>
            <w:left w:val="none" w:sz="0" w:space="0" w:color="auto"/>
            <w:bottom w:val="none" w:sz="0" w:space="0" w:color="auto"/>
            <w:right w:val="none" w:sz="0" w:space="0" w:color="auto"/>
          </w:divBdr>
        </w:div>
        <w:div w:id="1959794622">
          <w:marLeft w:val="1152"/>
          <w:marRight w:val="0"/>
          <w:marTop w:val="82"/>
          <w:marBottom w:val="0"/>
          <w:divBdr>
            <w:top w:val="none" w:sz="0" w:space="0" w:color="auto"/>
            <w:left w:val="none" w:sz="0" w:space="0" w:color="auto"/>
            <w:bottom w:val="none" w:sz="0" w:space="0" w:color="auto"/>
            <w:right w:val="none" w:sz="0" w:space="0" w:color="auto"/>
          </w:divBdr>
        </w:div>
        <w:div w:id="2104954872">
          <w:marLeft w:val="1152"/>
          <w:marRight w:val="0"/>
          <w:marTop w:val="82"/>
          <w:marBottom w:val="0"/>
          <w:divBdr>
            <w:top w:val="none" w:sz="0" w:space="0" w:color="auto"/>
            <w:left w:val="none" w:sz="0" w:space="0" w:color="auto"/>
            <w:bottom w:val="none" w:sz="0" w:space="0" w:color="auto"/>
            <w:right w:val="none" w:sz="0" w:space="0" w:color="auto"/>
          </w:divBdr>
        </w:div>
      </w:divsChild>
    </w:div>
    <w:div w:id="1922132287">
      <w:bodyDiv w:val="1"/>
      <w:marLeft w:val="0"/>
      <w:marRight w:val="0"/>
      <w:marTop w:val="0"/>
      <w:marBottom w:val="0"/>
      <w:divBdr>
        <w:top w:val="none" w:sz="0" w:space="0" w:color="auto"/>
        <w:left w:val="none" w:sz="0" w:space="0" w:color="auto"/>
        <w:bottom w:val="none" w:sz="0" w:space="0" w:color="auto"/>
        <w:right w:val="none" w:sz="0" w:space="0" w:color="auto"/>
      </w:divBdr>
      <w:divsChild>
        <w:div w:id="988560065">
          <w:marLeft w:val="0"/>
          <w:marRight w:val="0"/>
          <w:marTop w:val="0"/>
          <w:marBottom w:val="0"/>
          <w:divBdr>
            <w:top w:val="none" w:sz="0" w:space="0" w:color="auto"/>
            <w:left w:val="none" w:sz="0" w:space="0" w:color="auto"/>
            <w:bottom w:val="none" w:sz="0" w:space="0" w:color="auto"/>
            <w:right w:val="none" w:sz="0" w:space="0" w:color="auto"/>
          </w:divBdr>
        </w:div>
        <w:div w:id="627200591">
          <w:marLeft w:val="0"/>
          <w:marRight w:val="0"/>
          <w:marTop w:val="0"/>
          <w:marBottom w:val="0"/>
          <w:divBdr>
            <w:top w:val="none" w:sz="0" w:space="0" w:color="auto"/>
            <w:left w:val="none" w:sz="0" w:space="0" w:color="auto"/>
            <w:bottom w:val="none" w:sz="0" w:space="0" w:color="auto"/>
            <w:right w:val="none" w:sz="0" w:space="0" w:color="auto"/>
          </w:divBdr>
        </w:div>
        <w:div w:id="1037898263">
          <w:marLeft w:val="0"/>
          <w:marRight w:val="0"/>
          <w:marTop w:val="0"/>
          <w:marBottom w:val="0"/>
          <w:divBdr>
            <w:top w:val="none" w:sz="0" w:space="0" w:color="auto"/>
            <w:left w:val="none" w:sz="0" w:space="0" w:color="auto"/>
            <w:bottom w:val="none" w:sz="0" w:space="0" w:color="auto"/>
            <w:right w:val="none" w:sz="0" w:space="0" w:color="auto"/>
          </w:divBdr>
        </w:div>
        <w:div w:id="280652804">
          <w:marLeft w:val="0"/>
          <w:marRight w:val="0"/>
          <w:marTop w:val="0"/>
          <w:marBottom w:val="0"/>
          <w:divBdr>
            <w:top w:val="none" w:sz="0" w:space="0" w:color="auto"/>
            <w:left w:val="none" w:sz="0" w:space="0" w:color="auto"/>
            <w:bottom w:val="none" w:sz="0" w:space="0" w:color="auto"/>
            <w:right w:val="none" w:sz="0" w:space="0" w:color="auto"/>
          </w:divBdr>
        </w:div>
        <w:div w:id="21515939">
          <w:marLeft w:val="0"/>
          <w:marRight w:val="0"/>
          <w:marTop w:val="0"/>
          <w:marBottom w:val="0"/>
          <w:divBdr>
            <w:top w:val="none" w:sz="0" w:space="0" w:color="auto"/>
            <w:left w:val="none" w:sz="0" w:space="0" w:color="auto"/>
            <w:bottom w:val="none" w:sz="0" w:space="0" w:color="auto"/>
            <w:right w:val="none" w:sz="0" w:space="0" w:color="auto"/>
          </w:divBdr>
        </w:div>
      </w:divsChild>
    </w:div>
    <w:div w:id="1983343737">
      <w:bodyDiv w:val="1"/>
      <w:marLeft w:val="0"/>
      <w:marRight w:val="0"/>
      <w:marTop w:val="0"/>
      <w:marBottom w:val="0"/>
      <w:divBdr>
        <w:top w:val="none" w:sz="0" w:space="0" w:color="auto"/>
        <w:left w:val="none" w:sz="0" w:space="0" w:color="auto"/>
        <w:bottom w:val="none" w:sz="0" w:space="0" w:color="auto"/>
        <w:right w:val="none" w:sz="0" w:space="0" w:color="auto"/>
      </w:divBdr>
      <w:divsChild>
        <w:div w:id="8086704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microsoft.com/office/2007/relationships/diagramDrawing" Target="diagrams/drawing5.xml"/><Relationship Id="rId47" Type="http://schemas.openxmlformats.org/officeDocument/2006/relationships/hyperlink" Target="http://www.communities.gov.uk/documents/corporate/pdf/1132618.pdf" TargetMode="External"/><Relationship Id="rId63" Type="http://schemas.openxmlformats.org/officeDocument/2006/relationships/hyperlink" Target="https://www.ehp.qld.gov.au/water/monitoring/assessment/water_quality_indicators.html" TargetMode="External"/><Relationship Id="rId68" Type="http://schemas.openxmlformats.org/officeDocument/2006/relationships/image" Target="media/image10.png"/><Relationship Id="rId84" Type="http://schemas.openxmlformats.org/officeDocument/2006/relationships/image" Target="media/image18.png"/><Relationship Id="rId89" Type="http://schemas.openxmlformats.org/officeDocument/2006/relationships/hyperlink" Target="https://www.youtube.com/watch?v=QoYyRT-qQtg"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3.xml"/><Relationship Id="rId107" Type="http://schemas.openxmlformats.org/officeDocument/2006/relationships/hyperlink" Target="https://cices.eu/the-equivalences-between-cices-and-the-classifications-used-by-the-ma-and-teeb/" TargetMode="Externa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diagramQuickStyle" Target="diagrams/quickStyle5.xml"/><Relationship Id="rId45" Type="http://schemas.openxmlformats.org/officeDocument/2006/relationships/hyperlink" Target="http://wetlandinfo.ehp.qld.gov.au/resources/static/pdf/resources/pictorial-conceptual-models/30150-wetlands-conceptual-model-guidelines-25-01-13.zip" TargetMode="External"/><Relationship Id="rId53" Type="http://schemas.openxmlformats.org/officeDocument/2006/relationships/header" Target="header24.xml"/><Relationship Id="rId58" Type="http://schemas.openxmlformats.org/officeDocument/2006/relationships/header" Target="header26.xml"/><Relationship Id="rId66" Type="http://schemas.openxmlformats.org/officeDocument/2006/relationships/header" Target="header30.xml"/><Relationship Id="rId74" Type="http://schemas.openxmlformats.org/officeDocument/2006/relationships/image" Target="media/image12.png"/><Relationship Id="rId79" Type="http://schemas.openxmlformats.org/officeDocument/2006/relationships/image" Target="media/image13.png"/><Relationship Id="rId87" Type="http://schemas.openxmlformats.org/officeDocument/2006/relationships/header" Target="header40.xml"/><Relationship Id="rId102" Type="http://schemas.openxmlformats.org/officeDocument/2006/relationships/image" Target="media/image23.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9.png"/><Relationship Id="rId82" Type="http://schemas.openxmlformats.org/officeDocument/2006/relationships/image" Target="media/image16.png"/><Relationship Id="rId90" Type="http://schemas.openxmlformats.org/officeDocument/2006/relationships/hyperlink" Target="http://riverhealth.org.au/national-report-card-network/workshop/" TargetMode="External"/><Relationship Id="rId95" Type="http://schemas.openxmlformats.org/officeDocument/2006/relationships/header" Target="header44.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eader" Target="header11.xml"/><Relationship Id="rId30" Type="http://schemas.openxmlformats.org/officeDocument/2006/relationships/image" Target="media/image5.png"/><Relationship Id="rId35" Type="http://schemas.openxmlformats.org/officeDocument/2006/relationships/header" Target="header17.xml"/><Relationship Id="rId43" Type="http://schemas.openxmlformats.org/officeDocument/2006/relationships/hyperlink" Target="http://www.environment.gov.au/resource/aquatic-ecosystems-toolkit-module-3-guidelines-identifying-high-ecological-value-aquatic" TargetMode="External"/><Relationship Id="rId48" Type="http://schemas.openxmlformats.org/officeDocument/2006/relationships/header" Target="header20.xml"/><Relationship Id="rId56" Type="http://schemas.openxmlformats.org/officeDocument/2006/relationships/image" Target="media/image7.png"/><Relationship Id="rId64" Type="http://schemas.openxmlformats.org/officeDocument/2006/relationships/hyperlink" Target="https://wetlandinfo.ehp.qld.gov.au/wetlands/" TargetMode="External"/><Relationship Id="rId69" Type="http://schemas.openxmlformats.org/officeDocument/2006/relationships/hyperlink" Target="http://environment.gov.au/water/cewo/publications/cew-monitoring-evaluation-reporting-and-improvement-framework" TargetMode="External"/><Relationship Id="rId77" Type="http://schemas.openxmlformats.org/officeDocument/2006/relationships/header" Target="header37.xml"/><Relationship Id="rId100" Type="http://schemas.openxmlformats.org/officeDocument/2006/relationships/image" Target="media/image21.png"/><Relationship Id="rId105"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image" Target="media/image6.png"/><Relationship Id="rId72" Type="http://schemas.openxmlformats.org/officeDocument/2006/relationships/header" Target="header34.xml"/><Relationship Id="rId80" Type="http://schemas.openxmlformats.org/officeDocument/2006/relationships/image" Target="media/image14.png"/><Relationship Id="rId85" Type="http://schemas.openxmlformats.org/officeDocument/2006/relationships/header" Target="header38.xml"/><Relationship Id="rId93" Type="http://schemas.openxmlformats.org/officeDocument/2006/relationships/header" Target="header42.xml"/><Relationship Id="rId98"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diagramData" Target="diagrams/data5.xml"/><Relationship Id="rId46" Type="http://schemas.openxmlformats.org/officeDocument/2006/relationships/hyperlink" Target="https://wetlandinfo.ehp.qld.gov.au/wetlands/management/wetland-values/values-services.html" TargetMode="External"/><Relationship Id="rId59" Type="http://schemas.openxmlformats.org/officeDocument/2006/relationships/header" Target="header27.xml"/><Relationship Id="rId67" Type="http://schemas.openxmlformats.org/officeDocument/2006/relationships/header" Target="header31.xml"/><Relationship Id="rId103" Type="http://schemas.openxmlformats.org/officeDocument/2006/relationships/image" Target="media/image24.png"/><Relationship Id="rId108" Type="http://schemas.openxmlformats.org/officeDocument/2006/relationships/hyperlink" Target="http://cices.eu/" TargetMode="External"/><Relationship Id="rId20" Type="http://schemas.openxmlformats.org/officeDocument/2006/relationships/header" Target="header6.xml"/><Relationship Id="rId41" Type="http://schemas.openxmlformats.org/officeDocument/2006/relationships/diagramColors" Target="diagrams/colors5.xml"/><Relationship Id="rId54" Type="http://schemas.openxmlformats.org/officeDocument/2006/relationships/header" Target="header25.xml"/><Relationship Id="rId62" Type="http://schemas.openxmlformats.org/officeDocument/2006/relationships/hyperlink" Target="http://www.ozcoasts.gov.au/indicators/index.jsp" TargetMode="External"/><Relationship Id="rId70" Type="http://schemas.openxmlformats.org/officeDocument/2006/relationships/header" Target="header32.xml"/><Relationship Id="rId75" Type="http://schemas.openxmlformats.org/officeDocument/2006/relationships/header" Target="header35.xml"/><Relationship Id="rId83" Type="http://schemas.openxmlformats.org/officeDocument/2006/relationships/image" Target="media/image17.png"/><Relationship Id="rId88" Type="http://schemas.openxmlformats.org/officeDocument/2006/relationships/image" Target="media/image19.png"/><Relationship Id="rId91" Type="http://schemas.openxmlformats.org/officeDocument/2006/relationships/hyperlink" Target="http://ian.umces.edu/" TargetMode="External"/><Relationship Id="rId96"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iap2.org.au/About-Us/About-IAP2-Australasia-/Spectrum" TargetMode="Externa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header" Target="header21.xml"/><Relationship Id="rId57" Type="http://schemas.openxmlformats.org/officeDocument/2006/relationships/image" Target="media/image8.png"/><Relationship Id="rId106" Type="http://schemas.openxmlformats.org/officeDocument/2006/relationships/image" Target="media/image27.png"/><Relationship Id="rId10" Type="http://schemas.openxmlformats.org/officeDocument/2006/relationships/hyperlink" Target="https://www.environment.gov.au/water/cewo/monitoring/aquatic-ecosystems-toolkit" TargetMode="External"/><Relationship Id="rId31" Type="http://schemas.openxmlformats.org/officeDocument/2006/relationships/hyperlink" Target="https://wetlandinfo.ehp.qld.gov.au/wetlands/resources/pictorial-conceptual-models.html" TargetMode="External"/><Relationship Id="rId44" Type="http://schemas.openxmlformats.org/officeDocument/2006/relationships/hyperlink" Target="http://www.environment.gov.au/water/wetlands/publications/national-framework-and-guidance-describing-ecological-character-australian-ramsar-wetlands" TargetMode="External"/><Relationship Id="rId52" Type="http://schemas.openxmlformats.org/officeDocument/2006/relationships/header" Target="header23.xml"/><Relationship Id="rId60" Type="http://schemas.openxmlformats.org/officeDocument/2006/relationships/header" Target="header28.xml"/><Relationship Id="rId65" Type="http://schemas.openxmlformats.org/officeDocument/2006/relationships/header" Target="header29.xml"/><Relationship Id="rId73" Type="http://schemas.openxmlformats.org/officeDocument/2006/relationships/image" Target="media/image11.png"/><Relationship Id="rId78" Type="http://schemas.openxmlformats.org/officeDocument/2006/relationships/hyperlink" Target="http://bmcmedresmethodol.biomedcentral.com/articles/10.1186/1471-2288-12-96" TargetMode="External"/><Relationship Id="rId81" Type="http://schemas.openxmlformats.org/officeDocument/2006/relationships/image" Target="media/image15.png"/><Relationship Id="rId86" Type="http://schemas.openxmlformats.org/officeDocument/2006/relationships/header" Target="header39.xml"/><Relationship Id="rId94" Type="http://schemas.openxmlformats.org/officeDocument/2006/relationships/header" Target="header43.xml"/><Relationship Id="rId99" Type="http://schemas.openxmlformats.org/officeDocument/2006/relationships/hyperlink" Target="http://www.ala.org.au/" TargetMode="External"/><Relationship Id="rId10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public.affairs@environment.gov.au" TargetMode="Externa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diagramLayout" Target="diagrams/layout5.xml"/><Relationship Id="rId109" Type="http://schemas.openxmlformats.org/officeDocument/2006/relationships/fontTable" Target="fontTable.xml"/><Relationship Id="rId34" Type="http://schemas.openxmlformats.org/officeDocument/2006/relationships/header" Target="header16.xml"/><Relationship Id="rId50" Type="http://schemas.openxmlformats.org/officeDocument/2006/relationships/header" Target="header22.xml"/><Relationship Id="rId55" Type="http://schemas.openxmlformats.org/officeDocument/2006/relationships/hyperlink" Target="https://wetlandinfo.ehp.qld.gov.au/wetlands/" TargetMode="External"/><Relationship Id="rId76" Type="http://schemas.openxmlformats.org/officeDocument/2006/relationships/header" Target="header36.xml"/><Relationship Id="rId97" Type="http://schemas.openxmlformats.org/officeDocument/2006/relationships/header" Target="header46.xml"/><Relationship Id="rId104"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header" Target="header41.xml"/></Relationships>
</file>

<file path=word/_rels/footnotes.xml.rels><?xml version="1.0" encoding="UTF-8" standalone="yes"?>
<Relationships xmlns="http://schemas.openxmlformats.org/package/2006/relationships"><Relationship Id="rId1" Type="http://schemas.openxmlformats.org/officeDocument/2006/relationships/hyperlink" Target="http://www.environment.gov.au/water/cewo/publications/interim-classification-aquatic-ecosystems-mdb" TargetMode="External"/></Relationships>
</file>

<file path=word/_rels/header12.xml.rels><?xml version="1.0" encoding="UTF-8" standalone="yes"?>
<Relationships xmlns="http://schemas.openxmlformats.org/package/2006/relationships"><Relationship Id="rId3" Type="http://schemas.openxmlformats.org/officeDocument/2006/relationships/diagramQuickStyle" Target="diagrams/quickStyle2.xml"/><Relationship Id="rId2" Type="http://schemas.openxmlformats.org/officeDocument/2006/relationships/diagramLayout" Target="diagrams/layout2.xml"/><Relationship Id="rId1" Type="http://schemas.openxmlformats.org/officeDocument/2006/relationships/diagramData" Target="diagrams/data2.xml"/><Relationship Id="rId5" Type="http://schemas.microsoft.com/office/2007/relationships/diagramDrawing" Target="diagrams/drawing2.xml"/><Relationship Id="rId4" Type="http://schemas.openxmlformats.org/officeDocument/2006/relationships/diagramColors" Target="diagrams/colors2.xml"/></Relationships>
</file>

<file path=word/_rels/header15.xml.rels><?xml version="1.0" encoding="UTF-8" standalone="yes"?>
<Relationships xmlns="http://schemas.openxmlformats.org/package/2006/relationships"><Relationship Id="rId3" Type="http://schemas.openxmlformats.org/officeDocument/2006/relationships/diagramQuickStyle" Target="diagrams/quickStyle3.xml"/><Relationship Id="rId2" Type="http://schemas.openxmlformats.org/officeDocument/2006/relationships/diagramLayout" Target="diagrams/layout3.xml"/><Relationship Id="rId1" Type="http://schemas.openxmlformats.org/officeDocument/2006/relationships/diagramData" Target="diagrams/data3.xml"/><Relationship Id="rId5" Type="http://schemas.microsoft.com/office/2007/relationships/diagramDrawing" Target="diagrams/drawing3.xml"/><Relationship Id="rId4" Type="http://schemas.openxmlformats.org/officeDocument/2006/relationships/diagramColors" Target="diagrams/colors3.xml"/></Relationships>
</file>

<file path=word/_rels/header18.xml.rels><?xml version="1.0" encoding="UTF-8" standalone="yes"?>
<Relationships xmlns="http://schemas.openxmlformats.org/package/2006/relationships"><Relationship Id="rId3" Type="http://schemas.openxmlformats.org/officeDocument/2006/relationships/diagramQuickStyle" Target="diagrams/quickStyle4.xml"/><Relationship Id="rId2" Type="http://schemas.openxmlformats.org/officeDocument/2006/relationships/diagramLayout" Target="diagrams/layout4.xml"/><Relationship Id="rId1" Type="http://schemas.openxmlformats.org/officeDocument/2006/relationships/diagramData" Target="diagrams/data4.xml"/><Relationship Id="rId5" Type="http://schemas.microsoft.com/office/2007/relationships/diagramDrawing" Target="diagrams/drawing4.xml"/><Relationship Id="rId4" Type="http://schemas.openxmlformats.org/officeDocument/2006/relationships/diagramColors" Target="diagrams/colors4.xml"/></Relationships>
</file>

<file path=word/_rels/header21.xml.rels><?xml version="1.0" encoding="UTF-8" standalone="yes"?>
<Relationships xmlns="http://schemas.openxmlformats.org/package/2006/relationships"><Relationship Id="rId3" Type="http://schemas.openxmlformats.org/officeDocument/2006/relationships/diagramQuickStyle" Target="diagrams/quickStyle6.xml"/><Relationship Id="rId2" Type="http://schemas.openxmlformats.org/officeDocument/2006/relationships/diagramLayout" Target="diagrams/layout6.xml"/><Relationship Id="rId1" Type="http://schemas.openxmlformats.org/officeDocument/2006/relationships/diagramData" Target="diagrams/data6.xml"/><Relationship Id="rId5" Type="http://schemas.microsoft.com/office/2007/relationships/diagramDrawing" Target="diagrams/drawing6.xml"/><Relationship Id="rId4" Type="http://schemas.openxmlformats.org/officeDocument/2006/relationships/diagramColors" Target="diagrams/colors6.xml"/></Relationships>
</file>

<file path=word/_rels/header24.xml.rels><?xml version="1.0" encoding="UTF-8" standalone="yes"?>
<Relationships xmlns="http://schemas.openxmlformats.org/package/2006/relationships"><Relationship Id="rId3" Type="http://schemas.openxmlformats.org/officeDocument/2006/relationships/diagramQuickStyle" Target="diagrams/quickStyle7.xml"/><Relationship Id="rId2" Type="http://schemas.openxmlformats.org/officeDocument/2006/relationships/diagramLayout" Target="diagrams/layout7.xml"/><Relationship Id="rId1" Type="http://schemas.openxmlformats.org/officeDocument/2006/relationships/diagramData" Target="diagrams/data7.xml"/><Relationship Id="rId5" Type="http://schemas.microsoft.com/office/2007/relationships/diagramDrawing" Target="diagrams/drawing7.xml"/><Relationship Id="rId4" Type="http://schemas.openxmlformats.org/officeDocument/2006/relationships/diagramColors" Target="diagrams/colors7.xml"/></Relationships>
</file>

<file path=word/_rels/header27.xml.rels><?xml version="1.0" encoding="UTF-8" standalone="yes"?>
<Relationships xmlns="http://schemas.openxmlformats.org/package/2006/relationships"><Relationship Id="rId3" Type="http://schemas.openxmlformats.org/officeDocument/2006/relationships/diagramQuickStyle" Target="diagrams/quickStyle8.xml"/><Relationship Id="rId2" Type="http://schemas.openxmlformats.org/officeDocument/2006/relationships/diagramLayout" Target="diagrams/layout8.xml"/><Relationship Id="rId1" Type="http://schemas.openxmlformats.org/officeDocument/2006/relationships/diagramData" Target="diagrams/data8.xml"/><Relationship Id="rId5" Type="http://schemas.microsoft.com/office/2007/relationships/diagramDrawing" Target="diagrams/drawing8.xml"/><Relationship Id="rId4" Type="http://schemas.openxmlformats.org/officeDocument/2006/relationships/diagramColors" Target="diagrams/colors8.xml"/></Relationships>
</file>

<file path=word/_rels/header30.xml.rels><?xml version="1.0" encoding="UTF-8" standalone="yes"?>
<Relationships xmlns="http://schemas.openxmlformats.org/package/2006/relationships"><Relationship Id="rId3" Type="http://schemas.openxmlformats.org/officeDocument/2006/relationships/diagramQuickStyle" Target="diagrams/quickStyle9.xml"/><Relationship Id="rId2" Type="http://schemas.openxmlformats.org/officeDocument/2006/relationships/diagramLayout" Target="diagrams/layout9.xml"/><Relationship Id="rId1" Type="http://schemas.openxmlformats.org/officeDocument/2006/relationships/diagramData" Target="diagrams/data9.xml"/><Relationship Id="rId5" Type="http://schemas.microsoft.com/office/2007/relationships/diagramDrawing" Target="diagrams/drawing9.xml"/><Relationship Id="rId4" Type="http://schemas.openxmlformats.org/officeDocument/2006/relationships/diagramColors" Target="diagrams/colors9.xml"/></Relationships>
</file>

<file path=word/_rels/header33.xml.rels><?xml version="1.0" encoding="UTF-8" standalone="yes"?>
<Relationships xmlns="http://schemas.openxmlformats.org/package/2006/relationships"><Relationship Id="rId3" Type="http://schemas.openxmlformats.org/officeDocument/2006/relationships/diagramQuickStyle" Target="diagrams/quickStyle10.xml"/><Relationship Id="rId2" Type="http://schemas.openxmlformats.org/officeDocument/2006/relationships/diagramLayout" Target="diagrams/layout10.xml"/><Relationship Id="rId1" Type="http://schemas.openxmlformats.org/officeDocument/2006/relationships/diagramData" Target="diagrams/data10.xml"/><Relationship Id="rId5" Type="http://schemas.microsoft.com/office/2007/relationships/diagramDrawing" Target="diagrams/drawing10.xml"/><Relationship Id="rId4" Type="http://schemas.openxmlformats.org/officeDocument/2006/relationships/diagramColors" Target="diagrams/colors10.xml"/></Relationships>
</file>

<file path=word/_rels/header36.xml.rels><?xml version="1.0" encoding="UTF-8" standalone="yes"?>
<Relationships xmlns="http://schemas.openxmlformats.org/package/2006/relationships"><Relationship Id="rId3" Type="http://schemas.openxmlformats.org/officeDocument/2006/relationships/diagramQuickStyle" Target="diagrams/quickStyle11.xml"/><Relationship Id="rId2" Type="http://schemas.openxmlformats.org/officeDocument/2006/relationships/diagramLayout" Target="diagrams/layout11.xml"/><Relationship Id="rId1" Type="http://schemas.openxmlformats.org/officeDocument/2006/relationships/diagramData" Target="diagrams/data11.xml"/><Relationship Id="rId5" Type="http://schemas.microsoft.com/office/2007/relationships/diagramDrawing" Target="diagrams/drawing11.xml"/><Relationship Id="rId4" Type="http://schemas.openxmlformats.org/officeDocument/2006/relationships/diagramColors" Target="diagrams/colors11.xml"/></Relationships>
</file>

<file path=word/_rels/header39.xml.rels><?xml version="1.0" encoding="UTF-8" standalone="yes"?>
<Relationships xmlns="http://schemas.openxmlformats.org/package/2006/relationships"><Relationship Id="rId3" Type="http://schemas.openxmlformats.org/officeDocument/2006/relationships/diagramQuickStyle" Target="diagrams/quickStyle12.xml"/><Relationship Id="rId2" Type="http://schemas.openxmlformats.org/officeDocument/2006/relationships/diagramLayout" Target="diagrams/layout12.xml"/><Relationship Id="rId1" Type="http://schemas.openxmlformats.org/officeDocument/2006/relationships/diagramData" Target="diagrams/data12.xml"/><Relationship Id="rId5" Type="http://schemas.microsoft.com/office/2007/relationships/diagramDrawing" Target="diagrams/drawing12.xml"/><Relationship Id="rId4" Type="http://schemas.openxmlformats.org/officeDocument/2006/relationships/diagramColors" Target="diagrams/colors12.xml"/></Relationships>
</file>

<file path=word/_rels/header42.xml.rels><?xml version="1.0" encoding="UTF-8" standalone="yes"?>
<Relationships xmlns="http://schemas.openxmlformats.org/package/2006/relationships"><Relationship Id="rId3" Type="http://schemas.openxmlformats.org/officeDocument/2006/relationships/diagramQuickStyle" Target="diagrams/quickStyle13.xml"/><Relationship Id="rId2" Type="http://schemas.openxmlformats.org/officeDocument/2006/relationships/diagramLayout" Target="diagrams/layout13.xml"/><Relationship Id="rId1" Type="http://schemas.openxmlformats.org/officeDocument/2006/relationships/diagramData" Target="diagrams/data13.xml"/><Relationship Id="rId5" Type="http://schemas.microsoft.com/office/2007/relationships/diagramDrawing" Target="diagrams/drawing13.xml"/><Relationship Id="rId4" Type="http://schemas.openxmlformats.org/officeDocument/2006/relationships/diagramColors" Target="diagrams/colors13.xml"/></Relationships>
</file>

<file path=word/_rels/header9.xml.rels><?xml version="1.0" encoding="UTF-8" standalone="yes"?>
<Relationships xmlns="http://schemas.openxmlformats.org/package/2006/relationships"><Relationship Id="rId3" Type="http://schemas.openxmlformats.org/officeDocument/2006/relationships/diagramQuickStyle" Target="diagrams/quickStyle1.xml"/><Relationship Id="rId2" Type="http://schemas.openxmlformats.org/officeDocument/2006/relationships/diagramLayout" Target="diagrams/layout1.xml"/><Relationship Id="rId1" Type="http://schemas.openxmlformats.org/officeDocument/2006/relationships/diagramData" Target="diagrams/data1.xml"/><Relationship Id="rId5" Type="http://schemas.microsoft.com/office/2007/relationships/diagramDrawing" Target="diagrams/drawing1.xml"/><Relationship Id="rId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A1A343-FEBB-449A-A8D3-70B451069617}" type="doc">
      <dgm:prSet loTypeId="urn:microsoft.com/office/officeart/2005/8/layout/chevron1" loCatId="process" qsTypeId="urn:microsoft.com/office/officeart/2005/8/quickstyle/simple4" qsCatId="simple" csTypeId="urn:microsoft.com/office/officeart/2005/8/colors/accent1_2" csCatId="accent1" phldr="1"/>
      <dgm:spPr/>
    </dgm:pt>
    <dgm:pt modelId="{5D3162A9-4156-4314-AC96-23482FE76DF1}">
      <dgm:prSet phldrT="[Text]" custT="1"/>
      <dgm:spPr>
        <a:solidFill>
          <a:schemeClr val="accent3">
            <a:lumMod val="50000"/>
          </a:schemeClr>
        </a:solidFill>
        <a:ln>
          <a:solidFill>
            <a:schemeClr val="accent3">
              <a:lumMod val="50000"/>
            </a:schemeClr>
          </a:solidFill>
        </a:ln>
      </dgm:spPr>
      <dgm:t>
        <a:bodyPr/>
        <a:lstStyle/>
        <a:p>
          <a:r>
            <a:rPr lang="en-AU" sz="900" b="1" i="1"/>
            <a:t>Part A Context: Framing the question</a:t>
          </a:r>
        </a:p>
      </dgm:t>
    </dgm:pt>
    <dgm:pt modelId="{76B093EA-6EDD-4698-9DE0-847744483BC7}" type="parTrans" cxnId="{2CAF4E66-1EAF-4529-8335-77F3AA91A25B}">
      <dgm:prSet/>
      <dgm:spPr/>
      <dgm:t>
        <a:bodyPr/>
        <a:lstStyle/>
        <a:p>
          <a:endParaRPr lang="en-AU" sz="900"/>
        </a:p>
      </dgm:t>
    </dgm:pt>
    <dgm:pt modelId="{11F3AB01-3BAF-461A-B392-E50B49C5B246}" type="sibTrans" cxnId="{2CAF4E66-1EAF-4529-8335-77F3AA91A25B}">
      <dgm:prSet/>
      <dgm:spPr/>
      <dgm:t>
        <a:bodyPr/>
        <a:lstStyle/>
        <a:p>
          <a:endParaRPr lang="en-AU" sz="900"/>
        </a:p>
      </dgm:t>
    </dgm:pt>
    <dgm:pt modelId="{BA18D897-2569-4A5F-A12F-85072D012B0F}">
      <dgm:prSet custT="1"/>
      <dgm:spPr>
        <a:solidFill>
          <a:schemeClr val="accent3">
            <a:lumMod val="40000"/>
            <a:lumOff val="60000"/>
          </a:schemeClr>
        </a:solidFill>
      </dgm:spPr>
      <dgm:t>
        <a:bodyPr/>
        <a:lstStyle/>
        <a:p>
          <a:r>
            <a:rPr lang="en-AU" sz="900">
              <a:solidFill>
                <a:schemeClr val="accent5">
                  <a:lumMod val="75000"/>
                </a:schemeClr>
              </a:solidFill>
            </a:rPr>
            <a:t>Part A Context: Puprose of IECA</a:t>
          </a:r>
        </a:p>
      </dgm:t>
    </dgm:pt>
    <dgm:pt modelId="{3C1ECD8F-C536-46AA-ADF1-E710A2BA2ED6}" type="parTrans" cxnId="{46A52633-A488-423B-9602-91C563DFF598}">
      <dgm:prSet/>
      <dgm:spPr/>
      <dgm:t>
        <a:bodyPr/>
        <a:lstStyle/>
        <a:p>
          <a:endParaRPr lang="en-AU" sz="900"/>
        </a:p>
      </dgm:t>
    </dgm:pt>
    <dgm:pt modelId="{D0275449-8848-4D60-B839-D41C2B28941E}" type="sibTrans" cxnId="{46A52633-A488-423B-9602-91C563DFF598}">
      <dgm:prSet/>
      <dgm:spPr/>
      <dgm:t>
        <a:bodyPr/>
        <a:lstStyle/>
        <a:p>
          <a:endParaRPr lang="en-AU" sz="900"/>
        </a:p>
      </dgm:t>
    </dgm:pt>
    <dgm:pt modelId="{81397574-9060-4111-B041-AC361AA39DEE}">
      <dgm:prSet custT="1"/>
      <dgm:spPr>
        <a:solidFill>
          <a:schemeClr val="accent3">
            <a:lumMod val="40000"/>
            <a:lumOff val="60000"/>
          </a:schemeClr>
        </a:solidFill>
      </dgm:spPr>
      <dgm:t>
        <a:bodyPr/>
        <a:lstStyle/>
        <a:p>
          <a:r>
            <a:rPr lang="en-AU" sz="900">
              <a:solidFill>
                <a:schemeClr val="accent5">
                  <a:lumMod val="75000"/>
                </a:schemeClr>
              </a:solidFill>
            </a:rPr>
            <a:t>Part A Context: Groundwork</a:t>
          </a:r>
        </a:p>
      </dgm:t>
    </dgm:pt>
    <dgm:pt modelId="{167C0DC0-C795-44C8-8AAE-04C999FBB7B6}" type="parTrans" cxnId="{40914133-A6F7-4109-AFE4-B994CE518361}">
      <dgm:prSet/>
      <dgm:spPr/>
      <dgm:t>
        <a:bodyPr/>
        <a:lstStyle/>
        <a:p>
          <a:endParaRPr lang="en-AU" sz="900"/>
        </a:p>
      </dgm:t>
    </dgm:pt>
    <dgm:pt modelId="{05E63AD2-C047-40C2-B49F-02A5849A17CD}" type="sibTrans" cxnId="{40914133-A6F7-4109-AFE4-B994CE518361}">
      <dgm:prSet/>
      <dgm:spPr/>
      <dgm:t>
        <a:bodyPr/>
        <a:lstStyle/>
        <a:p>
          <a:endParaRPr lang="en-AU" sz="900"/>
        </a:p>
      </dgm:t>
    </dgm:pt>
    <dgm:pt modelId="{D62C28C4-9520-4045-9C7B-51069030D9AF}">
      <dgm:prSet custT="1"/>
      <dgm:spPr>
        <a:solidFill>
          <a:schemeClr val="accent3">
            <a:lumMod val="40000"/>
            <a:lumOff val="60000"/>
          </a:schemeClr>
        </a:solidFill>
      </dgm:spPr>
      <dgm:t>
        <a:bodyPr/>
        <a:lstStyle/>
        <a:p>
          <a:r>
            <a:rPr lang="en-AU" sz="900">
              <a:solidFill>
                <a:schemeClr val="accent5">
                  <a:lumMod val="75000"/>
                </a:schemeClr>
              </a:solidFill>
            </a:rPr>
            <a:t>Part A Context: Outputs</a:t>
          </a:r>
        </a:p>
      </dgm:t>
    </dgm:pt>
    <dgm:pt modelId="{13E9B9AC-AFFE-4CD9-B2CE-8668FF52217D}" type="parTrans" cxnId="{39184140-C5CF-4D0B-A6DC-46528684EEB6}">
      <dgm:prSet/>
      <dgm:spPr/>
      <dgm:t>
        <a:bodyPr/>
        <a:lstStyle/>
        <a:p>
          <a:endParaRPr lang="en-AU" sz="900"/>
        </a:p>
      </dgm:t>
    </dgm:pt>
    <dgm:pt modelId="{67E513B8-9C91-41DF-ACF8-E8150E5226B9}" type="sibTrans" cxnId="{39184140-C5CF-4D0B-A6DC-46528684EEB6}">
      <dgm:prSet/>
      <dgm:spPr/>
      <dgm:t>
        <a:bodyPr/>
        <a:lstStyle/>
        <a:p>
          <a:endParaRPr lang="en-AU" sz="900"/>
        </a:p>
      </dgm:t>
    </dgm:pt>
    <dgm:pt modelId="{1FDC6512-C7D4-4110-BEF3-A0CAB12F8445}" type="pres">
      <dgm:prSet presAssocID="{34A1A343-FEBB-449A-A8D3-70B451069617}" presName="Name0" presStyleCnt="0">
        <dgm:presLayoutVars>
          <dgm:dir/>
          <dgm:animLvl val="lvl"/>
          <dgm:resizeHandles val="exact"/>
        </dgm:presLayoutVars>
      </dgm:prSet>
      <dgm:spPr/>
    </dgm:pt>
    <dgm:pt modelId="{694B1432-2B83-4456-BD41-8016077A515A}" type="pres">
      <dgm:prSet presAssocID="{5D3162A9-4156-4314-AC96-23482FE76DF1}" presName="parTxOnly" presStyleLbl="node1" presStyleIdx="0" presStyleCnt="4" custScaleX="119601" custScaleY="134468" custLinFactNeighborX="625" custLinFactNeighborY="-23969">
        <dgm:presLayoutVars>
          <dgm:chMax val="0"/>
          <dgm:chPref val="0"/>
          <dgm:bulletEnabled val="1"/>
        </dgm:presLayoutVars>
      </dgm:prSet>
      <dgm:spPr/>
      <dgm:t>
        <a:bodyPr/>
        <a:lstStyle/>
        <a:p>
          <a:endParaRPr lang="en-AU"/>
        </a:p>
      </dgm:t>
    </dgm:pt>
    <dgm:pt modelId="{A8500963-B6A5-44E3-AA9B-49CE6BC83D81}" type="pres">
      <dgm:prSet presAssocID="{11F3AB01-3BAF-461A-B392-E50B49C5B246}" presName="parTxOnlySpace" presStyleCnt="0"/>
      <dgm:spPr/>
    </dgm:pt>
    <dgm:pt modelId="{B26424C9-E7B8-44D6-B292-F54C8AFFF838}" type="pres">
      <dgm:prSet presAssocID="{BA18D897-2569-4A5F-A12F-85072D012B0F}" presName="parTxOnly" presStyleLbl="node1" presStyleIdx="1" presStyleCnt="4" custLinFactNeighborX="3209" custLinFactNeighborY="-2544">
        <dgm:presLayoutVars>
          <dgm:chMax val="0"/>
          <dgm:chPref val="0"/>
          <dgm:bulletEnabled val="1"/>
        </dgm:presLayoutVars>
      </dgm:prSet>
      <dgm:spPr/>
      <dgm:t>
        <a:bodyPr/>
        <a:lstStyle/>
        <a:p>
          <a:endParaRPr lang="en-AU"/>
        </a:p>
      </dgm:t>
    </dgm:pt>
    <dgm:pt modelId="{9F54386B-9C58-49E4-A5B4-3F817322844C}" type="pres">
      <dgm:prSet presAssocID="{D0275449-8848-4D60-B839-D41C2B28941E}" presName="parTxOnlySpace" presStyleCnt="0"/>
      <dgm:spPr/>
    </dgm:pt>
    <dgm:pt modelId="{372A0707-C206-4125-913C-150A3501952D}" type="pres">
      <dgm:prSet presAssocID="{81397574-9060-4111-B041-AC361AA39DEE}" presName="parTxOnly" presStyleLbl="node1" presStyleIdx="2" presStyleCnt="4" custLinFactNeighborX="-4187" custLinFactNeighborY="-2544">
        <dgm:presLayoutVars>
          <dgm:chMax val="0"/>
          <dgm:chPref val="0"/>
          <dgm:bulletEnabled val="1"/>
        </dgm:presLayoutVars>
      </dgm:prSet>
      <dgm:spPr/>
      <dgm:t>
        <a:bodyPr/>
        <a:lstStyle/>
        <a:p>
          <a:endParaRPr lang="en-AU"/>
        </a:p>
      </dgm:t>
    </dgm:pt>
    <dgm:pt modelId="{573DBA9A-BC47-4CF8-9BC0-C95DDCD24A38}" type="pres">
      <dgm:prSet presAssocID="{05E63AD2-C047-40C2-B49F-02A5849A17CD}" presName="parTxOnlySpace" presStyleCnt="0"/>
      <dgm:spPr/>
    </dgm:pt>
    <dgm:pt modelId="{1956EF06-B7F2-4988-B170-CCFB1252D9EC}" type="pres">
      <dgm:prSet presAssocID="{D62C28C4-9520-4045-9C7B-51069030D9AF}" presName="parTxOnly" presStyleLbl="node1" presStyleIdx="3" presStyleCnt="4" custLinFactNeighborX="2471" custLinFactNeighborY="-2544">
        <dgm:presLayoutVars>
          <dgm:chMax val="0"/>
          <dgm:chPref val="0"/>
          <dgm:bulletEnabled val="1"/>
        </dgm:presLayoutVars>
      </dgm:prSet>
      <dgm:spPr/>
      <dgm:t>
        <a:bodyPr/>
        <a:lstStyle/>
        <a:p>
          <a:endParaRPr lang="en-AU"/>
        </a:p>
      </dgm:t>
    </dgm:pt>
  </dgm:ptLst>
  <dgm:cxnLst>
    <dgm:cxn modelId="{39184140-C5CF-4D0B-A6DC-46528684EEB6}" srcId="{34A1A343-FEBB-449A-A8D3-70B451069617}" destId="{D62C28C4-9520-4045-9C7B-51069030D9AF}" srcOrd="3" destOrd="0" parTransId="{13E9B9AC-AFFE-4CD9-B2CE-8668FF52217D}" sibTransId="{67E513B8-9C91-41DF-ACF8-E8150E5226B9}"/>
    <dgm:cxn modelId="{E192D08C-B510-4E0A-A718-219FD6260E6B}" type="presOf" srcId="{81397574-9060-4111-B041-AC361AA39DEE}" destId="{372A0707-C206-4125-913C-150A3501952D}" srcOrd="0" destOrd="0" presId="urn:microsoft.com/office/officeart/2005/8/layout/chevron1"/>
    <dgm:cxn modelId="{519ECF8B-AF86-45FC-B75B-2F87B38201B2}" type="presOf" srcId="{D62C28C4-9520-4045-9C7B-51069030D9AF}" destId="{1956EF06-B7F2-4988-B170-CCFB1252D9EC}" srcOrd="0" destOrd="0" presId="urn:microsoft.com/office/officeart/2005/8/layout/chevron1"/>
    <dgm:cxn modelId="{2CAF4E66-1EAF-4529-8335-77F3AA91A25B}" srcId="{34A1A343-FEBB-449A-A8D3-70B451069617}" destId="{5D3162A9-4156-4314-AC96-23482FE76DF1}" srcOrd="0" destOrd="0" parTransId="{76B093EA-6EDD-4698-9DE0-847744483BC7}" sibTransId="{11F3AB01-3BAF-461A-B392-E50B49C5B246}"/>
    <dgm:cxn modelId="{FDD69680-73A0-4B40-9145-0B234E6B2BA7}" type="presOf" srcId="{5D3162A9-4156-4314-AC96-23482FE76DF1}" destId="{694B1432-2B83-4456-BD41-8016077A515A}" srcOrd="0" destOrd="0" presId="urn:microsoft.com/office/officeart/2005/8/layout/chevron1"/>
    <dgm:cxn modelId="{B60E0BC6-E098-4B65-82D2-F7C961A78B7A}" type="presOf" srcId="{34A1A343-FEBB-449A-A8D3-70B451069617}" destId="{1FDC6512-C7D4-4110-BEF3-A0CAB12F8445}" srcOrd="0" destOrd="0" presId="urn:microsoft.com/office/officeart/2005/8/layout/chevron1"/>
    <dgm:cxn modelId="{FB78E52B-1BF9-4916-8804-710AC182CCE3}" type="presOf" srcId="{BA18D897-2569-4A5F-A12F-85072D012B0F}" destId="{B26424C9-E7B8-44D6-B292-F54C8AFFF838}" srcOrd="0" destOrd="0" presId="urn:microsoft.com/office/officeart/2005/8/layout/chevron1"/>
    <dgm:cxn modelId="{40914133-A6F7-4109-AFE4-B994CE518361}" srcId="{34A1A343-FEBB-449A-A8D3-70B451069617}" destId="{81397574-9060-4111-B041-AC361AA39DEE}" srcOrd="2" destOrd="0" parTransId="{167C0DC0-C795-44C8-8AAE-04C999FBB7B6}" sibTransId="{05E63AD2-C047-40C2-B49F-02A5849A17CD}"/>
    <dgm:cxn modelId="{46A52633-A488-423B-9602-91C563DFF598}" srcId="{34A1A343-FEBB-449A-A8D3-70B451069617}" destId="{BA18D897-2569-4A5F-A12F-85072D012B0F}" srcOrd="1" destOrd="0" parTransId="{3C1ECD8F-C536-46AA-ADF1-E710A2BA2ED6}" sibTransId="{D0275449-8848-4D60-B839-D41C2B28941E}"/>
    <dgm:cxn modelId="{D503CF28-D8F5-40C6-8A83-481782383A86}" type="presParOf" srcId="{1FDC6512-C7D4-4110-BEF3-A0CAB12F8445}" destId="{694B1432-2B83-4456-BD41-8016077A515A}" srcOrd="0" destOrd="0" presId="urn:microsoft.com/office/officeart/2005/8/layout/chevron1"/>
    <dgm:cxn modelId="{B3433D5B-67D4-4A8F-877A-0DC53DB0A77E}" type="presParOf" srcId="{1FDC6512-C7D4-4110-BEF3-A0CAB12F8445}" destId="{A8500963-B6A5-44E3-AA9B-49CE6BC83D81}" srcOrd="1" destOrd="0" presId="urn:microsoft.com/office/officeart/2005/8/layout/chevron1"/>
    <dgm:cxn modelId="{539D4E5C-920B-4EE1-97F5-60C548A627F4}" type="presParOf" srcId="{1FDC6512-C7D4-4110-BEF3-A0CAB12F8445}" destId="{B26424C9-E7B8-44D6-B292-F54C8AFFF838}" srcOrd="2" destOrd="0" presId="urn:microsoft.com/office/officeart/2005/8/layout/chevron1"/>
    <dgm:cxn modelId="{B30F4C6F-B15E-4867-92C0-C0A4D87F84E0}" type="presParOf" srcId="{1FDC6512-C7D4-4110-BEF3-A0CAB12F8445}" destId="{9F54386B-9C58-49E4-A5B4-3F817322844C}" srcOrd="3" destOrd="0" presId="urn:microsoft.com/office/officeart/2005/8/layout/chevron1"/>
    <dgm:cxn modelId="{729C6944-BB4F-4B69-A16E-B5C17E0FB225}" type="presParOf" srcId="{1FDC6512-C7D4-4110-BEF3-A0CAB12F8445}" destId="{372A0707-C206-4125-913C-150A3501952D}" srcOrd="4" destOrd="0" presId="urn:microsoft.com/office/officeart/2005/8/layout/chevron1"/>
    <dgm:cxn modelId="{B390E6A7-945C-4199-954E-69BA24A23FDB}" type="presParOf" srcId="{1FDC6512-C7D4-4110-BEF3-A0CAB12F8445}" destId="{573DBA9A-BC47-4CF8-9BC0-C95DDCD24A38}" srcOrd="5" destOrd="0" presId="urn:microsoft.com/office/officeart/2005/8/layout/chevron1"/>
    <dgm:cxn modelId="{00457FD7-35B3-47B3-93D3-C510A789B959}" type="presParOf" srcId="{1FDC6512-C7D4-4110-BEF3-A0CAB12F8445}" destId="{1956EF06-B7F2-4988-B170-CCFB1252D9EC}" srcOrd="6"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4A1A343-FEBB-449A-A8D3-70B451069617}" type="doc">
      <dgm:prSet loTypeId="urn:microsoft.com/office/officeart/2005/8/layout/chevron1" loCatId="process" qsTypeId="urn:microsoft.com/office/officeart/2005/8/quickstyle/simple4" qsCatId="simple" csTypeId="urn:microsoft.com/office/officeart/2005/8/colors/accent1_2" csCatId="accent1" phldr="1"/>
      <dgm:spPr/>
    </dgm:pt>
    <dgm:pt modelId="{5D3162A9-4156-4314-AC96-23482FE76DF1}">
      <dgm:prSet phldrT="[Text]" custT="1"/>
      <dgm:spPr>
        <a:solidFill>
          <a:schemeClr val="accent2">
            <a:lumMod val="75000"/>
          </a:schemeClr>
        </a:solidFill>
      </dgm:spPr>
      <dgm:t>
        <a:bodyPr/>
        <a:lstStyle/>
        <a:p>
          <a:r>
            <a:rPr lang="en-AU" sz="900">
              <a:solidFill>
                <a:schemeClr val="tx2">
                  <a:lumMod val="50000"/>
                </a:schemeClr>
              </a:solidFill>
            </a:rPr>
            <a:t>Step 1</a:t>
          </a:r>
        </a:p>
      </dgm:t>
    </dgm:pt>
    <dgm:pt modelId="{76B093EA-6EDD-4698-9DE0-847744483BC7}" type="parTrans" cxnId="{2CAF4E66-1EAF-4529-8335-77F3AA91A25B}">
      <dgm:prSet/>
      <dgm:spPr/>
      <dgm:t>
        <a:bodyPr/>
        <a:lstStyle/>
        <a:p>
          <a:endParaRPr lang="en-AU" sz="900"/>
        </a:p>
      </dgm:t>
    </dgm:pt>
    <dgm:pt modelId="{11F3AB01-3BAF-461A-B392-E50B49C5B246}" type="sibTrans" cxnId="{2CAF4E66-1EAF-4529-8335-77F3AA91A25B}">
      <dgm:prSet/>
      <dgm:spPr/>
      <dgm:t>
        <a:bodyPr/>
        <a:lstStyle/>
        <a:p>
          <a:endParaRPr lang="en-AU" sz="900"/>
        </a:p>
      </dgm:t>
    </dgm:pt>
    <dgm:pt modelId="{8375F3E0-46F0-4839-9F4D-322B84BB24E6}">
      <dgm:prSet custT="1"/>
      <dgm:spPr>
        <a:solidFill>
          <a:schemeClr val="accent2">
            <a:lumMod val="50000"/>
          </a:schemeClr>
        </a:solidFill>
        <a:ln>
          <a:solidFill>
            <a:schemeClr val="accent2">
              <a:lumMod val="50000"/>
            </a:schemeClr>
          </a:solidFill>
        </a:ln>
      </dgm:spPr>
      <dgm:t>
        <a:bodyPr/>
        <a:lstStyle/>
        <a:p>
          <a:r>
            <a:rPr lang="en-AU" sz="900" b="1"/>
            <a:t>Step 5: Design assessment and implementation</a:t>
          </a:r>
        </a:p>
      </dgm:t>
    </dgm:pt>
    <dgm:pt modelId="{A348CDAB-53CA-4C3E-8BEC-714200D71D3D}" type="parTrans" cxnId="{6B3A3478-BE5B-48A4-B954-0E21A91E5264}">
      <dgm:prSet/>
      <dgm:spPr/>
      <dgm:t>
        <a:bodyPr/>
        <a:lstStyle/>
        <a:p>
          <a:endParaRPr lang="en-AU" sz="900"/>
        </a:p>
      </dgm:t>
    </dgm:pt>
    <dgm:pt modelId="{CB0A790D-279D-4D7F-A1B7-3D02025AA881}" type="sibTrans" cxnId="{6B3A3478-BE5B-48A4-B954-0E21A91E5264}">
      <dgm:prSet/>
      <dgm:spPr/>
      <dgm:t>
        <a:bodyPr/>
        <a:lstStyle/>
        <a:p>
          <a:endParaRPr lang="en-AU" sz="900"/>
        </a:p>
      </dgm:t>
    </dgm:pt>
    <dgm:pt modelId="{7D65FF2D-E0B8-410B-8392-65CB7C358DC4}">
      <dgm:prSet custT="1"/>
      <dgm:spPr>
        <a:solidFill>
          <a:schemeClr val="accent2">
            <a:lumMod val="75000"/>
          </a:schemeClr>
        </a:solidFill>
      </dgm:spPr>
      <dgm:t>
        <a:bodyPr/>
        <a:lstStyle/>
        <a:p>
          <a:r>
            <a:rPr lang="en-AU" sz="900">
              <a:solidFill>
                <a:schemeClr val="tx2">
                  <a:lumMod val="50000"/>
                </a:schemeClr>
              </a:solidFill>
            </a:rPr>
            <a:t>Step 4</a:t>
          </a:r>
        </a:p>
      </dgm:t>
    </dgm:pt>
    <dgm:pt modelId="{D957CBB4-21F9-443D-9DCF-ED9F25413796}" type="parTrans" cxnId="{7E3047FB-71EF-4E28-A5B9-9D4A76D7216C}">
      <dgm:prSet/>
      <dgm:spPr/>
      <dgm:t>
        <a:bodyPr/>
        <a:lstStyle/>
        <a:p>
          <a:endParaRPr lang="en-AU" sz="900"/>
        </a:p>
      </dgm:t>
    </dgm:pt>
    <dgm:pt modelId="{6222001B-2ED7-4B0F-8AE4-1B8CA3A46E28}" type="sibTrans" cxnId="{7E3047FB-71EF-4E28-A5B9-9D4A76D7216C}">
      <dgm:prSet/>
      <dgm:spPr/>
      <dgm:t>
        <a:bodyPr/>
        <a:lstStyle/>
        <a:p>
          <a:endParaRPr lang="en-AU" sz="900"/>
        </a:p>
      </dgm:t>
    </dgm:pt>
    <dgm:pt modelId="{BA18D897-2569-4A5F-A12F-85072D012B0F}">
      <dgm:prSet custT="1"/>
      <dgm:spPr>
        <a:solidFill>
          <a:schemeClr val="accent2">
            <a:lumMod val="75000"/>
          </a:schemeClr>
        </a:solidFill>
      </dgm:spPr>
      <dgm:t>
        <a:bodyPr/>
        <a:lstStyle/>
        <a:p>
          <a:r>
            <a:rPr lang="en-AU" sz="900">
              <a:solidFill>
                <a:schemeClr val="tx2">
                  <a:lumMod val="50000"/>
                </a:schemeClr>
              </a:solidFill>
            </a:rPr>
            <a:t>Step 6</a:t>
          </a:r>
        </a:p>
      </dgm:t>
    </dgm:pt>
    <dgm:pt modelId="{3C1ECD8F-C536-46AA-ADF1-E710A2BA2ED6}" type="parTrans" cxnId="{46A52633-A488-423B-9602-91C563DFF598}">
      <dgm:prSet/>
      <dgm:spPr/>
      <dgm:t>
        <a:bodyPr/>
        <a:lstStyle/>
        <a:p>
          <a:endParaRPr lang="en-AU" sz="900"/>
        </a:p>
      </dgm:t>
    </dgm:pt>
    <dgm:pt modelId="{D0275449-8848-4D60-B839-D41C2B28941E}" type="sibTrans" cxnId="{46A52633-A488-423B-9602-91C563DFF598}">
      <dgm:prSet/>
      <dgm:spPr/>
      <dgm:t>
        <a:bodyPr/>
        <a:lstStyle/>
        <a:p>
          <a:endParaRPr lang="en-AU" sz="900"/>
        </a:p>
      </dgm:t>
    </dgm:pt>
    <dgm:pt modelId="{81397574-9060-4111-B041-AC361AA39DEE}">
      <dgm:prSet custT="1"/>
      <dgm:spPr>
        <a:solidFill>
          <a:schemeClr val="accent2">
            <a:lumMod val="75000"/>
          </a:schemeClr>
        </a:solidFill>
      </dgm:spPr>
      <dgm:t>
        <a:bodyPr/>
        <a:lstStyle/>
        <a:p>
          <a:r>
            <a:rPr lang="en-AU" sz="900">
              <a:solidFill>
                <a:schemeClr val="tx2">
                  <a:lumMod val="50000"/>
                </a:schemeClr>
              </a:solidFill>
            </a:rPr>
            <a:t>Step  7</a:t>
          </a:r>
        </a:p>
      </dgm:t>
    </dgm:pt>
    <dgm:pt modelId="{167C0DC0-C795-44C8-8AAE-04C999FBB7B6}" type="parTrans" cxnId="{40914133-A6F7-4109-AFE4-B994CE518361}">
      <dgm:prSet/>
      <dgm:spPr/>
      <dgm:t>
        <a:bodyPr/>
        <a:lstStyle/>
        <a:p>
          <a:endParaRPr lang="en-AU" sz="900"/>
        </a:p>
      </dgm:t>
    </dgm:pt>
    <dgm:pt modelId="{05E63AD2-C047-40C2-B49F-02A5849A17CD}" type="sibTrans" cxnId="{40914133-A6F7-4109-AFE4-B994CE518361}">
      <dgm:prSet/>
      <dgm:spPr/>
      <dgm:t>
        <a:bodyPr/>
        <a:lstStyle/>
        <a:p>
          <a:endParaRPr lang="en-AU" sz="900"/>
        </a:p>
      </dgm:t>
    </dgm:pt>
    <dgm:pt modelId="{D62C28C4-9520-4045-9C7B-51069030D9AF}">
      <dgm:prSet custT="1"/>
      <dgm:spPr>
        <a:solidFill>
          <a:schemeClr val="accent2">
            <a:lumMod val="75000"/>
          </a:schemeClr>
        </a:solidFill>
      </dgm:spPr>
      <dgm:t>
        <a:bodyPr/>
        <a:lstStyle/>
        <a:p>
          <a:r>
            <a:rPr lang="en-AU" sz="900">
              <a:solidFill>
                <a:schemeClr val="tx2">
                  <a:lumMod val="50000"/>
                </a:schemeClr>
              </a:solidFill>
            </a:rPr>
            <a:t>Step 8</a:t>
          </a:r>
        </a:p>
      </dgm:t>
    </dgm:pt>
    <dgm:pt modelId="{13E9B9AC-AFFE-4CD9-B2CE-8668FF52217D}" type="parTrans" cxnId="{39184140-C5CF-4D0B-A6DC-46528684EEB6}">
      <dgm:prSet/>
      <dgm:spPr/>
      <dgm:t>
        <a:bodyPr/>
        <a:lstStyle/>
        <a:p>
          <a:endParaRPr lang="en-AU" sz="900"/>
        </a:p>
      </dgm:t>
    </dgm:pt>
    <dgm:pt modelId="{67E513B8-9C91-41DF-ACF8-E8150E5226B9}" type="sibTrans" cxnId="{39184140-C5CF-4D0B-A6DC-46528684EEB6}">
      <dgm:prSet/>
      <dgm:spPr/>
      <dgm:t>
        <a:bodyPr/>
        <a:lstStyle/>
        <a:p>
          <a:endParaRPr lang="en-AU" sz="900"/>
        </a:p>
      </dgm:t>
    </dgm:pt>
    <dgm:pt modelId="{84AB9A67-BC7D-4E5A-8498-EC5B390620C0}">
      <dgm:prSet custT="1"/>
      <dgm:spPr>
        <a:solidFill>
          <a:schemeClr val="accent2">
            <a:lumMod val="75000"/>
          </a:schemeClr>
        </a:solidFill>
      </dgm:spPr>
      <dgm:t>
        <a:bodyPr/>
        <a:lstStyle/>
        <a:p>
          <a:r>
            <a:rPr lang="en-AU" sz="900">
              <a:solidFill>
                <a:schemeClr val="tx2">
                  <a:lumMod val="50000"/>
                </a:schemeClr>
              </a:solidFill>
            </a:rPr>
            <a:t>Step 2</a:t>
          </a:r>
        </a:p>
      </dgm:t>
    </dgm:pt>
    <dgm:pt modelId="{799605DA-6659-42E9-9C2C-EEBD0442B359}" type="parTrans" cxnId="{77E0B77A-6675-4E5C-866B-B241F7BC9C49}">
      <dgm:prSet/>
      <dgm:spPr/>
      <dgm:t>
        <a:bodyPr/>
        <a:lstStyle/>
        <a:p>
          <a:endParaRPr lang="en-AU" sz="900"/>
        </a:p>
      </dgm:t>
    </dgm:pt>
    <dgm:pt modelId="{DA6E0066-D480-49B1-B3D4-08C69FA3E5B8}" type="sibTrans" cxnId="{77E0B77A-6675-4E5C-866B-B241F7BC9C49}">
      <dgm:prSet/>
      <dgm:spPr/>
      <dgm:t>
        <a:bodyPr/>
        <a:lstStyle/>
        <a:p>
          <a:endParaRPr lang="en-AU" sz="900"/>
        </a:p>
      </dgm:t>
    </dgm:pt>
    <dgm:pt modelId="{3C7D4B0D-6660-4321-AFB6-E36F95272A47}">
      <dgm:prSet custT="1"/>
      <dgm:spPr>
        <a:solidFill>
          <a:schemeClr val="accent2">
            <a:lumMod val="75000"/>
          </a:schemeClr>
        </a:solidFill>
      </dgm:spPr>
      <dgm:t>
        <a:bodyPr/>
        <a:lstStyle/>
        <a:p>
          <a:r>
            <a:rPr lang="en-AU" sz="900">
              <a:solidFill>
                <a:schemeClr val="tx2">
                  <a:lumMod val="50000"/>
                </a:schemeClr>
              </a:solidFill>
            </a:rPr>
            <a:t>Step 3</a:t>
          </a:r>
        </a:p>
      </dgm:t>
    </dgm:pt>
    <dgm:pt modelId="{3D09E5B2-E0F8-4B11-9289-90B51C2356C0}" type="parTrans" cxnId="{F7A4AE87-DFF6-4EAE-B337-D40C3C583235}">
      <dgm:prSet/>
      <dgm:spPr/>
      <dgm:t>
        <a:bodyPr/>
        <a:lstStyle/>
        <a:p>
          <a:endParaRPr lang="en-AU" sz="900"/>
        </a:p>
      </dgm:t>
    </dgm:pt>
    <dgm:pt modelId="{6FE442A1-FD16-4834-81C8-5439D1283887}" type="sibTrans" cxnId="{F7A4AE87-DFF6-4EAE-B337-D40C3C583235}">
      <dgm:prSet/>
      <dgm:spPr/>
      <dgm:t>
        <a:bodyPr/>
        <a:lstStyle/>
        <a:p>
          <a:endParaRPr lang="en-AU" sz="900"/>
        </a:p>
      </dgm:t>
    </dgm:pt>
    <dgm:pt modelId="{1FDC6512-C7D4-4110-BEF3-A0CAB12F8445}" type="pres">
      <dgm:prSet presAssocID="{34A1A343-FEBB-449A-A8D3-70B451069617}" presName="Name0" presStyleCnt="0">
        <dgm:presLayoutVars>
          <dgm:dir/>
          <dgm:animLvl val="lvl"/>
          <dgm:resizeHandles val="exact"/>
        </dgm:presLayoutVars>
      </dgm:prSet>
      <dgm:spPr/>
    </dgm:pt>
    <dgm:pt modelId="{694B1432-2B83-4456-BD41-8016077A515A}" type="pres">
      <dgm:prSet presAssocID="{5D3162A9-4156-4314-AC96-23482FE76DF1}" presName="parTxOnly" presStyleLbl="node1" presStyleIdx="0" presStyleCnt="8" custLinFactNeighborX="625" custLinFactNeighborY="-17138">
        <dgm:presLayoutVars>
          <dgm:chMax val="0"/>
          <dgm:chPref val="0"/>
          <dgm:bulletEnabled val="1"/>
        </dgm:presLayoutVars>
      </dgm:prSet>
      <dgm:spPr/>
      <dgm:t>
        <a:bodyPr/>
        <a:lstStyle/>
        <a:p>
          <a:endParaRPr lang="en-AU"/>
        </a:p>
      </dgm:t>
    </dgm:pt>
    <dgm:pt modelId="{A8500963-B6A5-44E3-AA9B-49CE6BC83D81}" type="pres">
      <dgm:prSet presAssocID="{11F3AB01-3BAF-461A-B392-E50B49C5B246}" presName="parTxOnlySpace" presStyleCnt="0"/>
      <dgm:spPr/>
    </dgm:pt>
    <dgm:pt modelId="{BE47DD43-34D6-4BB8-8E85-8B9317DB3B01}" type="pres">
      <dgm:prSet presAssocID="{84AB9A67-BC7D-4E5A-8498-EC5B390620C0}" presName="parTxOnly" presStyleLbl="node1" presStyleIdx="1" presStyleCnt="8" custLinFactNeighborY="-18600">
        <dgm:presLayoutVars>
          <dgm:chMax val="0"/>
          <dgm:chPref val="0"/>
          <dgm:bulletEnabled val="1"/>
        </dgm:presLayoutVars>
      </dgm:prSet>
      <dgm:spPr/>
      <dgm:t>
        <a:bodyPr/>
        <a:lstStyle/>
        <a:p>
          <a:endParaRPr lang="en-AU"/>
        </a:p>
      </dgm:t>
    </dgm:pt>
    <dgm:pt modelId="{2A624379-61C7-4579-B487-A563CF4B28A7}" type="pres">
      <dgm:prSet presAssocID="{DA6E0066-D480-49B1-B3D4-08C69FA3E5B8}" presName="parTxOnlySpace" presStyleCnt="0"/>
      <dgm:spPr/>
    </dgm:pt>
    <dgm:pt modelId="{28DD6C66-9E97-427D-BBEA-74A6FDD08EEF}" type="pres">
      <dgm:prSet presAssocID="{3C7D4B0D-6660-4321-AFB6-E36F95272A47}" presName="parTxOnly" presStyleLbl="node1" presStyleIdx="2" presStyleCnt="8" custLinFactNeighborY="-18600">
        <dgm:presLayoutVars>
          <dgm:chMax val="0"/>
          <dgm:chPref val="0"/>
          <dgm:bulletEnabled val="1"/>
        </dgm:presLayoutVars>
      </dgm:prSet>
      <dgm:spPr/>
      <dgm:t>
        <a:bodyPr/>
        <a:lstStyle/>
        <a:p>
          <a:endParaRPr lang="en-AU"/>
        </a:p>
      </dgm:t>
    </dgm:pt>
    <dgm:pt modelId="{A6D06F47-409D-4CB6-8EC2-6BF566A8D14A}" type="pres">
      <dgm:prSet presAssocID="{6FE442A1-FD16-4834-81C8-5439D1283887}" presName="parTxOnlySpace" presStyleCnt="0"/>
      <dgm:spPr/>
    </dgm:pt>
    <dgm:pt modelId="{80D7A788-5442-4141-B1AA-EC23E182D957}" type="pres">
      <dgm:prSet presAssocID="{8375F3E0-46F0-4839-9F4D-322B84BB24E6}" presName="parTxOnly" presStyleLbl="node1" presStyleIdx="3" presStyleCnt="8" custScaleX="251604" custScaleY="213012" custLinFactX="63227" custLinFactNeighborX="100000" custLinFactNeighborY="-21174">
        <dgm:presLayoutVars>
          <dgm:chMax val="0"/>
          <dgm:chPref val="0"/>
          <dgm:bulletEnabled val="1"/>
        </dgm:presLayoutVars>
      </dgm:prSet>
      <dgm:spPr/>
      <dgm:t>
        <a:bodyPr/>
        <a:lstStyle/>
        <a:p>
          <a:endParaRPr lang="en-AU"/>
        </a:p>
      </dgm:t>
    </dgm:pt>
    <dgm:pt modelId="{E3BA2AA3-5F00-4EBD-B246-CB52E7673934}" type="pres">
      <dgm:prSet presAssocID="{CB0A790D-279D-4D7F-A1B7-3D02025AA881}" presName="parTxOnlySpace" presStyleCnt="0"/>
      <dgm:spPr/>
    </dgm:pt>
    <dgm:pt modelId="{90A0C395-3988-474C-92F1-2DD6E1BDAB0F}" type="pres">
      <dgm:prSet presAssocID="{7D65FF2D-E0B8-410B-8392-65CB7C358DC4}" presName="parTxOnly" presStyleLbl="node1" presStyleIdx="4" presStyleCnt="8" custLinFactX="-212192" custLinFactNeighborX="-300000" custLinFactNeighborY="-17138">
        <dgm:presLayoutVars>
          <dgm:chMax val="0"/>
          <dgm:chPref val="0"/>
          <dgm:bulletEnabled val="1"/>
        </dgm:presLayoutVars>
      </dgm:prSet>
      <dgm:spPr/>
      <dgm:t>
        <a:bodyPr/>
        <a:lstStyle/>
        <a:p>
          <a:endParaRPr lang="en-AU"/>
        </a:p>
      </dgm:t>
    </dgm:pt>
    <dgm:pt modelId="{7678F646-0C93-4396-8C1C-508614A54829}" type="pres">
      <dgm:prSet presAssocID="{6222001B-2ED7-4B0F-8AE4-1B8CA3A46E28}" presName="parTxOnlySpace" presStyleCnt="0"/>
      <dgm:spPr/>
    </dgm:pt>
    <dgm:pt modelId="{B26424C9-E7B8-44D6-B292-F54C8AFFF838}" type="pres">
      <dgm:prSet presAssocID="{BA18D897-2569-4A5F-A12F-85072D012B0F}" presName="parTxOnly" presStyleLbl="node1" presStyleIdx="5" presStyleCnt="8" custLinFactNeighborX="-57995" custLinFactNeighborY="-17138">
        <dgm:presLayoutVars>
          <dgm:chMax val="0"/>
          <dgm:chPref val="0"/>
          <dgm:bulletEnabled val="1"/>
        </dgm:presLayoutVars>
      </dgm:prSet>
      <dgm:spPr/>
      <dgm:t>
        <a:bodyPr/>
        <a:lstStyle/>
        <a:p>
          <a:endParaRPr lang="en-AU"/>
        </a:p>
      </dgm:t>
    </dgm:pt>
    <dgm:pt modelId="{9F54386B-9C58-49E4-A5B4-3F817322844C}" type="pres">
      <dgm:prSet presAssocID="{D0275449-8848-4D60-B839-D41C2B28941E}" presName="parTxOnlySpace" presStyleCnt="0"/>
      <dgm:spPr/>
    </dgm:pt>
    <dgm:pt modelId="{372A0707-C206-4125-913C-150A3501952D}" type="pres">
      <dgm:prSet presAssocID="{81397574-9060-4111-B041-AC361AA39DEE}" presName="parTxOnly" presStyleLbl="node1" presStyleIdx="6" presStyleCnt="8" custScaleX="110317" custLinFactNeighborX="625" custLinFactNeighborY="-17138">
        <dgm:presLayoutVars>
          <dgm:chMax val="0"/>
          <dgm:chPref val="0"/>
          <dgm:bulletEnabled val="1"/>
        </dgm:presLayoutVars>
      </dgm:prSet>
      <dgm:spPr/>
      <dgm:t>
        <a:bodyPr/>
        <a:lstStyle/>
        <a:p>
          <a:endParaRPr lang="en-AU"/>
        </a:p>
      </dgm:t>
    </dgm:pt>
    <dgm:pt modelId="{573DBA9A-BC47-4CF8-9BC0-C95DDCD24A38}" type="pres">
      <dgm:prSet presAssocID="{05E63AD2-C047-40C2-B49F-02A5849A17CD}" presName="parTxOnlySpace" presStyleCnt="0"/>
      <dgm:spPr/>
    </dgm:pt>
    <dgm:pt modelId="{1956EF06-B7F2-4988-B170-CCFB1252D9EC}" type="pres">
      <dgm:prSet presAssocID="{D62C28C4-9520-4045-9C7B-51069030D9AF}" presName="parTxOnly" presStyleLbl="node1" presStyleIdx="7" presStyleCnt="8" custLinFactNeighborX="625" custLinFactNeighborY="-17138">
        <dgm:presLayoutVars>
          <dgm:chMax val="0"/>
          <dgm:chPref val="0"/>
          <dgm:bulletEnabled val="1"/>
        </dgm:presLayoutVars>
      </dgm:prSet>
      <dgm:spPr/>
      <dgm:t>
        <a:bodyPr/>
        <a:lstStyle/>
        <a:p>
          <a:endParaRPr lang="en-AU"/>
        </a:p>
      </dgm:t>
    </dgm:pt>
  </dgm:ptLst>
  <dgm:cxnLst>
    <dgm:cxn modelId="{77E0B77A-6675-4E5C-866B-B241F7BC9C49}" srcId="{34A1A343-FEBB-449A-A8D3-70B451069617}" destId="{84AB9A67-BC7D-4E5A-8498-EC5B390620C0}" srcOrd="1" destOrd="0" parTransId="{799605DA-6659-42E9-9C2C-EEBD0442B359}" sibTransId="{DA6E0066-D480-49B1-B3D4-08C69FA3E5B8}"/>
    <dgm:cxn modelId="{39184140-C5CF-4D0B-A6DC-46528684EEB6}" srcId="{34A1A343-FEBB-449A-A8D3-70B451069617}" destId="{D62C28C4-9520-4045-9C7B-51069030D9AF}" srcOrd="7" destOrd="0" parTransId="{13E9B9AC-AFFE-4CD9-B2CE-8668FF52217D}" sibTransId="{67E513B8-9C91-41DF-ACF8-E8150E5226B9}"/>
    <dgm:cxn modelId="{65540A9B-84BC-4C70-B059-2B0558E4A144}" type="presOf" srcId="{7D65FF2D-E0B8-410B-8392-65CB7C358DC4}" destId="{90A0C395-3988-474C-92F1-2DD6E1BDAB0F}" srcOrd="0" destOrd="0" presId="urn:microsoft.com/office/officeart/2005/8/layout/chevron1"/>
    <dgm:cxn modelId="{E7EA8D04-6CBE-44A2-8D8E-A11CA32F9B49}" type="presOf" srcId="{81397574-9060-4111-B041-AC361AA39DEE}" destId="{372A0707-C206-4125-913C-150A3501952D}" srcOrd="0" destOrd="0" presId="urn:microsoft.com/office/officeart/2005/8/layout/chevron1"/>
    <dgm:cxn modelId="{F7A4AE87-DFF6-4EAE-B337-D40C3C583235}" srcId="{34A1A343-FEBB-449A-A8D3-70B451069617}" destId="{3C7D4B0D-6660-4321-AFB6-E36F95272A47}" srcOrd="2" destOrd="0" parTransId="{3D09E5B2-E0F8-4B11-9289-90B51C2356C0}" sibTransId="{6FE442A1-FD16-4834-81C8-5439D1283887}"/>
    <dgm:cxn modelId="{C0696481-D778-419C-A03B-845E355B6888}" type="presOf" srcId="{D62C28C4-9520-4045-9C7B-51069030D9AF}" destId="{1956EF06-B7F2-4988-B170-CCFB1252D9EC}" srcOrd="0" destOrd="0" presId="urn:microsoft.com/office/officeart/2005/8/layout/chevron1"/>
    <dgm:cxn modelId="{4183BFE1-B529-4A1F-B4F3-18EC3C231FC2}" type="presOf" srcId="{3C7D4B0D-6660-4321-AFB6-E36F95272A47}" destId="{28DD6C66-9E97-427D-BBEA-74A6FDD08EEF}" srcOrd="0" destOrd="0" presId="urn:microsoft.com/office/officeart/2005/8/layout/chevron1"/>
    <dgm:cxn modelId="{00814C2C-1C69-4411-B259-103ED61A3B5C}" type="presOf" srcId="{84AB9A67-BC7D-4E5A-8498-EC5B390620C0}" destId="{BE47DD43-34D6-4BB8-8E85-8B9317DB3B01}" srcOrd="0" destOrd="0" presId="urn:microsoft.com/office/officeart/2005/8/layout/chevron1"/>
    <dgm:cxn modelId="{68251C75-CBDF-41B7-A7B4-4C3CBEC13115}" type="presOf" srcId="{34A1A343-FEBB-449A-A8D3-70B451069617}" destId="{1FDC6512-C7D4-4110-BEF3-A0CAB12F8445}" srcOrd="0" destOrd="0" presId="urn:microsoft.com/office/officeart/2005/8/layout/chevron1"/>
    <dgm:cxn modelId="{7E3047FB-71EF-4E28-A5B9-9D4A76D7216C}" srcId="{34A1A343-FEBB-449A-A8D3-70B451069617}" destId="{7D65FF2D-E0B8-410B-8392-65CB7C358DC4}" srcOrd="4" destOrd="0" parTransId="{D957CBB4-21F9-443D-9DCF-ED9F25413796}" sibTransId="{6222001B-2ED7-4B0F-8AE4-1B8CA3A46E28}"/>
    <dgm:cxn modelId="{75BEF65C-805D-4E0D-B9FE-AAB364106E56}" type="presOf" srcId="{5D3162A9-4156-4314-AC96-23482FE76DF1}" destId="{694B1432-2B83-4456-BD41-8016077A515A}" srcOrd="0" destOrd="0" presId="urn:microsoft.com/office/officeart/2005/8/layout/chevron1"/>
    <dgm:cxn modelId="{40914133-A6F7-4109-AFE4-B994CE518361}" srcId="{34A1A343-FEBB-449A-A8D3-70B451069617}" destId="{81397574-9060-4111-B041-AC361AA39DEE}" srcOrd="6" destOrd="0" parTransId="{167C0DC0-C795-44C8-8AAE-04C999FBB7B6}" sibTransId="{05E63AD2-C047-40C2-B49F-02A5849A17CD}"/>
    <dgm:cxn modelId="{46A52633-A488-423B-9602-91C563DFF598}" srcId="{34A1A343-FEBB-449A-A8D3-70B451069617}" destId="{BA18D897-2569-4A5F-A12F-85072D012B0F}" srcOrd="5" destOrd="0" parTransId="{3C1ECD8F-C536-46AA-ADF1-E710A2BA2ED6}" sibTransId="{D0275449-8848-4D60-B839-D41C2B28941E}"/>
    <dgm:cxn modelId="{2FE7C35A-F335-423C-B105-0D9DCFE7DBD9}" type="presOf" srcId="{BA18D897-2569-4A5F-A12F-85072D012B0F}" destId="{B26424C9-E7B8-44D6-B292-F54C8AFFF838}" srcOrd="0" destOrd="0" presId="urn:microsoft.com/office/officeart/2005/8/layout/chevron1"/>
    <dgm:cxn modelId="{2CAF4E66-1EAF-4529-8335-77F3AA91A25B}" srcId="{34A1A343-FEBB-449A-A8D3-70B451069617}" destId="{5D3162A9-4156-4314-AC96-23482FE76DF1}" srcOrd="0" destOrd="0" parTransId="{76B093EA-6EDD-4698-9DE0-847744483BC7}" sibTransId="{11F3AB01-3BAF-461A-B392-E50B49C5B246}"/>
    <dgm:cxn modelId="{6B3A3478-BE5B-48A4-B954-0E21A91E5264}" srcId="{34A1A343-FEBB-449A-A8D3-70B451069617}" destId="{8375F3E0-46F0-4839-9F4D-322B84BB24E6}" srcOrd="3" destOrd="0" parTransId="{A348CDAB-53CA-4C3E-8BEC-714200D71D3D}" sibTransId="{CB0A790D-279D-4D7F-A1B7-3D02025AA881}"/>
    <dgm:cxn modelId="{4CA34B10-6075-4059-81C9-B45B6B8C9D24}" type="presOf" srcId="{8375F3E0-46F0-4839-9F4D-322B84BB24E6}" destId="{80D7A788-5442-4141-B1AA-EC23E182D957}" srcOrd="0" destOrd="0" presId="urn:microsoft.com/office/officeart/2005/8/layout/chevron1"/>
    <dgm:cxn modelId="{8EB71A87-DF22-4148-89DD-A20A29EB08DB}" type="presParOf" srcId="{1FDC6512-C7D4-4110-BEF3-A0CAB12F8445}" destId="{694B1432-2B83-4456-BD41-8016077A515A}" srcOrd="0" destOrd="0" presId="urn:microsoft.com/office/officeart/2005/8/layout/chevron1"/>
    <dgm:cxn modelId="{4166CB7A-4116-487B-9EA8-AB8DCB09AEC3}" type="presParOf" srcId="{1FDC6512-C7D4-4110-BEF3-A0CAB12F8445}" destId="{A8500963-B6A5-44E3-AA9B-49CE6BC83D81}" srcOrd="1" destOrd="0" presId="urn:microsoft.com/office/officeart/2005/8/layout/chevron1"/>
    <dgm:cxn modelId="{DED126F2-2419-46A7-A535-33353AB4B911}" type="presParOf" srcId="{1FDC6512-C7D4-4110-BEF3-A0CAB12F8445}" destId="{BE47DD43-34D6-4BB8-8E85-8B9317DB3B01}" srcOrd="2" destOrd="0" presId="urn:microsoft.com/office/officeart/2005/8/layout/chevron1"/>
    <dgm:cxn modelId="{858390C9-4F3F-4C4E-9FD9-1F98CB0637C9}" type="presParOf" srcId="{1FDC6512-C7D4-4110-BEF3-A0CAB12F8445}" destId="{2A624379-61C7-4579-B487-A563CF4B28A7}" srcOrd="3" destOrd="0" presId="urn:microsoft.com/office/officeart/2005/8/layout/chevron1"/>
    <dgm:cxn modelId="{BE59FC15-9E02-497A-BC27-41FF6C7455C9}" type="presParOf" srcId="{1FDC6512-C7D4-4110-BEF3-A0CAB12F8445}" destId="{28DD6C66-9E97-427D-BBEA-74A6FDD08EEF}" srcOrd="4" destOrd="0" presId="urn:microsoft.com/office/officeart/2005/8/layout/chevron1"/>
    <dgm:cxn modelId="{215EEC86-35C7-4196-B38D-A92D20720D4D}" type="presParOf" srcId="{1FDC6512-C7D4-4110-BEF3-A0CAB12F8445}" destId="{A6D06F47-409D-4CB6-8EC2-6BF566A8D14A}" srcOrd="5" destOrd="0" presId="urn:microsoft.com/office/officeart/2005/8/layout/chevron1"/>
    <dgm:cxn modelId="{0BA665C7-8D4E-4DD3-9021-611E10D01C81}" type="presParOf" srcId="{1FDC6512-C7D4-4110-BEF3-A0CAB12F8445}" destId="{80D7A788-5442-4141-B1AA-EC23E182D957}" srcOrd="6" destOrd="0" presId="urn:microsoft.com/office/officeart/2005/8/layout/chevron1"/>
    <dgm:cxn modelId="{A7107BD8-CEBA-430D-97C0-376DF96AE012}" type="presParOf" srcId="{1FDC6512-C7D4-4110-BEF3-A0CAB12F8445}" destId="{E3BA2AA3-5F00-4EBD-B246-CB52E7673934}" srcOrd="7" destOrd="0" presId="urn:microsoft.com/office/officeart/2005/8/layout/chevron1"/>
    <dgm:cxn modelId="{939639C0-7E16-4FA2-973C-95E48848DC1E}" type="presParOf" srcId="{1FDC6512-C7D4-4110-BEF3-A0CAB12F8445}" destId="{90A0C395-3988-474C-92F1-2DD6E1BDAB0F}" srcOrd="8" destOrd="0" presId="urn:microsoft.com/office/officeart/2005/8/layout/chevron1"/>
    <dgm:cxn modelId="{EBCAA628-825D-42F8-9371-CB817BC84C8F}" type="presParOf" srcId="{1FDC6512-C7D4-4110-BEF3-A0CAB12F8445}" destId="{7678F646-0C93-4396-8C1C-508614A54829}" srcOrd="9" destOrd="0" presId="urn:microsoft.com/office/officeart/2005/8/layout/chevron1"/>
    <dgm:cxn modelId="{8206EDA8-96FB-4757-9B6E-0CF29DEDF2D4}" type="presParOf" srcId="{1FDC6512-C7D4-4110-BEF3-A0CAB12F8445}" destId="{B26424C9-E7B8-44D6-B292-F54C8AFFF838}" srcOrd="10" destOrd="0" presId="urn:microsoft.com/office/officeart/2005/8/layout/chevron1"/>
    <dgm:cxn modelId="{60DA1AEA-B707-427C-906D-AE893613107E}" type="presParOf" srcId="{1FDC6512-C7D4-4110-BEF3-A0CAB12F8445}" destId="{9F54386B-9C58-49E4-A5B4-3F817322844C}" srcOrd="11" destOrd="0" presId="urn:microsoft.com/office/officeart/2005/8/layout/chevron1"/>
    <dgm:cxn modelId="{594FFFC9-275E-400A-9104-9FAFF3238ED2}" type="presParOf" srcId="{1FDC6512-C7D4-4110-BEF3-A0CAB12F8445}" destId="{372A0707-C206-4125-913C-150A3501952D}" srcOrd="12" destOrd="0" presId="urn:microsoft.com/office/officeart/2005/8/layout/chevron1"/>
    <dgm:cxn modelId="{5577284C-CD82-42E2-94A8-C328ECF4626C}" type="presParOf" srcId="{1FDC6512-C7D4-4110-BEF3-A0CAB12F8445}" destId="{573DBA9A-BC47-4CF8-9BC0-C95DDCD24A38}" srcOrd="13" destOrd="0" presId="urn:microsoft.com/office/officeart/2005/8/layout/chevron1"/>
    <dgm:cxn modelId="{A6AD6350-E29F-493B-BCD8-A8777DC4785C}" type="presParOf" srcId="{1FDC6512-C7D4-4110-BEF3-A0CAB12F8445}" destId="{1956EF06-B7F2-4988-B170-CCFB1252D9EC}" srcOrd="14"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4A1A343-FEBB-449A-A8D3-70B451069617}" type="doc">
      <dgm:prSet loTypeId="urn:microsoft.com/office/officeart/2005/8/layout/chevron1" loCatId="process" qsTypeId="urn:microsoft.com/office/officeart/2005/8/quickstyle/simple4" qsCatId="simple" csTypeId="urn:microsoft.com/office/officeart/2005/8/colors/accent1_2" csCatId="accent1" phldr="1"/>
      <dgm:spPr/>
    </dgm:pt>
    <dgm:pt modelId="{5D3162A9-4156-4314-AC96-23482FE76DF1}">
      <dgm:prSet phldrT="[Text]" custT="1"/>
      <dgm:spPr>
        <a:solidFill>
          <a:schemeClr val="accent2">
            <a:lumMod val="75000"/>
          </a:schemeClr>
        </a:solidFill>
      </dgm:spPr>
      <dgm:t>
        <a:bodyPr/>
        <a:lstStyle/>
        <a:p>
          <a:r>
            <a:rPr lang="en-AU" sz="900">
              <a:solidFill>
                <a:schemeClr val="tx2">
                  <a:lumMod val="50000"/>
                </a:schemeClr>
              </a:solidFill>
            </a:rPr>
            <a:t>Step 1</a:t>
          </a:r>
        </a:p>
      </dgm:t>
    </dgm:pt>
    <dgm:pt modelId="{76B093EA-6EDD-4698-9DE0-847744483BC7}" type="parTrans" cxnId="{2CAF4E66-1EAF-4529-8335-77F3AA91A25B}">
      <dgm:prSet/>
      <dgm:spPr/>
      <dgm:t>
        <a:bodyPr/>
        <a:lstStyle/>
        <a:p>
          <a:endParaRPr lang="en-AU" sz="900"/>
        </a:p>
      </dgm:t>
    </dgm:pt>
    <dgm:pt modelId="{11F3AB01-3BAF-461A-B392-E50B49C5B246}" type="sibTrans" cxnId="{2CAF4E66-1EAF-4529-8335-77F3AA91A25B}">
      <dgm:prSet/>
      <dgm:spPr/>
      <dgm:t>
        <a:bodyPr/>
        <a:lstStyle/>
        <a:p>
          <a:endParaRPr lang="en-AU" sz="900"/>
        </a:p>
      </dgm:t>
    </dgm:pt>
    <dgm:pt modelId="{8375F3E0-46F0-4839-9F4D-322B84BB24E6}">
      <dgm:prSet custT="1"/>
      <dgm:spPr>
        <a:solidFill>
          <a:schemeClr val="accent2">
            <a:lumMod val="50000"/>
          </a:schemeClr>
        </a:solidFill>
        <a:ln>
          <a:solidFill>
            <a:schemeClr val="accent2">
              <a:lumMod val="50000"/>
            </a:schemeClr>
          </a:solidFill>
        </a:ln>
      </dgm:spPr>
      <dgm:t>
        <a:bodyPr/>
        <a:lstStyle/>
        <a:p>
          <a:r>
            <a:rPr lang="en-AU" sz="900" b="1"/>
            <a:t>Step 6: Analyse and Aggregate</a:t>
          </a:r>
        </a:p>
      </dgm:t>
    </dgm:pt>
    <dgm:pt modelId="{A348CDAB-53CA-4C3E-8BEC-714200D71D3D}" type="parTrans" cxnId="{6B3A3478-BE5B-48A4-B954-0E21A91E5264}">
      <dgm:prSet/>
      <dgm:spPr/>
      <dgm:t>
        <a:bodyPr/>
        <a:lstStyle/>
        <a:p>
          <a:endParaRPr lang="en-AU" sz="900"/>
        </a:p>
      </dgm:t>
    </dgm:pt>
    <dgm:pt modelId="{CB0A790D-279D-4D7F-A1B7-3D02025AA881}" type="sibTrans" cxnId="{6B3A3478-BE5B-48A4-B954-0E21A91E5264}">
      <dgm:prSet/>
      <dgm:spPr/>
      <dgm:t>
        <a:bodyPr/>
        <a:lstStyle/>
        <a:p>
          <a:endParaRPr lang="en-AU" sz="900"/>
        </a:p>
      </dgm:t>
    </dgm:pt>
    <dgm:pt modelId="{7D65FF2D-E0B8-410B-8392-65CB7C358DC4}">
      <dgm:prSet custT="1"/>
      <dgm:spPr>
        <a:solidFill>
          <a:schemeClr val="accent2">
            <a:lumMod val="75000"/>
          </a:schemeClr>
        </a:solidFill>
      </dgm:spPr>
      <dgm:t>
        <a:bodyPr/>
        <a:lstStyle/>
        <a:p>
          <a:r>
            <a:rPr lang="en-AU" sz="900">
              <a:solidFill>
                <a:schemeClr val="tx2">
                  <a:lumMod val="50000"/>
                </a:schemeClr>
              </a:solidFill>
            </a:rPr>
            <a:t>Step 4</a:t>
          </a:r>
        </a:p>
      </dgm:t>
    </dgm:pt>
    <dgm:pt modelId="{D957CBB4-21F9-443D-9DCF-ED9F25413796}" type="parTrans" cxnId="{7E3047FB-71EF-4E28-A5B9-9D4A76D7216C}">
      <dgm:prSet/>
      <dgm:spPr/>
      <dgm:t>
        <a:bodyPr/>
        <a:lstStyle/>
        <a:p>
          <a:endParaRPr lang="en-AU" sz="900"/>
        </a:p>
      </dgm:t>
    </dgm:pt>
    <dgm:pt modelId="{6222001B-2ED7-4B0F-8AE4-1B8CA3A46E28}" type="sibTrans" cxnId="{7E3047FB-71EF-4E28-A5B9-9D4A76D7216C}">
      <dgm:prSet/>
      <dgm:spPr/>
      <dgm:t>
        <a:bodyPr/>
        <a:lstStyle/>
        <a:p>
          <a:endParaRPr lang="en-AU" sz="900"/>
        </a:p>
      </dgm:t>
    </dgm:pt>
    <dgm:pt modelId="{BA18D897-2569-4A5F-A12F-85072D012B0F}">
      <dgm:prSet custT="1"/>
      <dgm:spPr>
        <a:solidFill>
          <a:schemeClr val="accent2">
            <a:lumMod val="75000"/>
          </a:schemeClr>
        </a:solidFill>
      </dgm:spPr>
      <dgm:t>
        <a:bodyPr/>
        <a:lstStyle/>
        <a:p>
          <a:r>
            <a:rPr lang="en-AU" sz="900">
              <a:solidFill>
                <a:schemeClr val="tx2">
                  <a:lumMod val="50000"/>
                </a:schemeClr>
              </a:solidFill>
            </a:rPr>
            <a:t>Step 5</a:t>
          </a:r>
        </a:p>
      </dgm:t>
    </dgm:pt>
    <dgm:pt modelId="{3C1ECD8F-C536-46AA-ADF1-E710A2BA2ED6}" type="parTrans" cxnId="{46A52633-A488-423B-9602-91C563DFF598}">
      <dgm:prSet/>
      <dgm:spPr/>
      <dgm:t>
        <a:bodyPr/>
        <a:lstStyle/>
        <a:p>
          <a:endParaRPr lang="en-AU" sz="900"/>
        </a:p>
      </dgm:t>
    </dgm:pt>
    <dgm:pt modelId="{D0275449-8848-4D60-B839-D41C2B28941E}" type="sibTrans" cxnId="{46A52633-A488-423B-9602-91C563DFF598}">
      <dgm:prSet/>
      <dgm:spPr/>
      <dgm:t>
        <a:bodyPr/>
        <a:lstStyle/>
        <a:p>
          <a:endParaRPr lang="en-AU" sz="900"/>
        </a:p>
      </dgm:t>
    </dgm:pt>
    <dgm:pt modelId="{81397574-9060-4111-B041-AC361AA39DEE}">
      <dgm:prSet custT="1"/>
      <dgm:spPr>
        <a:solidFill>
          <a:schemeClr val="accent2">
            <a:lumMod val="75000"/>
          </a:schemeClr>
        </a:solidFill>
      </dgm:spPr>
      <dgm:t>
        <a:bodyPr/>
        <a:lstStyle/>
        <a:p>
          <a:r>
            <a:rPr lang="en-AU" sz="900">
              <a:solidFill>
                <a:schemeClr val="tx2">
                  <a:lumMod val="50000"/>
                </a:schemeClr>
              </a:solidFill>
            </a:rPr>
            <a:t>Step  7</a:t>
          </a:r>
        </a:p>
      </dgm:t>
    </dgm:pt>
    <dgm:pt modelId="{167C0DC0-C795-44C8-8AAE-04C999FBB7B6}" type="parTrans" cxnId="{40914133-A6F7-4109-AFE4-B994CE518361}">
      <dgm:prSet/>
      <dgm:spPr/>
      <dgm:t>
        <a:bodyPr/>
        <a:lstStyle/>
        <a:p>
          <a:endParaRPr lang="en-AU" sz="900"/>
        </a:p>
      </dgm:t>
    </dgm:pt>
    <dgm:pt modelId="{05E63AD2-C047-40C2-B49F-02A5849A17CD}" type="sibTrans" cxnId="{40914133-A6F7-4109-AFE4-B994CE518361}">
      <dgm:prSet/>
      <dgm:spPr/>
      <dgm:t>
        <a:bodyPr/>
        <a:lstStyle/>
        <a:p>
          <a:endParaRPr lang="en-AU" sz="900"/>
        </a:p>
      </dgm:t>
    </dgm:pt>
    <dgm:pt modelId="{D62C28C4-9520-4045-9C7B-51069030D9AF}">
      <dgm:prSet custT="1"/>
      <dgm:spPr>
        <a:solidFill>
          <a:schemeClr val="accent2">
            <a:lumMod val="75000"/>
          </a:schemeClr>
        </a:solidFill>
      </dgm:spPr>
      <dgm:t>
        <a:bodyPr/>
        <a:lstStyle/>
        <a:p>
          <a:r>
            <a:rPr lang="en-AU" sz="900">
              <a:solidFill>
                <a:schemeClr val="tx2">
                  <a:lumMod val="50000"/>
                </a:schemeClr>
              </a:solidFill>
            </a:rPr>
            <a:t>Step 8</a:t>
          </a:r>
        </a:p>
      </dgm:t>
    </dgm:pt>
    <dgm:pt modelId="{13E9B9AC-AFFE-4CD9-B2CE-8668FF52217D}" type="parTrans" cxnId="{39184140-C5CF-4D0B-A6DC-46528684EEB6}">
      <dgm:prSet/>
      <dgm:spPr/>
      <dgm:t>
        <a:bodyPr/>
        <a:lstStyle/>
        <a:p>
          <a:endParaRPr lang="en-AU" sz="900"/>
        </a:p>
      </dgm:t>
    </dgm:pt>
    <dgm:pt modelId="{67E513B8-9C91-41DF-ACF8-E8150E5226B9}" type="sibTrans" cxnId="{39184140-C5CF-4D0B-A6DC-46528684EEB6}">
      <dgm:prSet/>
      <dgm:spPr/>
      <dgm:t>
        <a:bodyPr/>
        <a:lstStyle/>
        <a:p>
          <a:endParaRPr lang="en-AU" sz="900"/>
        </a:p>
      </dgm:t>
    </dgm:pt>
    <dgm:pt modelId="{84AB9A67-BC7D-4E5A-8498-EC5B390620C0}">
      <dgm:prSet custT="1"/>
      <dgm:spPr>
        <a:solidFill>
          <a:schemeClr val="accent2">
            <a:lumMod val="75000"/>
          </a:schemeClr>
        </a:solidFill>
      </dgm:spPr>
      <dgm:t>
        <a:bodyPr/>
        <a:lstStyle/>
        <a:p>
          <a:r>
            <a:rPr lang="en-AU" sz="900">
              <a:solidFill>
                <a:schemeClr val="tx2">
                  <a:lumMod val="50000"/>
                </a:schemeClr>
              </a:solidFill>
            </a:rPr>
            <a:t>Step 2</a:t>
          </a:r>
        </a:p>
      </dgm:t>
    </dgm:pt>
    <dgm:pt modelId="{799605DA-6659-42E9-9C2C-EEBD0442B359}" type="parTrans" cxnId="{77E0B77A-6675-4E5C-866B-B241F7BC9C49}">
      <dgm:prSet/>
      <dgm:spPr/>
      <dgm:t>
        <a:bodyPr/>
        <a:lstStyle/>
        <a:p>
          <a:endParaRPr lang="en-AU" sz="900"/>
        </a:p>
      </dgm:t>
    </dgm:pt>
    <dgm:pt modelId="{DA6E0066-D480-49B1-B3D4-08C69FA3E5B8}" type="sibTrans" cxnId="{77E0B77A-6675-4E5C-866B-B241F7BC9C49}">
      <dgm:prSet/>
      <dgm:spPr/>
      <dgm:t>
        <a:bodyPr/>
        <a:lstStyle/>
        <a:p>
          <a:endParaRPr lang="en-AU" sz="900"/>
        </a:p>
      </dgm:t>
    </dgm:pt>
    <dgm:pt modelId="{3C7D4B0D-6660-4321-AFB6-E36F95272A47}">
      <dgm:prSet custT="1"/>
      <dgm:spPr>
        <a:solidFill>
          <a:schemeClr val="accent2">
            <a:lumMod val="75000"/>
          </a:schemeClr>
        </a:solidFill>
      </dgm:spPr>
      <dgm:t>
        <a:bodyPr/>
        <a:lstStyle/>
        <a:p>
          <a:r>
            <a:rPr lang="en-AU" sz="900">
              <a:solidFill>
                <a:schemeClr val="tx2">
                  <a:lumMod val="50000"/>
                </a:schemeClr>
              </a:solidFill>
            </a:rPr>
            <a:t>Step 3</a:t>
          </a:r>
        </a:p>
      </dgm:t>
    </dgm:pt>
    <dgm:pt modelId="{3D09E5B2-E0F8-4B11-9289-90B51C2356C0}" type="parTrans" cxnId="{F7A4AE87-DFF6-4EAE-B337-D40C3C583235}">
      <dgm:prSet/>
      <dgm:spPr/>
      <dgm:t>
        <a:bodyPr/>
        <a:lstStyle/>
        <a:p>
          <a:endParaRPr lang="en-AU" sz="900"/>
        </a:p>
      </dgm:t>
    </dgm:pt>
    <dgm:pt modelId="{6FE442A1-FD16-4834-81C8-5439D1283887}" type="sibTrans" cxnId="{F7A4AE87-DFF6-4EAE-B337-D40C3C583235}">
      <dgm:prSet/>
      <dgm:spPr/>
      <dgm:t>
        <a:bodyPr/>
        <a:lstStyle/>
        <a:p>
          <a:endParaRPr lang="en-AU" sz="900"/>
        </a:p>
      </dgm:t>
    </dgm:pt>
    <dgm:pt modelId="{1FDC6512-C7D4-4110-BEF3-A0CAB12F8445}" type="pres">
      <dgm:prSet presAssocID="{34A1A343-FEBB-449A-A8D3-70B451069617}" presName="Name0" presStyleCnt="0">
        <dgm:presLayoutVars>
          <dgm:dir/>
          <dgm:animLvl val="lvl"/>
          <dgm:resizeHandles val="exact"/>
        </dgm:presLayoutVars>
      </dgm:prSet>
      <dgm:spPr/>
    </dgm:pt>
    <dgm:pt modelId="{694B1432-2B83-4456-BD41-8016077A515A}" type="pres">
      <dgm:prSet presAssocID="{5D3162A9-4156-4314-AC96-23482FE76DF1}" presName="parTxOnly" presStyleLbl="node1" presStyleIdx="0" presStyleCnt="8" custLinFactNeighborX="625" custLinFactNeighborY="-17138">
        <dgm:presLayoutVars>
          <dgm:chMax val="0"/>
          <dgm:chPref val="0"/>
          <dgm:bulletEnabled val="1"/>
        </dgm:presLayoutVars>
      </dgm:prSet>
      <dgm:spPr/>
      <dgm:t>
        <a:bodyPr/>
        <a:lstStyle/>
        <a:p>
          <a:endParaRPr lang="en-AU"/>
        </a:p>
      </dgm:t>
    </dgm:pt>
    <dgm:pt modelId="{A8500963-B6A5-44E3-AA9B-49CE6BC83D81}" type="pres">
      <dgm:prSet presAssocID="{11F3AB01-3BAF-461A-B392-E50B49C5B246}" presName="parTxOnlySpace" presStyleCnt="0"/>
      <dgm:spPr/>
    </dgm:pt>
    <dgm:pt modelId="{BE47DD43-34D6-4BB8-8E85-8B9317DB3B01}" type="pres">
      <dgm:prSet presAssocID="{84AB9A67-BC7D-4E5A-8498-EC5B390620C0}" presName="parTxOnly" presStyleLbl="node1" presStyleIdx="1" presStyleCnt="8" custLinFactNeighborY="-18600">
        <dgm:presLayoutVars>
          <dgm:chMax val="0"/>
          <dgm:chPref val="0"/>
          <dgm:bulletEnabled val="1"/>
        </dgm:presLayoutVars>
      </dgm:prSet>
      <dgm:spPr/>
      <dgm:t>
        <a:bodyPr/>
        <a:lstStyle/>
        <a:p>
          <a:endParaRPr lang="en-AU"/>
        </a:p>
      </dgm:t>
    </dgm:pt>
    <dgm:pt modelId="{2A624379-61C7-4579-B487-A563CF4B28A7}" type="pres">
      <dgm:prSet presAssocID="{DA6E0066-D480-49B1-B3D4-08C69FA3E5B8}" presName="parTxOnlySpace" presStyleCnt="0"/>
      <dgm:spPr/>
    </dgm:pt>
    <dgm:pt modelId="{28DD6C66-9E97-427D-BBEA-74A6FDD08EEF}" type="pres">
      <dgm:prSet presAssocID="{3C7D4B0D-6660-4321-AFB6-E36F95272A47}" presName="parTxOnly" presStyleLbl="node1" presStyleIdx="2" presStyleCnt="8" custLinFactNeighborY="-18600">
        <dgm:presLayoutVars>
          <dgm:chMax val="0"/>
          <dgm:chPref val="0"/>
          <dgm:bulletEnabled val="1"/>
        </dgm:presLayoutVars>
      </dgm:prSet>
      <dgm:spPr/>
      <dgm:t>
        <a:bodyPr/>
        <a:lstStyle/>
        <a:p>
          <a:endParaRPr lang="en-AU"/>
        </a:p>
      </dgm:t>
    </dgm:pt>
    <dgm:pt modelId="{A6D06F47-409D-4CB6-8EC2-6BF566A8D14A}" type="pres">
      <dgm:prSet presAssocID="{6FE442A1-FD16-4834-81C8-5439D1283887}" presName="parTxOnlySpace" presStyleCnt="0"/>
      <dgm:spPr/>
    </dgm:pt>
    <dgm:pt modelId="{80D7A788-5442-4141-B1AA-EC23E182D957}" type="pres">
      <dgm:prSet presAssocID="{8375F3E0-46F0-4839-9F4D-322B84BB24E6}" presName="parTxOnly" presStyleLbl="node1" presStyleIdx="3" presStyleCnt="8" custScaleX="252223" custScaleY="186455" custLinFactX="156159" custLinFactNeighborX="200000" custLinFactNeighborY="-16603">
        <dgm:presLayoutVars>
          <dgm:chMax val="0"/>
          <dgm:chPref val="0"/>
          <dgm:bulletEnabled val="1"/>
        </dgm:presLayoutVars>
      </dgm:prSet>
      <dgm:spPr/>
      <dgm:t>
        <a:bodyPr/>
        <a:lstStyle/>
        <a:p>
          <a:endParaRPr lang="en-AU"/>
        </a:p>
      </dgm:t>
    </dgm:pt>
    <dgm:pt modelId="{E3BA2AA3-5F00-4EBD-B246-CB52E7673934}" type="pres">
      <dgm:prSet presAssocID="{CB0A790D-279D-4D7F-A1B7-3D02025AA881}" presName="parTxOnlySpace" presStyleCnt="0"/>
      <dgm:spPr/>
    </dgm:pt>
    <dgm:pt modelId="{90A0C395-3988-474C-92F1-2DD6E1BDAB0F}" type="pres">
      <dgm:prSet presAssocID="{7D65FF2D-E0B8-410B-8392-65CB7C358DC4}" presName="parTxOnly" presStyleLbl="node1" presStyleIdx="4" presStyleCnt="8" custLinFactX="-206839" custLinFactNeighborX="-300000" custLinFactNeighborY="-17138">
        <dgm:presLayoutVars>
          <dgm:chMax val="0"/>
          <dgm:chPref val="0"/>
          <dgm:bulletEnabled val="1"/>
        </dgm:presLayoutVars>
      </dgm:prSet>
      <dgm:spPr/>
      <dgm:t>
        <a:bodyPr/>
        <a:lstStyle/>
        <a:p>
          <a:endParaRPr lang="en-AU"/>
        </a:p>
      </dgm:t>
    </dgm:pt>
    <dgm:pt modelId="{7678F646-0C93-4396-8C1C-508614A54829}" type="pres">
      <dgm:prSet presAssocID="{6222001B-2ED7-4B0F-8AE4-1B8CA3A46E28}" presName="parTxOnlySpace" presStyleCnt="0"/>
      <dgm:spPr/>
    </dgm:pt>
    <dgm:pt modelId="{B26424C9-E7B8-44D6-B292-F54C8AFFF838}" type="pres">
      <dgm:prSet presAssocID="{BA18D897-2569-4A5F-A12F-85072D012B0F}" presName="parTxOnly" presStyleLbl="node1" presStyleIdx="5" presStyleCnt="8" custLinFactX="-204606" custLinFactNeighborX="-300000" custLinFactNeighborY="-13719">
        <dgm:presLayoutVars>
          <dgm:chMax val="0"/>
          <dgm:chPref val="0"/>
          <dgm:bulletEnabled val="1"/>
        </dgm:presLayoutVars>
      </dgm:prSet>
      <dgm:spPr/>
      <dgm:t>
        <a:bodyPr/>
        <a:lstStyle/>
        <a:p>
          <a:endParaRPr lang="en-AU"/>
        </a:p>
      </dgm:t>
    </dgm:pt>
    <dgm:pt modelId="{9F54386B-9C58-49E4-A5B4-3F817322844C}" type="pres">
      <dgm:prSet presAssocID="{D0275449-8848-4D60-B839-D41C2B28941E}" presName="parTxOnlySpace" presStyleCnt="0"/>
      <dgm:spPr/>
    </dgm:pt>
    <dgm:pt modelId="{372A0707-C206-4125-913C-150A3501952D}" type="pres">
      <dgm:prSet presAssocID="{81397574-9060-4111-B041-AC361AA39DEE}" presName="parTxOnly" presStyleLbl="node1" presStyleIdx="6" presStyleCnt="8" custScaleX="111669" custLinFactNeighborX="625" custLinFactNeighborY="-17138">
        <dgm:presLayoutVars>
          <dgm:chMax val="0"/>
          <dgm:chPref val="0"/>
          <dgm:bulletEnabled val="1"/>
        </dgm:presLayoutVars>
      </dgm:prSet>
      <dgm:spPr/>
      <dgm:t>
        <a:bodyPr/>
        <a:lstStyle/>
        <a:p>
          <a:endParaRPr lang="en-AU"/>
        </a:p>
      </dgm:t>
    </dgm:pt>
    <dgm:pt modelId="{573DBA9A-BC47-4CF8-9BC0-C95DDCD24A38}" type="pres">
      <dgm:prSet presAssocID="{05E63AD2-C047-40C2-B49F-02A5849A17CD}" presName="parTxOnlySpace" presStyleCnt="0"/>
      <dgm:spPr/>
    </dgm:pt>
    <dgm:pt modelId="{1956EF06-B7F2-4988-B170-CCFB1252D9EC}" type="pres">
      <dgm:prSet presAssocID="{D62C28C4-9520-4045-9C7B-51069030D9AF}" presName="parTxOnly" presStyleLbl="node1" presStyleIdx="7" presStyleCnt="8" custLinFactNeighborX="625" custLinFactNeighborY="-17138">
        <dgm:presLayoutVars>
          <dgm:chMax val="0"/>
          <dgm:chPref val="0"/>
          <dgm:bulletEnabled val="1"/>
        </dgm:presLayoutVars>
      </dgm:prSet>
      <dgm:spPr/>
      <dgm:t>
        <a:bodyPr/>
        <a:lstStyle/>
        <a:p>
          <a:endParaRPr lang="en-AU"/>
        </a:p>
      </dgm:t>
    </dgm:pt>
  </dgm:ptLst>
  <dgm:cxnLst>
    <dgm:cxn modelId="{77E0B77A-6675-4E5C-866B-B241F7BC9C49}" srcId="{34A1A343-FEBB-449A-A8D3-70B451069617}" destId="{84AB9A67-BC7D-4E5A-8498-EC5B390620C0}" srcOrd="1" destOrd="0" parTransId="{799605DA-6659-42E9-9C2C-EEBD0442B359}" sibTransId="{DA6E0066-D480-49B1-B3D4-08C69FA3E5B8}"/>
    <dgm:cxn modelId="{39184140-C5CF-4D0B-A6DC-46528684EEB6}" srcId="{34A1A343-FEBB-449A-A8D3-70B451069617}" destId="{D62C28C4-9520-4045-9C7B-51069030D9AF}" srcOrd="7" destOrd="0" parTransId="{13E9B9AC-AFFE-4CD9-B2CE-8668FF52217D}" sibTransId="{67E513B8-9C91-41DF-ACF8-E8150E5226B9}"/>
    <dgm:cxn modelId="{79C42837-042D-4F6D-9D62-2F05BE8CB135}" type="presOf" srcId="{84AB9A67-BC7D-4E5A-8498-EC5B390620C0}" destId="{BE47DD43-34D6-4BB8-8E85-8B9317DB3B01}" srcOrd="0" destOrd="0" presId="urn:microsoft.com/office/officeart/2005/8/layout/chevron1"/>
    <dgm:cxn modelId="{997F7561-3F7E-49E3-8100-0661B915495C}" type="presOf" srcId="{D62C28C4-9520-4045-9C7B-51069030D9AF}" destId="{1956EF06-B7F2-4988-B170-CCFB1252D9EC}" srcOrd="0" destOrd="0" presId="urn:microsoft.com/office/officeart/2005/8/layout/chevron1"/>
    <dgm:cxn modelId="{690EFFB7-23ED-4A60-851D-183B6F6C246C}" type="presOf" srcId="{34A1A343-FEBB-449A-A8D3-70B451069617}" destId="{1FDC6512-C7D4-4110-BEF3-A0CAB12F8445}" srcOrd="0" destOrd="0" presId="urn:microsoft.com/office/officeart/2005/8/layout/chevron1"/>
    <dgm:cxn modelId="{680EE57B-B621-41DA-ABBD-D797962180F4}" type="presOf" srcId="{81397574-9060-4111-B041-AC361AA39DEE}" destId="{372A0707-C206-4125-913C-150A3501952D}" srcOrd="0" destOrd="0" presId="urn:microsoft.com/office/officeart/2005/8/layout/chevron1"/>
    <dgm:cxn modelId="{772557AC-0316-42BC-BDBD-C204829D7220}" type="presOf" srcId="{8375F3E0-46F0-4839-9F4D-322B84BB24E6}" destId="{80D7A788-5442-4141-B1AA-EC23E182D957}" srcOrd="0" destOrd="0" presId="urn:microsoft.com/office/officeart/2005/8/layout/chevron1"/>
    <dgm:cxn modelId="{9EF1AE3C-7053-4E27-9708-84FAEA8B81BE}" type="presOf" srcId="{5D3162A9-4156-4314-AC96-23482FE76DF1}" destId="{694B1432-2B83-4456-BD41-8016077A515A}" srcOrd="0" destOrd="0" presId="urn:microsoft.com/office/officeart/2005/8/layout/chevron1"/>
    <dgm:cxn modelId="{F7A4AE87-DFF6-4EAE-B337-D40C3C583235}" srcId="{34A1A343-FEBB-449A-A8D3-70B451069617}" destId="{3C7D4B0D-6660-4321-AFB6-E36F95272A47}" srcOrd="2" destOrd="0" parTransId="{3D09E5B2-E0F8-4B11-9289-90B51C2356C0}" sibTransId="{6FE442A1-FD16-4834-81C8-5439D1283887}"/>
    <dgm:cxn modelId="{E6DC3F9D-AC8E-4EDF-8254-E48F537E61C8}" type="presOf" srcId="{BA18D897-2569-4A5F-A12F-85072D012B0F}" destId="{B26424C9-E7B8-44D6-B292-F54C8AFFF838}" srcOrd="0" destOrd="0" presId="urn:microsoft.com/office/officeart/2005/8/layout/chevron1"/>
    <dgm:cxn modelId="{3C2C8879-3A8F-4DF0-A21B-F0827B824DDD}" type="presOf" srcId="{7D65FF2D-E0B8-410B-8392-65CB7C358DC4}" destId="{90A0C395-3988-474C-92F1-2DD6E1BDAB0F}" srcOrd="0" destOrd="0" presId="urn:microsoft.com/office/officeart/2005/8/layout/chevron1"/>
    <dgm:cxn modelId="{7E3047FB-71EF-4E28-A5B9-9D4A76D7216C}" srcId="{34A1A343-FEBB-449A-A8D3-70B451069617}" destId="{7D65FF2D-E0B8-410B-8392-65CB7C358DC4}" srcOrd="4" destOrd="0" parTransId="{D957CBB4-21F9-443D-9DCF-ED9F25413796}" sibTransId="{6222001B-2ED7-4B0F-8AE4-1B8CA3A46E28}"/>
    <dgm:cxn modelId="{40914133-A6F7-4109-AFE4-B994CE518361}" srcId="{34A1A343-FEBB-449A-A8D3-70B451069617}" destId="{81397574-9060-4111-B041-AC361AA39DEE}" srcOrd="6" destOrd="0" parTransId="{167C0DC0-C795-44C8-8AAE-04C999FBB7B6}" sibTransId="{05E63AD2-C047-40C2-B49F-02A5849A17CD}"/>
    <dgm:cxn modelId="{46A52633-A488-423B-9602-91C563DFF598}" srcId="{34A1A343-FEBB-449A-A8D3-70B451069617}" destId="{BA18D897-2569-4A5F-A12F-85072D012B0F}" srcOrd="5" destOrd="0" parTransId="{3C1ECD8F-C536-46AA-ADF1-E710A2BA2ED6}" sibTransId="{D0275449-8848-4D60-B839-D41C2B28941E}"/>
    <dgm:cxn modelId="{2CAF4E66-1EAF-4529-8335-77F3AA91A25B}" srcId="{34A1A343-FEBB-449A-A8D3-70B451069617}" destId="{5D3162A9-4156-4314-AC96-23482FE76DF1}" srcOrd="0" destOrd="0" parTransId="{76B093EA-6EDD-4698-9DE0-847744483BC7}" sibTransId="{11F3AB01-3BAF-461A-B392-E50B49C5B246}"/>
    <dgm:cxn modelId="{6B3A3478-BE5B-48A4-B954-0E21A91E5264}" srcId="{34A1A343-FEBB-449A-A8D3-70B451069617}" destId="{8375F3E0-46F0-4839-9F4D-322B84BB24E6}" srcOrd="3" destOrd="0" parTransId="{A348CDAB-53CA-4C3E-8BEC-714200D71D3D}" sibTransId="{CB0A790D-279D-4D7F-A1B7-3D02025AA881}"/>
    <dgm:cxn modelId="{73BD3E70-9FA3-41B0-906B-BBF9911A6779}" type="presOf" srcId="{3C7D4B0D-6660-4321-AFB6-E36F95272A47}" destId="{28DD6C66-9E97-427D-BBEA-74A6FDD08EEF}" srcOrd="0" destOrd="0" presId="urn:microsoft.com/office/officeart/2005/8/layout/chevron1"/>
    <dgm:cxn modelId="{8AD69926-578C-4472-A7D6-7D8365BC093A}" type="presParOf" srcId="{1FDC6512-C7D4-4110-BEF3-A0CAB12F8445}" destId="{694B1432-2B83-4456-BD41-8016077A515A}" srcOrd="0" destOrd="0" presId="urn:microsoft.com/office/officeart/2005/8/layout/chevron1"/>
    <dgm:cxn modelId="{9E82A5DB-CAC1-4204-9E8E-DBC5CEDF7E8B}" type="presParOf" srcId="{1FDC6512-C7D4-4110-BEF3-A0CAB12F8445}" destId="{A8500963-B6A5-44E3-AA9B-49CE6BC83D81}" srcOrd="1" destOrd="0" presId="urn:microsoft.com/office/officeart/2005/8/layout/chevron1"/>
    <dgm:cxn modelId="{B4E74CFF-4BD3-4223-A7CC-87D0D14AFF66}" type="presParOf" srcId="{1FDC6512-C7D4-4110-BEF3-A0CAB12F8445}" destId="{BE47DD43-34D6-4BB8-8E85-8B9317DB3B01}" srcOrd="2" destOrd="0" presId="urn:microsoft.com/office/officeart/2005/8/layout/chevron1"/>
    <dgm:cxn modelId="{7309C023-9BEB-4065-8125-DE63C83BCC12}" type="presParOf" srcId="{1FDC6512-C7D4-4110-BEF3-A0CAB12F8445}" destId="{2A624379-61C7-4579-B487-A563CF4B28A7}" srcOrd="3" destOrd="0" presId="urn:microsoft.com/office/officeart/2005/8/layout/chevron1"/>
    <dgm:cxn modelId="{63A7517E-6957-4A4D-9641-2F6B468E6CD9}" type="presParOf" srcId="{1FDC6512-C7D4-4110-BEF3-A0CAB12F8445}" destId="{28DD6C66-9E97-427D-BBEA-74A6FDD08EEF}" srcOrd="4" destOrd="0" presId="urn:microsoft.com/office/officeart/2005/8/layout/chevron1"/>
    <dgm:cxn modelId="{166CAEAF-71A1-4879-A9B4-5D0A7D3343AE}" type="presParOf" srcId="{1FDC6512-C7D4-4110-BEF3-A0CAB12F8445}" destId="{A6D06F47-409D-4CB6-8EC2-6BF566A8D14A}" srcOrd="5" destOrd="0" presId="urn:microsoft.com/office/officeart/2005/8/layout/chevron1"/>
    <dgm:cxn modelId="{CA3E950A-C557-49B6-A93A-CDBDD7B331AC}" type="presParOf" srcId="{1FDC6512-C7D4-4110-BEF3-A0CAB12F8445}" destId="{80D7A788-5442-4141-B1AA-EC23E182D957}" srcOrd="6" destOrd="0" presId="urn:microsoft.com/office/officeart/2005/8/layout/chevron1"/>
    <dgm:cxn modelId="{F16E2E5A-07C7-41FD-B43D-09BF1B7C5FB8}" type="presParOf" srcId="{1FDC6512-C7D4-4110-BEF3-A0CAB12F8445}" destId="{E3BA2AA3-5F00-4EBD-B246-CB52E7673934}" srcOrd="7" destOrd="0" presId="urn:microsoft.com/office/officeart/2005/8/layout/chevron1"/>
    <dgm:cxn modelId="{8A372162-7964-42E4-A8E3-3F992435F29B}" type="presParOf" srcId="{1FDC6512-C7D4-4110-BEF3-A0CAB12F8445}" destId="{90A0C395-3988-474C-92F1-2DD6E1BDAB0F}" srcOrd="8" destOrd="0" presId="urn:microsoft.com/office/officeart/2005/8/layout/chevron1"/>
    <dgm:cxn modelId="{0A106E92-7560-45E2-89B1-A4164467BB1E}" type="presParOf" srcId="{1FDC6512-C7D4-4110-BEF3-A0CAB12F8445}" destId="{7678F646-0C93-4396-8C1C-508614A54829}" srcOrd="9" destOrd="0" presId="urn:microsoft.com/office/officeart/2005/8/layout/chevron1"/>
    <dgm:cxn modelId="{A2E76A36-966C-4C6D-A8B9-145A8BF0AB76}" type="presParOf" srcId="{1FDC6512-C7D4-4110-BEF3-A0CAB12F8445}" destId="{B26424C9-E7B8-44D6-B292-F54C8AFFF838}" srcOrd="10" destOrd="0" presId="urn:microsoft.com/office/officeart/2005/8/layout/chevron1"/>
    <dgm:cxn modelId="{13F103A0-8ABB-4772-AAD6-75C353ED04F6}" type="presParOf" srcId="{1FDC6512-C7D4-4110-BEF3-A0CAB12F8445}" destId="{9F54386B-9C58-49E4-A5B4-3F817322844C}" srcOrd="11" destOrd="0" presId="urn:microsoft.com/office/officeart/2005/8/layout/chevron1"/>
    <dgm:cxn modelId="{E9FFB972-9BF5-4CF7-B17A-DE38E72C5895}" type="presParOf" srcId="{1FDC6512-C7D4-4110-BEF3-A0CAB12F8445}" destId="{372A0707-C206-4125-913C-150A3501952D}" srcOrd="12" destOrd="0" presId="urn:microsoft.com/office/officeart/2005/8/layout/chevron1"/>
    <dgm:cxn modelId="{7C0EF297-5E7C-45DC-A57E-C7B848D91C99}" type="presParOf" srcId="{1FDC6512-C7D4-4110-BEF3-A0CAB12F8445}" destId="{573DBA9A-BC47-4CF8-9BC0-C95DDCD24A38}" srcOrd="13" destOrd="0" presId="urn:microsoft.com/office/officeart/2005/8/layout/chevron1"/>
    <dgm:cxn modelId="{B6FC381F-55F9-447D-8637-1198217D86F3}" type="presParOf" srcId="{1FDC6512-C7D4-4110-BEF3-A0CAB12F8445}" destId="{1956EF06-B7F2-4988-B170-CCFB1252D9EC}" srcOrd="14"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4A1A343-FEBB-449A-A8D3-70B451069617}" type="doc">
      <dgm:prSet loTypeId="urn:microsoft.com/office/officeart/2005/8/layout/chevron1" loCatId="process" qsTypeId="urn:microsoft.com/office/officeart/2005/8/quickstyle/simple4" qsCatId="simple" csTypeId="urn:microsoft.com/office/officeart/2005/8/colors/accent1_2" csCatId="accent1" phldr="1"/>
      <dgm:spPr/>
    </dgm:pt>
    <dgm:pt modelId="{5D3162A9-4156-4314-AC96-23482FE76DF1}">
      <dgm:prSet phldrT="[Text]" custT="1"/>
      <dgm:spPr>
        <a:solidFill>
          <a:schemeClr val="accent2">
            <a:lumMod val="75000"/>
          </a:schemeClr>
        </a:solidFill>
      </dgm:spPr>
      <dgm:t>
        <a:bodyPr/>
        <a:lstStyle/>
        <a:p>
          <a:r>
            <a:rPr lang="en-AU" sz="900">
              <a:solidFill>
                <a:schemeClr val="tx2">
                  <a:lumMod val="50000"/>
                </a:schemeClr>
              </a:solidFill>
            </a:rPr>
            <a:t>Step 1</a:t>
          </a:r>
        </a:p>
      </dgm:t>
    </dgm:pt>
    <dgm:pt modelId="{76B093EA-6EDD-4698-9DE0-847744483BC7}" type="parTrans" cxnId="{2CAF4E66-1EAF-4529-8335-77F3AA91A25B}">
      <dgm:prSet/>
      <dgm:spPr/>
      <dgm:t>
        <a:bodyPr/>
        <a:lstStyle/>
        <a:p>
          <a:endParaRPr lang="en-AU" sz="900"/>
        </a:p>
      </dgm:t>
    </dgm:pt>
    <dgm:pt modelId="{11F3AB01-3BAF-461A-B392-E50B49C5B246}" type="sibTrans" cxnId="{2CAF4E66-1EAF-4529-8335-77F3AA91A25B}">
      <dgm:prSet/>
      <dgm:spPr/>
      <dgm:t>
        <a:bodyPr/>
        <a:lstStyle/>
        <a:p>
          <a:endParaRPr lang="en-AU" sz="900"/>
        </a:p>
      </dgm:t>
    </dgm:pt>
    <dgm:pt modelId="{8375F3E0-46F0-4839-9F4D-322B84BB24E6}">
      <dgm:prSet custT="1"/>
      <dgm:spPr>
        <a:solidFill>
          <a:schemeClr val="accent2">
            <a:lumMod val="50000"/>
          </a:schemeClr>
        </a:solidFill>
        <a:ln>
          <a:solidFill>
            <a:schemeClr val="accent2">
              <a:lumMod val="50000"/>
            </a:schemeClr>
          </a:solidFill>
        </a:ln>
      </dgm:spPr>
      <dgm:t>
        <a:bodyPr/>
        <a:lstStyle/>
        <a:p>
          <a:r>
            <a:rPr lang="en-AU" sz="900" b="1"/>
            <a:t>Step 7: Harmonise and Integrate</a:t>
          </a:r>
        </a:p>
      </dgm:t>
    </dgm:pt>
    <dgm:pt modelId="{A348CDAB-53CA-4C3E-8BEC-714200D71D3D}" type="parTrans" cxnId="{6B3A3478-BE5B-48A4-B954-0E21A91E5264}">
      <dgm:prSet/>
      <dgm:spPr/>
      <dgm:t>
        <a:bodyPr/>
        <a:lstStyle/>
        <a:p>
          <a:endParaRPr lang="en-AU" sz="900"/>
        </a:p>
      </dgm:t>
    </dgm:pt>
    <dgm:pt modelId="{CB0A790D-279D-4D7F-A1B7-3D02025AA881}" type="sibTrans" cxnId="{6B3A3478-BE5B-48A4-B954-0E21A91E5264}">
      <dgm:prSet/>
      <dgm:spPr/>
      <dgm:t>
        <a:bodyPr/>
        <a:lstStyle/>
        <a:p>
          <a:endParaRPr lang="en-AU" sz="900"/>
        </a:p>
      </dgm:t>
    </dgm:pt>
    <dgm:pt modelId="{7D65FF2D-E0B8-410B-8392-65CB7C358DC4}">
      <dgm:prSet custT="1"/>
      <dgm:spPr>
        <a:solidFill>
          <a:schemeClr val="accent2">
            <a:lumMod val="75000"/>
          </a:schemeClr>
        </a:solidFill>
      </dgm:spPr>
      <dgm:t>
        <a:bodyPr/>
        <a:lstStyle/>
        <a:p>
          <a:r>
            <a:rPr lang="en-AU" sz="900">
              <a:solidFill>
                <a:schemeClr val="tx2">
                  <a:lumMod val="50000"/>
                </a:schemeClr>
              </a:solidFill>
            </a:rPr>
            <a:t>Step 4</a:t>
          </a:r>
        </a:p>
      </dgm:t>
    </dgm:pt>
    <dgm:pt modelId="{D957CBB4-21F9-443D-9DCF-ED9F25413796}" type="parTrans" cxnId="{7E3047FB-71EF-4E28-A5B9-9D4A76D7216C}">
      <dgm:prSet/>
      <dgm:spPr/>
      <dgm:t>
        <a:bodyPr/>
        <a:lstStyle/>
        <a:p>
          <a:endParaRPr lang="en-AU" sz="900"/>
        </a:p>
      </dgm:t>
    </dgm:pt>
    <dgm:pt modelId="{6222001B-2ED7-4B0F-8AE4-1B8CA3A46E28}" type="sibTrans" cxnId="{7E3047FB-71EF-4E28-A5B9-9D4A76D7216C}">
      <dgm:prSet/>
      <dgm:spPr/>
      <dgm:t>
        <a:bodyPr/>
        <a:lstStyle/>
        <a:p>
          <a:endParaRPr lang="en-AU" sz="900"/>
        </a:p>
      </dgm:t>
    </dgm:pt>
    <dgm:pt modelId="{BA18D897-2569-4A5F-A12F-85072D012B0F}">
      <dgm:prSet custT="1"/>
      <dgm:spPr>
        <a:solidFill>
          <a:schemeClr val="accent2">
            <a:lumMod val="75000"/>
          </a:schemeClr>
        </a:solidFill>
      </dgm:spPr>
      <dgm:t>
        <a:bodyPr/>
        <a:lstStyle/>
        <a:p>
          <a:r>
            <a:rPr lang="en-AU" sz="900">
              <a:solidFill>
                <a:schemeClr val="tx2">
                  <a:lumMod val="50000"/>
                </a:schemeClr>
              </a:solidFill>
            </a:rPr>
            <a:t>Step 5</a:t>
          </a:r>
        </a:p>
      </dgm:t>
    </dgm:pt>
    <dgm:pt modelId="{3C1ECD8F-C536-46AA-ADF1-E710A2BA2ED6}" type="parTrans" cxnId="{46A52633-A488-423B-9602-91C563DFF598}">
      <dgm:prSet/>
      <dgm:spPr/>
      <dgm:t>
        <a:bodyPr/>
        <a:lstStyle/>
        <a:p>
          <a:endParaRPr lang="en-AU" sz="900"/>
        </a:p>
      </dgm:t>
    </dgm:pt>
    <dgm:pt modelId="{D0275449-8848-4D60-B839-D41C2B28941E}" type="sibTrans" cxnId="{46A52633-A488-423B-9602-91C563DFF598}">
      <dgm:prSet/>
      <dgm:spPr/>
      <dgm:t>
        <a:bodyPr/>
        <a:lstStyle/>
        <a:p>
          <a:endParaRPr lang="en-AU" sz="900"/>
        </a:p>
      </dgm:t>
    </dgm:pt>
    <dgm:pt modelId="{81397574-9060-4111-B041-AC361AA39DEE}">
      <dgm:prSet custT="1"/>
      <dgm:spPr>
        <a:solidFill>
          <a:schemeClr val="accent2">
            <a:lumMod val="75000"/>
          </a:schemeClr>
        </a:solidFill>
      </dgm:spPr>
      <dgm:t>
        <a:bodyPr/>
        <a:lstStyle/>
        <a:p>
          <a:r>
            <a:rPr lang="en-AU" sz="900">
              <a:solidFill>
                <a:schemeClr val="tx2">
                  <a:lumMod val="50000"/>
                </a:schemeClr>
              </a:solidFill>
            </a:rPr>
            <a:t>Step  6</a:t>
          </a:r>
        </a:p>
      </dgm:t>
    </dgm:pt>
    <dgm:pt modelId="{167C0DC0-C795-44C8-8AAE-04C999FBB7B6}" type="parTrans" cxnId="{40914133-A6F7-4109-AFE4-B994CE518361}">
      <dgm:prSet/>
      <dgm:spPr/>
      <dgm:t>
        <a:bodyPr/>
        <a:lstStyle/>
        <a:p>
          <a:endParaRPr lang="en-AU" sz="900"/>
        </a:p>
      </dgm:t>
    </dgm:pt>
    <dgm:pt modelId="{05E63AD2-C047-40C2-B49F-02A5849A17CD}" type="sibTrans" cxnId="{40914133-A6F7-4109-AFE4-B994CE518361}">
      <dgm:prSet/>
      <dgm:spPr/>
      <dgm:t>
        <a:bodyPr/>
        <a:lstStyle/>
        <a:p>
          <a:endParaRPr lang="en-AU" sz="900"/>
        </a:p>
      </dgm:t>
    </dgm:pt>
    <dgm:pt modelId="{D62C28C4-9520-4045-9C7B-51069030D9AF}">
      <dgm:prSet custT="1"/>
      <dgm:spPr>
        <a:solidFill>
          <a:schemeClr val="accent2">
            <a:lumMod val="75000"/>
          </a:schemeClr>
        </a:solidFill>
      </dgm:spPr>
      <dgm:t>
        <a:bodyPr/>
        <a:lstStyle/>
        <a:p>
          <a:r>
            <a:rPr lang="en-AU" sz="900">
              <a:solidFill>
                <a:schemeClr val="tx2">
                  <a:lumMod val="50000"/>
                </a:schemeClr>
              </a:solidFill>
            </a:rPr>
            <a:t>Step 8</a:t>
          </a:r>
        </a:p>
      </dgm:t>
    </dgm:pt>
    <dgm:pt modelId="{13E9B9AC-AFFE-4CD9-B2CE-8668FF52217D}" type="parTrans" cxnId="{39184140-C5CF-4D0B-A6DC-46528684EEB6}">
      <dgm:prSet/>
      <dgm:spPr/>
      <dgm:t>
        <a:bodyPr/>
        <a:lstStyle/>
        <a:p>
          <a:endParaRPr lang="en-AU" sz="900"/>
        </a:p>
      </dgm:t>
    </dgm:pt>
    <dgm:pt modelId="{67E513B8-9C91-41DF-ACF8-E8150E5226B9}" type="sibTrans" cxnId="{39184140-C5CF-4D0B-A6DC-46528684EEB6}">
      <dgm:prSet/>
      <dgm:spPr/>
      <dgm:t>
        <a:bodyPr/>
        <a:lstStyle/>
        <a:p>
          <a:endParaRPr lang="en-AU" sz="900"/>
        </a:p>
      </dgm:t>
    </dgm:pt>
    <dgm:pt modelId="{84AB9A67-BC7D-4E5A-8498-EC5B390620C0}">
      <dgm:prSet custT="1"/>
      <dgm:spPr>
        <a:solidFill>
          <a:schemeClr val="accent2">
            <a:lumMod val="75000"/>
          </a:schemeClr>
        </a:solidFill>
      </dgm:spPr>
      <dgm:t>
        <a:bodyPr/>
        <a:lstStyle/>
        <a:p>
          <a:r>
            <a:rPr lang="en-AU" sz="900">
              <a:solidFill>
                <a:schemeClr val="tx2">
                  <a:lumMod val="50000"/>
                </a:schemeClr>
              </a:solidFill>
            </a:rPr>
            <a:t>Step 2</a:t>
          </a:r>
        </a:p>
      </dgm:t>
    </dgm:pt>
    <dgm:pt modelId="{799605DA-6659-42E9-9C2C-EEBD0442B359}" type="parTrans" cxnId="{77E0B77A-6675-4E5C-866B-B241F7BC9C49}">
      <dgm:prSet/>
      <dgm:spPr/>
      <dgm:t>
        <a:bodyPr/>
        <a:lstStyle/>
        <a:p>
          <a:endParaRPr lang="en-AU" sz="900"/>
        </a:p>
      </dgm:t>
    </dgm:pt>
    <dgm:pt modelId="{DA6E0066-D480-49B1-B3D4-08C69FA3E5B8}" type="sibTrans" cxnId="{77E0B77A-6675-4E5C-866B-B241F7BC9C49}">
      <dgm:prSet/>
      <dgm:spPr/>
      <dgm:t>
        <a:bodyPr/>
        <a:lstStyle/>
        <a:p>
          <a:endParaRPr lang="en-AU" sz="900"/>
        </a:p>
      </dgm:t>
    </dgm:pt>
    <dgm:pt modelId="{3C7D4B0D-6660-4321-AFB6-E36F95272A47}">
      <dgm:prSet custT="1"/>
      <dgm:spPr>
        <a:solidFill>
          <a:schemeClr val="accent2">
            <a:lumMod val="75000"/>
          </a:schemeClr>
        </a:solidFill>
      </dgm:spPr>
      <dgm:t>
        <a:bodyPr/>
        <a:lstStyle/>
        <a:p>
          <a:r>
            <a:rPr lang="en-AU" sz="900">
              <a:solidFill>
                <a:schemeClr val="tx2">
                  <a:lumMod val="50000"/>
                </a:schemeClr>
              </a:solidFill>
            </a:rPr>
            <a:t>Step 3</a:t>
          </a:r>
        </a:p>
      </dgm:t>
    </dgm:pt>
    <dgm:pt modelId="{3D09E5B2-E0F8-4B11-9289-90B51C2356C0}" type="parTrans" cxnId="{F7A4AE87-DFF6-4EAE-B337-D40C3C583235}">
      <dgm:prSet/>
      <dgm:spPr/>
      <dgm:t>
        <a:bodyPr/>
        <a:lstStyle/>
        <a:p>
          <a:endParaRPr lang="en-AU" sz="900"/>
        </a:p>
      </dgm:t>
    </dgm:pt>
    <dgm:pt modelId="{6FE442A1-FD16-4834-81C8-5439D1283887}" type="sibTrans" cxnId="{F7A4AE87-DFF6-4EAE-B337-D40C3C583235}">
      <dgm:prSet/>
      <dgm:spPr/>
      <dgm:t>
        <a:bodyPr/>
        <a:lstStyle/>
        <a:p>
          <a:endParaRPr lang="en-AU" sz="900"/>
        </a:p>
      </dgm:t>
    </dgm:pt>
    <dgm:pt modelId="{1FDC6512-C7D4-4110-BEF3-A0CAB12F8445}" type="pres">
      <dgm:prSet presAssocID="{34A1A343-FEBB-449A-A8D3-70B451069617}" presName="Name0" presStyleCnt="0">
        <dgm:presLayoutVars>
          <dgm:dir/>
          <dgm:animLvl val="lvl"/>
          <dgm:resizeHandles val="exact"/>
        </dgm:presLayoutVars>
      </dgm:prSet>
      <dgm:spPr/>
    </dgm:pt>
    <dgm:pt modelId="{694B1432-2B83-4456-BD41-8016077A515A}" type="pres">
      <dgm:prSet presAssocID="{5D3162A9-4156-4314-AC96-23482FE76DF1}" presName="parTxOnly" presStyleLbl="node1" presStyleIdx="0" presStyleCnt="8" custLinFactNeighborX="625" custLinFactNeighborY="-17138">
        <dgm:presLayoutVars>
          <dgm:chMax val="0"/>
          <dgm:chPref val="0"/>
          <dgm:bulletEnabled val="1"/>
        </dgm:presLayoutVars>
      </dgm:prSet>
      <dgm:spPr/>
      <dgm:t>
        <a:bodyPr/>
        <a:lstStyle/>
        <a:p>
          <a:endParaRPr lang="en-AU"/>
        </a:p>
      </dgm:t>
    </dgm:pt>
    <dgm:pt modelId="{A8500963-B6A5-44E3-AA9B-49CE6BC83D81}" type="pres">
      <dgm:prSet presAssocID="{11F3AB01-3BAF-461A-B392-E50B49C5B246}" presName="parTxOnlySpace" presStyleCnt="0"/>
      <dgm:spPr/>
    </dgm:pt>
    <dgm:pt modelId="{BE47DD43-34D6-4BB8-8E85-8B9317DB3B01}" type="pres">
      <dgm:prSet presAssocID="{84AB9A67-BC7D-4E5A-8498-EC5B390620C0}" presName="parTxOnly" presStyleLbl="node1" presStyleIdx="1" presStyleCnt="8" custLinFactNeighborY="-18600">
        <dgm:presLayoutVars>
          <dgm:chMax val="0"/>
          <dgm:chPref val="0"/>
          <dgm:bulletEnabled val="1"/>
        </dgm:presLayoutVars>
      </dgm:prSet>
      <dgm:spPr/>
      <dgm:t>
        <a:bodyPr/>
        <a:lstStyle/>
        <a:p>
          <a:endParaRPr lang="en-AU"/>
        </a:p>
      </dgm:t>
    </dgm:pt>
    <dgm:pt modelId="{2A624379-61C7-4579-B487-A563CF4B28A7}" type="pres">
      <dgm:prSet presAssocID="{DA6E0066-D480-49B1-B3D4-08C69FA3E5B8}" presName="parTxOnlySpace" presStyleCnt="0"/>
      <dgm:spPr/>
    </dgm:pt>
    <dgm:pt modelId="{28DD6C66-9E97-427D-BBEA-74A6FDD08EEF}" type="pres">
      <dgm:prSet presAssocID="{3C7D4B0D-6660-4321-AFB6-E36F95272A47}" presName="parTxOnly" presStyleLbl="node1" presStyleIdx="2" presStyleCnt="8" custLinFactNeighborY="-18600">
        <dgm:presLayoutVars>
          <dgm:chMax val="0"/>
          <dgm:chPref val="0"/>
          <dgm:bulletEnabled val="1"/>
        </dgm:presLayoutVars>
      </dgm:prSet>
      <dgm:spPr/>
      <dgm:t>
        <a:bodyPr/>
        <a:lstStyle/>
        <a:p>
          <a:endParaRPr lang="en-AU"/>
        </a:p>
      </dgm:t>
    </dgm:pt>
    <dgm:pt modelId="{A6D06F47-409D-4CB6-8EC2-6BF566A8D14A}" type="pres">
      <dgm:prSet presAssocID="{6FE442A1-FD16-4834-81C8-5439D1283887}" presName="parTxOnlySpace" presStyleCnt="0"/>
      <dgm:spPr/>
    </dgm:pt>
    <dgm:pt modelId="{80D7A788-5442-4141-B1AA-EC23E182D957}" type="pres">
      <dgm:prSet presAssocID="{8375F3E0-46F0-4839-9F4D-322B84BB24E6}" presName="parTxOnly" presStyleLbl="node1" presStyleIdx="3" presStyleCnt="8" custScaleX="239216" custScaleY="172829" custLinFactX="231846" custLinFactNeighborX="300000" custLinFactNeighborY="-17432">
        <dgm:presLayoutVars>
          <dgm:chMax val="0"/>
          <dgm:chPref val="0"/>
          <dgm:bulletEnabled val="1"/>
        </dgm:presLayoutVars>
      </dgm:prSet>
      <dgm:spPr/>
      <dgm:t>
        <a:bodyPr/>
        <a:lstStyle/>
        <a:p>
          <a:endParaRPr lang="en-AU"/>
        </a:p>
      </dgm:t>
    </dgm:pt>
    <dgm:pt modelId="{E3BA2AA3-5F00-4EBD-B246-CB52E7673934}" type="pres">
      <dgm:prSet presAssocID="{CB0A790D-279D-4D7F-A1B7-3D02025AA881}" presName="parTxOnlySpace" presStyleCnt="0"/>
      <dgm:spPr/>
    </dgm:pt>
    <dgm:pt modelId="{90A0C395-3988-474C-92F1-2DD6E1BDAB0F}" type="pres">
      <dgm:prSet presAssocID="{7D65FF2D-E0B8-410B-8392-65CB7C358DC4}" presName="parTxOnly" presStyleLbl="node1" presStyleIdx="4" presStyleCnt="8" custLinFactX="-200000" custLinFactNeighborX="-288802" custLinFactNeighborY="-17138">
        <dgm:presLayoutVars>
          <dgm:chMax val="0"/>
          <dgm:chPref val="0"/>
          <dgm:bulletEnabled val="1"/>
        </dgm:presLayoutVars>
      </dgm:prSet>
      <dgm:spPr/>
      <dgm:t>
        <a:bodyPr/>
        <a:lstStyle/>
        <a:p>
          <a:endParaRPr lang="en-AU"/>
        </a:p>
      </dgm:t>
    </dgm:pt>
    <dgm:pt modelId="{7678F646-0C93-4396-8C1C-508614A54829}" type="pres">
      <dgm:prSet presAssocID="{6222001B-2ED7-4B0F-8AE4-1B8CA3A46E28}" presName="parTxOnlySpace" presStyleCnt="0"/>
      <dgm:spPr/>
    </dgm:pt>
    <dgm:pt modelId="{B26424C9-E7B8-44D6-B292-F54C8AFFF838}" type="pres">
      <dgm:prSet presAssocID="{BA18D897-2569-4A5F-A12F-85072D012B0F}" presName="parTxOnly" presStyleLbl="node1" presStyleIdx="5" presStyleCnt="8" custLinFactX="-200000" custLinFactNeighborX="-295646" custLinFactNeighborY="-13719">
        <dgm:presLayoutVars>
          <dgm:chMax val="0"/>
          <dgm:chPref val="0"/>
          <dgm:bulletEnabled val="1"/>
        </dgm:presLayoutVars>
      </dgm:prSet>
      <dgm:spPr/>
      <dgm:t>
        <a:bodyPr/>
        <a:lstStyle/>
        <a:p>
          <a:endParaRPr lang="en-AU"/>
        </a:p>
      </dgm:t>
    </dgm:pt>
    <dgm:pt modelId="{9F54386B-9C58-49E4-A5B4-3F817322844C}" type="pres">
      <dgm:prSet presAssocID="{D0275449-8848-4D60-B839-D41C2B28941E}" presName="parTxOnlySpace" presStyleCnt="0"/>
      <dgm:spPr/>
    </dgm:pt>
    <dgm:pt modelId="{372A0707-C206-4125-913C-150A3501952D}" type="pres">
      <dgm:prSet presAssocID="{81397574-9060-4111-B041-AC361AA39DEE}" presName="parTxOnly" presStyleLbl="node1" presStyleIdx="6" presStyleCnt="8" custLinFactX="-202984" custLinFactNeighborX="-300000" custLinFactNeighborY="-12009">
        <dgm:presLayoutVars>
          <dgm:chMax val="0"/>
          <dgm:chPref val="0"/>
          <dgm:bulletEnabled val="1"/>
        </dgm:presLayoutVars>
      </dgm:prSet>
      <dgm:spPr/>
      <dgm:t>
        <a:bodyPr/>
        <a:lstStyle/>
        <a:p>
          <a:endParaRPr lang="en-AU"/>
        </a:p>
      </dgm:t>
    </dgm:pt>
    <dgm:pt modelId="{573DBA9A-BC47-4CF8-9BC0-C95DDCD24A38}" type="pres">
      <dgm:prSet presAssocID="{05E63AD2-C047-40C2-B49F-02A5849A17CD}" presName="parTxOnlySpace" presStyleCnt="0"/>
      <dgm:spPr/>
    </dgm:pt>
    <dgm:pt modelId="{1956EF06-B7F2-4988-B170-CCFB1252D9EC}" type="pres">
      <dgm:prSet presAssocID="{D62C28C4-9520-4045-9C7B-51069030D9AF}" presName="parTxOnly" presStyleLbl="node1" presStyleIdx="7" presStyleCnt="8" custLinFactNeighborX="625" custLinFactNeighborY="-17138">
        <dgm:presLayoutVars>
          <dgm:chMax val="0"/>
          <dgm:chPref val="0"/>
          <dgm:bulletEnabled val="1"/>
        </dgm:presLayoutVars>
      </dgm:prSet>
      <dgm:spPr/>
      <dgm:t>
        <a:bodyPr/>
        <a:lstStyle/>
        <a:p>
          <a:endParaRPr lang="en-AU"/>
        </a:p>
      </dgm:t>
    </dgm:pt>
  </dgm:ptLst>
  <dgm:cxnLst>
    <dgm:cxn modelId="{BE5B330C-E561-4854-88AD-F876C7A207CB}" type="presOf" srcId="{8375F3E0-46F0-4839-9F4D-322B84BB24E6}" destId="{80D7A788-5442-4141-B1AA-EC23E182D957}" srcOrd="0" destOrd="0" presId="urn:microsoft.com/office/officeart/2005/8/layout/chevron1"/>
    <dgm:cxn modelId="{77E0B77A-6675-4E5C-866B-B241F7BC9C49}" srcId="{34A1A343-FEBB-449A-A8D3-70B451069617}" destId="{84AB9A67-BC7D-4E5A-8498-EC5B390620C0}" srcOrd="1" destOrd="0" parTransId="{799605DA-6659-42E9-9C2C-EEBD0442B359}" sibTransId="{DA6E0066-D480-49B1-B3D4-08C69FA3E5B8}"/>
    <dgm:cxn modelId="{39184140-C5CF-4D0B-A6DC-46528684EEB6}" srcId="{34A1A343-FEBB-449A-A8D3-70B451069617}" destId="{D62C28C4-9520-4045-9C7B-51069030D9AF}" srcOrd="7" destOrd="0" parTransId="{13E9B9AC-AFFE-4CD9-B2CE-8668FF52217D}" sibTransId="{67E513B8-9C91-41DF-ACF8-E8150E5226B9}"/>
    <dgm:cxn modelId="{FEACF3F3-E3AD-4C62-A161-B1F7EF85468B}" type="presOf" srcId="{5D3162A9-4156-4314-AC96-23482FE76DF1}" destId="{694B1432-2B83-4456-BD41-8016077A515A}" srcOrd="0" destOrd="0" presId="urn:microsoft.com/office/officeart/2005/8/layout/chevron1"/>
    <dgm:cxn modelId="{F7A4AE87-DFF6-4EAE-B337-D40C3C583235}" srcId="{34A1A343-FEBB-449A-A8D3-70B451069617}" destId="{3C7D4B0D-6660-4321-AFB6-E36F95272A47}" srcOrd="2" destOrd="0" parTransId="{3D09E5B2-E0F8-4B11-9289-90B51C2356C0}" sibTransId="{6FE442A1-FD16-4834-81C8-5439D1283887}"/>
    <dgm:cxn modelId="{91F00AC3-E460-4733-A85F-CA0140A33B1A}" type="presOf" srcId="{84AB9A67-BC7D-4E5A-8498-EC5B390620C0}" destId="{BE47DD43-34D6-4BB8-8E85-8B9317DB3B01}" srcOrd="0" destOrd="0" presId="urn:microsoft.com/office/officeart/2005/8/layout/chevron1"/>
    <dgm:cxn modelId="{E1CFE84F-C08A-44EB-8679-61379D2EE0D2}" type="presOf" srcId="{7D65FF2D-E0B8-410B-8392-65CB7C358DC4}" destId="{90A0C395-3988-474C-92F1-2DD6E1BDAB0F}" srcOrd="0" destOrd="0" presId="urn:microsoft.com/office/officeart/2005/8/layout/chevron1"/>
    <dgm:cxn modelId="{2149A5EC-D7A1-4B84-96B7-D3E911039C7A}" type="presOf" srcId="{D62C28C4-9520-4045-9C7B-51069030D9AF}" destId="{1956EF06-B7F2-4988-B170-CCFB1252D9EC}" srcOrd="0" destOrd="0" presId="urn:microsoft.com/office/officeart/2005/8/layout/chevron1"/>
    <dgm:cxn modelId="{2A512DD2-609F-495E-A59B-0DAFC903E612}" type="presOf" srcId="{BA18D897-2569-4A5F-A12F-85072D012B0F}" destId="{B26424C9-E7B8-44D6-B292-F54C8AFFF838}" srcOrd="0" destOrd="0" presId="urn:microsoft.com/office/officeart/2005/8/layout/chevron1"/>
    <dgm:cxn modelId="{7E3047FB-71EF-4E28-A5B9-9D4A76D7216C}" srcId="{34A1A343-FEBB-449A-A8D3-70B451069617}" destId="{7D65FF2D-E0B8-410B-8392-65CB7C358DC4}" srcOrd="4" destOrd="0" parTransId="{D957CBB4-21F9-443D-9DCF-ED9F25413796}" sibTransId="{6222001B-2ED7-4B0F-8AE4-1B8CA3A46E28}"/>
    <dgm:cxn modelId="{6CA4F1F2-B4FA-44BB-9E71-29CC0A0677CB}" type="presOf" srcId="{3C7D4B0D-6660-4321-AFB6-E36F95272A47}" destId="{28DD6C66-9E97-427D-BBEA-74A6FDD08EEF}" srcOrd="0" destOrd="0" presId="urn:microsoft.com/office/officeart/2005/8/layout/chevron1"/>
    <dgm:cxn modelId="{648A6967-CBB1-4802-97B5-BD635DCB5438}" type="presOf" srcId="{81397574-9060-4111-B041-AC361AA39DEE}" destId="{372A0707-C206-4125-913C-150A3501952D}" srcOrd="0" destOrd="0" presId="urn:microsoft.com/office/officeart/2005/8/layout/chevron1"/>
    <dgm:cxn modelId="{46A52633-A488-423B-9602-91C563DFF598}" srcId="{34A1A343-FEBB-449A-A8D3-70B451069617}" destId="{BA18D897-2569-4A5F-A12F-85072D012B0F}" srcOrd="5" destOrd="0" parTransId="{3C1ECD8F-C536-46AA-ADF1-E710A2BA2ED6}" sibTransId="{D0275449-8848-4D60-B839-D41C2B28941E}"/>
    <dgm:cxn modelId="{40914133-A6F7-4109-AFE4-B994CE518361}" srcId="{34A1A343-FEBB-449A-A8D3-70B451069617}" destId="{81397574-9060-4111-B041-AC361AA39DEE}" srcOrd="6" destOrd="0" parTransId="{167C0DC0-C795-44C8-8AAE-04C999FBB7B6}" sibTransId="{05E63AD2-C047-40C2-B49F-02A5849A17CD}"/>
    <dgm:cxn modelId="{2CAF4E66-1EAF-4529-8335-77F3AA91A25B}" srcId="{34A1A343-FEBB-449A-A8D3-70B451069617}" destId="{5D3162A9-4156-4314-AC96-23482FE76DF1}" srcOrd="0" destOrd="0" parTransId="{76B093EA-6EDD-4698-9DE0-847744483BC7}" sibTransId="{11F3AB01-3BAF-461A-B392-E50B49C5B246}"/>
    <dgm:cxn modelId="{6B3A3478-BE5B-48A4-B954-0E21A91E5264}" srcId="{34A1A343-FEBB-449A-A8D3-70B451069617}" destId="{8375F3E0-46F0-4839-9F4D-322B84BB24E6}" srcOrd="3" destOrd="0" parTransId="{A348CDAB-53CA-4C3E-8BEC-714200D71D3D}" sibTransId="{CB0A790D-279D-4D7F-A1B7-3D02025AA881}"/>
    <dgm:cxn modelId="{33B7FAAF-55FC-4A92-B64C-2E5D57C3286C}" type="presOf" srcId="{34A1A343-FEBB-449A-A8D3-70B451069617}" destId="{1FDC6512-C7D4-4110-BEF3-A0CAB12F8445}" srcOrd="0" destOrd="0" presId="urn:microsoft.com/office/officeart/2005/8/layout/chevron1"/>
    <dgm:cxn modelId="{2DF541B9-1A91-4B7D-BC16-658B4BF4B9F0}" type="presParOf" srcId="{1FDC6512-C7D4-4110-BEF3-A0CAB12F8445}" destId="{694B1432-2B83-4456-BD41-8016077A515A}" srcOrd="0" destOrd="0" presId="urn:microsoft.com/office/officeart/2005/8/layout/chevron1"/>
    <dgm:cxn modelId="{477E93D0-1624-47F6-8A94-5BB5C26051B1}" type="presParOf" srcId="{1FDC6512-C7D4-4110-BEF3-A0CAB12F8445}" destId="{A8500963-B6A5-44E3-AA9B-49CE6BC83D81}" srcOrd="1" destOrd="0" presId="urn:microsoft.com/office/officeart/2005/8/layout/chevron1"/>
    <dgm:cxn modelId="{06B953FD-A429-477D-9A1C-778CB6C727A7}" type="presParOf" srcId="{1FDC6512-C7D4-4110-BEF3-A0CAB12F8445}" destId="{BE47DD43-34D6-4BB8-8E85-8B9317DB3B01}" srcOrd="2" destOrd="0" presId="urn:microsoft.com/office/officeart/2005/8/layout/chevron1"/>
    <dgm:cxn modelId="{66DF944C-32B5-4554-9893-1455641307AD}" type="presParOf" srcId="{1FDC6512-C7D4-4110-BEF3-A0CAB12F8445}" destId="{2A624379-61C7-4579-B487-A563CF4B28A7}" srcOrd="3" destOrd="0" presId="urn:microsoft.com/office/officeart/2005/8/layout/chevron1"/>
    <dgm:cxn modelId="{E318A652-FFF0-4B92-8A5F-EE2D2F5C6527}" type="presParOf" srcId="{1FDC6512-C7D4-4110-BEF3-A0CAB12F8445}" destId="{28DD6C66-9E97-427D-BBEA-74A6FDD08EEF}" srcOrd="4" destOrd="0" presId="urn:microsoft.com/office/officeart/2005/8/layout/chevron1"/>
    <dgm:cxn modelId="{C8EC0911-683D-48AE-8E81-AAFFDEFCCBDE}" type="presParOf" srcId="{1FDC6512-C7D4-4110-BEF3-A0CAB12F8445}" destId="{A6D06F47-409D-4CB6-8EC2-6BF566A8D14A}" srcOrd="5" destOrd="0" presId="urn:microsoft.com/office/officeart/2005/8/layout/chevron1"/>
    <dgm:cxn modelId="{AE71865E-4705-4AD8-88D6-C6A52550C4DA}" type="presParOf" srcId="{1FDC6512-C7D4-4110-BEF3-A0CAB12F8445}" destId="{80D7A788-5442-4141-B1AA-EC23E182D957}" srcOrd="6" destOrd="0" presId="urn:microsoft.com/office/officeart/2005/8/layout/chevron1"/>
    <dgm:cxn modelId="{B9C7D31C-E815-4D5D-BB7C-0A295CFF3B3E}" type="presParOf" srcId="{1FDC6512-C7D4-4110-BEF3-A0CAB12F8445}" destId="{E3BA2AA3-5F00-4EBD-B246-CB52E7673934}" srcOrd="7" destOrd="0" presId="urn:microsoft.com/office/officeart/2005/8/layout/chevron1"/>
    <dgm:cxn modelId="{1BF4318F-5D1B-4AC6-BBBA-ECB0658D7081}" type="presParOf" srcId="{1FDC6512-C7D4-4110-BEF3-A0CAB12F8445}" destId="{90A0C395-3988-474C-92F1-2DD6E1BDAB0F}" srcOrd="8" destOrd="0" presId="urn:microsoft.com/office/officeart/2005/8/layout/chevron1"/>
    <dgm:cxn modelId="{37A9FB63-8C5B-494E-BCD7-5D77F767144E}" type="presParOf" srcId="{1FDC6512-C7D4-4110-BEF3-A0CAB12F8445}" destId="{7678F646-0C93-4396-8C1C-508614A54829}" srcOrd="9" destOrd="0" presId="urn:microsoft.com/office/officeart/2005/8/layout/chevron1"/>
    <dgm:cxn modelId="{B0A35D31-29C5-45C6-8759-CDFA8934EA8E}" type="presParOf" srcId="{1FDC6512-C7D4-4110-BEF3-A0CAB12F8445}" destId="{B26424C9-E7B8-44D6-B292-F54C8AFFF838}" srcOrd="10" destOrd="0" presId="urn:microsoft.com/office/officeart/2005/8/layout/chevron1"/>
    <dgm:cxn modelId="{55448600-DB34-4190-8DE4-40336D74C10F}" type="presParOf" srcId="{1FDC6512-C7D4-4110-BEF3-A0CAB12F8445}" destId="{9F54386B-9C58-49E4-A5B4-3F817322844C}" srcOrd="11" destOrd="0" presId="urn:microsoft.com/office/officeart/2005/8/layout/chevron1"/>
    <dgm:cxn modelId="{D88ABF82-78C0-4F2F-B0B0-C388DEA19C70}" type="presParOf" srcId="{1FDC6512-C7D4-4110-BEF3-A0CAB12F8445}" destId="{372A0707-C206-4125-913C-150A3501952D}" srcOrd="12" destOrd="0" presId="urn:microsoft.com/office/officeart/2005/8/layout/chevron1"/>
    <dgm:cxn modelId="{FA71291A-7BA5-4033-808D-79ACFF25C0D0}" type="presParOf" srcId="{1FDC6512-C7D4-4110-BEF3-A0CAB12F8445}" destId="{573DBA9A-BC47-4CF8-9BC0-C95DDCD24A38}" srcOrd="13" destOrd="0" presId="urn:microsoft.com/office/officeart/2005/8/layout/chevron1"/>
    <dgm:cxn modelId="{FFFC7D9B-12B2-477C-9281-359FE43CC2BE}" type="presParOf" srcId="{1FDC6512-C7D4-4110-BEF3-A0CAB12F8445}" destId="{1956EF06-B7F2-4988-B170-CCFB1252D9EC}" srcOrd="14"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4A1A343-FEBB-449A-A8D3-70B451069617}" type="doc">
      <dgm:prSet loTypeId="urn:microsoft.com/office/officeart/2005/8/layout/chevron1" loCatId="process" qsTypeId="urn:microsoft.com/office/officeart/2005/8/quickstyle/simple4" qsCatId="simple" csTypeId="urn:microsoft.com/office/officeart/2005/8/colors/accent1_2" csCatId="accent1" phldr="1"/>
      <dgm:spPr/>
    </dgm:pt>
    <dgm:pt modelId="{5D3162A9-4156-4314-AC96-23482FE76DF1}">
      <dgm:prSet phldrT="[Text]" custT="1"/>
      <dgm:spPr>
        <a:solidFill>
          <a:schemeClr val="accent2">
            <a:lumMod val="75000"/>
          </a:schemeClr>
        </a:solidFill>
      </dgm:spPr>
      <dgm:t>
        <a:bodyPr/>
        <a:lstStyle/>
        <a:p>
          <a:r>
            <a:rPr lang="en-AU" sz="900">
              <a:solidFill>
                <a:schemeClr val="tx2">
                  <a:lumMod val="50000"/>
                </a:schemeClr>
              </a:solidFill>
            </a:rPr>
            <a:t>Step 1</a:t>
          </a:r>
        </a:p>
      </dgm:t>
    </dgm:pt>
    <dgm:pt modelId="{76B093EA-6EDD-4698-9DE0-847744483BC7}" type="parTrans" cxnId="{2CAF4E66-1EAF-4529-8335-77F3AA91A25B}">
      <dgm:prSet/>
      <dgm:spPr/>
      <dgm:t>
        <a:bodyPr/>
        <a:lstStyle/>
        <a:p>
          <a:endParaRPr lang="en-AU" sz="900"/>
        </a:p>
      </dgm:t>
    </dgm:pt>
    <dgm:pt modelId="{11F3AB01-3BAF-461A-B392-E50B49C5B246}" type="sibTrans" cxnId="{2CAF4E66-1EAF-4529-8335-77F3AA91A25B}">
      <dgm:prSet/>
      <dgm:spPr/>
      <dgm:t>
        <a:bodyPr/>
        <a:lstStyle/>
        <a:p>
          <a:endParaRPr lang="en-AU" sz="900"/>
        </a:p>
      </dgm:t>
    </dgm:pt>
    <dgm:pt modelId="{8375F3E0-46F0-4839-9F4D-322B84BB24E6}">
      <dgm:prSet custT="1"/>
      <dgm:spPr>
        <a:solidFill>
          <a:schemeClr val="accent2">
            <a:lumMod val="50000"/>
          </a:schemeClr>
        </a:solidFill>
        <a:ln>
          <a:solidFill>
            <a:schemeClr val="accent2">
              <a:lumMod val="50000"/>
            </a:schemeClr>
          </a:solidFill>
        </a:ln>
      </dgm:spPr>
      <dgm:t>
        <a:bodyPr/>
        <a:lstStyle/>
        <a:p>
          <a:r>
            <a:rPr lang="en-AU" sz="900" b="1"/>
            <a:t>Step 8: Develop  Report Card</a:t>
          </a:r>
        </a:p>
      </dgm:t>
    </dgm:pt>
    <dgm:pt modelId="{A348CDAB-53CA-4C3E-8BEC-714200D71D3D}" type="parTrans" cxnId="{6B3A3478-BE5B-48A4-B954-0E21A91E5264}">
      <dgm:prSet/>
      <dgm:spPr/>
      <dgm:t>
        <a:bodyPr/>
        <a:lstStyle/>
        <a:p>
          <a:endParaRPr lang="en-AU" sz="900"/>
        </a:p>
      </dgm:t>
    </dgm:pt>
    <dgm:pt modelId="{CB0A790D-279D-4D7F-A1B7-3D02025AA881}" type="sibTrans" cxnId="{6B3A3478-BE5B-48A4-B954-0E21A91E5264}">
      <dgm:prSet/>
      <dgm:spPr/>
      <dgm:t>
        <a:bodyPr/>
        <a:lstStyle/>
        <a:p>
          <a:endParaRPr lang="en-AU" sz="900"/>
        </a:p>
      </dgm:t>
    </dgm:pt>
    <dgm:pt modelId="{7D65FF2D-E0B8-410B-8392-65CB7C358DC4}">
      <dgm:prSet custT="1"/>
      <dgm:spPr>
        <a:solidFill>
          <a:schemeClr val="accent2">
            <a:lumMod val="75000"/>
          </a:schemeClr>
        </a:solidFill>
      </dgm:spPr>
      <dgm:t>
        <a:bodyPr/>
        <a:lstStyle/>
        <a:p>
          <a:r>
            <a:rPr lang="en-AU" sz="900">
              <a:solidFill>
                <a:schemeClr val="tx2">
                  <a:lumMod val="50000"/>
                </a:schemeClr>
              </a:solidFill>
            </a:rPr>
            <a:t>Step 4</a:t>
          </a:r>
        </a:p>
      </dgm:t>
    </dgm:pt>
    <dgm:pt modelId="{D957CBB4-21F9-443D-9DCF-ED9F25413796}" type="parTrans" cxnId="{7E3047FB-71EF-4E28-A5B9-9D4A76D7216C}">
      <dgm:prSet/>
      <dgm:spPr/>
      <dgm:t>
        <a:bodyPr/>
        <a:lstStyle/>
        <a:p>
          <a:endParaRPr lang="en-AU" sz="900"/>
        </a:p>
      </dgm:t>
    </dgm:pt>
    <dgm:pt modelId="{6222001B-2ED7-4B0F-8AE4-1B8CA3A46E28}" type="sibTrans" cxnId="{7E3047FB-71EF-4E28-A5B9-9D4A76D7216C}">
      <dgm:prSet/>
      <dgm:spPr/>
      <dgm:t>
        <a:bodyPr/>
        <a:lstStyle/>
        <a:p>
          <a:endParaRPr lang="en-AU" sz="900"/>
        </a:p>
      </dgm:t>
    </dgm:pt>
    <dgm:pt modelId="{BA18D897-2569-4A5F-A12F-85072D012B0F}">
      <dgm:prSet custT="1"/>
      <dgm:spPr>
        <a:solidFill>
          <a:schemeClr val="accent2">
            <a:lumMod val="75000"/>
          </a:schemeClr>
        </a:solidFill>
      </dgm:spPr>
      <dgm:t>
        <a:bodyPr/>
        <a:lstStyle/>
        <a:p>
          <a:r>
            <a:rPr lang="en-AU" sz="900">
              <a:solidFill>
                <a:schemeClr val="tx2">
                  <a:lumMod val="50000"/>
                </a:schemeClr>
              </a:solidFill>
            </a:rPr>
            <a:t>Step 5</a:t>
          </a:r>
        </a:p>
      </dgm:t>
    </dgm:pt>
    <dgm:pt modelId="{3C1ECD8F-C536-46AA-ADF1-E710A2BA2ED6}" type="parTrans" cxnId="{46A52633-A488-423B-9602-91C563DFF598}">
      <dgm:prSet/>
      <dgm:spPr/>
      <dgm:t>
        <a:bodyPr/>
        <a:lstStyle/>
        <a:p>
          <a:endParaRPr lang="en-AU" sz="900"/>
        </a:p>
      </dgm:t>
    </dgm:pt>
    <dgm:pt modelId="{D0275449-8848-4D60-B839-D41C2B28941E}" type="sibTrans" cxnId="{46A52633-A488-423B-9602-91C563DFF598}">
      <dgm:prSet/>
      <dgm:spPr/>
      <dgm:t>
        <a:bodyPr/>
        <a:lstStyle/>
        <a:p>
          <a:endParaRPr lang="en-AU" sz="900"/>
        </a:p>
      </dgm:t>
    </dgm:pt>
    <dgm:pt modelId="{81397574-9060-4111-B041-AC361AA39DEE}">
      <dgm:prSet custT="1"/>
      <dgm:spPr>
        <a:solidFill>
          <a:schemeClr val="accent2">
            <a:lumMod val="75000"/>
          </a:schemeClr>
        </a:solidFill>
      </dgm:spPr>
      <dgm:t>
        <a:bodyPr/>
        <a:lstStyle/>
        <a:p>
          <a:r>
            <a:rPr lang="en-AU" sz="900">
              <a:solidFill>
                <a:schemeClr val="tx2">
                  <a:lumMod val="50000"/>
                </a:schemeClr>
              </a:solidFill>
            </a:rPr>
            <a:t>Step  6</a:t>
          </a:r>
        </a:p>
      </dgm:t>
    </dgm:pt>
    <dgm:pt modelId="{167C0DC0-C795-44C8-8AAE-04C999FBB7B6}" type="parTrans" cxnId="{40914133-A6F7-4109-AFE4-B994CE518361}">
      <dgm:prSet/>
      <dgm:spPr/>
      <dgm:t>
        <a:bodyPr/>
        <a:lstStyle/>
        <a:p>
          <a:endParaRPr lang="en-AU" sz="900"/>
        </a:p>
      </dgm:t>
    </dgm:pt>
    <dgm:pt modelId="{05E63AD2-C047-40C2-B49F-02A5849A17CD}" type="sibTrans" cxnId="{40914133-A6F7-4109-AFE4-B994CE518361}">
      <dgm:prSet/>
      <dgm:spPr/>
      <dgm:t>
        <a:bodyPr/>
        <a:lstStyle/>
        <a:p>
          <a:endParaRPr lang="en-AU" sz="900"/>
        </a:p>
      </dgm:t>
    </dgm:pt>
    <dgm:pt modelId="{D62C28C4-9520-4045-9C7B-51069030D9AF}">
      <dgm:prSet custT="1"/>
      <dgm:spPr>
        <a:solidFill>
          <a:schemeClr val="accent2">
            <a:lumMod val="75000"/>
          </a:schemeClr>
        </a:solidFill>
      </dgm:spPr>
      <dgm:t>
        <a:bodyPr/>
        <a:lstStyle/>
        <a:p>
          <a:r>
            <a:rPr lang="en-AU" sz="900">
              <a:solidFill>
                <a:schemeClr val="tx2">
                  <a:lumMod val="50000"/>
                </a:schemeClr>
              </a:solidFill>
            </a:rPr>
            <a:t>Step 7</a:t>
          </a:r>
        </a:p>
      </dgm:t>
    </dgm:pt>
    <dgm:pt modelId="{13E9B9AC-AFFE-4CD9-B2CE-8668FF52217D}" type="parTrans" cxnId="{39184140-C5CF-4D0B-A6DC-46528684EEB6}">
      <dgm:prSet/>
      <dgm:spPr/>
      <dgm:t>
        <a:bodyPr/>
        <a:lstStyle/>
        <a:p>
          <a:endParaRPr lang="en-AU" sz="900"/>
        </a:p>
      </dgm:t>
    </dgm:pt>
    <dgm:pt modelId="{67E513B8-9C91-41DF-ACF8-E8150E5226B9}" type="sibTrans" cxnId="{39184140-C5CF-4D0B-A6DC-46528684EEB6}">
      <dgm:prSet/>
      <dgm:spPr/>
      <dgm:t>
        <a:bodyPr/>
        <a:lstStyle/>
        <a:p>
          <a:endParaRPr lang="en-AU" sz="900"/>
        </a:p>
      </dgm:t>
    </dgm:pt>
    <dgm:pt modelId="{84AB9A67-BC7D-4E5A-8498-EC5B390620C0}">
      <dgm:prSet custT="1"/>
      <dgm:spPr>
        <a:solidFill>
          <a:schemeClr val="accent2">
            <a:lumMod val="75000"/>
          </a:schemeClr>
        </a:solidFill>
      </dgm:spPr>
      <dgm:t>
        <a:bodyPr/>
        <a:lstStyle/>
        <a:p>
          <a:r>
            <a:rPr lang="en-AU" sz="900">
              <a:solidFill>
                <a:schemeClr val="tx2">
                  <a:lumMod val="50000"/>
                </a:schemeClr>
              </a:solidFill>
            </a:rPr>
            <a:t>Step 2</a:t>
          </a:r>
        </a:p>
      </dgm:t>
    </dgm:pt>
    <dgm:pt modelId="{799605DA-6659-42E9-9C2C-EEBD0442B359}" type="parTrans" cxnId="{77E0B77A-6675-4E5C-866B-B241F7BC9C49}">
      <dgm:prSet/>
      <dgm:spPr/>
      <dgm:t>
        <a:bodyPr/>
        <a:lstStyle/>
        <a:p>
          <a:endParaRPr lang="en-AU" sz="900"/>
        </a:p>
      </dgm:t>
    </dgm:pt>
    <dgm:pt modelId="{DA6E0066-D480-49B1-B3D4-08C69FA3E5B8}" type="sibTrans" cxnId="{77E0B77A-6675-4E5C-866B-B241F7BC9C49}">
      <dgm:prSet/>
      <dgm:spPr/>
      <dgm:t>
        <a:bodyPr/>
        <a:lstStyle/>
        <a:p>
          <a:endParaRPr lang="en-AU" sz="900"/>
        </a:p>
      </dgm:t>
    </dgm:pt>
    <dgm:pt modelId="{3C7D4B0D-6660-4321-AFB6-E36F95272A47}">
      <dgm:prSet custT="1"/>
      <dgm:spPr>
        <a:solidFill>
          <a:schemeClr val="accent2">
            <a:lumMod val="75000"/>
          </a:schemeClr>
        </a:solidFill>
      </dgm:spPr>
      <dgm:t>
        <a:bodyPr/>
        <a:lstStyle/>
        <a:p>
          <a:r>
            <a:rPr lang="en-AU" sz="900">
              <a:solidFill>
                <a:schemeClr val="tx2">
                  <a:lumMod val="50000"/>
                </a:schemeClr>
              </a:solidFill>
            </a:rPr>
            <a:t>Step 3</a:t>
          </a:r>
        </a:p>
      </dgm:t>
    </dgm:pt>
    <dgm:pt modelId="{3D09E5B2-E0F8-4B11-9289-90B51C2356C0}" type="parTrans" cxnId="{F7A4AE87-DFF6-4EAE-B337-D40C3C583235}">
      <dgm:prSet/>
      <dgm:spPr/>
      <dgm:t>
        <a:bodyPr/>
        <a:lstStyle/>
        <a:p>
          <a:endParaRPr lang="en-AU" sz="900"/>
        </a:p>
      </dgm:t>
    </dgm:pt>
    <dgm:pt modelId="{6FE442A1-FD16-4834-81C8-5439D1283887}" type="sibTrans" cxnId="{F7A4AE87-DFF6-4EAE-B337-D40C3C583235}">
      <dgm:prSet/>
      <dgm:spPr/>
      <dgm:t>
        <a:bodyPr/>
        <a:lstStyle/>
        <a:p>
          <a:endParaRPr lang="en-AU" sz="900"/>
        </a:p>
      </dgm:t>
    </dgm:pt>
    <dgm:pt modelId="{1FDC6512-C7D4-4110-BEF3-A0CAB12F8445}" type="pres">
      <dgm:prSet presAssocID="{34A1A343-FEBB-449A-A8D3-70B451069617}" presName="Name0" presStyleCnt="0">
        <dgm:presLayoutVars>
          <dgm:dir/>
          <dgm:animLvl val="lvl"/>
          <dgm:resizeHandles val="exact"/>
        </dgm:presLayoutVars>
      </dgm:prSet>
      <dgm:spPr/>
    </dgm:pt>
    <dgm:pt modelId="{694B1432-2B83-4456-BD41-8016077A515A}" type="pres">
      <dgm:prSet presAssocID="{5D3162A9-4156-4314-AC96-23482FE76DF1}" presName="parTxOnly" presStyleLbl="node1" presStyleIdx="0" presStyleCnt="8" custLinFactNeighborX="625" custLinFactNeighborY="-17138">
        <dgm:presLayoutVars>
          <dgm:chMax val="0"/>
          <dgm:chPref val="0"/>
          <dgm:bulletEnabled val="1"/>
        </dgm:presLayoutVars>
      </dgm:prSet>
      <dgm:spPr/>
      <dgm:t>
        <a:bodyPr/>
        <a:lstStyle/>
        <a:p>
          <a:endParaRPr lang="en-AU"/>
        </a:p>
      </dgm:t>
    </dgm:pt>
    <dgm:pt modelId="{A8500963-B6A5-44E3-AA9B-49CE6BC83D81}" type="pres">
      <dgm:prSet presAssocID="{11F3AB01-3BAF-461A-B392-E50B49C5B246}" presName="parTxOnlySpace" presStyleCnt="0"/>
      <dgm:spPr/>
    </dgm:pt>
    <dgm:pt modelId="{BE47DD43-34D6-4BB8-8E85-8B9317DB3B01}" type="pres">
      <dgm:prSet presAssocID="{84AB9A67-BC7D-4E5A-8498-EC5B390620C0}" presName="parTxOnly" presStyleLbl="node1" presStyleIdx="1" presStyleCnt="8" custLinFactNeighborY="-18600">
        <dgm:presLayoutVars>
          <dgm:chMax val="0"/>
          <dgm:chPref val="0"/>
          <dgm:bulletEnabled val="1"/>
        </dgm:presLayoutVars>
      </dgm:prSet>
      <dgm:spPr/>
      <dgm:t>
        <a:bodyPr/>
        <a:lstStyle/>
        <a:p>
          <a:endParaRPr lang="en-AU"/>
        </a:p>
      </dgm:t>
    </dgm:pt>
    <dgm:pt modelId="{2A624379-61C7-4579-B487-A563CF4B28A7}" type="pres">
      <dgm:prSet presAssocID="{DA6E0066-D480-49B1-B3D4-08C69FA3E5B8}" presName="parTxOnlySpace" presStyleCnt="0"/>
      <dgm:spPr/>
    </dgm:pt>
    <dgm:pt modelId="{28DD6C66-9E97-427D-BBEA-74A6FDD08EEF}" type="pres">
      <dgm:prSet presAssocID="{3C7D4B0D-6660-4321-AFB6-E36F95272A47}" presName="parTxOnly" presStyleLbl="node1" presStyleIdx="2" presStyleCnt="8" custLinFactNeighborY="-18600">
        <dgm:presLayoutVars>
          <dgm:chMax val="0"/>
          <dgm:chPref val="0"/>
          <dgm:bulletEnabled val="1"/>
        </dgm:presLayoutVars>
      </dgm:prSet>
      <dgm:spPr/>
      <dgm:t>
        <a:bodyPr/>
        <a:lstStyle/>
        <a:p>
          <a:endParaRPr lang="en-AU"/>
        </a:p>
      </dgm:t>
    </dgm:pt>
    <dgm:pt modelId="{A6D06F47-409D-4CB6-8EC2-6BF566A8D14A}" type="pres">
      <dgm:prSet presAssocID="{6FE442A1-FD16-4834-81C8-5439D1283887}" presName="parTxOnlySpace" presStyleCnt="0"/>
      <dgm:spPr/>
    </dgm:pt>
    <dgm:pt modelId="{80D7A788-5442-4141-B1AA-EC23E182D957}" type="pres">
      <dgm:prSet presAssocID="{8375F3E0-46F0-4839-9F4D-322B84BB24E6}" presName="parTxOnly" presStyleLbl="node1" presStyleIdx="3" presStyleCnt="8" custScaleX="219397" custScaleY="166413" custLinFactX="315367" custLinFactNeighborX="400000" custLinFactNeighborY="-13982">
        <dgm:presLayoutVars>
          <dgm:chMax val="0"/>
          <dgm:chPref val="0"/>
          <dgm:bulletEnabled val="1"/>
        </dgm:presLayoutVars>
      </dgm:prSet>
      <dgm:spPr/>
      <dgm:t>
        <a:bodyPr/>
        <a:lstStyle/>
        <a:p>
          <a:endParaRPr lang="en-AU"/>
        </a:p>
      </dgm:t>
    </dgm:pt>
    <dgm:pt modelId="{E3BA2AA3-5F00-4EBD-B246-CB52E7673934}" type="pres">
      <dgm:prSet presAssocID="{CB0A790D-279D-4D7F-A1B7-3D02025AA881}" presName="parTxOnlySpace" presStyleCnt="0"/>
      <dgm:spPr/>
    </dgm:pt>
    <dgm:pt modelId="{90A0C395-3988-474C-92F1-2DD6E1BDAB0F}" type="pres">
      <dgm:prSet presAssocID="{7D65FF2D-E0B8-410B-8392-65CB7C358DC4}" presName="parTxOnly" presStyleLbl="node1" presStyleIdx="4" presStyleCnt="8" custLinFactX="-183615" custLinFactNeighborX="-200000" custLinFactNeighborY="-17138">
        <dgm:presLayoutVars>
          <dgm:chMax val="0"/>
          <dgm:chPref val="0"/>
          <dgm:bulletEnabled val="1"/>
        </dgm:presLayoutVars>
      </dgm:prSet>
      <dgm:spPr/>
      <dgm:t>
        <a:bodyPr/>
        <a:lstStyle/>
        <a:p>
          <a:endParaRPr lang="en-AU"/>
        </a:p>
      </dgm:t>
    </dgm:pt>
    <dgm:pt modelId="{7678F646-0C93-4396-8C1C-508614A54829}" type="pres">
      <dgm:prSet presAssocID="{6222001B-2ED7-4B0F-8AE4-1B8CA3A46E28}" presName="parTxOnlySpace" presStyleCnt="0"/>
      <dgm:spPr/>
    </dgm:pt>
    <dgm:pt modelId="{B26424C9-E7B8-44D6-B292-F54C8AFFF838}" type="pres">
      <dgm:prSet presAssocID="{BA18D897-2569-4A5F-A12F-85072D012B0F}" presName="parTxOnly" presStyleLbl="node1" presStyleIdx="5" presStyleCnt="8" custLinFactX="-178571" custLinFactNeighborX="-200000" custLinFactNeighborY="-13719">
        <dgm:presLayoutVars>
          <dgm:chMax val="0"/>
          <dgm:chPref val="0"/>
          <dgm:bulletEnabled val="1"/>
        </dgm:presLayoutVars>
      </dgm:prSet>
      <dgm:spPr/>
      <dgm:t>
        <a:bodyPr/>
        <a:lstStyle/>
        <a:p>
          <a:endParaRPr lang="en-AU"/>
        </a:p>
      </dgm:t>
    </dgm:pt>
    <dgm:pt modelId="{9F54386B-9C58-49E4-A5B4-3F817322844C}" type="pres">
      <dgm:prSet presAssocID="{D0275449-8848-4D60-B839-D41C2B28941E}" presName="parTxOnlySpace" presStyleCnt="0"/>
      <dgm:spPr/>
    </dgm:pt>
    <dgm:pt modelId="{372A0707-C206-4125-913C-150A3501952D}" type="pres">
      <dgm:prSet presAssocID="{81397574-9060-4111-B041-AC361AA39DEE}" presName="parTxOnly" presStyleLbl="node1" presStyleIdx="6" presStyleCnt="8" custLinFactX="-180072" custLinFactNeighborX="-200000" custLinFactNeighborY="-12009">
        <dgm:presLayoutVars>
          <dgm:chMax val="0"/>
          <dgm:chPref val="0"/>
          <dgm:bulletEnabled val="1"/>
        </dgm:presLayoutVars>
      </dgm:prSet>
      <dgm:spPr/>
      <dgm:t>
        <a:bodyPr/>
        <a:lstStyle/>
        <a:p>
          <a:endParaRPr lang="en-AU"/>
        </a:p>
      </dgm:t>
    </dgm:pt>
    <dgm:pt modelId="{573DBA9A-BC47-4CF8-9BC0-C95DDCD24A38}" type="pres">
      <dgm:prSet presAssocID="{05E63AD2-C047-40C2-B49F-02A5849A17CD}" presName="parTxOnlySpace" presStyleCnt="0"/>
      <dgm:spPr/>
    </dgm:pt>
    <dgm:pt modelId="{1956EF06-B7F2-4988-B170-CCFB1252D9EC}" type="pres">
      <dgm:prSet presAssocID="{D62C28C4-9520-4045-9C7B-51069030D9AF}" presName="parTxOnly" presStyleLbl="node1" presStyleIdx="7" presStyleCnt="8" custLinFactX="-181747" custLinFactNeighborX="-200000" custLinFactNeighborY="-7190">
        <dgm:presLayoutVars>
          <dgm:chMax val="0"/>
          <dgm:chPref val="0"/>
          <dgm:bulletEnabled val="1"/>
        </dgm:presLayoutVars>
      </dgm:prSet>
      <dgm:spPr/>
      <dgm:t>
        <a:bodyPr/>
        <a:lstStyle/>
        <a:p>
          <a:endParaRPr lang="en-AU"/>
        </a:p>
      </dgm:t>
    </dgm:pt>
  </dgm:ptLst>
  <dgm:cxnLst>
    <dgm:cxn modelId="{6C3FE679-70DE-4BFD-9493-E89211FD1319}" type="presOf" srcId="{D62C28C4-9520-4045-9C7B-51069030D9AF}" destId="{1956EF06-B7F2-4988-B170-CCFB1252D9EC}" srcOrd="0" destOrd="0" presId="urn:microsoft.com/office/officeart/2005/8/layout/chevron1"/>
    <dgm:cxn modelId="{CAE51D87-A8A2-4E0A-95CA-EAD97BD5B7D3}" type="presOf" srcId="{8375F3E0-46F0-4839-9F4D-322B84BB24E6}" destId="{80D7A788-5442-4141-B1AA-EC23E182D957}" srcOrd="0" destOrd="0" presId="urn:microsoft.com/office/officeart/2005/8/layout/chevron1"/>
    <dgm:cxn modelId="{F7A4AE87-DFF6-4EAE-B337-D40C3C583235}" srcId="{34A1A343-FEBB-449A-A8D3-70B451069617}" destId="{3C7D4B0D-6660-4321-AFB6-E36F95272A47}" srcOrd="2" destOrd="0" parTransId="{3D09E5B2-E0F8-4B11-9289-90B51C2356C0}" sibTransId="{6FE442A1-FD16-4834-81C8-5439D1283887}"/>
    <dgm:cxn modelId="{40914133-A6F7-4109-AFE4-B994CE518361}" srcId="{34A1A343-FEBB-449A-A8D3-70B451069617}" destId="{81397574-9060-4111-B041-AC361AA39DEE}" srcOrd="6" destOrd="0" parTransId="{167C0DC0-C795-44C8-8AAE-04C999FBB7B6}" sibTransId="{05E63AD2-C047-40C2-B49F-02A5849A17CD}"/>
    <dgm:cxn modelId="{00268877-6215-4A6B-AF8D-D76E4DF998B7}" type="presOf" srcId="{34A1A343-FEBB-449A-A8D3-70B451069617}" destId="{1FDC6512-C7D4-4110-BEF3-A0CAB12F8445}" srcOrd="0" destOrd="0" presId="urn:microsoft.com/office/officeart/2005/8/layout/chevron1"/>
    <dgm:cxn modelId="{6B3A3478-BE5B-48A4-B954-0E21A91E5264}" srcId="{34A1A343-FEBB-449A-A8D3-70B451069617}" destId="{8375F3E0-46F0-4839-9F4D-322B84BB24E6}" srcOrd="3" destOrd="0" parTransId="{A348CDAB-53CA-4C3E-8BEC-714200D71D3D}" sibTransId="{CB0A790D-279D-4D7F-A1B7-3D02025AA881}"/>
    <dgm:cxn modelId="{3687FFDC-A252-47F3-914C-0DE1A93441BF}" type="presOf" srcId="{5D3162A9-4156-4314-AC96-23482FE76DF1}" destId="{694B1432-2B83-4456-BD41-8016077A515A}" srcOrd="0" destOrd="0" presId="urn:microsoft.com/office/officeart/2005/8/layout/chevron1"/>
    <dgm:cxn modelId="{284BE141-FD24-49EB-A36A-45356739CCAD}" type="presOf" srcId="{84AB9A67-BC7D-4E5A-8498-EC5B390620C0}" destId="{BE47DD43-34D6-4BB8-8E85-8B9317DB3B01}" srcOrd="0" destOrd="0" presId="urn:microsoft.com/office/officeart/2005/8/layout/chevron1"/>
    <dgm:cxn modelId="{9AAA3071-47F9-4AFB-A05F-8D9CE9A2BE60}" type="presOf" srcId="{3C7D4B0D-6660-4321-AFB6-E36F95272A47}" destId="{28DD6C66-9E97-427D-BBEA-74A6FDD08EEF}" srcOrd="0" destOrd="0" presId="urn:microsoft.com/office/officeart/2005/8/layout/chevron1"/>
    <dgm:cxn modelId="{9DE68785-4E49-4DE9-9A66-88EF48B51084}" type="presOf" srcId="{81397574-9060-4111-B041-AC361AA39DEE}" destId="{372A0707-C206-4125-913C-150A3501952D}" srcOrd="0" destOrd="0" presId="urn:microsoft.com/office/officeart/2005/8/layout/chevron1"/>
    <dgm:cxn modelId="{0F5FA175-B263-4A2C-812F-6989D47B8C44}" type="presOf" srcId="{7D65FF2D-E0B8-410B-8392-65CB7C358DC4}" destId="{90A0C395-3988-474C-92F1-2DD6E1BDAB0F}" srcOrd="0" destOrd="0" presId="urn:microsoft.com/office/officeart/2005/8/layout/chevron1"/>
    <dgm:cxn modelId="{77E0B77A-6675-4E5C-866B-B241F7BC9C49}" srcId="{34A1A343-FEBB-449A-A8D3-70B451069617}" destId="{84AB9A67-BC7D-4E5A-8498-EC5B390620C0}" srcOrd="1" destOrd="0" parTransId="{799605DA-6659-42E9-9C2C-EEBD0442B359}" sibTransId="{DA6E0066-D480-49B1-B3D4-08C69FA3E5B8}"/>
    <dgm:cxn modelId="{B7F31AD2-CE7F-44A4-931E-EE438DC0366D}" type="presOf" srcId="{BA18D897-2569-4A5F-A12F-85072D012B0F}" destId="{B26424C9-E7B8-44D6-B292-F54C8AFFF838}" srcOrd="0" destOrd="0" presId="urn:microsoft.com/office/officeart/2005/8/layout/chevron1"/>
    <dgm:cxn modelId="{39184140-C5CF-4D0B-A6DC-46528684EEB6}" srcId="{34A1A343-FEBB-449A-A8D3-70B451069617}" destId="{D62C28C4-9520-4045-9C7B-51069030D9AF}" srcOrd="7" destOrd="0" parTransId="{13E9B9AC-AFFE-4CD9-B2CE-8668FF52217D}" sibTransId="{67E513B8-9C91-41DF-ACF8-E8150E5226B9}"/>
    <dgm:cxn modelId="{46A52633-A488-423B-9602-91C563DFF598}" srcId="{34A1A343-FEBB-449A-A8D3-70B451069617}" destId="{BA18D897-2569-4A5F-A12F-85072D012B0F}" srcOrd="5" destOrd="0" parTransId="{3C1ECD8F-C536-46AA-ADF1-E710A2BA2ED6}" sibTransId="{D0275449-8848-4D60-B839-D41C2B28941E}"/>
    <dgm:cxn modelId="{2CAF4E66-1EAF-4529-8335-77F3AA91A25B}" srcId="{34A1A343-FEBB-449A-A8D3-70B451069617}" destId="{5D3162A9-4156-4314-AC96-23482FE76DF1}" srcOrd="0" destOrd="0" parTransId="{76B093EA-6EDD-4698-9DE0-847744483BC7}" sibTransId="{11F3AB01-3BAF-461A-B392-E50B49C5B246}"/>
    <dgm:cxn modelId="{7E3047FB-71EF-4E28-A5B9-9D4A76D7216C}" srcId="{34A1A343-FEBB-449A-A8D3-70B451069617}" destId="{7D65FF2D-E0B8-410B-8392-65CB7C358DC4}" srcOrd="4" destOrd="0" parTransId="{D957CBB4-21F9-443D-9DCF-ED9F25413796}" sibTransId="{6222001B-2ED7-4B0F-8AE4-1B8CA3A46E28}"/>
    <dgm:cxn modelId="{1443BBFA-576C-4FFD-A6D6-3177F22C8DF7}" type="presParOf" srcId="{1FDC6512-C7D4-4110-BEF3-A0CAB12F8445}" destId="{694B1432-2B83-4456-BD41-8016077A515A}" srcOrd="0" destOrd="0" presId="urn:microsoft.com/office/officeart/2005/8/layout/chevron1"/>
    <dgm:cxn modelId="{99F6B52F-D9A3-4D2C-A777-2AA1C0484297}" type="presParOf" srcId="{1FDC6512-C7D4-4110-BEF3-A0CAB12F8445}" destId="{A8500963-B6A5-44E3-AA9B-49CE6BC83D81}" srcOrd="1" destOrd="0" presId="urn:microsoft.com/office/officeart/2005/8/layout/chevron1"/>
    <dgm:cxn modelId="{57114147-0BBF-4D9E-B37E-BEB26708F3C8}" type="presParOf" srcId="{1FDC6512-C7D4-4110-BEF3-A0CAB12F8445}" destId="{BE47DD43-34D6-4BB8-8E85-8B9317DB3B01}" srcOrd="2" destOrd="0" presId="urn:microsoft.com/office/officeart/2005/8/layout/chevron1"/>
    <dgm:cxn modelId="{154D075E-48A8-45AF-9672-E3C29FADB713}" type="presParOf" srcId="{1FDC6512-C7D4-4110-BEF3-A0CAB12F8445}" destId="{2A624379-61C7-4579-B487-A563CF4B28A7}" srcOrd="3" destOrd="0" presId="urn:microsoft.com/office/officeart/2005/8/layout/chevron1"/>
    <dgm:cxn modelId="{485727E5-2EBA-4C06-902F-E9153C3062A0}" type="presParOf" srcId="{1FDC6512-C7D4-4110-BEF3-A0CAB12F8445}" destId="{28DD6C66-9E97-427D-BBEA-74A6FDD08EEF}" srcOrd="4" destOrd="0" presId="urn:microsoft.com/office/officeart/2005/8/layout/chevron1"/>
    <dgm:cxn modelId="{753E15E5-A2CC-40A6-A82A-6B5F6D4DA650}" type="presParOf" srcId="{1FDC6512-C7D4-4110-BEF3-A0CAB12F8445}" destId="{A6D06F47-409D-4CB6-8EC2-6BF566A8D14A}" srcOrd="5" destOrd="0" presId="urn:microsoft.com/office/officeart/2005/8/layout/chevron1"/>
    <dgm:cxn modelId="{3552CF38-2342-4609-AFA0-FDC301DEC94C}" type="presParOf" srcId="{1FDC6512-C7D4-4110-BEF3-A0CAB12F8445}" destId="{80D7A788-5442-4141-B1AA-EC23E182D957}" srcOrd="6" destOrd="0" presId="urn:microsoft.com/office/officeart/2005/8/layout/chevron1"/>
    <dgm:cxn modelId="{5BEC0C89-5F14-46AE-A61D-FD4680343D39}" type="presParOf" srcId="{1FDC6512-C7D4-4110-BEF3-A0CAB12F8445}" destId="{E3BA2AA3-5F00-4EBD-B246-CB52E7673934}" srcOrd="7" destOrd="0" presId="urn:microsoft.com/office/officeart/2005/8/layout/chevron1"/>
    <dgm:cxn modelId="{3F581713-F7EC-47D5-9C23-40CB99AA5CC9}" type="presParOf" srcId="{1FDC6512-C7D4-4110-BEF3-A0CAB12F8445}" destId="{90A0C395-3988-474C-92F1-2DD6E1BDAB0F}" srcOrd="8" destOrd="0" presId="urn:microsoft.com/office/officeart/2005/8/layout/chevron1"/>
    <dgm:cxn modelId="{1FEBF48C-63C9-42A7-9B29-A3307363AC87}" type="presParOf" srcId="{1FDC6512-C7D4-4110-BEF3-A0CAB12F8445}" destId="{7678F646-0C93-4396-8C1C-508614A54829}" srcOrd="9" destOrd="0" presId="urn:microsoft.com/office/officeart/2005/8/layout/chevron1"/>
    <dgm:cxn modelId="{2B4566CD-17DE-42E2-A59B-CD46A297DEDB}" type="presParOf" srcId="{1FDC6512-C7D4-4110-BEF3-A0CAB12F8445}" destId="{B26424C9-E7B8-44D6-B292-F54C8AFFF838}" srcOrd="10" destOrd="0" presId="urn:microsoft.com/office/officeart/2005/8/layout/chevron1"/>
    <dgm:cxn modelId="{0DEC535F-678E-4889-840B-4C19DE3055B5}" type="presParOf" srcId="{1FDC6512-C7D4-4110-BEF3-A0CAB12F8445}" destId="{9F54386B-9C58-49E4-A5B4-3F817322844C}" srcOrd="11" destOrd="0" presId="urn:microsoft.com/office/officeart/2005/8/layout/chevron1"/>
    <dgm:cxn modelId="{C74D6582-1D6E-47BA-A186-1A3F43A06FBA}" type="presParOf" srcId="{1FDC6512-C7D4-4110-BEF3-A0CAB12F8445}" destId="{372A0707-C206-4125-913C-150A3501952D}" srcOrd="12" destOrd="0" presId="urn:microsoft.com/office/officeart/2005/8/layout/chevron1"/>
    <dgm:cxn modelId="{BE177355-D748-4D5E-A292-19F96F2F0F5E}" type="presParOf" srcId="{1FDC6512-C7D4-4110-BEF3-A0CAB12F8445}" destId="{573DBA9A-BC47-4CF8-9BC0-C95DDCD24A38}" srcOrd="13" destOrd="0" presId="urn:microsoft.com/office/officeart/2005/8/layout/chevron1"/>
    <dgm:cxn modelId="{019AFAD4-AD93-4091-8C28-5F0A16F3C372}" type="presParOf" srcId="{1FDC6512-C7D4-4110-BEF3-A0CAB12F8445}" destId="{1956EF06-B7F2-4988-B170-CCFB1252D9EC}" srcOrd="14"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A1A343-FEBB-449A-A8D3-70B451069617}" type="doc">
      <dgm:prSet loTypeId="urn:microsoft.com/office/officeart/2005/8/layout/chevron1" loCatId="process" qsTypeId="urn:microsoft.com/office/officeart/2005/8/quickstyle/simple4" qsCatId="simple" csTypeId="urn:microsoft.com/office/officeart/2005/8/colors/accent1_2" csCatId="accent1" phldr="1"/>
      <dgm:spPr/>
    </dgm:pt>
    <dgm:pt modelId="{5D3162A9-4156-4314-AC96-23482FE76DF1}">
      <dgm:prSet phldrT="[Text]" custT="1"/>
      <dgm:spPr>
        <a:solidFill>
          <a:schemeClr val="accent3">
            <a:lumMod val="50000"/>
          </a:schemeClr>
        </a:solidFill>
        <a:ln>
          <a:solidFill>
            <a:schemeClr val="accent3">
              <a:lumMod val="50000"/>
            </a:schemeClr>
          </a:solidFill>
        </a:ln>
      </dgm:spPr>
      <dgm:t>
        <a:bodyPr/>
        <a:lstStyle/>
        <a:p>
          <a:r>
            <a:rPr lang="en-AU" sz="900" b="1" i="1"/>
            <a:t>Part A Context: Purpose of IECA</a:t>
          </a:r>
        </a:p>
      </dgm:t>
    </dgm:pt>
    <dgm:pt modelId="{76B093EA-6EDD-4698-9DE0-847744483BC7}" type="parTrans" cxnId="{2CAF4E66-1EAF-4529-8335-77F3AA91A25B}">
      <dgm:prSet/>
      <dgm:spPr/>
      <dgm:t>
        <a:bodyPr/>
        <a:lstStyle/>
        <a:p>
          <a:endParaRPr lang="en-AU" sz="900"/>
        </a:p>
      </dgm:t>
    </dgm:pt>
    <dgm:pt modelId="{11F3AB01-3BAF-461A-B392-E50B49C5B246}" type="sibTrans" cxnId="{2CAF4E66-1EAF-4529-8335-77F3AA91A25B}">
      <dgm:prSet/>
      <dgm:spPr/>
      <dgm:t>
        <a:bodyPr/>
        <a:lstStyle/>
        <a:p>
          <a:endParaRPr lang="en-AU" sz="900"/>
        </a:p>
      </dgm:t>
    </dgm:pt>
    <dgm:pt modelId="{BA18D897-2569-4A5F-A12F-85072D012B0F}">
      <dgm:prSet custT="1"/>
      <dgm:spPr>
        <a:solidFill>
          <a:schemeClr val="accent3">
            <a:lumMod val="40000"/>
            <a:lumOff val="60000"/>
          </a:schemeClr>
        </a:solidFill>
      </dgm:spPr>
      <dgm:t>
        <a:bodyPr/>
        <a:lstStyle/>
        <a:p>
          <a:r>
            <a:rPr lang="en-AU" sz="900">
              <a:solidFill>
                <a:schemeClr val="accent5">
                  <a:lumMod val="75000"/>
                </a:schemeClr>
              </a:solidFill>
            </a:rPr>
            <a:t>Part A Context: Framing the question</a:t>
          </a:r>
        </a:p>
      </dgm:t>
    </dgm:pt>
    <dgm:pt modelId="{3C1ECD8F-C536-46AA-ADF1-E710A2BA2ED6}" type="parTrans" cxnId="{46A52633-A488-423B-9602-91C563DFF598}">
      <dgm:prSet/>
      <dgm:spPr/>
      <dgm:t>
        <a:bodyPr/>
        <a:lstStyle/>
        <a:p>
          <a:endParaRPr lang="en-AU" sz="900"/>
        </a:p>
      </dgm:t>
    </dgm:pt>
    <dgm:pt modelId="{D0275449-8848-4D60-B839-D41C2B28941E}" type="sibTrans" cxnId="{46A52633-A488-423B-9602-91C563DFF598}">
      <dgm:prSet/>
      <dgm:spPr/>
      <dgm:t>
        <a:bodyPr/>
        <a:lstStyle/>
        <a:p>
          <a:endParaRPr lang="en-AU" sz="900"/>
        </a:p>
      </dgm:t>
    </dgm:pt>
    <dgm:pt modelId="{81397574-9060-4111-B041-AC361AA39DEE}">
      <dgm:prSet custT="1"/>
      <dgm:spPr>
        <a:solidFill>
          <a:schemeClr val="accent3">
            <a:lumMod val="40000"/>
            <a:lumOff val="60000"/>
          </a:schemeClr>
        </a:solidFill>
      </dgm:spPr>
      <dgm:t>
        <a:bodyPr/>
        <a:lstStyle/>
        <a:p>
          <a:r>
            <a:rPr lang="en-AU" sz="900">
              <a:solidFill>
                <a:schemeClr val="accent5">
                  <a:lumMod val="75000"/>
                </a:schemeClr>
              </a:solidFill>
            </a:rPr>
            <a:t>Part A Context: Groundwork</a:t>
          </a:r>
        </a:p>
      </dgm:t>
    </dgm:pt>
    <dgm:pt modelId="{167C0DC0-C795-44C8-8AAE-04C999FBB7B6}" type="parTrans" cxnId="{40914133-A6F7-4109-AFE4-B994CE518361}">
      <dgm:prSet/>
      <dgm:spPr/>
      <dgm:t>
        <a:bodyPr/>
        <a:lstStyle/>
        <a:p>
          <a:endParaRPr lang="en-AU" sz="900"/>
        </a:p>
      </dgm:t>
    </dgm:pt>
    <dgm:pt modelId="{05E63AD2-C047-40C2-B49F-02A5849A17CD}" type="sibTrans" cxnId="{40914133-A6F7-4109-AFE4-B994CE518361}">
      <dgm:prSet/>
      <dgm:spPr/>
      <dgm:t>
        <a:bodyPr/>
        <a:lstStyle/>
        <a:p>
          <a:endParaRPr lang="en-AU" sz="900"/>
        </a:p>
      </dgm:t>
    </dgm:pt>
    <dgm:pt modelId="{D62C28C4-9520-4045-9C7B-51069030D9AF}">
      <dgm:prSet custT="1"/>
      <dgm:spPr>
        <a:solidFill>
          <a:schemeClr val="accent3">
            <a:lumMod val="40000"/>
            <a:lumOff val="60000"/>
          </a:schemeClr>
        </a:solidFill>
      </dgm:spPr>
      <dgm:t>
        <a:bodyPr/>
        <a:lstStyle/>
        <a:p>
          <a:r>
            <a:rPr lang="en-AU" sz="900">
              <a:solidFill>
                <a:schemeClr val="accent5">
                  <a:lumMod val="75000"/>
                </a:schemeClr>
              </a:solidFill>
            </a:rPr>
            <a:t>Part A Context: Outputs</a:t>
          </a:r>
        </a:p>
      </dgm:t>
    </dgm:pt>
    <dgm:pt modelId="{13E9B9AC-AFFE-4CD9-B2CE-8668FF52217D}" type="parTrans" cxnId="{39184140-C5CF-4D0B-A6DC-46528684EEB6}">
      <dgm:prSet/>
      <dgm:spPr/>
      <dgm:t>
        <a:bodyPr/>
        <a:lstStyle/>
        <a:p>
          <a:endParaRPr lang="en-AU" sz="900"/>
        </a:p>
      </dgm:t>
    </dgm:pt>
    <dgm:pt modelId="{67E513B8-9C91-41DF-ACF8-E8150E5226B9}" type="sibTrans" cxnId="{39184140-C5CF-4D0B-A6DC-46528684EEB6}">
      <dgm:prSet/>
      <dgm:spPr/>
      <dgm:t>
        <a:bodyPr/>
        <a:lstStyle/>
        <a:p>
          <a:endParaRPr lang="en-AU" sz="900"/>
        </a:p>
      </dgm:t>
    </dgm:pt>
    <dgm:pt modelId="{1FDC6512-C7D4-4110-BEF3-A0CAB12F8445}" type="pres">
      <dgm:prSet presAssocID="{34A1A343-FEBB-449A-A8D3-70B451069617}" presName="Name0" presStyleCnt="0">
        <dgm:presLayoutVars>
          <dgm:dir/>
          <dgm:animLvl val="lvl"/>
          <dgm:resizeHandles val="exact"/>
        </dgm:presLayoutVars>
      </dgm:prSet>
      <dgm:spPr/>
    </dgm:pt>
    <dgm:pt modelId="{694B1432-2B83-4456-BD41-8016077A515A}" type="pres">
      <dgm:prSet presAssocID="{5D3162A9-4156-4314-AC96-23482FE76DF1}" presName="parTxOnly" presStyleLbl="node1" presStyleIdx="0" presStyleCnt="4" custScaleX="119601" custScaleY="134468" custLinFactX="89236" custLinFactNeighborX="100000">
        <dgm:presLayoutVars>
          <dgm:chMax val="0"/>
          <dgm:chPref val="0"/>
          <dgm:bulletEnabled val="1"/>
        </dgm:presLayoutVars>
      </dgm:prSet>
      <dgm:spPr/>
      <dgm:t>
        <a:bodyPr/>
        <a:lstStyle/>
        <a:p>
          <a:endParaRPr lang="en-AU"/>
        </a:p>
      </dgm:t>
    </dgm:pt>
    <dgm:pt modelId="{A8500963-B6A5-44E3-AA9B-49CE6BC83D81}" type="pres">
      <dgm:prSet presAssocID="{11F3AB01-3BAF-461A-B392-E50B49C5B246}" presName="parTxOnlySpace" presStyleCnt="0"/>
      <dgm:spPr/>
    </dgm:pt>
    <dgm:pt modelId="{B26424C9-E7B8-44D6-B292-F54C8AFFF838}" type="pres">
      <dgm:prSet presAssocID="{BA18D897-2569-4A5F-A12F-85072D012B0F}" presName="parTxOnly" presStyleLbl="node1" presStyleIdx="1" presStyleCnt="4" custScaleX="111535" custLinFactX="-99848" custLinFactNeighborX="-100000" custLinFactNeighborY="-4804">
        <dgm:presLayoutVars>
          <dgm:chMax val="0"/>
          <dgm:chPref val="0"/>
          <dgm:bulletEnabled val="1"/>
        </dgm:presLayoutVars>
      </dgm:prSet>
      <dgm:spPr/>
      <dgm:t>
        <a:bodyPr/>
        <a:lstStyle/>
        <a:p>
          <a:endParaRPr lang="en-AU"/>
        </a:p>
      </dgm:t>
    </dgm:pt>
    <dgm:pt modelId="{9F54386B-9C58-49E4-A5B4-3F817322844C}" type="pres">
      <dgm:prSet presAssocID="{D0275449-8848-4D60-B839-D41C2B28941E}" presName="parTxOnlySpace" presStyleCnt="0"/>
      <dgm:spPr/>
    </dgm:pt>
    <dgm:pt modelId="{372A0707-C206-4125-913C-150A3501952D}" type="pres">
      <dgm:prSet presAssocID="{81397574-9060-4111-B041-AC361AA39DEE}" presName="parTxOnly" presStyleLbl="node1" presStyleIdx="2" presStyleCnt="4" custLinFactNeighborX="-4187" custLinFactNeighborY="-2544">
        <dgm:presLayoutVars>
          <dgm:chMax val="0"/>
          <dgm:chPref val="0"/>
          <dgm:bulletEnabled val="1"/>
        </dgm:presLayoutVars>
      </dgm:prSet>
      <dgm:spPr/>
      <dgm:t>
        <a:bodyPr/>
        <a:lstStyle/>
        <a:p>
          <a:endParaRPr lang="en-AU"/>
        </a:p>
      </dgm:t>
    </dgm:pt>
    <dgm:pt modelId="{573DBA9A-BC47-4CF8-9BC0-C95DDCD24A38}" type="pres">
      <dgm:prSet presAssocID="{05E63AD2-C047-40C2-B49F-02A5849A17CD}" presName="parTxOnlySpace" presStyleCnt="0"/>
      <dgm:spPr/>
    </dgm:pt>
    <dgm:pt modelId="{1956EF06-B7F2-4988-B170-CCFB1252D9EC}" type="pres">
      <dgm:prSet presAssocID="{D62C28C4-9520-4045-9C7B-51069030D9AF}" presName="parTxOnly" presStyleLbl="node1" presStyleIdx="3" presStyleCnt="4" custLinFactNeighborX="2471" custLinFactNeighborY="-2544">
        <dgm:presLayoutVars>
          <dgm:chMax val="0"/>
          <dgm:chPref val="0"/>
          <dgm:bulletEnabled val="1"/>
        </dgm:presLayoutVars>
      </dgm:prSet>
      <dgm:spPr/>
      <dgm:t>
        <a:bodyPr/>
        <a:lstStyle/>
        <a:p>
          <a:endParaRPr lang="en-AU"/>
        </a:p>
      </dgm:t>
    </dgm:pt>
  </dgm:ptLst>
  <dgm:cxnLst>
    <dgm:cxn modelId="{8E85FCCE-0989-4E72-8B05-E528D4AA5617}" type="presOf" srcId="{81397574-9060-4111-B041-AC361AA39DEE}" destId="{372A0707-C206-4125-913C-150A3501952D}" srcOrd="0" destOrd="0" presId="urn:microsoft.com/office/officeart/2005/8/layout/chevron1"/>
    <dgm:cxn modelId="{39184140-C5CF-4D0B-A6DC-46528684EEB6}" srcId="{34A1A343-FEBB-449A-A8D3-70B451069617}" destId="{D62C28C4-9520-4045-9C7B-51069030D9AF}" srcOrd="3" destOrd="0" parTransId="{13E9B9AC-AFFE-4CD9-B2CE-8668FF52217D}" sibTransId="{67E513B8-9C91-41DF-ACF8-E8150E5226B9}"/>
    <dgm:cxn modelId="{ACB8B38E-1BA7-49FA-9B50-83C32D960358}" type="presOf" srcId="{5D3162A9-4156-4314-AC96-23482FE76DF1}" destId="{694B1432-2B83-4456-BD41-8016077A515A}" srcOrd="0" destOrd="0" presId="urn:microsoft.com/office/officeart/2005/8/layout/chevron1"/>
    <dgm:cxn modelId="{1194CC2B-9D43-4117-B732-26EC3662383E}" type="presOf" srcId="{BA18D897-2569-4A5F-A12F-85072D012B0F}" destId="{B26424C9-E7B8-44D6-B292-F54C8AFFF838}" srcOrd="0" destOrd="0" presId="urn:microsoft.com/office/officeart/2005/8/layout/chevron1"/>
    <dgm:cxn modelId="{22EF548E-D042-4D6A-92F5-0204777D30DD}" type="presOf" srcId="{D62C28C4-9520-4045-9C7B-51069030D9AF}" destId="{1956EF06-B7F2-4988-B170-CCFB1252D9EC}" srcOrd="0" destOrd="0" presId="urn:microsoft.com/office/officeart/2005/8/layout/chevron1"/>
    <dgm:cxn modelId="{88A0CF77-0DA8-4587-96F0-C689725033E5}" type="presOf" srcId="{34A1A343-FEBB-449A-A8D3-70B451069617}" destId="{1FDC6512-C7D4-4110-BEF3-A0CAB12F8445}" srcOrd="0" destOrd="0" presId="urn:microsoft.com/office/officeart/2005/8/layout/chevron1"/>
    <dgm:cxn modelId="{40914133-A6F7-4109-AFE4-B994CE518361}" srcId="{34A1A343-FEBB-449A-A8D3-70B451069617}" destId="{81397574-9060-4111-B041-AC361AA39DEE}" srcOrd="2" destOrd="0" parTransId="{167C0DC0-C795-44C8-8AAE-04C999FBB7B6}" sibTransId="{05E63AD2-C047-40C2-B49F-02A5849A17CD}"/>
    <dgm:cxn modelId="{46A52633-A488-423B-9602-91C563DFF598}" srcId="{34A1A343-FEBB-449A-A8D3-70B451069617}" destId="{BA18D897-2569-4A5F-A12F-85072D012B0F}" srcOrd="1" destOrd="0" parTransId="{3C1ECD8F-C536-46AA-ADF1-E710A2BA2ED6}" sibTransId="{D0275449-8848-4D60-B839-D41C2B28941E}"/>
    <dgm:cxn modelId="{2CAF4E66-1EAF-4529-8335-77F3AA91A25B}" srcId="{34A1A343-FEBB-449A-A8D3-70B451069617}" destId="{5D3162A9-4156-4314-AC96-23482FE76DF1}" srcOrd="0" destOrd="0" parTransId="{76B093EA-6EDD-4698-9DE0-847744483BC7}" sibTransId="{11F3AB01-3BAF-461A-B392-E50B49C5B246}"/>
    <dgm:cxn modelId="{F12DB448-2237-49BD-B944-FD787EFBE23D}" type="presParOf" srcId="{1FDC6512-C7D4-4110-BEF3-A0CAB12F8445}" destId="{694B1432-2B83-4456-BD41-8016077A515A}" srcOrd="0" destOrd="0" presId="urn:microsoft.com/office/officeart/2005/8/layout/chevron1"/>
    <dgm:cxn modelId="{4F896C8A-B5FB-4463-BA2C-B222A2292F06}" type="presParOf" srcId="{1FDC6512-C7D4-4110-BEF3-A0CAB12F8445}" destId="{A8500963-B6A5-44E3-AA9B-49CE6BC83D81}" srcOrd="1" destOrd="0" presId="urn:microsoft.com/office/officeart/2005/8/layout/chevron1"/>
    <dgm:cxn modelId="{F9EAA03B-29A1-4A22-9E73-6C21817F31F4}" type="presParOf" srcId="{1FDC6512-C7D4-4110-BEF3-A0CAB12F8445}" destId="{B26424C9-E7B8-44D6-B292-F54C8AFFF838}" srcOrd="2" destOrd="0" presId="urn:microsoft.com/office/officeart/2005/8/layout/chevron1"/>
    <dgm:cxn modelId="{573A688A-ABCF-437D-BA26-6806988117AD}" type="presParOf" srcId="{1FDC6512-C7D4-4110-BEF3-A0CAB12F8445}" destId="{9F54386B-9C58-49E4-A5B4-3F817322844C}" srcOrd="3" destOrd="0" presId="urn:microsoft.com/office/officeart/2005/8/layout/chevron1"/>
    <dgm:cxn modelId="{FEC699D9-72D1-45E6-B839-3823DC7F538F}" type="presParOf" srcId="{1FDC6512-C7D4-4110-BEF3-A0CAB12F8445}" destId="{372A0707-C206-4125-913C-150A3501952D}" srcOrd="4" destOrd="0" presId="urn:microsoft.com/office/officeart/2005/8/layout/chevron1"/>
    <dgm:cxn modelId="{C7D30950-E1C6-4C50-B73D-E62616484AE2}" type="presParOf" srcId="{1FDC6512-C7D4-4110-BEF3-A0CAB12F8445}" destId="{573DBA9A-BC47-4CF8-9BC0-C95DDCD24A38}" srcOrd="5" destOrd="0" presId="urn:microsoft.com/office/officeart/2005/8/layout/chevron1"/>
    <dgm:cxn modelId="{59069008-7378-401D-A197-7C0E938473EF}" type="presParOf" srcId="{1FDC6512-C7D4-4110-BEF3-A0CAB12F8445}" destId="{1956EF06-B7F2-4988-B170-CCFB1252D9EC}" srcOrd="6"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A1A343-FEBB-449A-A8D3-70B451069617}" type="doc">
      <dgm:prSet loTypeId="urn:microsoft.com/office/officeart/2005/8/layout/chevron1" loCatId="process" qsTypeId="urn:microsoft.com/office/officeart/2005/8/quickstyle/simple4" qsCatId="simple" csTypeId="urn:microsoft.com/office/officeart/2005/8/colors/accent1_2" csCatId="accent1" phldr="1"/>
      <dgm:spPr/>
    </dgm:pt>
    <dgm:pt modelId="{5D3162A9-4156-4314-AC96-23482FE76DF1}">
      <dgm:prSet phldrT="[Text]" custT="1"/>
      <dgm:spPr>
        <a:solidFill>
          <a:schemeClr val="accent3">
            <a:lumMod val="50000"/>
          </a:schemeClr>
        </a:solidFill>
        <a:ln>
          <a:solidFill>
            <a:schemeClr val="accent3">
              <a:lumMod val="50000"/>
            </a:schemeClr>
          </a:solidFill>
        </a:ln>
      </dgm:spPr>
      <dgm:t>
        <a:bodyPr/>
        <a:lstStyle/>
        <a:p>
          <a:r>
            <a:rPr lang="en-AU" sz="900" b="1" i="1"/>
            <a:t>Part A Context: Goundwork</a:t>
          </a:r>
        </a:p>
      </dgm:t>
    </dgm:pt>
    <dgm:pt modelId="{76B093EA-6EDD-4698-9DE0-847744483BC7}" type="parTrans" cxnId="{2CAF4E66-1EAF-4529-8335-77F3AA91A25B}">
      <dgm:prSet/>
      <dgm:spPr/>
      <dgm:t>
        <a:bodyPr/>
        <a:lstStyle/>
        <a:p>
          <a:endParaRPr lang="en-AU" sz="900"/>
        </a:p>
      </dgm:t>
    </dgm:pt>
    <dgm:pt modelId="{11F3AB01-3BAF-461A-B392-E50B49C5B246}" type="sibTrans" cxnId="{2CAF4E66-1EAF-4529-8335-77F3AA91A25B}">
      <dgm:prSet/>
      <dgm:spPr/>
      <dgm:t>
        <a:bodyPr/>
        <a:lstStyle/>
        <a:p>
          <a:endParaRPr lang="en-AU" sz="900"/>
        </a:p>
      </dgm:t>
    </dgm:pt>
    <dgm:pt modelId="{BA18D897-2569-4A5F-A12F-85072D012B0F}">
      <dgm:prSet custT="1"/>
      <dgm:spPr>
        <a:solidFill>
          <a:schemeClr val="accent3">
            <a:lumMod val="40000"/>
            <a:lumOff val="60000"/>
          </a:schemeClr>
        </a:solidFill>
      </dgm:spPr>
      <dgm:t>
        <a:bodyPr/>
        <a:lstStyle/>
        <a:p>
          <a:r>
            <a:rPr lang="en-AU" sz="900">
              <a:solidFill>
                <a:schemeClr val="accent5">
                  <a:lumMod val="75000"/>
                </a:schemeClr>
              </a:solidFill>
            </a:rPr>
            <a:t>Part A Context: Framing the question</a:t>
          </a:r>
        </a:p>
      </dgm:t>
    </dgm:pt>
    <dgm:pt modelId="{3C1ECD8F-C536-46AA-ADF1-E710A2BA2ED6}" type="parTrans" cxnId="{46A52633-A488-423B-9602-91C563DFF598}">
      <dgm:prSet/>
      <dgm:spPr/>
      <dgm:t>
        <a:bodyPr/>
        <a:lstStyle/>
        <a:p>
          <a:endParaRPr lang="en-AU" sz="900"/>
        </a:p>
      </dgm:t>
    </dgm:pt>
    <dgm:pt modelId="{D0275449-8848-4D60-B839-D41C2B28941E}" type="sibTrans" cxnId="{46A52633-A488-423B-9602-91C563DFF598}">
      <dgm:prSet/>
      <dgm:spPr/>
      <dgm:t>
        <a:bodyPr/>
        <a:lstStyle/>
        <a:p>
          <a:endParaRPr lang="en-AU" sz="900"/>
        </a:p>
      </dgm:t>
    </dgm:pt>
    <dgm:pt modelId="{81397574-9060-4111-B041-AC361AA39DEE}">
      <dgm:prSet custT="1"/>
      <dgm:spPr>
        <a:solidFill>
          <a:schemeClr val="accent3">
            <a:lumMod val="40000"/>
            <a:lumOff val="60000"/>
          </a:schemeClr>
        </a:solidFill>
      </dgm:spPr>
      <dgm:t>
        <a:bodyPr/>
        <a:lstStyle/>
        <a:p>
          <a:r>
            <a:rPr lang="en-AU" sz="900">
              <a:solidFill>
                <a:schemeClr val="accent5">
                  <a:lumMod val="75000"/>
                </a:schemeClr>
              </a:solidFill>
            </a:rPr>
            <a:t>Part A Context: Purpose of IECA</a:t>
          </a:r>
        </a:p>
      </dgm:t>
    </dgm:pt>
    <dgm:pt modelId="{167C0DC0-C795-44C8-8AAE-04C999FBB7B6}" type="parTrans" cxnId="{40914133-A6F7-4109-AFE4-B994CE518361}">
      <dgm:prSet/>
      <dgm:spPr/>
      <dgm:t>
        <a:bodyPr/>
        <a:lstStyle/>
        <a:p>
          <a:endParaRPr lang="en-AU" sz="900"/>
        </a:p>
      </dgm:t>
    </dgm:pt>
    <dgm:pt modelId="{05E63AD2-C047-40C2-B49F-02A5849A17CD}" type="sibTrans" cxnId="{40914133-A6F7-4109-AFE4-B994CE518361}">
      <dgm:prSet/>
      <dgm:spPr/>
      <dgm:t>
        <a:bodyPr/>
        <a:lstStyle/>
        <a:p>
          <a:endParaRPr lang="en-AU" sz="900"/>
        </a:p>
      </dgm:t>
    </dgm:pt>
    <dgm:pt modelId="{D62C28C4-9520-4045-9C7B-51069030D9AF}">
      <dgm:prSet custT="1"/>
      <dgm:spPr>
        <a:solidFill>
          <a:schemeClr val="accent3">
            <a:lumMod val="40000"/>
            <a:lumOff val="60000"/>
          </a:schemeClr>
        </a:solidFill>
      </dgm:spPr>
      <dgm:t>
        <a:bodyPr/>
        <a:lstStyle/>
        <a:p>
          <a:r>
            <a:rPr lang="en-AU" sz="900">
              <a:solidFill>
                <a:schemeClr val="accent5">
                  <a:lumMod val="75000"/>
                </a:schemeClr>
              </a:solidFill>
            </a:rPr>
            <a:t>Part A Context: Outputs</a:t>
          </a:r>
        </a:p>
      </dgm:t>
    </dgm:pt>
    <dgm:pt modelId="{13E9B9AC-AFFE-4CD9-B2CE-8668FF52217D}" type="parTrans" cxnId="{39184140-C5CF-4D0B-A6DC-46528684EEB6}">
      <dgm:prSet/>
      <dgm:spPr/>
      <dgm:t>
        <a:bodyPr/>
        <a:lstStyle/>
        <a:p>
          <a:endParaRPr lang="en-AU" sz="900"/>
        </a:p>
      </dgm:t>
    </dgm:pt>
    <dgm:pt modelId="{67E513B8-9C91-41DF-ACF8-E8150E5226B9}" type="sibTrans" cxnId="{39184140-C5CF-4D0B-A6DC-46528684EEB6}">
      <dgm:prSet/>
      <dgm:spPr/>
      <dgm:t>
        <a:bodyPr/>
        <a:lstStyle/>
        <a:p>
          <a:endParaRPr lang="en-AU" sz="900"/>
        </a:p>
      </dgm:t>
    </dgm:pt>
    <dgm:pt modelId="{1FDC6512-C7D4-4110-BEF3-A0CAB12F8445}" type="pres">
      <dgm:prSet presAssocID="{34A1A343-FEBB-449A-A8D3-70B451069617}" presName="Name0" presStyleCnt="0">
        <dgm:presLayoutVars>
          <dgm:dir/>
          <dgm:animLvl val="lvl"/>
          <dgm:resizeHandles val="exact"/>
        </dgm:presLayoutVars>
      </dgm:prSet>
      <dgm:spPr/>
    </dgm:pt>
    <dgm:pt modelId="{694B1432-2B83-4456-BD41-8016077A515A}" type="pres">
      <dgm:prSet presAssocID="{5D3162A9-4156-4314-AC96-23482FE76DF1}" presName="parTxOnly" presStyleLbl="node1" presStyleIdx="0" presStyleCnt="4" custScaleX="119601" custScaleY="134468" custLinFactX="175399" custLinFactNeighborX="200000">
        <dgm:presLayoutVars>
          <dgm:chMax val="0"/>
          <dgm:chPref val="0"/>
          <dgm:bulletEnabled val="1"/>
        </dgm:presLayoutVars>
      </dgm:prSet>
      <dgm:spPr/>
      <dgm:t>
        <a:bodyPr/>
        <a:lstStyle/>
        <a:p>
          <a:endParaRPr lang="en-AU"/>
        </a:p>
      </dgm:t>
    </dgm:pt>
    <dgm:pt modelId="{A8500963-B6A5-44E3-AA9B-49CE6BC83D81}" type="pres">
      <dgm:prSet presAssocID="{11F3AB01-3BAF-461A-B392-E50B49C5B246}" presName="parTxOnlySpace" presStyleCnt="0"/>
      <dgm:spPr/>
    </dgm:pt>
    <dgm:pt modelId="{B26424C9-E7B8-44D6-B292-F54C8AFFF838}" type="pres">
      <dgm:prSet presAssocID="{BA18D897-2569-4A5F-A12F-85072D012B0F}" presName="parTxOnly" presStyleLbl="node1" presStyleIdx="1" presStyleCnt="4" custScaleX="117677" custLinFactX="-99848" custLinFactNeighborX="-100000" custLinFactNeighborY="-4804">
        <dgm:presLayoutVars>
          <dgm:chMax val="0"/>
          <dgm:chPref val="0"/>
          <dgm:bulletEnabled val="1"/>
        </dgm:presLayoutVars>
      </dgm:prSet>
      <dgm:spPr/>
      <dgm:t>
        <a:bodyPr/>
        <a:lstStyle/>
        <a:p>
          <a:endParaRPr lang="en-AU"/>
        </a:p>
      </dgm:t>
    </dgm:pt>
    <dgm:pt modelId="{9F54386B-9C58-49E4-A5B4-3F817322844C}" type="pres">
      <dgm:prSet presAssocID="{D0275449-8848-4D60-B839-D41C2B28941E}" presName="parTxOnlySpace" presStyleCnt="0"/>
      <dgm:spPr/>
    </dgm:pt>
    <dgm:pt modelId="{372A0707-C206-4125-913C-150A3501952D}" type="pres">
      <dgm:prSet presAssocID="{81397574-9060-4111-B041-AC361AA39DEE}" presName="parTxOnly" presStyleLbl="node1" presStyleIdx="2" presStyleCnt="4" custLinFactX="-99192" custLinFactNeighborX="-100000" custLinFactNeighborY="-2544">
        <dgm:presLayoutVars>
          <dgm:chMax val="0"/>
          <dgm:chPref val="0"/>
          <dgm:bulletEnabled val="1"/>
        </dgm:presLayoutVars>
      </dgm:prSet>
      <dgm:spPr/>
      <dgm:t>
        <a:bodyPr/>
        <a:lstStyle/>
        <a:p>
          <a:endParaRPr lang="en-AU"/>
        </a:p>
      </dgm:t>
    </dgm:pt>
    <dgm:pt modelId="{573DBA9A-BC47-4CF8-9BC0-C95DDCD24A38}" type="pres">
      <dgm:prSet presAssocID="{05E63AD2-C047-40C2-B49F-02A5849A17CD}" presName="parTxOnlySpace" presStyleCnt="0"/>
      <dgm:spPr/>
    </dgm:pt>
    <dgm:pt modelId="{1956EF06-B7F2-4988-B170-CCFB1252D9EC}" type="pres">
      <dgm:prSet presAssocID="{D62C28C4-9520-4045-9C7B-51069030D9AF}" presName="parTxOnly" presStyleLbl="node1" presStyleIdx="3" presStyleCnt="4" custLinFactNeighborX="4354" custLinFactNeighborY="-3227">
        <dgm:presLayoutVars>
          <dgm:chMax val="0"/>
          <dgm:chPref val="0"/>
          <dgm:bulletEnabled val="1"/>
        </dgm:presLayoutVars>
      </dgm:prSet>
      <dgm:spPr/>
      <dgm:t>
        <a:bodyPr/>
        <a:lstStyle/>
        <a:p>
          <a:endParaRPr lang="en-AU"/>
        </a:p>
      </dgm:t>
    </dgm:pt>
  </dgm:ptLst>
  <dgm:cxnLst>
    <dgm:cxn modelId="{39184140-C5CF-4D0B-A6DC-46528684EEB6}" srcId="{34A1A343-FEBB-449A-A8D3-70B451069617}" destId="{D62C28C4-9520-4045-9C7B-51069030D9AF}" srcOrd="3" destOrd="0" parTransId="{13E9B9AC-AFFE-4CD9-B2CE-8668FF52217D}" sibTransId="{67E513B8-9C91-41DF-ACF8-E8150E5226B9}"/>
    <dgm:cxn modelId="{2CAF4E66-1EAF-4529-8335-77F3AA91A25B}" srcId="{34A1A343-FEBB-449A-A8D3-70B451069617}" destId="{5D3162A9-4156-4314-AC96-23482FE76DF1}" srcOrd="0" destOrd="0" parTransId="{76B093EA-6EDD-4698-9DE0-847744483BC7}" sibTransId="{11F3AB01-3BAF-461A-B392-E50B49C5B246}"/>
    <dgm:cxn modelId="{B8BE8B85-E3D8-4543-9189-6C4A6127BD7D}" type="presOf" srcId="{34A1A343-FEBB-449A-A8D3-70B451069617}" destId="{1FDC6512-C7D4-4110-BEF3-A0CAB12F8445}" srcOrd="0" destOrd="0" presId="urn:microsoft.com/office/officeart/2005/8/layout/chevron1"/>
    <dgm:cxn modelId="{B141F102-31F4-4245-B1A1-75072C0824E2}" type="presOf" srcId="{D62C28C4-9520-4045-9C7B-51069030D9AF}" destId="{1956EF06-B7F2-4988-B170-CCFB1252D9EC}" srcOrd="0" destOrd="0" presId="urn:microsoft.com/office/officeart/2005/8/layout/chevron1"/>
    <dgm:cxn modelId="{40914133-A6F7-4109-AFE4-B994CE518361}" srcId="{34A1A343-FEBB-449A-A8D3-70B451069617}" destId="{81397574-9060-4111-B041-AC361AA39DEE}" srcOrd="2" destOrd="0" parTransId="{167C0DC0-C795-44C8-8AAE-04C999FBB7B6}" sibTransId="{05E63AD2-C047-40C2-B49F-02A5849A17CD}"/>
    <dgm:cxn modelId="{AED67DC4-B173-41A2-B811-41797D1E4188}" type="presOf" srcId="{81397574-9060-4111-B041-AC361AA39DEE}" destId="{372A0707-C206-4125-913C-150A3501952D}" srcOrd="0" destOrd="0" presId="urn:microsoft.com/office/officeart/2005/8/layout/chevron1"/>
    <dgm:cxn modelId="{46A52633-A488-423B-9602-91C563DFF598}" srcId="{34A1A343-FEBB-449A-A8D3-70B451069617}" destId="{BA18D897-2569-4A5F-A12F-85072D012B0F}" srcOrd="1" destOrd="0" parTransId="{3C1ECD8F-C536-46AA-ADF1-E710A2BA2ED6}" sibTransId="{D0275449-8848-4D60-B839-D41C2B28941E}"/>
    <dgm:cxn modelId="{AF508D9E-7478-43FD-8D55-77B4FA2BBD9A}" type="presOf" srcId="{5D3162A9-4156-4314-AC96-23482FE76DF1}" destId="{694B1432-2B83-4456-BD41-8016077A515A}" srcOrd="0" destOrd="0" presId="urn:microsoft.com/office/officeart/2005/8/layout/chevron1"/>
    <dgm:cxn modelId="{EC937BFC-D09C-4A8B-BF66-A264A80C5BAA}" type="presOf" srcId="{BA18D897-2569-4A5F-A12F-85072D012B0F}" destId="{B26424C9-E7B8-44D6-B292-F54C8AFFF838}" srcOrd="0" destOrd="0" presId="urn:microsoft.com/office/officeart/2005/8/layout/chevron1"/>
    <dgm:cxn modelId="{73DD3BC3-3D8D-4EE5-8E1E-04B4165E56C0}" type="presParOf" srcId="{1FDC6512-C7D4-4110-BEF3-A0CAB12F8445}" destId="{694B1432-2B83-4456-BD41-8016077A515A}" srcOrd="0" destOrd="0" presId="urn:microsoft.com/office/officeart/2005/8/layout/chevron1"/>
    <dgm:cxn modelId="{2125E223-8169-41E4-9E47-419DAEB4ABE3}" type="presParOf" srcId="{1FDC6512-C7D4-4110-BEF3-A0CAB12F8445}" destId="{A8500963-B6A5-44E3-AA9B-49CE6BC83D81}" srcOrd="1" destOrd="0" presId="urn:microsoft.com/office/officeart/2005/8/layout/chevron1"/>
    <dgm:cxn modelId="{7C602096-9E65-4A50-9B02-3905DE8EB4AF}" type="presParOf" srcId="{1FDC6512-C7D4-4110-BEF3-A0CAB12F8445}" destId="{B26424C9-E7B8-44D6-B292-F54C8AFFF838}" srcOrd="2" destOrd="0" presId="urn:microsoft.com/office/officeart/2005/8/layout/chevron1"/>
    <dgm:cxn modelId="{10466E32-46CF-4477-84B3-C663E11E6A3F}" type="presParOf" srcId="{1FDC6512-C7D4-4110-BEF3-A0CAB12F8445}" destId="{9F54386B-9C58-49E4-A5B4-3F817322844C}" srcOrd="3" destOrd="0" presId="urn:microsoft.com/office/officeart/2005/8/layout/chevron1"/>
    <dgm:cxn modelId="{F8A16B6F-71E2-43E7-BCB3-0A712EB57FB3}" type="presParOf" srcId="{1FDC6512-C7D4-4110-BEF3-A0CAB12F8445}" destId="{372A0707-C206-4125-913C-150A3501952D}" srcOrd="4" destOrd="0" presId="urn:microsoft.com/office/officeart/2005/8/layout/chevron1"/>
    <dgm:cxn modelId="{EB786176-F295-4C5A-9744-5790ABFC7B0C}" type="presParOf" srcId="{1FDC6512-C7D4-4110-BEF3-A0CAB12F8445}" destId="{573DBA9A-BC47-4CF8-9BC0-C95DDCD24A38}" srcOrd="5" destOrd="0" presId="urn:microsoft.com/office/officeart/2005/8/layout/chevron1"/>
    <dgm:cxn modelId="{A33804DB-A13E-4E2E-959F-4B5113DA2DD0}" type="presParOf" srcId="{1FDC6512-C7D4-4110-BEF3-A0CAB12F8445}" destId="{1956EF06-B7F2-4988-B170-CCFB1252D9EC}" srcOrd="6"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4A1A343-FEBB-449A-A8D3-70B451069617}" type="doc">
      <dgm:prSet loTypeId="urn:microsoft.com/office/officeart/2005/8/layout/chevron1" loCatId="process" qsTypeId="urn:microsoft.com/office/officeart/2005/8/quickstyle/simple4" qsCatId="simple" csTypeId="urn:microsoft.com/office/officeart/2005/8/colors/accent1_2" csCatId="accent1" phldr="1"/>
      <dgm:spPr/>
    </dgm:pt>
    <dgm:pt modelId="{5D3162A9-4156-4314-AC96-23482FE76DF1}">
      <dgm:prSet phldrT="[Text]" custT="1"/>
      <dgm:spPr>
        <a:solidFill>
          <a:schemeClr val="accent3">
            <a:lumMod val="50000"/>
          </a:schemeClr>
        </a:solidFill>
        <a:ln>
          <a:solidFill>
            <a:schemeClr val="accent3">
              <a:lumMod val="50000"/>
            </a:schemeClr>
          </a:solidFill>
        </a:ln>
      </dgm:spPr>
      <dgm:t>
        <a:bodyPr/>
        <a:lstStyle/>
        <a:p>
          <a:r>
            <a:rPr lang="en-AU" sz="900" b="1" i="1"/>
            <a:t>Part A Context: Outputs</a:t>
          </a:r>
        </a:p>
      </dgm:t>
    </dgm:pt>
    <dgm:pt modelId="{76B093EA-6EDD-4698-9DE0-847744483BC7}" type="parTrans" cxnId="{2CAF4E66-1EAF-4529-8335-77F3AA91A25B}">
      <dgm:prSet/>
      <dgm:spPr/>
      <dgm:t>
        <a:bodyPr/>
        <a:lstStyle/>
        <a:p>
          <a:endParaRPr lang="en-AU" sz="900"/>
        </a:p>
      </dgm:t>
    </dgm:pt>
    <dgm:pt modelId="{11F3AB01-3BAF-461A-B392-E50B49C5B246}" type="sibTrans" cxnId="{2CAF4E66-1EAF-4529-8335-77F3AA91A25B}">
      <dgm:prSet/>
      <dgm:spPr/>
      <dgm:t>
        <a:bodyPr/>
        <a:lstStyle/>
        <a:p>
          <a:endParaRPr lang="en-AU" sz="900"/>
        </a:p>
      </dgm:t>
    </dgm:pt>
    <dgm:pt modelId="{BA18D897-2569-4A5F-A12F-85072D012B0F}">
      <dgm:prSet custT="1"/>
      <dgm:spPr>
        <a:solidFill>
          <a:schemeClr val="accent3">
            <a:lumMod val="40000"/>
            <a:lumOff val="60000"/>
          </a:schemeClr>
        </a:solidFill>
      </dgm:spPr>
      <dgm:t>
        <a:bodyPr/>
        <a:lstStyle/>
        <a:p>
          <a:r>
            <a:rPr lang="en-AU" sz="900">
              <a:solidFill>
                <a:schemeClr val="accent5">
                  <a:lumMod val="75000"/>
                </a:schemeClr>
              </a:solidFill>
            </a:rPr>
            <a:t>Part A Context: Framing the question</a:t>
          </a:r>
        </a:p>
      </dgm:t>
    </dgm:pt>
    <dgm:pt modelId="{3C1ECD8F-C536-46AA-ADF1-E710A2BA2ED6}" type="parTrans" cxnId="{46A52633-A488-423B-9602-91C563DFF598}">
      <dgm:prSet/>
      <dgm:spPr/>
      <dgm:t>
        <a:bodyPr/>
        <a:lstStyle/>
        <a:p>
          <a:endParaRPr lang="en-AU" sz="900"/>
        </a:p>
      </dgm:t>
    </dgm:pt>
    <dgm:pt modelId="{D0275449-8848-4D60-B839-D41C2B28941E}" type="sibTrans" cxnId="{46A52633-A488-423B-9602-91C563DFF598}">
      <dgm:prSet/>
      <dgm:spPr/>
      <dgm:t>
        <a:bodyPr/>
        <a:lstStyle/>
        <a:p>
          <a:endParaRPr lang="en-AU" sz="900"/>
        </a:p>
      </dgm:t>
    </dgm:pt>
    <dgm:pt modelId="{81397574-9060-4111-B041-AC361AA39DEE}">
      <dgm:prSet custT="1"/>
      <dgm:spPr>
        <a:solidFill>
          <a:schemeClr val="accent3">
            <a:lumMod val="40000"/>
            <a:lumOff val="60000"/>
          </a:schemeClr>
        </a:solidFill>
      </dgm:spPr>
      <dgm:t>
        <a:bodyPr/>
        <a:lstStyle/>
        <a:p>
          <a:r>
            <a:rPr lang="en-AU" sz="900">
              <a:solidFill>
                <a:schemeClr val="accent5">
                  <a:lumMod val="75000"/>
                </a:schemeClr>
              </a:solidFill>
            </a:rPr>
            <a:t>Part A Context: Purpose of IECA</a:t>
          </a:r>
        </a:p>
      </dgm:t>
    </dgm:pt>
    <dgm:pt modelId="{167C0DC0-C795-44C8-8AAE-04C999FBB7B6}" type="parTrans" cxnId="{40914133-A6F7-4109-AFE4-B994CE518361}">
      <dgm:prSet/>
      <dgm:spPr/>
      <dgm:t>
        <a:bodyPr/>
        <a:lstStyle/>
        <a:p>
          <a:endParaRPr lang="en-AU" sz="900"/>
        </a:p>
      </dgm:t>
    </dgm:pt>
    <dgm:pt modelId="{05E63AD2-C047-40C2-B49F-02A5849A17CD}" type="sibTrans" cxnId="{40914133-A6F7-4109-AFE4-B994CE518361}">
      <dgm:prSet/>
      <dgm:spPr/>
      <dgm:t>
        <a:bodyPr/>
        <a:lstStyle/>
        <a:p>
          <a:endParaRPr lang="en-AU" sz="900"/>
        </a:p>
      </dgm:t>
    </dgm:pt>
    <dgm:pt modelId="{D62C28C4-9520-4045-9C7B-51069030D9AF}">
      <dgm:prSet custT="1"/>
      <dgm:spPr>
        <a:solidFill>
          <a:schemeClr val="accent3">
            <a:lumMod val="40000"/>
            <a:lumOff val="60000"/>
          </a:schemeClr>
        </a:solidFill>
      </dgm:spPr>
      <dgm:t>
        <a:bodyPr/>
        <a:lstStyle/>
        <a:p>
          <a:r>
            <a:rPr lang="en-AU" sz="900">
              <a:solidFill>
                <a:schemeClr val="accent5">
                  <a:lumMod val="75000"/>
                </a:schemeClr>
              </a:solidFill>
            </a:rPr>
            <a:t>Part A Context: Groundwork</a:t>
          </a:r>
        </a:p>
      </dgm:t>
    </dgm:pt>
    <dgm:pt modelId="{13E9B9AC-AFFE-4CD9-B2CE-8668FF52217D}" type="parTrans" cxnId="{39184140-C5CF-4D0B-A6DC-46528684EEB6}">
      <dgm:prSet/>
      <dgm:spPr/>
      <dgm:t>
        <a:bodyPr/>
        <a:lstStyle/>
        <a:p>
          <a:endParaRPr lang="en-AU" sz="900"/>
        </a:p>
      </dgm:t>
    </dgm:pt>
    <dgm:pt modelId="{67E513B8-9C91-41DF-ACF8-E8150E5226B9}" type="sibTrans" cxnId="{39184140-C5CF-4D0B-A6DC-46528684EEB6}">
      <dgm:prSet/>
      <dgm:spPr/>
      <dgm:t>
        <a:bodyPr/>
        <a:lstStyle/>
        <a:p>
          <a:endParaRPr lang="en-AU" sz="900"/>
        </a:p>
      </dgm:t>
    </dgm:pt>
    <dgm:pt modelId="{1FDC6512-C7D4-4110-BEF3-A0CAB12F8445}" type="pres">
      <dgm:prSet presAssocID="{34A1A343-FEBB-449A-A8D3-70B451069617}" presName="Name0" presStyleCnt="0">
        <dgm:presLayoutVars>
          <dgm:dir/>
          <dgm:animLvl val="lvl"/>
          <dgm:resizeHandles val="exact"/>
        </dgm:presLayoutVars>
      </dgm:prSet>
      <dgm:spPr/>
    </dgm:pt>
    <dgm:pt modelId="{694B1432-2B83-4456-BD41-8016077A515A}" type="pres">
      <dgm:prSet presAssocID="{5D3162A9-4156-4314-AC96-23482FE76DF1}" presName="parTxOnly" presStyleLbl="node1" presStyleIdx="0" presStyleCnt="4" custScaleX="112067" custScaleY="134468" custLinFactX="259468" custLinFactNeighborX="300000">
        <dgm:presLayoutVars>
          <dgm:chMax val="0"/>
          <dgm:chPref val="0"/>
          <dgm:bulletEnabled val="1"/>
        </dgm:presLayoutVars>
      </dgm:prSet>
      <dgm:spPr/>
      <dgm:t>
        <a:bodyPr/>
        <a:lstStyle/>
        <a:p>
          <a:endParaRPr lang="en-AU"/>
        </a:p>
      </dgm:t>
    </dgm:pt>
    <dgm:pt modelId="{A8500963-B6A5-44E3-AA9B-49CE6BC83D81}" type="pres">
      <dgm:prSet presAssocID="{11F3AB01-3BAF-461A-B392-E50B49C5B246}" presName="parTxOnlySpace" presStyleCnt="0"/>
      <dgm:spPr/>
    </dgm:pt>
    <dgm:pt modelId="{B26424C9-E7B8-44D6-B292-F54C8AFFF838}" type="pres">
      <dgm:prSet presAssocID="{BA18D897-2569-4A5F-A12F-85072D012B0F}" presName="parTxOnly" presStyleLbl="node1" presStyleIdx="1" presStyleCnt="4" custScaleX="121623" custLinFactX="-99848" custLinFactNeighborX="-100000" custLinFactNeighborY="-4804">
        <dgm:presLayoutVars>
          <dgm:chMax val="0"/>
          <dgm:chPref val="0"/>
          <dgm:bulletEnabled val="1"/>
        </dgm:presLayoutVars>
      </dgm:prSet>
      <dgm:spPr/>
      <dgm:t>
        <a:bodyPr/>
        <a:lstStyle/>
        <a:p>
          <a:endParaRPr lang="en-AU"/>
        </a:p>
      </dgm:t>
    </dgm:pt>
    <dgm:pt modelId="{9F54386B-9C58-49E4-A5B4-3F817322844C}" type="pres">
      <dgm:prSet presAssocID="{D0275449-8848-4D60-B839-D41C2B28941E}" presName="parTxOnlySpace" presStyleCnt="0"/>
      <dgm:spPr/>
    </dgm:pt>
    <dgm:pt modelId="{372A0707-C206-4125-913C-150A3501952D}" type="pres">
      <dgm:prSet presAssocID="{81397574-9060-4111-B041-AC361AA39DEE}" presName="parTxOnly" presStyleLbl="node1" presStyleIdx="2" presStyleCnt="4" custLinFactX="-90032" custLinFactNeighborX="-100000" custLinFactNeighborY="-2544">
        <dgm:presLayoutVars>
          <dgm:chMax val="0"/>
          <dgm:chPref val="0"/>
          <dgm:bulletEnabled val="1"/>
        </dgm:presLayoutVars>
      </dgm:prSet>
      <dgm:spPr/>
      <dgm:t>
        <a:bodyPr/>
        <a:lstStyle/>
        <a:p>
          <a:endParaRPr lang="en-AU"/>
        </a:p>
      </dgm:t>
    </dgm:pt>
    <dgm:pt modelId="{573DBA9A-BC47-4CF8-9BC0-C95DDCD24A38}" type="pres">
      <dgm:prSet presAssocID="{05E63AD2-C047-40C2-B49F-02A5849A17CD}" presName="parTxOnlySpace" presStyleCnt="0"/>
      <dgm:spPr/>
    </dgm:pt>
    <dgm:pt modelId="{1956EF06-B7F2-4988-B170-CCFB1252D9EC}" type="pres">
      <dgm:prSet presAssocID="{D62C28C4-9520-4045-9C7B-51069030D9AF}" presName="parTxOnly" presStyleLbl="node1" presStyleIdx="3" presStyleCnt="4" custLinFactX="-89433" custLinFactNeighborX="-100000" custLinFactNeighborY="-3227">
        <dgm:presLayoutVars>
          <dgm:chMax val="0"/>
          <dgm:chPref val="0"/>
          <dgm:bulletEnabled val="1"/>
        </dgm:presLayoutVars>
      </dgm:prSet>
      <dgm:spPr/>
      <dgm:t>
        <a:bodyPr/>
        <a:lstStyle/>
        <a:p>
          <a:endParaRPr lang="en-AU"/>
        </a:p>
      </dgm:t>
    </dgm:pt>
  </dgm:ptLst>
  <dgm:cxnLst>
    <dgm:cxn modelId="{39184140-C5CF-4D0B-A6DC-46528684EEB6}" srcId="{34A1A343-FEBB-449A-A8D3-70B451069617}" destId="{D62C28C4-9520-4045-9C7B-51069030D9AF}" srcOrd="3" destOrd="0" parTransId="{13E9B9AC-AFFE-4CD9-B2CE-8668FF52217D}" sibTransId="{67E513B8-9C91-41DF-ACF8-E8150E5226B9}"/>
    <dgm:cxn modelId="{E4EE47E3-F046-4137-9AC4-3F9089CA32A5}" type="presOf" srcId="{81397574-9060-4111-B041-AC361AA39DEE}" destId="{372A0707-C206-4125-913C-150A3501952D}" srcOrd="0" destOrd="0" presId="urn:microsoft.com/office/officeart/2005/8/layout/chevron1"/>
    <dgm:cxn modelId="{2CAF4E66-1EAF-4529-8335-77F3AA91A25B}" srcId="{34A1A343-FEBB-449A-A8D3-70B451069617}" destId="{5D3162A9-4156-4314-AC96-23482FE76DF1}" srcOrd="0" destOrd="0" parTransId="{76B093EA-6EDD-4698-9DE0-847744483BC7}" sibTransId="{11F3AB01-3BAF-461A-B392-E50B49C5B246}"/>
    <dgm:cxn modelId="{DDB55C53-931A-4F41-9B54-4AFBFF96EE3C}" type="presOf" srcId="{BA18D897-2569-4A5F-A12F-85072D012B0F}" destId="{B26424C9-E7B8-44D6-B292-F54C8AFFF838}" srcOrd="0" destOrd="0" presId="urn:microsoft.com/office/officeart/2005/8/layout/chevron1"/>
    <dgm:cxn modelId="{67F024FE-8FFC-46DA-AEC5-C10BA8B2F0C3}" type="presOf" srcId="{34A1A343-FEBB-449A-A8D3-70B451069617}" destId="{1FDC6512-C7D4-4110-BEF3-A0CAB12F8445}" srcOrd="0" destOrd="0" presId="urn:microsoft.com/office/officeart/2005/8/layout/chevron1"/>
    <dgm:cxn modelId="{3C8018E6-5CCD-4F6E-B227-7D88BD44B57E}" type="presOf" srcId="{5D3162A9-4156-4314-AC96-23482FE76DF1}" destId="{694B1432-2B83-4456-BD41-8016077A515A}" srcOrd="0" destOrd="0" presId="urn:microsoft.com/office/officeart/2005/8/layout/chevron1"/>
    <dgm:cxn modelId="{40914133-A6F7-4109-AFE4-B994CE518361}" srcId="{34A1A343-FEBB-449A-A8D3-70B451069617}" destId="{81397574-9060-4111-B041-AC361AA39DEE}" srcOrd="2" destOrd="0" parTransId="{167C0DC0-C795-44C8-8AAE-04C999FBB7B6}" sibTransId="{05E63AD2-C047-40C2-B49F-02A5849A17CD}"/>
    <dgm:cxn modelId="{46A52633-A488-423B-9602-91C563DFF598}" srcId="{34A1A343-FEBB-449A-A8D3-70B451069617}" destId="{BA18D897-2569-4A5F-A12F-85072D012B0F}" srcOrd="1" destOrd="0" parTransId="{3C1ECD8F-C536-46AA-ADF1-E710A2BA2ED6}" sibTransId="{D0275449-8848-4D60-B839-D41C2B28941E}"/>
    <dgm:cxn modelId="{7E55D030-98CA-4AFA-8EE9-391F0A365775}" type="presOf" srcId="{D62C28C4-9520-4045-9C7B-51069030D9AF}" destId="{1956EF06-B7F2-4988-B170-CCFB1252D9EC}" srcOrd="0" destOrd="0" presId="urn:microsoft.com/office/officeart/2005/8/layout/chevron1"/>
    <dgm:cxn modelId="{CF2CD334-6907-47E4-8B53-9CEDF2528CEA}" type="presParOf" srcId="{1FDC6512-C7D4-4110-BEF3-A0CAB12F8445}" destId="{694B1432-2B83-4456-BD41-8016077A515A}" srcOrd="0" destOrd="0" presId="urn:microsoft.com/office/officeart/2005/8/layout/chevron1"/>
    <dgm:cxn modelId="{C5BCBACD-0C09-4447-84D6-1360AABD2664}" type="presParOf" srcId="{1FDC6512-C7D4-4110-BEF3-A0CAB12F8445}" destId="{A8500963-B6A5-44E3-AA9B-49CE6BC83D81}" srcOrd="1" destOrd="0" presId="urn:microsoft.com/office/officeart/2005/8/layout/chevron1"/>
    <dgm:cxn modelId="{09B54EC2-8D69-42F4-AA59-49FC515E31A7}" type="presParOf" srcId="{1FDC6512-C7D4-4110-BEF3-A0CAB12F8445}" destId="{B26424C9-E7B8-44D6-B292-F54C8AFFF838}" srcOrd="2" destOrd="0" presId="urn:microsoft.com/office/officeart/2005/8/layout/chevron1"/>
    <dgm:cxn modelId="{55735641-4198-44F3-BD68-4A69D5E2D69A}" type="presParOf" srcId="{1FDC6512-C7D4-4110-BEF3-A0CAB12F8445}" destId="{9F54386B-9C58-49E4-A5B4-3F817322844C}" srcOrd="3" destOrd="0" presId="urn:microsoft.com/office/officeart/2005/8/layout/chevron1"/>
    <dgm:cxn modelId="{57A810CB-AC7F-4588-9942-FAC7502CE536}" type="presParOf" srcId="{1FDC6512-C7D4-4110-BEF3-A0CAB12F8445}" destId="{372A0707-C206-4125-913C-150A3501952D}" srcOrd="4" destOrd="0" presId="urn:microsoft.com/office/officeart/2005/8/layout/chevron1"/>
    <dgm:cxn modelId="{7D926D92-C254-404B-B307-F268382AED8D}" type="presParOf" srcId="{1FDC6512-C7D4-4110-BEF3-A0CAB12F8445}" destId="{573DBA9A-BC47-4CF8-9BC0-C95DDCD24A38}" srcOrd="5" destOrd="0" presId="urn:microsoft.com/office/officeart/2005/8/layout/chevron1"/>
    <dgm:cxn modelId="{82154D65-42E0-420C-B7A7-95EBC2CFC361}" type="presParOf" srcId="{1FDC6512-C7D4-4110-BEF3-A0CAB12F8445}" destId="{1956EF06-B7F2-4988-B170-CCFB1252D9EC}" srcOrd="6"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EE81B15-7A79-4456-8B78-9F6623742437}"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AU"/>
        </a:p>
      </dgm:t>
    </dgm:pt>
    <dgm:pt modelId="{A1762B34-F272-45CD-9798-98AAF5E1DAF8}">
      <dgm:prSet phldrT="[Text]" custT="1"/>
      <dgm:spPr/>
      <dgm:t>
        <a:bodyPr/>
        <a:lstStyle/>
        <a:p>
          <a:r>
            <a:rPr lang="en-AU" sz="1100"/>
            <a:t>IECA Themes for grouping values</a:t>
          </a:r>
        </a:p>
      </dgm:t>
    </dgm:pt>
    <dgm:pt modelId="{94EBE66A-3A3B-4CCE-A534-9D06FC467E1D}" type="parTrans" cxnId="{1C5789D8-2293-4F94-88D9-109B66B54AA3}">
      <dgm:prSet/>
      <dgm:spPr/>
      <dgm:t>
        <a:bodyPr/>
        <a:lstStyle/>
        <a:p>
          <a:endParaRPr lang="en-AU"/>
        </a:p>
      </dgm:t>
    </dgm:pt>
    <dgm:pt modelId="{1CBBAFD1-9FBB-4112-9133-61F8C22B1C18}" type="sibTrans" cxnId="{1C5789D8-2293-4F94-88D9-109B66B54AA3}">
      <dgm:prSet/>
      <dgm:spPr/>
      <dgm:t>
        <a:bodyPr/>
        <a:lstStyle/>
        <a:p>
          <a:endParaRPr lang="en-AU"/>
        </a:p>
      </dgm:t>
    </dgm:pt>
    <dgm:pt modelId="{83A4C950-A022-44F6-8D35-0A22B1CF1FB2}">
      <dgm:prSet phldrT="[Text]"/>
      <dgm:spPr/>
      <dgm:t>
        <a:bodyPr/>
        <a:lstStyle/>
        <a:p>
          <a:r>
            <a:rPr lang="en-AU"/>
            <a:t>Hydrology</a:t>
          </a:r>
        </a:p>
      </dgm:t>
    </dgm:pt>
    <dgm:pt modelId="{C29B0645-3D9E-451B-A1AB-B8F62AD4BC00}" type="parTrans" cxnId="{E700AD42-D7E9-446F-A288-C50B562626D1}">
      <dgm:prSet/>
      <dgm:spPr/>
      <dgm:t>
        <a:bodyPr/>
        <a:lstStyle/>
        <a:p>
          <a:endParaRPr lang="en-AU"/>
        </a:p>
      </dgm:t>
    </dgm:pt>
    <dgm:pt modelId="{00D7E603-5457-42FF-9CFB-7A70206661E7}" type="sibTrans" cxnId="{E700AD42-D7E9-446F-A288-C50B562626D1}">
      <dgm:prSet/>
      <dgm:spPr/>
      <dgm:t>
        <a:bodyPr/>
        <a:lstStyle/>
        <a:p>
          <a:endParaRPr lang="en-AU"/>
        </a:p>
      </dgm:t>
    </dgm:pt>
    <dgm:pt modelId="{63FBCF20-CE51-4DF0-A598-7FD875447593}">
      <dgm:prSet phldrT="[Text]"/>
      <dgm:spPr/>
      <dgm:t>
        <a:bodyPr/>
        <a:lstStyle/>
        <a:p>
          <a:r>
            <a:rPr lang="en-AU"/>
            <a:t>Structural Integrity</a:t>
          </a:r>
        </a:p>
      </dgm:t>
    </dgm:pt>
    <dgm:pt modelId="{541631CE-62C9-4266-8A50-C0F608BC6C07}" type="parTrans" cxnId="{34B87947-159C-413C-B4A1-FD9748455CB4}">
      <dgm:prSet/>
      <dgm:spPr/>
      <dgm:t>
        <a:bodyPr/>
        <a:lstStyle/>
        <a:p>
          <a:endParaRPr lang="en-AU"/>
        </a:p>
      </dgm:t>
    </dgm:pt>
    <dgm:pt modelId="{63F03065-6F54-441F-B6D8-87ABBBFBD6BA}" type="sibTrans" cxnId="{34B87947-159C-413C-B4A1-FD9748455CB4}">
      <dgm:prSet/>
      <dgm:spPr/>
      <dgm:t>
        <a:bodyPr/>
        <a:lstStyle/>
        <a:p>
          <a:endParaRPr lang="en-AU"/>
        </a:p>
      </dgm:t>
    </dgm:pt>
    <dgm:pt modelId="{9029E546-C852-47D4-96E9-BAED8870DADA}">
      <dgm:prSet phldrT="[Text]"/>
      <dgm:spPr/>
      <dgm:t>
        <a:bodyPr/>
        <a:lstStyle/>
        <a:p>
          <a:r>
            <a:rPr lang="en-AU"/>
            <a:t>Aquatic Ecosytem Connectivity</a:t>
          </a:r>
        </a:p>
      </dgm:t>
    </dgm:pt>
    <dgm:pt modelId="{678474A7-8345-43A7-9784-D120317F7C61}" type="parTrans" cxnId="{2CF1FB89-EB8C-44FD-BC4C-7EDC9DB99277}">
      <dgm:prSet/>
      <dgm:spPr/>
      <dgm:t>
        <a:bodyPr/>
        <a:lstStyle/>
        <a:p>
          <a:endParaRPr lang="en-AU"/>
        </a:p>
      </dgm:t>
    </dgm:pt>
    <dgm:pt modelId="{38E795F8-B16B-4CBD-828F-7EC3D3460D2F}" type="sibTrans" cxnId="{2CF1FB89-EB8C-44FD-BC4C-7EDC9DB99277}">
      <dgm:prSet/>
      <dgm:spPr/>
      <dgm:t>
        <a:bodyPr/>
        <a:lstStyle/>
        <a:p>
          <a:endParaRPr lang="en-AU"/>
        </a:p>
      </dgm:t>
    </dgm:pt>
    <dgm:pt modelId="{90E66D08-D75C-4BB1-8FBD-1D0BE54D6DCA}">
      <dgm:prSet/>
      <dgm:spPr/>
      <dgm:t>
        <a:bodyPr/>
        <a:lstStyle/>
        <a:p>
          <a:r>
            <a:rPr lang="en-AU"/>
            <a:t>Biodiversity</a:t>
          </a:r>
        </a:p>
      </dgm:t>
    </dgm:pt>
    <dgm:pt modelId="{D8D7EA91-F0AF-429E-8FE2-146679571EC9}" type="parTrans" cxnId="{F3685A38-A668-49EB-8D3E-91E6850BADFC}">
      <dgm:prSet/>
      <dgm:spPr/>
      <dgm:t>
        <a:bodyPr/>
        <a:lstStyle/>
        <a:p>
          <a:endParaRPr lang="en-AU"/>
        </a:p>
      </dgm:t>
    </dgm:pt>
    <dgm:pt modelId="{B5533327-4631-46A6-894F-9A40EAB17630}" type="sibTrans" cxnId="{F3685A38-A668-49EB-8D3E-91E6850BADFC}">
      <dgm:prSet/>
      <dgm:spPr/>
      <dgm:t>
        <a:bodyPr/>
        <a:lstStyle/>
        <a:p>
          <a:endParaRPr lang="en-AU"/>
        </a:p>
      </dgm:t>
    </dgm:pt>
    <dgm:pt modelId="{864D8341-7067-4333-9EFB-62FBFE334A0B}">
      <dgm:prSet/>
      <dgm:spPr/>
      <dgm:t>
        <a:bodyPr/>
        <a:lstStyle/>
        <a:p>
          <a:r>
            <a:rPr lang="en-AU"/>
            <a:t>Services</a:t>
          </a:r>
        </a:p>
      </dgm:t>
    </dgm:pt>
    <dgm:pt modelId="{6B9065DF-F7A2-4D77-875F-DAFFA5F869AA}" type="parTrans" cxnId="{997B8ECD-8EED-48FA-BFDA-86C58D3669C9}">
      <dgm:prSet/>
      <dgm:spPr/>
      <dgm:t>
        <a:bodyPr/>
        <a:lstStyle/>
        <a:p>
          <a:endParaRPr lang="en-AU"/>
        </a:p>
      </dgm:t>
    </dgm:pt>
    <dgm:pt modelId="{805EEE38-F13C-4C7A-8A41-E05A85CAF1EC}" type="sibTrans" cxnId="{997B8ECD-8EED-48FA-BFDA-86C58D3669C9}">
      <dgm:prSet/>
      <dgm:spPr/>
      <dgm:t>
        <a:bodyPr/>
        <a:lstStyle/>
        <a:p>
          <a:endParaRPr lang="en-AU"/>
        </a:p>
      </dgm:t>
    </dgm:pt>
    <dgm:pt modelId="{2B0C68CF-4C8C-4518-80C7-A54A4F19683C}">
      <dgm:prSet>
        <dgm:style>
          <a:lnRef idx="2">
            <a:schemeClr val="accent2"/>
          </a:lnRef>
          <a:fillRef idx="1">
            <a:schemeClr val="lt1"/>
          </a:fillRef>
          <a:effectRef idx="0">
            <a:schemeClr val="accent2"/>
          </a:effectRef>
          <a:fontRef idx="minor">
            <a:schemeClr val="dk1"/>
          </a:fontRef>
        </dgm:style>
      </dgm:prSet>
      <dgm:spPr>
        <a:ln/>
      </dgm:spPr>
      <dgm:t>
        <a:bodyPr/>
        <a:lstStyle/>
        <a:p>
          <a:r>
            <a:rPr lang="en-AU"/>
            <a:t>Surface water</a:t>
          </a:r>
        </a:p>
      </dgm:t>
    </dgm:pt>
    <dgm:pt modelId="{DB030402-4CC4-4E51-97A6-7BAC8ACA60EE}" type="parTrans" cxnId="{F211AD4B-B5C6-401A-AD48-A668F0A8D623}">
      <dgm:prSet/>
      <dgm:spPr/>
      <dgm:t>
        <a:bodyPr/>
        <a:lstStyle/>
        <a:p>
          <a:endParaRPr lang="en-AU"/>
        </a:p>
      </dgm:t>
    </dgm:pt>
    <dgm:pt modelId="{0DD08AAA-3F48-434C-9611-5112C7BD5AA2}" type="sibTrans" cxnId="{F211AD4B-B5C6-401A-AD48-A668F0A8D623}">
      <dgm:prSet/>
      <dgm:spPr/>
      <dgm:t>
        <a:bodyPr/>
        <a:lstStyle/>
        <a:p>
          <a:endParaRPr lang="en-AU"/>
        </a:p>
      </dgm:t>
    </dgm:pt>
    <dgm:pt modelId="{B50589D2-403A-4B05-91AC-D773EC98E229}">
      <dgm:prSet>
        <dgm:style>
          <a:lnRef idx="2">
            <a:schemeClr val="accent2"/>
          </a:lnRef>
          <a:fillRef idx="1">
            <a:schemeClr val="lt1"/>
          </a:fillRef>
          <a:effectRef idx="0">
            <a:schemeClr val="accent2"/>
          </a:effectRef>
          <a:fontRef idx="minor">
            <a:schemeClr val="dk1"/>
          </a:fontRef>
        </dgm:style>
      </dgm:prSet>
      <dgm:spPr>
        <a:ln/>
      </dgm:spPr>
      <dgm:t>
        <a:bodyPr/>
        <a:lstStyle/>
        <a:p>
          <a:r>
            <a:rPr lang="en-AU"/>
            <a:t>Groundwater</a:t>
          </a:r>
        </a:p>
      </dgm:t>
    </dgm:pt>
    <dgm:pt modelId="{E671C10B-BF33-4769-BC31-96A11FA87EFA}" type="parTrans" cxnId="{78F27859-6E25-4697-A2E6-FE69B62710BF}">
      <dgm:prSet/>
      <dgm:spPr/>
      <dgm:t>
        <a:bodyPr/>
        <a:lstStyle/>
        <a:p>
          <a:endParaRPr lang="en-AU"/>
        </a:p>
      </dgm:t>
    </dgm:pt>
    <dgm:pt modelId="{A221F979-E3AC-46CE-A49D-CF572560F67F}" type="sibTrans" cxnId="{78F27859-6E25-4697-A2E6-FE69B62710BF}">
      <dgm:prSet/>
      <dgm:spPr/>
      <dgm:t>
        <a:bodyPr/>
        <a:lstStyle/>
        <a:p>
          <a:endParaRPr lang="en-AU"/>
        </a:p>
      </dgm:t>
    </dgm:pt>
    <dgm:pt modelId="{EA3E7044-9F61-4242-BF6C-7F059AA93358}">
      <dgm:prSet>
        <dgm:style>
          <a:lnRef idx="2">
            <a:schemeClr val="accent2"/>
          </a:lnRef>
          <a:fillRef idx="1">
            <a:schemeClr val="lt1"/>
          </a:fillRef>
          <a:effectRef idx="0">
            <a:schemeClr val="accent2"/>
          </a:effectRef>
          <a:fontRef idx="minor">
            <a:schemeClr val="dk1"/>
          </a:fontRef>
        </dgm:style>
      </dgm:prSet>
      <dgm:spPr>
        <a:ln/>
      </dgm:spPr>
      <dgm:t>
        <a:bodyPr/>
        <a:lstStyle/>
        <a:p>
          <a:r>
            <a:rPr lang="en-AU"/>
            <a:t>Ecosystem extent</a:t>
          </a:r>
        </a:p>
      </dgm:t>
    </dgm:pt>
    <dgm:pt modelId="{9EE49CA4-276A-4595-AEC1-3EA78B37B215}" type="parTrans" cxnId="{7E907C50-FAF1-45ED-BF5D-D79A754738B6}">
      <dgm:prSet/>
      <dgm:spPr/>
      <dgm:t>
        <a:bodyPr/>
        <a:lstStyle/>
        <a:p>
          <a:endParaRPr lang="en-AU"/>
        </a:p>
      </dgm:t>
    </dgm:pt>
    <dgm:pt modelId="{A65115BA-AB21-4FDE-98FD-FFF35FE475D0}" type="sibTrans" cxnId="{7E907C50-FAF1-45ED-BF5D-D79A754738B6}">
      <dgm:prSet/>
      <dgm:spPr/>
      <dgm:t>
        <a:bodyPr/>
        <a:lstStyle/>
        <a:p>
          <a:endParaRPr lang="en-AU"/>
        </a:p>
      </dgm:t>
    </dgm:pt>
    <dgm:pt modelId="{3B4B1DD6-E0CE-43C2-98A9-35E42946DD6C}">
      <dgm:prSet>
        <dgm:style>
          <a:lnRef idx="2">
            <a:schemeClr val="accent2"/>
          </a:lnRef>
          <a:fillRef idx="1">
            <a:schemeClr val="lt1"/>
          </a:fillRef>
          <a:effectRef idx="0">
            <a:schemeClr val="accent2"/>
          </a:effectRef>
          <a:fontRef idx="minor">
            <a:schemeClr val="dk1"/>
          </a:fontRef>
        </dgm:style>
      </dgm:prSet>
      <dgm:spPr>
        <a:ln/>
      </dgm:spPr>
      <dgm:t>
        <a:bodyPr/>
        <a:lstStyle/>
        <a:p>
          <a:r>
            <a:rPr lang="en-AU"/>
            <a:t>Physical form</a:t>
          </a:r>
        </a:p>
      </dgm:t>
    </dgm:pt>
    <dgm:pt modelId="{DCD30CB6-19EB-42FB-B815-F74D87A67658}" type="parTrans" cxnId="{71307E1B-49FC-47C2-B103-E538FB87086B}">
      <dgm:prSet/>
      <dgm:spPr/>
      <dgm:t>
        <a:bodyPr/>
        <a:lstStyle/>
        <a:p>
          <a:endParaRPr lang="en-AU"/>
        </a:p>
      </dgm:t>
    </dgm:pt>
    <dgm:pt modelId="{C06FC572-2EAA-43B7-92E8-594770B68D15}" type="sibTrans" cxnId="{71307E1B-49FC-47C2-B103-E538FB87086B}">
      <dgm:prSet/>
      <dgm:spPr/>
      <dgm:t>
        <a:bodyPr/>
        <a:lstStyle/>
        <a:p>
          <a:endParaRPr lang="en-AU"/>
        </a:p>
      </dgm:t>
    </dgm:pt>
    <dgm:pt modelId="{3C9A5B8D-C5D1-49F5-B59A-366A573FCD09}">
      <dgm:prSet>
        <dgm:style>
          <a:lnRef idx="2">
            <a:schemeClr val="accent2"/>
          </a:lnRef>
          <a:fillRef idx="1">
            <a:schemeClr val="lt1"/>
          </a:fillRef>
          <a:effectRef idx="0">
            <a:schemeClr val="accent2"/>
          </a:effectRef>
          <a:fontRef idx="minor">
            <a:schemeClr val="dk1"/>
          </a:fontRef>
        </dgm:style>
      </dgm:prSet>
      <dgm:spPr>
        <a:ln/>
      </dgm:spPr>
      <dgm:t>
        <a:bodyPr/>
        <a:lstStyle/>
        <a:p>
          <a:r>
            <a:rPr lang="en-AU"/>
            <a:t>Ecological connectivity</a:t>
          </a:r>
        </a:p>
      </dgm:t>
    </dgm:pt>
    <dgm:pt modelId="{7951C406-DF4A-41AA-8399-FBD9E3D99012}" type="parTrans" cxnId="{08E83122-8EC0-4480-986D-210519F6E2A2}">
      <dgm:prSet/>
      <dgm:spPr/>
      <dgm:t>
        <a:bodyPr/>
        <a:lstStyle/>
        <a:p>
          <a:endParaRPr lang="en-AU"/>
        </a:p>
      </dgm:t>
    </dgm:pt>
    <dgm:pt modelId="{1CF513B8-B633-4D7D-B459-B51F67391B90}" type="sibTrans" cxnId="{08E83122-8EC0-4480-986D-210519F6E2A2}">
      <dgm:prSet/>
      <dgm:spPr/>
      <dgm:t>
        <a:bodyPr/>
        <a:lstStyle/>
        <a:p>
          <a:endParaRPr lang="en-AU"/>
        </a:p>
      </dgm:t>
    </dgm:pt>
    <dgm:pt modelId="{AA50F534-7CFD-4140-A011-22A114DA0B34}">
      <dgm:prSet>
        <dgm:style>
          <a:lnRef idx="2">
            <a:schemeClr val="accent2"/>
          </a:lnRef>
          <a:fillRef idx="1">
            <a:schemeClr val="lt1"/>
          </a:fillRef>
          <a:effectRef idx="0">
            <a:schemeClr val="accent2"/>
          </a:effectRef>
          <a:fontRef idx="minor">
            <a:schemeClr val="dk1"/>
          </a:fontRef>
        </dgm:style>
      </dgm:prSet>
      <dgm:spPr>
        <a:ln/>
      </dgm:spPr>
      <dgm:t>
        <a:bodyPr/>
        <a:lstStyle/>
        <a:p>
          <a:r>
            <a:rPr lang="en-AU"/>
            <a:t>Hydrological connectivity</a:t>
          </a:r>
        </a:p>
      </dgm:t>
    </dgm:pt>
    <dgm:pt modelId="{0E619E3D-FE4E-4A95-8E53-305C763C38BA}" type="parTrans" cxnId="{7E88F045-1196-499B-82F1-ECA55F568B3A}">
      <dgm:prSet/>
      <dgm:spPr/>
      <dgm:t>
        <a:bodyPr/>
        <a:lstStyle/>
        <a:p>
          <a:endParaRPr lang="en-AU"/>
        </a:p>
      </dgm:t>
    </dgm:pt>
    <dgm:pt modelId="{D425F04C-4D3C-479C-8298-5891A2B3B304}" type="sibTrans" cxnId="{7E88F045-1196-499B-82F1-ECA55F568B3A}">
      <dgm:prSet/>
      <dgm:spPr/>
      <dgm:t>
        <a:bodyPr/>
        <a:lstStyle/>
        <a:p>
          <a:endParaRPr lang="en-AU"/>
        </a:p>
      </dgm:t>
    </dgm:pt>
    <dgm:pt modelId="{1D330E5A-6C9B-45AB-873C-70D576C84FAD}">
      <dgm:prSet>
        <dgm:style>
          <a:lnRef idx="2">
            <a:schemeClr val="accent2"/>
          </a:lnRef>
          <a:fillRef idx="1">
            <a:schemeClr val="lt1"/>
          </a:fillRef>
          <a:effectRef idx="0">
            <a:schemeClr val="accent2"/>
          </a:effectRef>
          <a:fontRef idx="minor">
            <a:schemeClr val="dk1"/>
          </a:fontRef>
        </dgm:style>
      </dgm:prSet>
      <dgm:spPr>
        <a:ln/>
      </dgm:spPr>
      <dgm:t>
        <a:bodyPr/>
        <a:lstStyle/>
        <a:p>
          <a:r>
            <a:rPr lang="en-AU"/>
            <a:t>Aquatic biota</a:t>
          </a:r>
        </a:p>
      </dgm:t>
    </dgm:pt>
    <dgm:pt modelId="{63186383-24A3-4968-B507-F109CE0CDADA}" type="parTrans" cxnId="{96F94882-0205-449E-860A-B2DE2D62B86F}">
      <dgm:prSet/>
      <dgm:spPr/>
      <dgm:t>
        <a:bodyPr/>
        <a:lstStyle/>
        <a:p>
          <a:endParaRPr lang="en-AU"/>
        </a:p>
      </dgm:t>
    </dgm:pt>
    <dgm:pt modelId="{31940B20-AEA8-4F63-AC62-0A7D678D4133}" type="sibTrans" cxnId="{96F94882-0205-449E-860A-B2DE2D62B86F}">
      <dgm:prSet/>
      <dgm:spPr/>
      <dgm:t>
        <a:bodyPr/>
        <a:lstStyle/>
        <a:p>
          <a:endParaRPr lang="en-AU"/>
        </a:p>
      </dgm:t>
    </dgm:pt>
    <dgm:pt modelId="{09847920-542F-47B4-932D-FC57C978C1C3}">
      <dgm:prSet>
        <dgm:style>
          <a:lnRef idx="2">
            <a:schemeClr val="accent2"/>
          </a:lnRef>
          <a:fillRef idx="1">
            <a:schemeClr val="lt1"/>
          </a:fillRef>
          <a:effectRef idx="0">
            <a:schemeClr val="accent2"/>
          </a:effectRef>
          <a:fontRef idx="minor">
            <a:schemeClr val="dk1"/>
          </a:fontRef>
        </dgm:style>
      </dgm:prSet>
      <dgm:spPr>
        <a:ln/>
      </dgm:spPr>
      <dgm:t>
        <a:bodyPr/>
        <a:lstStyle/>
        <a:p>
          <a:r>
            <a:rPr lang="en-AU"/>
            <a:t>Ecosystem diversity</a:t>
          </a:r>
        </a:p>
      </dgm:t>
    </dgm:pt>
    <dgm:pt modelId="{D92660DD-6D39-4711-AA45-E85FE5FD1142}" type="parTrans" cxnId="{AC51B6FB-5530-42EB-8500-39A6939592C4}">
      <dgm:prSet/>
      <dgm:spPr/>
      <dgm:t>
        <a:bodyPr/>
        <a:lstStyle/>
        <a:p>
          <a:endParaRPr lang="en-AU"/>
        </a:p>
      </dgm:t>
    </dgm:pt>
    <dgm:pt modelId="{33134690-526C-4C53-ADAE-76790CE343F7}" type="sibTrans" cxnId="{AC51B6FB-5530-42EB-8500-39A6939592C4}">
      <dgm:prSet/>
      <dgm:spPr/>
      <dgm:t>
        <a:bodyPr/>
        <a:lstStyle/>
        <a:p>
          <a:endParaRPr lang="en-AU"/>
        </a:p>
      </dgm:t>
    </dgm:pt>
    <dgm:pt modelId="{03964192-91B1-45AC-A714-5A7D40A0A864}">
      <dgm:prSet>
        <dgm:style>
          <a:lnRef idx="2">
            <a:schemeClr val="accent2"/>
          </a:lnRef>
          <a:fillRef idx="1">
            <a:schemeClr val="lt1"/>
          </a:fillRef>
          <a:effectRef idx="0">
            <a:schemeClr val="accent2"/>
          </a:effectRef>
          <a:fontRef idx="minor">
            <a:schemeClr val="dk1"/>
          </a:fontRef>
        </dgm:style>
      </dgm:prSet>
      <dgm:spPr>
        <a:ln/>
      </dgm:spPr>
      <dgm:t>
        <a:bodyPr/>
        <a:lstStyle/>
        <a:p>
          <a:r>
            <a:rPr lang="en-AU"/>
            <a:t>Regulating</a:t>
          </a:r>
        </a:p>
      </dgm:t>
    </dgm:pt>
    <dgm:pt modelId="{C2402F15-6D7B-4E38-BA22-50F0B4494655}" type="parTrans" cxnId="{E7C19D27-A970-4C7B-8D8E-1C1E9C1CA507}">
      <dgm:prSet/>
      <dgm:spPr/>
      <dgm:t>
        <a:bodyPr/>
        <a:lstStyle/>
        <a:p>
          <a:endParaRPr lang="en-AU"/>
        </a:p>
      </dgm:t>
    </dgm:pt>
    <dgm:pt modelId="{A9EA0310-7DF7-4AB0-AB2D-C124373A1547}" type="sibTrans" cxnId="{E7C19D27-A970-4C7B-8D8E-1C1E9C1CA507}">
      <dgm:prSet/>
      <dgm:spPr/>
      <dgm:t>
        <a:bodyPr/>
        <a:lstStyle/>
        <a:p>
          <a:endParaRPr lang="en-AU"/>
        </a:p>
      </dgm:t>
    </dgm:pt>
    <dgm:pt modelId="{6DE3A5BA-9509-4734-9854-3AF9B46F1139}">
      <dgm:prSet>
        <dgm:style>
          <a:lnRef idx="2">
            <a:schemeClr val="accent2"/>
          </a:lnRef>
          <a:fillRef idx="1">
            <a:schemeClr val="lt1"/>
          </a:fillRef>
          <a:effectRef idx="0">
            <a:schemeClr val="accent2"/>
          </a:effectRef>
          <a:fontRef idx="minor">
            <a:schemeClr val="dk1"/>
          </a:fontRef>
        </dgm:style>
      </dgm:prSet>
      <dgm:spPr>
        <a:ln/>
      </dgm:spPr>
      <dgm:t>
        <a:bodyPr/>
        <a:lstStyle/>
        <a:p>
          <a:r>
            <a:rPr lang="en-AU"/>
            <a:t>Provisioning</a:t>
          </a:r>
        </a:p>
      </dgm:t>
    </dgm:pt>
    <dgm:pt modelId="{D644ABE8-F59E-4D7B-A9DE-7EB6CEBD6449}" type="parTrans" cxnId="{09062E76-D05A-4C32-A120-26E8915B688A}">
      <dgm:prSet/>
      <dgm:spPr/>
      <dgm:t>
        <a:bodyPr/>
        <a:lstStyle/>
        <a:p>
          <a:endParaRPr lang="en-AU"/>
        </a:p>
      </dgm:t>
    </dgm:pt>
    <dgm:pt modelId="{008FFBDE-4ABD-475D-B984-E61E44EACA3D}" type="sibTrans" cxnId="{09062E76-D05A-4C32-A120-26E8915B688A}">
      <dgm:prSet/>
      <dgm:spPr/>
      <dgm:t>
        <a:bodyPr/>
        <a:lstStyle/>
        <a:p>
          <a:endParaRPr lang="en-AU"/>
        </a:p>
      </dgm:t>
    </dgm:pt>
    <dgm:pt modelId="{A60EC90C-B940-45A5-91BE-84A08E8AC7CE}">
      <dgm:prSet>
        <dgm:style>
          <a:lnRef idx="2">
            <a:schemeClr val="accent2"/>
          </a:lnRef>
          <a:fillRef idx="1">
            <a:schemeClr val="lt1"/>
          </a:fillRef>
          <a:effectRef idx="0">
            <a:schemeClr val="accent2"/>
          </a:effectRef>
          <a:fontRef idx="minor">
            <a:schemeClr val="dk1"/>
          </a:fontRef>
        </dgm:style>
      </dgm:prSet>
      <dgm:spPr>
        <a:ln/>
      </dgm:spPr>
      <dgm:t>
        <a:bodyPr/>
        <a:lstStyle/>
        <a:p>
          <a:r>
            <a:rPr lang="en-AU"/>
            <a:t>Cultural</a:t>
          </a:r>
        </a:p>
      </dgm:t>
    </dgm:pt>
    <dgm:pt modelId="{CF705431-3E8B-41DA-9D33-E6100E2381BD}" type="parTrans" cxnId="{2304D257-4BC5-476B-8419-E78E57B710C8}">
      <dgm:prSet/>
      <dgm:spPr/>
      <dgm:t>
        <a:bodyPr/>
        <a:lstStyle/>
        <a:p>
          <a:endParaRPr lang="en-AU"/>
        </a:p>
      </dgm:t>
    </dgm:pt>
    <dgm:pt modelId="{968A642D-72DD-4D87-A5F3-F758F0043FBF}" type="sibTrans" cxnId="{2304D257-4BC5-476B-8419-E78E57B710C8}">
      <dgm:prSet/>
      <dgm:spPr/>
      <dgm:t>
        <a:bodyPr/>
        <a:lstStyle/>
        <a:p>
          <a:endParaRPr lang="en-AU"/>
        </a:p>
      </dgm:t>
    </dgm:pt>
    <dgm:pt modelId="{A4DDD073-F925-48DB-B88A-5A151E7779AB}">
      <dgm:prSet>
        <dgm:style>
          <a:lnRef idx="2">
            <a:schemeClr val="accent2"/>
          </a:lnRef>
          <a:fillRef idx="1">
            <a:schemeClr val="lt1"/>
          </a:fillRef>
          <a:effectRef idx="0">
            <a:schemeClr val="accent2"/>
          </a:effectRef>
          <a:fontRef idx="minor">
            <a:schemeClr val="dk1"/>
          </a:fontRef>
        </dgm:style>
      </dgm:prSet>
      <dgm:spPr>
        <a:ln/>
      </dgm:spPr>
      <dgm:t>
        <a:bodyPr/>
        <a:lstStyle/>
        <a:p>
          <a:r>
            <a:rPr lang="en-AU"/>
            <a:t>Soils</a:t>
          </a:r>
        </a:p>
      </dgm:t>
    </dgm:pt>
    <dgm:pt modelId="{09C65542-64B2-4725-B1DF-C31972C7FC5B}" type="parTrans" cxnId="{2D636754-115A-4F2F-A9CE-ADB8A9B86E00}">
      <dgm:prSet/>
      <dgm:spPr/>
      <dgm:t>
        <a:bodyPr/>
        <a:lstStyle/>
        <a:p>
          <a:endParaRPr lang="en-AU"/>
        </a:p>
      </dgm:t>
    </dgm:pt>
    <dgm:pt modelId="{29A72BA8-E215-4382-A75D-966B1219674A}" type="sibTrans" cxnId="{2D636754-115A-4F2F-A9CE-ADB8A9B86E00}">
      <dgm:prSet/>
      <dgm:spPr/>
      <dgm:t>
        <a:bodyPr/>
        <a:lstStyle/>
        <a:p>
          <a:endParaRPr lang="en-AU"/>
        </a:p>
      </dgm:t>
    </dgm:pt>
    <dgm:pt modelId="{5768F75F-7A3C-460A-A5CE-0CD542D7CF04}">
      <dgm:prSet/>
      <dgm:spPr/>
      <dgm:t>
        <a:bodyPr/>
        <a:lstStyle/>
        <a:p>
          <a:r>
            <a:rPr lang="en-AU"/>
            <a:t>Water quality</a:t>
          </a:r>
        </a:p>
      </dgm:t>
    </dgm:pt>
    <dgm:pt modelId="{3D58A788-CBEF-4782-9316-7447E00D1D39}" type="parTrans" cxnId="{D7F12ACD-04C6-42B1-980F-E0C8C8F8C166}">
      <dgm:prSet/>
      <dgm:spPr/>
      <dgm:t>
        <a:bodyPr/>
        <a:lstStyle/>
        <a:p>
          <a:endParaRPr lang="en-AU"/>
        </a:p>
      </dgm:t>
    </dgm:pt>
    <dgm:pt modelId="{31C717D0-F6FB-4ADC-BE26-FFE5F06AFE7B}" type="sibTrans" cxnId="{D7F12ACD-04C6-42B1-980F-E0C8C8F8C166}">
      <dgm:prSet/>
      <dgm:spPr/>
      <dgm:t>
        <a:bodyPr/>
        <a:lstStyle/>
        <a:p>
          <a:endParaRPr lang="en-AU"/>
        </a:p>
      </dgm:t>
    </dgm:pt>
    <dgm:pt modelId="{A06A1676-6E32-4C04-ABA2-12B065C3D8F7}">
      <dgm:prSet>
        <dgm:style>
          <a:lnRef idx="2">
            <a:schemeClr val="accent2"/>
          </a:lnRef>
          <a:fillRef idx="1">
            <a:schemeClr val="lt1"/>
          </a:fillRef>
          <a:effectRef idx="0">
            <a:schemeClr val="accent2"/>
          </a:effectRef>
          <a:fontRef idx="minor">
            <a:schemeClr val="dk1"/>
          </a:fontRef>
        </dgm:style>
      </dgm:prSet>
      <dgm:spPr/>
      <dgm:t>
        <a:bodyPr/>
        <a:lstStyle/>
        <a:p>
          <a:r>
            <a:rPr lang="en-AU"/>
            <a:t>Chemical</a:t>
          </a:r>
        </a:p>
      </dgm:t>
    </dgm:pt>
    <dgm:pt modelId="{58FC3097-832E-4D29-97AD-98C23F6C14E0}" type="parTrans" cxnId="{C27081A1-D24B-4EBE-8DAF-81ECA6907201}">
      <dgm:prSet/>
      <dgm:spPr/>
      <dgm:t>
        <a:bodyPr/>
        <a:lstStyle/>
        <a:p>
          <a:endParaRPr lang="en-AU"/>
        </a:p>
      </dgm:t>
    </dgm:pt>
    <dgm:pt modelId="{541121A7-E01F-4B05-9AA2-E08294F1A807}" type="sibTrans" cxnId="{C27081A1-D24B-4EBE-8DAF-81ECA6907201}">
      <dgm:prSet/>
      <dgm:spPr/>
      <dgm:t>
        <a:bodyPr/>
        <a:lstStyle/>
        <a:p>
          <a:endParaRPr lang="en-AU"/>
        </a:p>
      </dgm:t>
    </dgm:pt>
    <dgm:pt modelId="{3F9AEA43-7925-4FFA-894D-D50FE2CC8708}">
      <dgm:prSet>
        <dgm:style>
          <a:lnRef idx="2">
            <a:schemeClr val="accent2"/>
          </a:lnRef>
          <a:fillRef idx="1">
            <a:schemeClr val="lt1"/>
          </a:fillRef>
          <a:effectRef idx="0">
            <a:schemeClr val="accent2"/>
          </a:effectRef>
          <a:fontRef idx="minor">
            <a:schemeClr val="dk1"/>
          </a:fontRef>
        </dgm:style>
      </dgm:prSet>
      <dgm:spPr/>
      <dgm:t>
        <a:bodyPr/>
        <a:lstStyle/>
        <a:p>
          <a:r>
            <a:rPr lang="en-AU"/>
            <a:t>Physical</a:t>
          </a:r>
        </a:p>
      </dgm:t>
    </dgm:pt>
    <dgm:pt modelId="{55A6CFEE-6132-4B54-AAFB-3E3B4B680EA6}" type="parTrans" cxnId="{201A1C85-9573-4AF2-96E7-9033CF499328}">
      <dgm:prSet/>
      <dgm:spPr/>
      <dgm:t>
        <a:bodyPr/>
        <a:lstStyle/>
        <a:p>
          <a:endParaRPr lang="en-AU"/>
        </a:p>
      </dgm:t>
    </dgm:pt>
    <dgm:pt modelId="{1384CFEE-F6CB-4940-A3AA-28A802A5A11C}" type="sibTrans" cxnId="{201A1C85-9573-4AF2-96E7-9033CF499328}">
      <dgm:prSet/>
      <dgm:spPr/>
      <dgm:t>
        <a:bodyPr/>
        <a:lstStyle/>
        <a:p>
          <a:endParaRPr lang="en-AU"/>
        </a:p>
      </dgm:t>
    </dgm:pt>
    <dgm:pt modelId="{E3C25FFA-D44E-4C8B-9890-E43F1DF6628D}">
      <dgm:prSet>
        <dgm:style>
          <a:lnRef idx="2">
            <a:schemeClr val="accent2"/>
          </a:lnRef>
          <a:fillRef idx="1">
            <a:schemeClr val="lt1"/>
          </a:fillRef>
          <a:effectRef idx="0">
            <a:schemeClr val="accent2"/>
          </a:effectRef>
          <a:fontRef idx="minor">
            <a:schemeClr val="dk1"/>
          </a:fontRef>
        </dgm:style>
      </dgm:prSet>
      <dgm:spPr/>
      <dgm:t>
        <a:bodyPr/>
        <a:lstStyle/>
        <a:p>
          <a:r>
            <a:rPr lang="en-AU"/>
            <a:t>Fringing zone</a:t>
          </a:r>
        </a:p>
      </dgm:t>
    </dgm:pt>
    <dgm:pt modelId="{A5837258-056E-413C-97C5-5D00F7E9FEDC}" type="parTrans" cxnId="{D6EFCD09-4023-4A29-92D0-211EFAEB636F}">
      <dgm:prSet/>
      <dgm:spPr/>
      <dgm:t>
        <a:bodyPr/>
        <a:lstStyle/>
        <a:p>
          <a:endParaRPr lang="en-AU"/>
        </a:p>
      </dgm:t>
    </dgm:pt>
    <dgm:pt modelId="{E4359576-9199-47C1-B20B-9ACE61FA2CE5}" type="sibTrans" cxnId="{D6EFCD09-4023-4A29-92D0-211EFAEB636F}">
      <dgm:prSet/>
      <dgm:spPr/>
      <dgm:t>
        <a:bodyPr/>
        <a:lstStyle/>
        <a:p>
          <a:endParaRPr lang="en-AU"/>
        </a:p>
      </dgm:t>
    </dgm:pt>
    <dgm:pt modelId="{46768D7A-F8AF-49EA-B1D0-BE2162EB4C29}" type="pres">
      <dgm:prSet presAssocID="{EEE81B15-7A79-4456-8B78-9F6623742437}" presName="mainComposite" presStyleCnt="0">
        <dgm:presLayoutVars>
          <dgm:chPref val="1"/>
          <dgm:dir/>
          <dgm:animOne val="branch"/>
          <dgm:animLvl val="lvl"/>
          <dgm:resizeHandles val="exact"/>
        </dgm:presLayoutVars>
      </dgm:prSet>
      <dgm:spPr/>
      <dgm:t>
        <a:bodyPr/>
        <a:lstStyle/>
        <a:p>
          <a:endParaRPr lang="en-AU"/>
        </a:p>
      </dgm:t>
    </dgm:pt>
    <dgm:pt modelId="{DD8C8043-5FF3-49A8-8697-70E9C4EEFD05}" type="pres">
      <dgm:prSet presAssocID="{EEE81B15-7A79-4456-8B78-9F6623742437}" presName="hierFlow" presStyleCnt="0"/>
      <dgm:spPr/>
    </dgm:pt>
    <dgm:pt modelId="{7853AB22-E7B7-45C1-858B-469B5D4F0C9E}" type="pres">
      <dgm:prSet presAssocID="{EEE81B15-7A79-4456-8B78-9F6623742437}" presName="hierChild1" presStyleCnt="0">
        <dgm:presLayoutVars>
          <dgm:chPref val="1"/>
          <dgm:animOne val="branch"/>
          <dgm:animLvl val="lvl"/>
        </dgm:presLayoutVars>
      </dgm:prSet>
      <dgm:spPr/>
    </dgm:pt>
    <dgm:pt modelId="{9B66741C-8D61-4E1C-89F4-BC810F8F7053}" type="pres">
      <dgm:prSet presAssocID="{A1762B34-F272-45CD-9798-98AAF5E1DAF8}" presName="Name14" presStyleCnt="0"/>
      <dgm:spPr/>
    </dgm:pt>
    <dgm:pt modelId="{7E6BA988-A646-4660-9E17-F03A9F60EC90}" type="pres">
      <dgm:prSet presAssocID="{A1762B34-F272-45CD-9798-98AAF5E1DAF8}" presName="level1Shape" presStyleLbl="node0" presStyleIdx="0" presStyleCnt="1" custScaleX="205521">
        <dgm:presLayoutVars>
          <dgm:chPref val="3"/>
        </dgm:presLayoutVars>
      </dgm:prSet>
      <dgm:spPr/>
      <dgm:t>
        <a:bodyPr/>
        <a:lstStyle/>
        <a:p>
          <a:endParaRPr lang="en-AU"/>
        </a:p>
      </dgm:t>
    </dgm:pt>
    <dgm:pt modelId="{C625DE0C-11D3-45D5-9984-6A9E3AC6EF65}" type="pres">
      <dgm:prSet presAssocID="{A1762B34-F272-45CD-9798-98AAF5E1DAF8}" presName="hierChild2" presStyleCnt="0"/>
      <dgm:spPr/>
    </dgm:pt>
    <dgm:pt modelId="{01111E40-A1A4-4470-B48B-81F8C7F3C0B0}" type="pres">
      <dgm:prSet presAssocID="{C29B0645-3D9E-451B-A1AB-B8F62AD4BC00}" presName="Name19" presStyleLbl="parChTrans1D2" presStyleIdx="0" presStyleCnt="6"/>
      <dgm:spPr/>
      <dgm:t>
        <a:bodyPr/>
        <a:lstStyle/>
        <a:p>
          <a:endParaRPr lang="en-AU"/>
        </a:p>
      </dgm:t>
    </dgm:pt>
    <dgm:pt modelId="{02C3DC6E-E858-4DB4-B1EA-528FC8AFE1DA}" type="pres">
      <dgm:prSet presAssocID="{83A4C950-A022-44F6-8D35-0A22B1CF1FB2}" presName="Name21" presStyleCnt="0"/>
      <dgm:spPr/>
    </dgm:pt>
    <dgm:pt modelId="{DE960B8A-7905-4FEF-B125-906DC34F31A2}" type="pres">
      <dgm:prSet presAssocID="{83A4C950-A022-44F6-8D35-0A22B1CF1FB2}" presName="level2Shape" presStyleLbl="node2" presStyleIdx="0" presStyleCnt="6"/>
      <dgm:spPr/>
      <dgm:t>
        <a:bodyPr/>
        <a:lstStyle/>
        <a:p>
          <a:endParaRPr lang="en-AU"/>
        </a:p>
      </dgm:t>
    </dgm:pt>
    <dgm:pt modelId="{E224F786-2AE4-47C3-BEA7-D0EF9B0E2552}" type="pres">
      <dgm:prSet presAssocID="{83A4C950-A022-44F6-8D35-0A22B1CF1FB2}" presName="hierChild3" presStyleCnt="0"/>
      <dgm:spPr/>
    </dgm:pt>
    <dgm:pt modelId="{3A59DF8F-2542-4A66-8E18-DBDFCEAE2D12}" type="pres">
      <dgm:prSet presAssocID="{DB030402-4CC4-4E51-97A6-7BAC8ACA60EE}" presName="Name19" presStyleLbl="parChTrans1D3" presStyleIdx="0" presStyleCnt="6"/>
      <dgm:spPr/>
      <dgm:t>
        <a:bodyPr/>
        <a:lstStyle/>
        <a:p>
          <a:endParaRPr lang="en-AU"/>
        </a:p>
      </dgm:t>
    </dgm:pt>
    <dgm:pt modelId="{F2C3C1E1-036D-4F7C-A4AA-A20568AE55E7}" type="pres">
      <dgm:prSet presAssocID="{2B0C68CF-4C8C-4518-80C7-A54A4F19683C}" presName="Name21" presStyleCnt="0"/>
      <dgm:spPr/>
    </dgm:pt>
    <dgm:pt modelId="{1B2AFD64-E197-46ED-9536-FD7E6EC492C4}" type="pres">
      <dgm:prSet presAssocID="{2B0C68CF-4C8C-4518-80C7-A54A4F19683C}" presName="level2Shape" presStyleLbl="node3" presStyleIdx="0" presStyleCnt="6"/>
      <dgm:spPr/>
      <dgm:t>
        <a:bodyPr/>
        <a:lstStyle/>
        <a:p>
          <a:endParaRPr lang="en-AU"/>
        </a:p>
      </dgm:t>
    </dgm:pt>
    <dgm:pt modelId="{EA427421-BA00-461D-91B1-4C5A20090928}" type="pres">
      <dgm:prSet presAssocID="{2B0C68CF-4C8C-4518-80C7-A54A4F19683C}" presName="hierChild3" presStyleCnt="0"/>
      <dgm:spPr/>
    </dgm:pt>
    <dgm:pt modelId="{0BF8AA2F-BBB6-4D79-847F-E3B3D416EDCD}" type="pres">
      <dgm:prSet presAssocID="{E671C10B-BF33-4769-BC31-96A11FA87EFA}" presName="Name19" presStyleLbl="parChTrans1D4" presStyleIdx="0" presStyleCnt="9"/>
      <dgm:spPr/>
      <dgm:t>
        <a:bodyPr/>
        <a:lstStyle/>
        <a:p>
          <a:endParaRPr lang="en-AU"/>
        </a:p>
      </dgm:t>
    </dgm:pt>
    <dgm:pt modelId="{EB2D6865-7EA4-41F5-9B69-47B98191616C}" type="pres">
      <dgm:prSet presAssocID="{B50589D2-403A-4B05-91AC-D773EC98E229}" presName="Name21" presStyleCnt="0"/>
      <dgm:spPr/>
    </dgm:pt>
    <dgm:pt modelId="{A86BC397-0448-4403-8653-DBF904B4748B}" type="pres">
      <dgm:prSet presAssocID="{B50589D2-403A-4B05-91AC-D773EC98E229}" presName="level2Shape" presStyleLbl="node4" presStyleIdx="0" presStyleCnt="9"/>
      <dgm:spPr/>
      <dgm:t>
        <a:bodyPr/>
        <a:lstStyle/>
        <a:p>
          <a:endParaRPr lang="en-AU"/>
        </a:p>
      </dgm:t>
    </dgm:pt>
    <dgm:pt modelId="{A85D958B-8EF5-436B-9D27-EA1601500A5D}" type="pres">
      <dgm:prSet presAssocID="{B50589D2-403A-4B05-91AC-D773EC98E229}" presName="hierChild3" presStyleCnt="0"/>
      <dgm:spPr/>
    </dgm:pt>
    <dgm:pt modelId="{E4E7F2EA-5BD7-462A-B659-24A211709326}" type="pres">
      <dgm:prSet presAssocID="{3D58A788-CBEF-4782-9316-7447E00D1D39}" presName="Name19" presStyleLbl="parChTrans1D2" presStyleIdx="1" presStyleCnt="6"/>
      <dgm:spPr/>
      <dgm:t>
        <a:bodyPr/>
        <a:lstStyle/>
        <a:p>
          <a:endParaRPr lang="en-AU"/>
        </a:p>
      </dgm:t>
    </dgm:pt>
    <dgm:pt modelId="{532208E6-FD0E-4F3B-87F0-D4FD1B346F95}" type="pres">
      <dgm:prSet presAssocID="{5768F75F-7A3C-460A-A5CE-0CD542D7CF04}" presName="Name21" presStyleCnt="0"/>
      <dgm:spPr/>
    </dgm:pt>
    <dgm:pt modelId="{62C808E7-0822-46EE-8A6E-6CB069F894A9}" type="pres">
      <dgm:prSet presAssocID="{5768F75F-7A3C-460A-A5CE-0CD542D7CF04}" presName="level2Shape" presStyleLbl="node2" presStyleIdx="1" presStyleCnt="6"/>
      <dgm:spPr/>
      <dgm:t>
        <a:bodyPr/>
        <a:lstStyle/>
        <a:p>
          <a:endParaRPr lang="en-AU"/>
        </a:p>
      </dgm:t>
    </dgm:pt>
    <dgm:pt modelId="{1DB88B4A-D981-4798-B858-307B0DB12A54}" type="pres">
      <dgm:prSet presAssocID="{5768F75F-7A3C-460A-A5CE-0CD542D7CF04}" presName="hierChild3" presStyleCnt="0"/>
      <dgm:spPr/>
    </dgm:pt>
    <dgm:pt modelId="{743C05BF-7441-40E7-9654-5A318622DFD4}" type="pres">
      <dgm:prSet presAssocID="{55A6CFEE-6132-4B54-AAFB-3E3B4B680EA6}" presName="Name19" presStyleLbl="parChTrans1D3" presStyleIdx="1" presStyleCnt="6"/>
      <dgm:spPr/>
      <dgm:t>
        <a:bodyPr/>
        <a:lstStyle/>
        <a:p>
          <a:endParaRPr lang="en-AU"/>
        </a:p>
      </dgm:t>
    </dgm:pt>
    <dgm:pt modelId="{FB4DF5CE-F070-4E63-84C7-37DC8E3D4F7B}" type="pres">
      <dgm:prSet presAssocID="{3F9AEA43-7925-4FFA-894D-D50FE2CC8708}" presName="Name21" presStyleCnt="0"/>
      <dgm:spPr/>
    </dgm:pt>
    <dgm:pt modelId="{F33196A5-AAA5-4F96-BD6B-ED69EEFF47D9}" type="pres">
      <dgm:prSet presAssocID="{3F9AEA43-7925-4FFA-894D-D50FE2CC8708}" presName="level2Shape" presStyleLbl="node3" presStyleIdx="1" presStyleCnt="6"/>
      <dgm:spPr/>
      <dgm:t>
        <a:bodyPr/>
        <a:lstStyle/>
        <a:p>
          <a:endParaRPr lang="en-AU"/>
        </a:p>
      </dgm:t>
    </dgm:pt>
    <dgm:pt modelId="{3F0B7EBD-2470-496A-AA99-871A76A3687B}" type="pres">
      <dgm:prSet presAssocID="{3F9AEA43-7925-4FFA-894D-D50FE2CC8708}" presName="hierChild3" presStyleCnt="0"/>
      <dgm:spPr/>
    </dgm:pt>
    <dgm:pt modelId="{AD728BDA-C8D3-4FBE-9DCD-44A93983F636}" type="pres">
      <dgm:prSet presAssocID="{58FC3097-832E-4D29-97AD-98C23F6C14E0}" presName="Name19" presStyleLbl="parChTrans1D4" presStyleIdx="1" presStyleCnt="9"/>
      <dgm:spPr/>
      <dgm:t>
        <a:bodyPr/>
        <a:lstStyle/>
        <a:p>
          <a:endParaRPr lang="en-AU"/>
        </a:p>
      </dgm:t>
    </dgm:pt>
    <dgm:pt modelId="{C0E4F57B-7A54-410A-AF3C-08F4FE0D9156}" type="pres">
      <dgm:prSet presAssocID="{A06A1676-6E32-4C04-ABA2-12B065C3D8F7}" presName="Name21" presStyleCnt="0"/>
      <dgm:spPr/>
    </dgm:pt>
    <dgm:pt modelId="{18E5C405-1B6E-45CE-9BE4-314A3DF821B0}" type="pres">
      <dgm:prSet presAssocID="{A06A1676-6E32-4C04-ABA2-12B065C3D8F7}" presName="level2Shape" presStyleLbl="node4" presStyleIdx="1" presStyleCnt="9"/>
      <dgm:spPr/>
      <dgm:t>
        <a:bodyPr/>
        <a:lstStyle/>
        <a:p>
          <a:endParaRPr lang="en-AU"/>
        </a:p>
      </dgm:t>
    </dgm:pt>
    <dgm:pt modelId="{95DC06DA-1F3E-4D87-9FD8-4F8703370348}" type="pres">
      <dgm:prSet presAssocID="{A06A1676-6E32-4C04-ABA2-12B065C3D8F7}" presName="hierChild3" presStyleCnt="0"/>
      <dgm:spPr/>
    </dgm:pt>
    <dgm:pt modelId="{AF6B22C5-532D-44EA-A4E1-5FEF2EC01F5D}" type="pres">
      <dgm:prSet presAssocID="{541631CE-62C9-4266-8A50-C0F608BC6C07}" presName="Name19" presStyleLbl="parChTrans1D2" presStyleIdx="2" presStyleCnt="6"/>
      <dgm:spPr/>
      <dgm:t>
        <a:bodyPr/>
        <a:lstStyle/>
        <a:p>
          <a:endParaRPr lang="en-AU"/>
        </a:p>
      </dgm:t>
    </dgm:pt>
    <dgm:pt modelId="{B7A7FB2A-9796-4F88-A47F-4CE2A9F05EB6}" type="pres">
      <dgm:prSet presAssocID="{63FBCF20-CE51-4DF0-A598-7FD875447593}" presName="Name21" presStyleCnt="0"/>
      <dgm:spPr/>
    </dgm:pt>
    <dgm:pt modelId="{BEEAB6ED-FADB-424C-AEFD-0550A6156DDC}" type="pres">
      <dgm:prSet presAssocID="{63FBCF20-CE51-4DF0-A598-7FD875447593}" presName="level2Shape" presStyleLbl="node2" presStyleIdx="2" presStyleCnt="6"/>
      <dgm:spPr/>
      <dgm:t>
        <a:bodyPr/>
        <a:lstStyle/>
        <a:p>
          <a:endParaRPr lang="en-AU"/>
        </a:p>
      </dgm:t>
    </dgm:pt>
    <dgm:pt modelId="{224DCBE7-A2B8-4DB0-9F99-8FAEF85A5B35}" type="pres">
      <dgm:prSet presAssocID="{63FBCF20-CE51-4DF0-A598-7FD875447593}" presName="hierChild3" presStyleCnt="0"/>
      <dgm:spPr/>
    </dgm:pt>
    <dgm:pt modelId="{2099C3BA-C22C-4015-BA3E-94822C7912BF}" type="pres">
      <dgm:prSet presAssocID="{9EE49CA4-276A-4595-AEC1-3EA78B37B215}" presName="Name19" presStyleLbl="parChTrans1D3" presStyleIdx="2" presStyleCnt="6"/>
      <dgm:spPr/>
      <dgm:t>
        <a:bodyPr/>
        <a:lstStyle/>
        <a:p>
          <a:endParaRPr lang="en-AU"/>
        </a:p>
      </dgm:t>
    </dgm:pt>
    <dgm:pt modelId="{595478B4-20E4-485A-8CD2-7C13BF83961C}" type="pres">
      <dgm:prSet presAssocID="{EA3E7044-9F61-4242-BF6C-7F059AA93358}" presName="Name21" presStyleCnt="0"/>
      <dgm:spPr/>
    </dgm:pt>
    <dgm:pt modelId="{FA375315-21AE-4AAB-938C-7A0974DF9780}" type="pres">
      <dgm:prSet presAssocID="{EA3E7044-9F61-4242-BF6C-7F059AA93358}" presName="level2Shape" presStyleLbl="node3" presStyleIdx="2" presStyleCnt="6"/>
      <dgm:spPr/>
      <dgm:t>
        <a:bodyPr/>
        <a:lstStyle/>
        <a:p>
          <a:endParaRPr lang="en-AU"/>
        </a:p>
      </dgm:t>
    </dgm:pt>
    <dgm:pt modelId="{1023A7DB-C08F-41A2-81E7-310DD668A42D}" type="pres">
      <dgm:prSet presAssocID="{EA3E7044-9F61-4242-BF6C-7F059AA93358}" presName="hierChild3" presStyleCnt="0"/>
      <dgm:spPr/>
    </dgm:pt>
    <dgm:pt modelId="{C941EBFC-94F2-4353-85F2-DA791AB65EE4}" type="pres">
      <dgm:prSet presAssocID="{DCD30CB6-19EB-42FB-B815-F74D87A67658}" presName="Name19" presStyleLbl="parChTrans1D4" presStyleIdx="2" presStyleCnt="9"/>
      <dgm:spPr/>
      <dgm:t>
        <a:bodyPr/>
        <a:lstStyle/>
        <a:p>
          <a:endParaRPr lang="en-AU"/>
        </a:p>
      </dgm:t>
    </dgm:pt>
    <dgm:pt modelId="{CEB73C3C-78A5-4DFE-8BE0-711D430347C7}" type="pres">
      <dgm:prSet presAssocID="{3B4B1DD6-E0CE-43C2-98A9-35E42946DD6C}" presName="Name21" presStyleCnt="0"/>
      <dgm:spPr/>
    </dgm:pt>
    <dgm:pt modelId="{1DA1F71C-2959-49DD-A430-B823EDA222A8}" type="pres">
      <dgm:prSet presAssocID="{3B4B1DD6-E0CE-43C2-98A9-35E42946DD6C}" presName="level2Shape" presStyleLbl="node4" presStyleIdx="2" presStyleCnt="9"/>
      <dgm:spPr/>
      <dgm:t>
        <a:bodyPr/>
        <a:lstStyle/>
        <a:p>
          <a:endParaRPr lang="en-AU"/>
        </a:p>
      </dgm:t>
    </dgm:pt>
    <dgm:pt modelId="{CE124E58-FE75-4A9E-A4D8-26DE514B2B9D}" type="pres">
      <dgm:prSet presAssocID="{3B4B1DD6-E0CE-43C2-98A9-35E42946DD6C}" presName="hierChild3" presStyleCnt="0"/>
      <dgm:spPr/>
    </dgm:pt>
    <dgm:pt modelId="{7DCD18FB-B51B-4838-B70C-E6B687755440}" type="pres">
      <dgm:prSet presAssocID="{A5837258-056E-413C-97C5-5D00F7E9FEDC}" presName="Name19" presStyleLbl="parChTrans1D4" presStyleIdx="3" presStyleCnt="9"/>
      <dgm:spPr/>
      <dgm:t>
        <a:bodyPr/>
        <a:lstStyle/>
        <a:p>
          <a:endParaRPr lang="en-AU"/>
        </a:p>
      </dgm:t>
    </dgm:pt>
    <dgm:pt modelId="{056069C9-6A87-4816-BC6E-A8C3BF431FDF}" type="pres">
      <dgm:prSet presAssocID="{E3C25FFA-D44E-4C8B-9890-E43F1DF6628D}" presName="Name21" presStyleCnt="0"/>
      <dgm:spPr/>
    </dgm:pt>
    <dgm:pt modelId="{39B75839-F955-43DF-98E0-E1A2641851AE}" type="pres">
      <dgm:prSet presAssocID="{E3C25FFA-D44E-4C8B-9890-E43F1DF6628D}" presName="level2Shape" presStyleLbl="node4" presStyleIdx="3" presStyleCnt="9"/>
      <dgm:spPr/>
      <dgm:t>
        <a:bodyPr/>
        <a:lstStyle/>
        <a:p>
          <a:endParaRPr lang="en-AU"/>
        </a:p>
      </dgm:t>
    </dgm:pt>
    <dgm:pt modelId="{3128D2B9-5426-4AE4-80E2-F996FFEBA483}" type="pres">
      <dgm:prSet presAssocID="{E3C25FFA-D44E-4C8B-9890-E43F1DF6628D}" presName="hierChild3" presStyleCnt="0"/>
      <dgm:spPr/>
    </dgm:pt>
    <dgm:pt modelId="{261F41B6-1FEA-40DC-AED7-29D8BE6DCDB9}" type="pres">
      <dgm:prSet presAssocID="{09C65542-64B2-4725-B1DF-C31972C7FC5B}" presName="Name19" presStyleLbl="parChTrans1D4" presStyleIdx="4" presStyleCnt="9"/>
      <dgm:spPr/>
      <dgm:t>
        <a:bodyPr/>
        <a:lstStyle/>
        <a:p>
          <a:endParaRPr lang="en-AU"/>
        </a:p>
      </dgm:t>
    </dgm:pt>
    <dgm:pt modelId="{43901CB7-F512-4401-A933-00F9F24581BC}" type="pres">
      <dgm:prSet presAssocID="{A4DDD073-F925-48DB-B88A-5A151E7779AB}" presName="Name21" presStyleCnt="0"/>
      <dgm:spPr/>
    </dgm:pt>
    <dgm:pt modelId="{EEBBAB1D-B7CC-4C70-95CC-820A2C0AE5A1}" type="pres">
      <dgm:prSet presAssocID="{A4DDD073-F925-48DB-B88A-5A151E7779AB}" presName="level2Shape" presStyleLbl="node4" presStyleIdx="4" presStyleCnt="9"/>
      <dgm:spPr/>
      <dgm:t>
        <a:bodyPr/>
        <a:lstStyle/>
        <a:p>
          <a:endParaRPr lang="en-AU"/>
        </a:p>
      </dgm:t>
    </dgm:pt>
    <dgm:pt modelId="{F2F257D5-B445-4DF3-9982-AD433C725FD4}" type="pres">
      <dgm:prSet presAssocID="{A4DDD073-F925-48DB-B88A-5A151E7779AB}" presName="hierChild3" presStyleCnt="0"/>
      <dgm:spPr/>
    </dgm:pt>
    <dgm:pt modelId="{8BE48B4E-1A8E-4032-9CA4-D0ED2C12C05C}" type="pres">
      <dgm:prSet presAssocID="{678474A7-8345-43A7-9784-D120317F7C61}" presName="Name19" presStyleLbl="parChTrans1D2" presStyleIdx="3" presStyleCnt="6"/>
      <dgm:spPr/>
      <dgm:t>
        <a:bodyPr/>
        <a:lstStyle/>
        <a:p>
          <a:endParaRPr lang="en-AU"/>
        </a:p>
      </dgm:t>
    </dgm:pt>
    <dgm:pt modelId="{7CFEAB7B-32AE-4022-A50F-9E50E83E3264}" type="pres">
      <dgm:prSet presAssocID="{9029E546-C852-47D4-96E9-BAED8870DADA}" presName="Name21" presStyleCnt="0"/>
      <dgm:spPr/>
    </dgm:pt>
    <dgm:pt modelId="{20514297-764F-4440-86DF-5F2AE29E3CD1}" type="pres">
      <dgm:prSet presAssocID="{9029E546-C852-47D4-96E9-BAED8870DADA}" presName="level2Shape" presStyleLbl="node2" presStyleIdx="3" presStyleCnt="6"/>
      <dgm:spPr/>
      <dgm:t>
        <a:bodyPr/>
        <a:lstStyle/>
        <a:p>
          <a:endParaRPr lang="en-AU"/>
        </a:p>
      </dgm:t>
    </dgm:pt>
    <dgm:pt modelId="{771D9434-7799-48FD-A5A3-D0DFE3E7B4F2}" type="pres">
      <dgm:prSet presAssocID="{9029E546-C852-47D4-96E9-BAED8870DADA}" presName="hierChild3" presStyleCnt="0"/>
      <dgm:spPr/>
    </dgm:pt>
    <dgm:pt modelId="{6DEDE5ED-C83B-48B1-A721-F1464AFB9B6D}" type="pres">
      <dgm:prSet presAssocID="{7951C406-DF4A-41AA-8399-FBD9E3D99012}" presName="Name19" presStyleLbl="parChTrans1D3" presStyleIdx="3" presStyleCnt="6"/>
      <dgm:spPr/>
      <dgm:t>
        <a:bodyPr/>
        <a:lstStyle/>
        <a:p>
          <a:endParaRPr lang="en-AU"/>
        </a:p>
      </dgm:t>
    </dgm:pt>
    <dgm:pt modelId="{98D14D77-200F-4574-81FB-0328AEE245DA}" type="pres">
      <dgm:prSet presAssocID="{3C9A5B8D-C5D1-49F5-B59A-366A573FCD09}" presName="Name21" presStyleCnt="0"/>
      <dgm:spPr/>
    </dgm:pt>
    <dgm:pt modelId="{1DEFF750-6110-4DB9-84CF-06DCFDF68EA8}" type="pres">
      <dgm:prSet presAssocID="{3C9A5B8D-C5D1-49F5-B59A-366A573FCD09}" presName="level2Shape" presStyleLbl="node3" presStyleIdx="3" presStyleCnt="6"/>
      <dgm:spPr/>
      <dgm:t>
        <a:bodyPr/>
        <a:lstStyle/>
        <a:p>
          <a:endParaRPr lang="en-AU"/>
        </a:p>
      </dgm:t>
    </dgm:pt>
    <dgm:pt modelId="{09347DC9-18EE-4889-AC2C-6EAF44D0DE0F}" type="pres">
      <dgm:prSet presAssocID="{3C9A5B8D-C5D1-49F5-B59A-366A573FCD09}" presName="hierChild3" presStyleCnt="0"/>
      <dgm:spPr/>
    </dgm:pt>
    <dgm:pt modelId="{55958652-73AD-4E7C-A491-FDDDC712F70B}" type="pres">
      <dgm:prSet presAssocID="{0E619E3D-FE4E-4A95-8E53-305C763C38BA}" presName="Name19" presStyleLbl="parChTrans1D4" presStyleIdx="5" presStyleCnt="9"/>
      <dgm:spPr/>
      <dgm:t>
        <a:bodyPr/>
        <a:lstStyle/>
        <a:p>
          <a:endParaRPr lang="en-AU"/>
        </a:p>
      </dgm:t>
    </dgm:pt>
    <dgm:pt modelId="{2DAF9B92-E126-4892-8AE7-1A87F1E66459}" type="pres">
      <dgm:prSet presAssocID="{AA50F534-7CFD-4140-A011-22A114DA0B34}" presName="Name21" presStyleCnt="0"/>
      <dgm:spPr/>
    </dgm:pt>
    <dgm:pt modelId="{261D5960-2EA2-4051-89A9-28840E37F36E}" type="pres">
      <dgm:prSet presAssocID="{AA50F534-7CFD-4140-A011-22A114DA0B34}" presName="level2Shape" presStyleLbl="node4" presStyleIdx="5" presStyleCnt="9"/>
      <dgm:spPr/>
      <dgm:t>
        <a:bodyPr/>
        <a:lstStyle/>
        <a:p>
          <a:endParaRPr lang="en-AU"/>
        </a:p>
      </dgm:t>
    </dgm:pt>
    <dgm:pt modelId="{FF248D8F-3CF4-4A55-9CB4-0431BBAD6612}" type="pres">
      <dgm:prSet presAssocID="{AA50F534-7CFD-4140-A011-22A114DA0B34}" presName="hierChild3" presStyleCnt="0"/>
      <dgm:spPr/>
    </dgm:pt>
    <dgm:pt modelId="{BA5725ED-70F0-4BD8-8EBA-9A7D3F13DC90}" type="pres">
      <dgm:prSet presAssocID="{D8D7EA91-F0AF-429E-8FE2-146679571EC9}" presName="Name19" presStyleLbl="parChTrans1D2" presStyleIdx="4" presStyleCnt="6"/>
      <dgm:spPr/>
      <dgm:t>
        <a:bodyPr/>
        <a:lstStyle/>
        <a:p>
          <a:endParaRPr lang="en-AU"/>
        </a:p>
      </dgm:t>
    </dgm:pt>
    <dgm:pt modelId="{507A11D8-99AE-4740-B5AB-854D65C13848}" type="pres">
      <dgm:prSet presAssocID="{90E66D08-D75C-4BB1-8FBD-1D0BE54D6DCA}" presName="Name21" presStyleCnt="0"/>
      <dgm:spPr/>
    </dgm:pt>
    <dgm:pt modelId="{BB6CCCB0-3D10-4F72-A8F9-E70A0C8B8ECE}" type="pres">
      <dgm:prSet presAssocID="{90E66D08-D75C-4BB1-8FBD-1D0BE54D6DCA}" presName="level2Shape" presStyleLbl="node2" presStyleIdx="4" presStyleCnt="6"/>
      <dgm:spPr/>
      <dgm:t>
        <a:bodyPr/>
        <a:lstStyle/>
        <a:p>
          <a:endParaRPr lang="en-AU"/>
        </a:p>
      </dgm:t>
    </dgm:pt>
    <dgm:pt modelId="{D0F44BE5-1AB8-40C1-9FAA-B82A0D6C6942}" type="pres">
      <dgm:prSet presAssocID="{90E66D08-D75C-4BB1-8FBD-1D0BE54D6DCA}" presName="hierChild3" presStyleCnt="0"/>
      <dgm:spPr/>
    </dgm:pt>
    <dgm:pt modelId="{B50ABD23-6E4A-4D37-85C6-BC81DF74045A}" type="pres">
      <dgm:prSet presAssocID="{63186383-24A3-4968-B507-F109CE0CDADA}" presName="Name19" presStyleLbl="parChTrans1D3" presStyleIdx="4" presStyleCnt="6"/>
      <dgm:spPr/>
      <dgm:t>
        <a:bodyPr/>
        <a:lstStyle/>
        <a:p>
          <a:endParaRPr lang="en-AU"/>
        </a:p>
      </dgm:t>
    </dgm:pt>
    <dgm:pt modelId="{714D32CB-E136-4D56-9A4F-8E35830C1EBF}" type="pres">
      <dgm:prSet presAssocID="{1D330E5A-6C9B-45AB-873C-70D576C84FAD}" presName="Name21" presStyleCnt="0"/>
      <dgm:spPr/>
    </dgm:pt>
    <dgm:pt modelId="{DECBA5EA-8E68-4176-861F-5D78B8BFE50A}" type="pres">
      <dgm:prSet presAssocID="{1D330E5A-6C9B-45AB-873C-70D576C84FAD}" presName="level2Shape" presStyleLbl="node3" presStyleIdx="4" presStyleCnt="6"/>
      <dgm:spPr/>
      <dgm:t>
        <a:bodyPr/>
        <a:lstStyle/>
        <a:p>
          <a:endParaRPr lang="en-AU"/>
        </a:p>
      </dgm:t>
    </dgm:pt>
    <dgm:pt modelId="{8C738277-BE54-4666-AB27-8C20DFEF266E}" type="pres">
      <dgm:prSet presAssocID="{1D330E5A-6C9B-45AB-873C-70D576C84FAD}" presName="hierChild3" presStyleCnt="0"/>
      <dgm:spPr/>
    </dgm:pt>
    <dgm:pt modelId="{288BFF9E-8CC9-4982-A7D1-FF2E99BFCD5A}" type="pres">
      <dgm:prSet presAssocID="{D92660DD-6D39-4711-AA45-E85FE5FD1142}" presName="Name19" presStyleLbl="parChTrans1D4" presStyleIdx="6" presStyleCnt="9"/>
      <dgm:spPr/>
      <dgm:t>
        <a:bodyPr/>
        <a:lstStyle/>
        <a:p>
          <a:endParaRPr lang="en-AU"/>
        </a:p>
      </dgm:t>
    </dgm:pt>
    <dgm:pt modelId="{EFEA34ED-3EE3-4EFE-AE0C-E626F4719B46}" type="pres">
      <dgm:prSet presAssocID="{09847920-542F-47B4-932D-FC57C978C1C3}" presName="Name21" presStyleCnt="0"/>
      <dgm:spPr/>
    </dgm:pt>
    <dgm:pt modelId="{65E199D6-5377-4142-9B91-ED445303890E}" type="pres">
      <dgm:prSet presAssocID="{09847920-542F-47B4-932D-FC57C978C1C3}" presName="level2Shape" presStyleLbl="node4" presStyleIdx="6" presStyleCnt="9"/>
      <dgm:spPr/>
      <dgm:t>
        <a:bodyPr/>
        <a:lstStyle/>
        <a:p>
          <a:endParaRPr lang="en-AU"/>
        </a:p>
      </dgm:t>
    </dgm:pt>
    <dgm:pt modelId="{85BC4F44-8FE6-4DCA-88A2-D5782B3D153F}" type="pres">
      <dgm:prSet presAssocID="{09847920-542F-47B4-932D-FC57C978C1C3}" presName="hierChild3" presStyleCnt="0"/>
      <dgm:spPr/>
    </dgm:pt>
    <dgm:pt modelId="{4F111C7D-860C-4D0D-B9D5-4667DEA01D12}" type="pres">
      <dgm:prSet presAssocID="{6B9065DF-F7A2-4D77-875F-DAFFA5F869AA}" presName="Name19" presStyleLbl="parChTrans1D2" presStyleIdx="5" presStyleCnt="6"/>
      <dgm:spPr/>
      <dgm:t>
        <a:bodyPr/>
        <a:lstStyle/>
        <a:p>
          <a:endParaRPr lang="en-AU"/>
        </a:p>
      </dgm:t>
    </dgm:pt>
    <dgm:pt modelId="{12816CD7-30A0-4B43-97C5-13875E33E7CD}" type="pres">
      <dgm:prSet presAssocID="{864D8341-7067-4333-9EFB-62FBFE334A0B}" presName="Name21" presStyleCnt="0"/>
      <dgm:spPr/>
    </dgm:pt>
    <dgm:pt modelId="{F69825A8-423F-4E84-BB7B-53F5783B86ED}" type="pres">
      <dgm:prSet presAssocID="{864D8341-7067-4333-9EFB-62FBFE334A0B}" presName="level2Shape" presStyleLbl="node2" presStyleIdx="5" presStyleCnt="6"/>
      <dgm:spPr/>
      <dgm:t>
        <a:bodyPr/>
        <a:lstStyle/>
        <a:p>
          <a:endParaRPr lang="en-AU"/>
        </a:p>
      </dgm:t>
    </dgm:pt>
    <dgm:pt modelId="{943786F2-A7AA-429C-A242-B2CCA3E5D1D9}" type="pres">
      <dgm:prSet presAssocID="{864D8341-7067-4333-9EFB-62FBFE334A0B}" presName="hierChild3" presStyleCnt="0"/>
      <dgm:spPr/>
    </dgm:pt>
    <dgm:pt modelId="{4DC08C8C-00EC-40B5-A946-83484CB872CA}" type="pres">
      <dgm:prSet presAssocID="{C2402F15-6D7B-4E38-BA22-50F0B4494655}" presName="Name19" presStyleLbl="parChTrans1D3" presStyleIdx="5" presStyleCnt="6"/>
      <dgm:spPr/>
      <dgm:t>
        <a:bodyPr/>
        <a:lstStyle/>
        <a:p>
          <a:endParaRPr lang="en-AU"/>
        </a:p>
      </dgm:t>
    </dgm:pt>
    <dgm:pt modelId="{8A67BA6D-B286-4BD5-86CB-DCF5D7B23AC1}" type="pres">
      <dgm:prSet presAssocID="{03964192-91B1-45AC-A714-5A7D40A0A864}" presName="Name21" presStyleCnt="0"/>
      <dgm:spPr/>
    </dgm:pt>
    <dgm:pt modelId="{3CF09E16-7084-490A-A90F-DBFF5577D864}" type="pres">
      <dgm:prSet presAssocID="{03964192-91B1-45AC-A714-5A7D40A0A864}" presName="level2Shape" presStyleLbl="node3" presStyleIdx="5" presStyleCnt="6"/>
      <dgm:spPr/>
      <dgm:t>
        <a:bodyPr/>
        <a:lstStyle/>
        <a:p>
          <a:endParaRPr lang="en-AU"/>
        </a:p>
      </dgm:t>
    </dgm:pt>
    <dgm:pt modelId="{C7EB5112-F89D-4124-AF73-EFB189EA99CB}" type="pres">
      <dgm:prSet presAssocID="{03964192-91B1-45AC-A714-5A7D40A0A864}" presName="hierChild3" presStyleCnt="0"/>
      <dgm:spPr/>
    </dgm:pt>
    <dgm:pt modelId="{DABEC337-609D-4CF8-8633-A7919225F620}" type="pres">
      <dgm:prSet presAssocID="{D644ABE8-F59E-4D7B-A9DE-7EB6CEBD6449}" presName="Name19" presStyleLbl="parChTrans1D4" presStyleIdx="7" presStyleCnt="9"/>
      <dgm:spPr/>
      <dgm:t>
        <a:bodyPr/>
        <a:lstStyle/>
        <a:p>
          <a:endParaRPr lang="en-AU"/>
        </a:p>
      </dgm:t>
    </dgm:pt>
    <dgm:pt modelId="{0002CF62-BE72-4F0F-BE98-576EE42A0D86}" type="pres">
      <dgm:prSet presAssocID="{6DE3A5BA-9509-4734-9854-3AF9B46F1139}" presName="Name21" presStyleCnt="0"/>
      <dgm:spPr/>
    </dgm:pt>
    <dgm:pt modelId="{EA7038B1-6E56-4CD7-AB21-C3ADB4155548}" type="pres">
      <dgm:prSet presAssocID="{6DE3A5BA-9509-4734-9854-3AF9B46F1139}" presName="level2Shape" presStyleLbl="node4" presStyleIdx="7" presStyleCnt="9"/>
      <dgm:spPr/>
      <dgm:t>
        <a:bodyPr/>
        <a:lstStyle/>
        <a:p>
          <a:endParaRPr lang="en-AU"/>
        </a:p>
      </dgm:t>
    </dgm:pt>
    <dgm:pt modelId="{90886390-0628-4253-87AB-BEF5F2E83F51}" type="pres">
      <dgm:prSet presAssocID="{6DE3A5BA-9509-4734-9854-3AF9B46F1139}" presName="hierChild3" presStyleCnt="0"/>
      <dgm:spPr/>
    </dgm:pt>
    <dgm:pt modelId="{6D3F4CCC-A3C9-4AF0-B4B3-0797B4F8F754}" type="pres">
      <dgm:prSet presAssocID="{CF705431-3E8B-41DA-9D33-E6100E2381BD}" presName="Name19" presStyleLbl="parChTrans1D4" presStyleIdx="8" presStyleCnt="9"/>
      <dgm:spPr/>
      <dgm:t>
        <a:bodyPr/>
        <a:lstStyle/>
        <a:p>
          <a:endParaRPr lang="en-AU"/>
        </a:p>
      </dgm:t>
    </dgm:pt>
    <dgm:pt modelId="{F429D830-FC72-4904-B875-F6A580A475E6}" type="pres">
      <dgm:prSet presAssocID="{A60EC90C-B940-45A5-91BE-84A08E8AC7CE}" presName="Name21" presStyleCnt="0"/>
      <dgm:spPr/>
    </dgm:pt>
    <dgm:pt modelId="{C6E43939-B28A-4AD3-9668-0C347C79B26B}" type="pres">
      <dgm:prSet presAssocID="{A60EC90C-B940-45A5-91BE-84A08E8AC7CE}" presName="level2Shape" presStyleLbl="node4" presStyleIdx="8" presStyleCnt="9"/>
      <dgm:spPr/>
      <dgm:t>
        <a:bodyPr/>
        <a:lstStyle/>
        <a:p>
          <a:endParaRPr lang="en-AU"/>
        </a:p>
      </dgm:t>
    </dgm:pt>
    <dgm:pt modelId="{E332405C-A7CA-4E04-8B7F-B2875DD10FFC}" type="pres">
      <dgm:prSet presAssocID="{A60EC90C-B940-45A5-91BE-84A08E8AC7CE}" presName="hierChild3" presStyleCnt="0"/>
      <dgm:spPr/>
    </dgm:pt>
    <dgm:pt modelId="{6DB2101E-C801-4F21-A2D6-51DBA43B2EA4}" type="pres">
      <dgm:prSet presAssocID="{EEE81B15-7A79-4456-8B78-9F6623742437}" presName="bgShapesFlow" presStyleCnt="0"/>
      <dgm:spPr/>
    </dgm:pt>
  </dgm:ptLst>
  <dgm:cxnLst>
    <dgm:cxn modelId="{8685DE32-6167-49F7-BE73-0C1E34FC815B}" type="presOf" srcId="{58FC3097-832E-4D29-97AD-98C23F6C14E0}" destId="{AD728BDA-C8D3-4FBE-9DCD-44A93983F636}" srcOrd="0" destOrd="0" presId="urn:microsoft.com/office/officeart/2005/8/layout/hierarchy6"/>
    <dgm:cxn modelId="{5B34441C-FE25-49DB-8415-E4E1F45E8615}" type="presOf" srcId="{3C9A5B8D-C5D1-49F5-B59A-366A573FCD09}" destId="{1DEFF750-6110-4DB9-84CF-06DCFDF68EA8}" srcOrd="0" destOrd="0" presId="urn:microsoft.com/office/officeart/2005/8/layout/hierarchy6"/>
    <dgm:cxn modelId="{04E5345A-BE19-4B3F-85A2-47C8BABB1E53}" type="presOf" srcId="{55A6CFEE-6132-4B54-AAFB-3E3B4B680EA6}" destId="{743C05BF-7441-40E7-9654-5A318622DFD4}" srcOrd="0" destOrd="0" presId="urn:microsoft.com/office/officeart/2005/8/layout/hierarchy6"/>
    <dgm:cxn modelId="{09062E76-D05A-4C32-A120-26E8915B688A}" srcId="{03964192-91B1-45AC-A714-5A7D40A0A864}" destId="{6DE3A5BA-9509-4734-9854-3AF9B46F1139}" srcOrd="0" destOrd="0" parTransId="{D644ABE8-F59E-4D7B-A9DE-7EB6CEBD6449}" sibTransId="{008FFBDE-4ABD-475D-B984-E61E44EACA3D}"/>
    <dgm:cxn modelId="{C5231259-0089-41B5-BE9C-EC24E831F365}" type="presOf" srcId="{A60EC90C-B940-45A5-91BE-84A08E8AC7CE}" destId="{C6E43939-B28A-4AD3-9668-0C347C79B26B}" srcOrd="0" destOrd="0" presId="urn:microsoft.com/office/officeart/2005/8/layout/hierarchy6"/>
    <dgm:cxn modelId="{96F94882-0205-449E-860A-B2DE2D62B86F}" srcId="{90E66D08-D75C-4BB1-8FBD-1D0BE54D6DCA}" destId="{1D330E5A-6C9B-45AB-873C-70D576C84FAD}" srcOrd="0" destOrd="0" parTransId="{63186383-24A3-4968-B507-F109CE0CDADA}" sibTransId="{31940B20-AEA8-4F63-AC62-0A7D678D4133}"/>
    <dgm:cxn modelId="{E8702628-0968-4738-BEB1-82CFA4A0A602}" type="presOf" srcId="{1D330E5A-6C9B-45AB-873C-70D576C84FAD}" destId="{DECBA5EA-8E68-4176-861F-5D78B8BFE50A}" srcOrd="0" destOrd="0" presId="urn:microsoft.com/office/officeart/2005/8/layout/hierarchy6"/>
    <dgm:cxn modelId="{E700AD42-D7E9-446F-A288-C50B562626D1}" srcId="{A1762B34-F272-45CD-9798-98AAF5E1DAF8}" destId="{83A4C950-A022-44F6-8D35-0A22B1CF1FB2}" srcOrd="0" destOrd="0" parTransId="{C29B0645-3D9E-451B-A1AB-B8F62AD4BC00}" sibTransId="{00D7E603-5457-42FF-9CFB-7A70206661E7}"/>
    <dgm:cxn modelId="{1BB96053-2026-4921-83F9-F6C9E1C51410}" type="presOf" srcId="{A06A1676-6E32-4C04-ABA2-12B065C3D8F7}" destId="{18E5C405-1B6E-45CE-9BE4-314A3DF821B0}" srcOrd="0" destOrd="0" presId="urn:microsoft.com/office/officeart/2005/8/layout/hierarchy6"/>
    <dgm:cxn modelId="{E7C19D27-A970-4C7B-8D8E-1C1E9C1CA507}" srcId="{864D8341-7067-4333-9EFB-62FBFE334A0B}" destId="{03964192-91B1-45AC-A714-5A7D40A0A864}" srcOrd="0" destOrd="0" parTransId="{C2402F15-6D7B-4E38-BA22-50F0B4494655}" sibTransId="{A9EA0310-7DF7-4AB0-AB2D-C124373A1547}"/>
    <dgm:cxn modelId="{D1708133-F45C-47EF-A22C-7D29424034E1}" type="presOf" srcId="{EEE81B15-7A79-4456-8B78-9F6623742437}" destId="{46768D7A-F8AF-49EA-B1D0-BE2162EB4C29}" srcOrd="0" destOrd="0" presId="urn:microsoft.com/office/officeart/2005/8/layout/hierarchy6"/>
    <dgm:cxn modelId="{7E907C50-FAF1-45ED-BF5D-D79A754738B6}" srcId="{63FBCF20-CE51-4DF0-A598-7FD875447593}" destId="{EA3E7044-9F61-4242-BF6C-7F059AA93358}" srcOrd="0" destOrd="0" parTransId="{9EE49CA4-276A-4595-AEC1-3EA78B37B215}" sibTransId="{A65115BA-AB21-4FDE-98FD-FFF35FE475D0}"/>
    <dgm:cxn modelId="{D6EFCD09-4023-4A29-92D0-211EFAEB636F}" srcId="{3B4B1DD6-E0CE-43C2-98A9-35E42946DD6C}" destId="{E3C25FFA-D44E-4C8B-9890-E43F1DF6628D}" srcOrd="0" destOrd="0" parTransId="{A5837258-056E-413C-97C5-5D00F7E9FEDC}" sibTransId="{E4359576-9199-47C1-B20B-9ACE61FA2CE5}"/>
    <dgm:cxn modelId="{1A964FDD-0E62-4F42-BE47-906081F28A8E}" type="presOf" srcId="{6DE3A5BA-9509-4734-9854-3AF9B46F1139}" destId="{EA7038B1-6E56-4CD7-AB21-C3ADB4155548}" srcOrd="0" destOrd="0" presId="urn:microsoft.com/office/officeart/2005/8/layout/hierarchy6"/>
    <dgm:cxn modelId="{4293A697-96C0-4D77-B52C-E8464F7CD659}" type="presOf" srcId="{3B4B1DD6-E0CE-43C2-98A9-35E42946DD6C}" destId="{1DA1F71C-2959-49DD-A430-B823EDA222A8}" srcOrd="0" destOrd="0" presId="urn:microsoft.com/office/officeart/2005/8/layout/hierarchy6"/>
    <dgm:cxn modelId="{7E88F045-1196-499B-82F1-ECA55F568B3A}" srcId="{3C9A5B8D-C5D1-49F5-B59A-366A573FCD09}" destId="{AA50F534-7CFD-4140-A011-22A114DA0B34}" srcOrd="0" destOrd="0" parTransId="{0E619E3D-FE4E-4A95-8E53-305C763C38BA}" sibTransId="{D425F04C-4D3C-479C-8298-5891A2B3B304}"/>
    <dgm:cxn modelId="{78F27859-6E25-4697-A2E6-FE69B62710BF}" srcId="{2B0C68CF-4C8C-4518-80C7-A54A4F19683C}" destId="{B50589D2-403A-4B05-91AC-D773EC98E229}" srcOrd="0" destOrd="0" parTransId="{E671C10B-BF33-4769-BC31-96A11FA87EFA}" sibTransId="{A221F979-E3AC-46CE-A49D-CF572560F67F}"/>
    <dgm:cxn modelId="{DE69809B-FABF-4655-860F-BFDCA3B02F39}" type="presOf" srcId="{678474A7-8345-43A7-9784-D120317F7C61}" destId="{8BE48B4E-1A8E-4032-9CA4-D0ED2C12C05C}" srcOrd="0" destOrd="0" presId="urn:microsoft.com/office/officeart/2005/8/layout/hierarchy6"/>
    <dgm:cxn modelId="{01CD9F67-830F-4E50-9DAE-48BC08A7DBD1}" type="presOf" srcId="{09847920-542F-47B4-932D-FC57C978C1C3}" destId="{65E199D6-5377-4142-9B91-ED445303890E}" srcOrd="0" destOrd="0" presId="urn:microsoft.com/office/officeart/2005/8/layout/hierarchy6"/>
    <dgm:cxn modelId="{C0BD89A5-E739-4D47-AD97-4A4FF4E7DBB1}" type="presOf" srcId="{90E66D08-D75C-4BB1-8FBD-1D0BE54D6DCA}" destId="{BB6CCCB0-3D10-4F72-A8F9-E70A0C8B8ECE}" srcOrd="0" destOrd="0" presId="urn:microsoft.com/office/officeart/2005/8/layout/hierarchy6"/>
    <dgm:cxn modelId="{95A49C8A-41D4-4B11-92FB-1AD6F7EE4020}" type="presOf" srcId="{2B0C68CF-4C8C-4518-80C7-A54A4F19683C}" destId="{1B2AFD64-E197-46ED-9536-FD7E6EC492C4}" srcOrd="0" destOrd="0" presId="urn:microsoft.com/office/officeart/2005/8/layout/hierarchy6"/>
    <dgm:cxn modelId="{41FFF329-BA5F-4414-8A54-5B0D443A6BE9}" type="presOf" srcId="{CF705431-3E8B-41DA-9D33-E6100E2381BD}" destId="{6D3F4CCC-A3C9-4AF0-B4B3-0797B4F8F754}" srcOrd="0" destOrd="0" presId="urn:microsoft.com/office/officeart/2005/8/layout/hierarchy6"/>
    <dgm:cxn modelId="{C27081A1-D24B-4EBE-8DAF-81ECA6907201}" srcId="{3F9AEA43-7925-4FFA-894D-D50FE2CC8708}" destId="{A06A1676-6E32-4C04-ABA2-12B065C3D8F7}" srcOrd="0" destOrd="0" parTransId="{58FC3097-832E-4D29-97AD-98C23F6C14E0}" sibTransId="{541121A7-E01F-4B05-9AA2-E08294F1A807}"/>
    <dgm:cxn modelId="{2304D257-4BC5-476B-8419-E78E57B710C8}" srcId="{6DE3A5BA-9509-4734-9854-3AF9B46F1139}" destId="{A60EC90C-B940-45A5-91BE-84A08E8AC7CE}" srcOrd="0" destOrd="0" parTransId="{CF705431-3E8B-41DA-9D33-E6100E2381BD}" sibTransId="{968A642D-72DD-4D87-A5F3-F758F0043FBF}"/>
    <dgm:cxn modelId="{85CF03A7-C7CB-4180-A8DE-1713518C3457}" type="presOf" srcId="{B50589D2-403A-4B05-91AC-D773EC98E229}" destId="{A86BC397-0448-4403-8653-DBF904B4748B}" srcOrd="0" destOrd="0" presId="urn:microsoft.com/office/officeart/2005/8/layout/hierarchy6"/>
    <dgm:cxn modelId="{8D249184-CE57-4633-A099-8275F53F9DE3}" type="presOf" srcId="{C2402F15-6D7B-4E38-BA22-50F0B4494655}" destId="{4DC08C8C-00EC-40B5-A946-83484CB872CA}" srcOrd="0" destOrd="0" presId="urn:microsoft.com/office/officeart/2005/8/layout/hierarchy6"/>
    <dgm:cxn modelId="{1C5789D8-2293-4F94-88D9-109B66B54AA3}" srcId="{EEE81B15-7A79-4456-8B78-9F6623742437}" destId="{A1762B34-F272-45CD-9798-98AAF5E1DAF8}" srcOrd="0" destOrd="0" parTransId="{94EBE66A-3A3B-4CCE-A534-9D06FC467E1D}" sibTransId="{1CBBAFD1-9FBB-4112-9133-61F8C22B1C18}"/>
    <dgm:cxn modelId="{2CF1FB89-EB8C-44FD-BC4C-7EDC9DB99277}" srcId="{A1762B34-F272-45CD-9798-98AAF5E1DAF8}" destId="{9029E546-C852-47D4-96E9-BAED8870DADA}" srcOrd="3" destOrd="0" parTransId="{678474A7-8345-43A7-9784-D120317F7C61}" sibTransId="{38E795F8-B16B-4CBD-828F-7EC3D3460D2F}"/>
    <dgm:cxn modelId="{71307E1B-49FC-47C2-B103-E538FB87086B}" srcId="{EA3E7044-9F61-4242-BF6C-7F059AA93358}" destId="{3B4B1DD6-E0CE-43C2-98A9-35E42946DD6C}" srcOrd="0" destOrd="0" parTransId="{DCD30CB6-19EB-42FB-B815-F74D87A67658}" sibTransId="{C06FC572-2EAA-43B7-92E8-594770B68D15}"/>
    <dgm:cxn modelId="{695C8564-C5A1-4C05-8F3F-541F7ED5A74F}" type="presOf" srcId="{A1762B34-F272-45CD-9798-98AAF5E1DAF8}" destId="{7E6BA988-A646-4660-9E17-F03A9F60EC90}" srcOrd="0" destOrd="0" presId="urn:microsoft.com/office/officeart/2005/8/layout/hierarchy6"/>
    <dgm:cxn modelId="{2DFA7A91-941C-4A54-87FE-461C3C3B21C4}" type="presOf" srcId="{C29B0645-3D9E-451B-A1AB-B8F62AD4BC00}" destId="{01111E40-A1A4-4470-B48B-81F8C7F3C0B0}" srcOrd="0" destOrd="0" presId="urn:microsoft.com/office/officeart/2005/8/layout/hierarchy6"/>
    <dgm:cxn modelId="{F66485C7-4ED2-4C24-A3B9-9AF22E565206}" type="presOf" srcId="{DB030402-4CC4-4E51-97A6-7BAC8ACA60EE}" destId="{3A59DF8F-2542-4A66-8E18-DBDFCEAE2D12}" srcOrd="0" destOrd="0" presId="urn:microsoft.com/office/officeart/2005/8/layout/hierarchy6"/>
    <dgm:cxn modelId="{AF8B9A2E-A03A-41E5-9723-309454202939}" type="presOf" srcId="{63186383-24A3-4968-B507-F109CE0CDADA}" destId="{B50ABD23-6E4A-4D37-85C6-BC81DF74045A}" srcOrd="0" destOrd="0" presId="urn:microsoft.com/office/officeart/2005/8/layout/hierarchy6"/>
    <dgm:cxn modelId="{F3685A38-A668-49EB-8D3E-91E6850BADFC}" srcId="{A1762B34-F272-45CD-9798-98AAF5E1DAF8}" destId="{90E66D08-D75C-4BB1-8FBD-1D0BE54D6DCA}" srcOrd="4" destOrd="0" parTransId="{D8D7EA91-F0AF-429E-8FE2-146679571EC9}" sibTransId="{B5533327-4631-46A6-894F-9A40EAB17630}"/>
    <dgm:cxn modelId="{6A80D159-AD43-4CEF-86AB-C1D3F821503F}" type="presOf" srcId="{E671C10B-BF33-4769-BC31-96A11FA87EFA}" destId="{0BF8AA2F-BBB6-4D79-847F-E3B3D416EDCD}" srcOrd="0" destOrd="0" presId="urn:microsoft.com/office/officeart/2005/8/layout/hierarchy6"/>
    <dgm:cxn modelId="{08E83122-8EC0-4480-986D-210519F6E2A2}" srcId="{9029E546-C852-47D4-96E9-BAED8870DADA}" destId="{3C9A5B8D-C5D1-49F5-B59A-366A573FCD09}" srcOrd="0" destOrd="0" parTransId="{7951C406-DF4A-41AA-8399-FBD9E3D99012}" sibTransId="{1CF513B8-B633-4D7D-B459-B51F67391B90}"/>
    <dgm:cxn modelId="{81D0777A-3746-4E42-892E-6E61769D72FF}" type="presOf" srcId="{DCD30CB6-19EB-42FB-B815-F74D87A67658}" destId="{C941EBFC-94F2-4353-85F2-DA791AB65EE4}" srcOrd="0" destOrd="0" presId="urn:microsoft.com/office/officeart/2005/8/layout/hierarchy6"/>
    <dgm:cxn modelId="{201A1C85-9573-4AF2-96E7-9033CF499328}" srcId="{5768F75F-7A3C-460A-A5CE-0CD542D7CF04}" destId="{3F9AEA43-7925-4FFA-894D-D50FE2CC8708}" srcOrd="0" destOrd="0" parTransId="{55A6CFEE-6132-4B54-AAFB-3E3B4B680EA6}" sibTransId="{1384CFEE-F6CB-4940-A3AA-28A802A5A11C}"/>
    <dgm:cxn modelId="{D50B4C23-5913-4F0B-8263-E8237958099C}" type="presOf" srcId="{09C65542-64B2-4725-B1DF-C31972C7FC5B}" destId="{261F41B6-1FEA-40DC-AED7-29D8BE6DCDB9}" srcOrd="0" destOrd="0" presId="urn:microsoft.com/office/officeart/2005/8/layout/hierarchy6"/>
    <dgm:cxn modelId="{1C317E58-0C1D-4AD8-8C28-A74A41540FC6}" type="presOf" srcId="{9EE49CA4-276A-4595-AEC1-3EA78B37B215}" destId="{2099C3BA-C22C-4015-BA3E-94822C7912BF}" srcOrd="0" destOrd="0" presId="urn:microsoft.com/office/officeart/2005/8/layout/hierarchy6"/>
    <dgm:cxn modelId="{3468050E-1A41-4470-A000-47277D205451}" type="presOf" srcId="{5768F75F-7A3C-460A-A5CE-0CD542D7CF04}" destId="{62C808E7-0822-46EE-8A6E-6CB069F894A9}" srcOrd="0" destOrd="0" presId="urn:microsoft.com/office/officeart/2005/8/layout/hierarchy6"/>
    <dgm:cxn modelId="{28D445E5-3DAA-4933-B997-97B644C88BAB}" type="presOf" srcId="{541631CE-62C9-4266-8A50-C0F608BC6C07}" destId="{AF6B22C5-532D-44EA-A4E1-5FEF2EC01F5D}" srcOrd="0" destOrd="0" presId="urn:microsoft.com/office/officeart/2005/8/layout/hierarchy6"/>
    <dgm:cxn modelId="{F3E1B5E8-518D-498D-96F5-FC6805F640DD}" type="presOf" srcId="{9029E546-C852-47D4-96E9-BAED8870DADA}" destId="{20514297-764F-4440-86DF-5F2AE29E3CD1}" srcOrd="0" destOrd="0" presId="urn:microsoft.com/office/officeart/2005/8/layout/hierarchy6"/>
    <dgm:cxn modelId="{BDB4F2E8-905E-4347-9F09-6ACF3B7580AD}" type="presOf" srcId="{864D8341-7067-4333-9EFB-62FBFE334A0B}" destId="{F69825A8-423F-4E84-BB7B-53F5783B86ED}" srcOrd="0" destOrd="0" presId="urn:microsoft.com/office/officeart/2005/8/layout/hierarchy6"/>
    <dgm:cxn modelId="{BC16E759-147D-4B5F-AF0C-113B46DC7E7F}" type="presOf" srcId="{3F9AEA43-7925-4FFA-894D-D50FE2CC8708}" destId="{F33196A5-AAA5-4F96-BD6B-ED69EEFF47D9}" srcOrd="0" destOrd="0" presId="urn:microsoft.com/office/officeart/2005/8/layout/hierarchy6"/>
    <dgm:cxn modelId="{21D7E4DA-43B7-4BEF-9291-F16BE5F57B32}" type="presOf" srcId="{A4DDD073-F925-48DB-B88A-5A151E7779AB}" destId="{EEBBAB1D-B7CC-4C70-95CC-820A2C0AE5A1}" srcOrd="0" destOrd="0" presId="urn:microsoft.com/office/officeart/2005/8/layout/hierarchy6"/>
    <dgm:cxn modelId="{5923B2BE-05B3-4905-8017-F39259880230}" type="presOf" srcId="{D644ABE8-F59E-4D7B-A9DE-7EB6CEBD6449}" destId="{DABEC337-609D-4CF8-8633-A7919225F620}" srcOrd="0" destOrd="0" presId="urn:microsoft.com/office/officeart/2005/8/layout/hierarchy6"/>
    <dgm:cxn modelId="{34B87947-159C-413C-B4A1-FD9748455CB4}" srcId="{A1762B34-F272-45CD-9798-98AAF5E1DAF8}" destId="{63FBCF20-CE51-4DF0-A598-7FD875447593}" srcOrd="2" destOrd="0" parTransId="{541631CE-62C9-4266-8A50-C0F608BC6C07}" sibTransId="{63F03065-6F54-441F-B6D8-87ABBBFBD6BA}"/>
    <dgm:cxn modelId="{EF44BD36-FA1E-44C8-9458-289F1B1D4DF9}" type="presOf" srcId="{D8D7EA91-F0AF-429E-8FE2-146679571EC9}" destId="{BA5725ED-70F0-4BD8-8EBA-9A7D3F13DC90}" srcOrd="0" destOrd="0" presId="urn:microsoft.com/office/officeart/2005/8/layout/hierarchy6"/>
    <dgm:cxn modelId="{1A1165B2-D97F-4800-B79B-93BBCE20B8EB}" type="presOf" srcId="{3D58A788-CBEF-4782-9316-7447E00D1D39}" destId="{E4E7F2EA-5BD7-462A-B659-24A211709326}" srcOrd="0" destOrd="0" presId="urn:microsoft.com/office/officeart/2005/8/layout/hierarchy6"/>
    <dgm:cxn modelId="{14A6EDD8-72B4-44CC-8F0F-1CA799222FC4}" type="presOf" srcId="{63FBCF20-CE51-4DF0-A598-7FD875447593}" destId="{BEEAB6ED-FADB-424C-AEFD-0550A6156DDC}" srcOrd="0" destOrd="0" presId="urn:microsoft.com/office/officeart/2005/8/layout/hierarchy6"/>
    <dgm:cxn modelId="{16918D5F-3B4C-46D3-84A5-71DA8830081C}" type="presOf" srcId="{A5837258-056E-413C-97C5-5D00F7E9FEDC}" destId="{7DCD18FB-B51B-4838-B70C-E6B687755440}" srcOrd="0" destOrd="0" presId="urn:microsoft.com/office/officeart/2005/8/layout/hierarchy6"/>
    <dgm:cxn modelId="{261C8126-B039-48F0-87ED-381CFD107C7B}" type="presOf" srcId="{D92660DD-6D39-4711-AA45-E85FE5FD1142}" destId="{288BFF9E-8CC9-4982-A7D1-FF2E99BFCD5A}" srcOrd="0" destOrd="0" presId="urn:microsoft.com/office/officeart/2005/8/layout/hierarchy6"/>
    <dgm:cxn modelId="{E7FE9F94-1CFD-4151-9152-137A486E97AD}" type="presOf" srcId="{0E619E3D-FE4E-4A95-8E53-305C763C38BA}" destId="{55958652-73AD-4E7C-A491-FDDDC712F70B}" srcOrd="0" destOrd="0" presId="urn:microsoft.com/office/officeart/2005/8/layout/hierarchy6"/>
    <dgm:cxn modelId="{D7F12ACD-04C6-42B1-980F-E0C8C8F8C166}" srcId="{A1762B34-F272-45CD-9798-98AAF5E1DAF8}" destId="{5768F75F-7A3C-460A-A5CE-0CD542D7CF04}" srcOrd="1" destOrd="0" parTransId="{3D58A788-CBEF-4782-9316-7447E00D1D39}" sibTransId="{31C717D0-F6FB-4ADC-BE26-FFE5F06AFE7B}"/>
    <dgm:cxn modelId="{FF00A579-73F6-4271-B44A-12B14B24A4CC}" type="presOf" srcId="{03964192-91B1-45AC-A714-5A7D40A0A864}" destId="{3CF09E16-7084-490A-A90F-DBFF5577D864}" srcOrd="0" destOrd="0" presId="urn:microsoft.com/office/officeart/2005/8/layout/hierarchy6"/>
    <dgm:cxn modelId="{AC51B6FB-5530-42EB-8500-39A6939592C4}" srcId="{1D330E5A-6C9B-45AB-873C-70D576C84FAD}" destId="{09847920-542F-47B4-932D-FC57C978C1C3}" srcOrd="0" destOrd="0" parTransId="{D92660DD-6D39-4711-AA45-E85FE5FD1142}" sibTransId="{33134690-526C-4C53-ADAE-76790CE343F7}"/>
    <dgm:cxn modelId="{F211AD4B-B5C6-401A-AD48-A668F0A8D623}" srcId="{83A4C950-A022-44F6-8D35-0A22B1CF1FB2}" destId="{2B0C68CF-4C8C-4518-80C7-A54A4F19683C}" srcOrd="0" destOrd="0" parTransId="{DB030402-4CC4-4E51-97A6-7BAC8ACA60EE}" sibTransId="{0DD08AAA-3F48-434C-9611-5112C7BD5AA2}"/>
    <dgm:cxn modelId="{922572F0-A4D4-466F-A548-976B1469FEE2}" type="presOf" srcId="{AA50F534-7CFD-4140-A011-22A114DA0B34}" destId="{261D5960-2EA2-4051-89A9-28840E37F36E}" srcOrd="0" destOrd="0" presId="urn:microsoft.com/office/officeart/2005/8/layout/hierarchy6"/>
    <dgm:cxn modelId="{52C3C5DB-0784-426E-A7ED-2C4076A2B259}" type="presOf" srcId="{6B9065DF-F7A2-4D77-875F-DAFFA5F869AA}" destId="{4F111C7D-860C-4D0D-B9D5-4667DEA01D12}" srcOrd="0" destOrd="0" presId="urn:microsoft.com/office/officeart/2005/8/layout/hierarchy6"/>
    <dgm:cxn modelId="{0CD38184-A903-4504-A7AB-E6817337FA2E}" type="presOf" srcId="{E3C25FFA-D44E-4C8B-9890-E43F1DF6628D}" destId="{39B75839-F955-43DF-98E0-E1A2641851AE}" srcOrd="0" destOrd="0" presId="urn:microsoft.com/office/officeart/2005/8/layout/hierarchy6"/>
    <dgm:cxn modelId="{997B8ECD-8EED-48FA-BFDA-86C58D3669C9}" srcId="{A1762B34-F272-45CD-9798-98AAF5E1DAF8}" destId="{864D8341-7067-4333-9EFB-62FBFE334A0B}" srcOrd="5" destOrd="0" parTransId="{6B9065DF-F7A2-4D77-875F-DAFFA5F869AA}" sibTransId="{805EEE38-F13C-4C7A-8A41-E05A85CAF1EC}"/>
    <dgm:cxn modelId="{2D636754-115A-4F2F-A9CE-ADB8A9B86E00}" srcId="{E3C25FFA-D44E-4C8B-9890-E43F1DF6628D}" destId="{A4DDD073-F925-48DB-B88A-5A151E7779AB}" srcOrd="0" destOrd="0" parTransId="{09C65542-64B2-4725-B1DF-C31972C7FC5B}" sibTransId="{29A72BA8-E215-4382-A75D-966B1219674A}"/>
    <dgm:cxn modelId="{FB817B76-F26F-44CB-96A4-34796942B5DA}" type="presOf" srcId="{83A4C950-A022-44F6-8D35-0A22B1CF1FB2}" destId="{DE960B8A-7905-4FEF-B125-906DC34F31A2}" srcOrd="0" destOrd="0" presId="urn:microsoft.com/office/officeart/2005/8/layout/hierarchy6"/>
    <dgm:cxn modelId="{E816F40A-AF50-4006-8DD6-57316E0727A2}" type="presOf" srcId="{7951C406-DF4A-41AA-8399-FBD9E3D99012}" destId="{6DEDE5ED-C83B-48B1-A721-F1464AFB9B6D}" srcOrd="0" destOrd="0" presId="urn:microsoft.com/office/officeart/2005/8/layout/hierarchy6"/>
    <dgm:cxn modelId="{1AF16364-0A9D-4F7A-9273-05811805ECFB}" type="presOf" srcId="{EA3E7044-9F61-4242-BF6C-7F059AA93358}" destId="{FA375315-21AE-4AAB-938C-7A0974DF9780}" srcOrd="0" destOrd="0" presId="urn:microsoft.com/office/officeart/2005/8/layout/hierarchy6"/>
    <dgm:cxn modelId="{0A415E03-B947-4891-92C5-E08ECCB4600D}" type="presParOf" srcId="{46768D7A-F8AF-49EA-B1D0-BE2162EB4C29}" destId="{DD8C8043-5FF3-49A8-8697-70E9C4EEFD05}" srcOrd="0" destOrd="0" presId="urn:microsoft.com/office/officeart/2005/8/layout/hierarchy6"/>
    <dgm:cxn modelId="{7D8DB189-E34F-4A3A-B5C3-26EB71674982}" type="presParOf" srcId="{DD8C8043-5FF3-49A8-8697-70E9C4EEFD05}" destId="{7853AB22-E7B7-45C1-858B-469B5D4F0C9E}" srcOrd="0" destOrd="0" presId="urn:microsoft.com/office/officeart/2005/8/layout/hierarchy6"/>
    <dgm:cxn modelId="{1DFD08F0-C822-4973-9818-1D320AA91FA2}" type="presParOf" srcId="{7853AB22-E7B7-45C1-858B-469B5D4F0C9E}" destId="{9B66741C-8D61-4E1C-89F4-BC810F8F7053}" srcOrd="0" destOrd="0" presId="urn:microsoft.com/office/officeart/2005/8/layout/hierarchy6"/>
    <dgm:cxn modelId="{F738A23F-4AD0-4C98-9C79-6402B5D10C84}" type="presParOf" srcId="{9B66741C-8D61-4E1C-89F4-BC810F8F7053}" destId="{7E6BA988-A646-4660-9E17-F03A9F60EC90}" srcOrd="0" destOrd="0" presId="urn:microsoft.com/office/officeart/2005/8/layout/hierarchy6"/>
    <dgm:cxn modelId="{A8726C64-6C4B-4DD4-A84A-298BF0A32181}" type="presParOf" srcId="{9B66741C-8D61-4E1C-89F4-BC810F8F7053}" destId="{C625DE0C-11D3-45D5-9984-6A9E3AC6EF65}" srcOrd="1" destOrd="0" presId="urn:microsoft.com/office/officeart/2005/8/layout/hierarchy6"/>
    <dgm:cxn modelId="{1E4D83CF-DA78-445B-8310-718E530844E2}" type="presParOf" srcId="{C625DE0C-11D3-45D5-9984-6A9E3AC6EF65}" destId="{01111E40-A1A4-4470-B48B-81F8C7F3C0B0}" srcOrd="0" destOrd="0" presId="urn:microsoft.com/office/officeart/2005/8/layout/hierarchy6"/>
    <dgm:cxn modelId="{C60CBACB-4451-4DC4-A789-0D2EB063BCA1}" type="presParOf" srcId="{C625DE0C-11D3-45D5-9984-6A9E3AC6EF65}" destId="{02C3DC6E-E858-4DB4-B1EA-528FC8AFE1DA}" srcOrd="1" destOrd="0" presId="urn:microsoft.com/office/officeart/2005/8/layout/hierarchy6"/>
    <dgm:cxn modelId="{F704C010-FD37-494D-A117-B8772270820F}" type="presParOf" srcId="{02C3DC6E-E858-4DB4-B1EA-528FC8AFE1DA}" destId="{DE960B8A-7905-4FEF-B125-906DC34F31A2}" srcOrd="0" destOrd="0" presId="urn:microsoft.com/office/officeart/2005/8/layout/hierarchy6"/>
    <dgm:cxn modelId="{B5FC0B8C-9620-449A-9060-D3835A4B4114}" type="presParOf" srcId="{02C3DC6E-E858-4DB4-B1EA-528FC8AFE1DA}" destId="{E224F786-2AE4-47C3-BEA7-D0EF9B0E2552}" srcOrd="1" destOrd="0" presId="urn:microsoft.com/office/officeart/2005/8/layout/hierarchy6"/>
    <dgm:cxn modelId="{291275CB-A53F-472B-8E3F-84C07C025A47}" type="presParOf" srcId="{E224F786-2AE4-47C3-BEA7-D0EF9B0E2552}" destId="{3A59DF8F-2542-4A66-8E18-DBDFCEAE2D12}" srcOrd="0" destOrd="0" presId="urn:microsoft.com/office/officeart/2005/8/layout/hierarchy6"/>
    <dgm:cxn modelId="{94D7CE23-AB88-4C10-81B6-7C31B961603E}" type="presParOf" srcId="{E224F786-2AE4-47C3-BEA7-D0EF9B0E2552}" destId="{F2C3C1E1-036D-4F7C-A4AA-A20568AE55E7}" srcOrd="1" destOrd="0" presId="urn:microsoft.com/office/officeart/2005/8/layout/hierarchy6"/>
    <dgm:cxn modelId="{10E5F51B-56C9-41FA-A8B5-978D58B63D52}" type="presParOf" srcId="{F2C3C1E1-036D-4F7C-A4AA-A20568AE55E7}" destId="{1B2AFD64-E197-46ED-9536-FD7E6EC492C4}" srcOrd="0" destOrd="0" presId="urn:microsoft.com/office/officeart/2005/8/layout/hierarchy6"/>
    <dgm:cxn modelId="{46B15182-CDBA-40C5-AE7E-E3534281082D}" type="presParOf" srcId="{F2C3C1E1-036D-4F7C-A4AA-A20568AE55E7}" destId="{EA427421-BA00-461D-91B1-4C5A20090928}" srcOrd="1" destOrd="0" presId="urn:microsoft.com/office/officeart/2005/8/layout/hierarchy6"/>
    <dgm:cxn modelId="{ACDFC479-6271-4571-88D8-E9B06EBA6744}" type="presParOf" srcId="{EA427421-BA00-461D-91B1-4C5A20090928}" destId="{0BF8AA2F-BBB6-4D79-847F-E3B3D416EDCD}" srcOrd="0" destOrd="0" presId="urn:microsoft.com/office/officeart/2005/8/layout/hierarchy6"/>
    <dgm:cxn modelId="{7717B9E8-0870-48D2-AAD5-604C8250E2B4}" type="presParOf" srcId="{EA427421-BA00-461D-91B1-4C5A20090928}" destId="{EB2D6865-7EA4-41F5-9B69-47B98191616C}" srcOrd="1" destOrd="0" presId="urn:microsoft.com/office/officeart/2005/8/layout/hierarchy6"/>
    <dgm:cxn modelId="{91562184-A90B-46E6-A50A-9D81D95550EB}" type="presParOf" srcId="{EB2D6865-7EA4-41F5-9B69-47B98191616C}" destId="{A86BC397-0448-4403-8653-DBF904B4748B}" srcOrd="0" destOrd="0" presId="urn:microsoft.com/office/officeart/2005/8/layout/hierarchy6"/>
    <dgm:cxn modelId="{A27226CC-FA87-4D68-8304-D6C64C7915C6}" type="presParOf" srcId="{EB2D6865-7EA4-41F5-9B69-47B98191616C}" destId="{A85D958B-8EF5-436B-9D27-EA1601500A5D}" srcOrd="1" destOrd="0" presId="urn:microsoft.com/office/officeart/2005/8/layout/hierarchy6"/>
    <dgm:cxn modelId="{7708CAFA-3D9B-49D1-9F6F-7C4B72D155EF}" type="presParOf" srcId="{C625DE0C-11D3-45D5-9984-6A9E3AC6EF65}" destId="{E4E7F2EA-5BD7-462A-B659-24A211709326}" srcOrd="2" destOrd="0" presId="urn:microsoft.com/office/officeart/2005/8/layout/hierarchy6"/>
    <dgm:cxn modelId="{0C413182-0E53-4F4C-BEFE-C47B7EEC5F6F}" type="presParOf" srcId="{C625DE0C-11D3-45D5-9984-6A9E3AC6EF65}" destId="{532208E6-FD0E-4F3B-87F0-D4FD1B346F95}" srcOrd="3" destOrd="0" presId="urn:microsoft.com/office/officeart/2005/8/layout/hierarchy6"/>
    <dgm:cxn modelId="{C646F4B3-D873-4DB0-AA33-D2A391667708}" type="presParOf" srcId="{532208E6-FD0E-4F3B-87F0-D4FD1B346F95}" destId="{62C808E7-0822-46EE-8A6E-6CB069F894A9}" srcOrd="0" destOrd="0" presId="urn:microsoft.com/office/officeart/2005/8/layout/hierarchy6"/>
    <dgm:cxn modelId="{3E502DAD-A438-4DFA-946D-D4D44CD84D21}" type="presParOf" srcId="{532208E6-FD0E-4F3B-87F0-D4FD1B346F95}" destId="{1DB88B4A-D981-4798-B858-307B0DB12A54}" srcOrd="1" destOrd="0" presId="urn:microsoft.com/office/officeart/2005/8/layout/hierarchy6"/>
    <dgm:cxn modelId="{FAC639F3-D757-4A92-A4F6-59639B74FE41}" type="presParOf" srcId="{1DB88B4A-D981-4798-B858-307B0DB12A54}" destId="{743C05BF-7441-40E7-9654-5A318622DFD4}" srcOrd="0" destOrd="0" presId="urn:microsoft.com/office/officeart/2005/8/layout/hierarchy6"/>
    <dgm:cxn modelId="{A30F2E91-A52A-433A-A432-0A6C62015B7C}" type="presParOf" srcId="{1DB88B4A-D981-4798-B858-307B0DB12A54}" destId="{FB4DF5CE-F070-4E63-84C7-37DC8E3D4F7B}" srcOrd="1" destOrd="0" presId="urn:microsoft.com/office/officeart/2005/8/layout/hierarchy6"/>
    <dgm:cxn modelId="{3B56C947-9C66-445F-B127-DB267E0C715D}" type="presParOf" srcId="{FB4DF5CE-F070-4E63-84C7-37DC8E3D4F7B}" destId="{F33196A5-AAA5-4F96-BD6B-ED69EEFF47D9}" srcOrd="0" destOrd="0" presId="urn:microsoft.com/office/officeart/2005/8/layout/hierarchy6"/>
    <dgm:cxn modelId="{A8DB7ED2-0BCB-4083-B36C-9F731347FD9C}" type="presParOf" srcId="{FB4DF5CE-F070-4E63-84C7-37DC8E3D4F7B}" destId="{3F0B7EBD-2470-496A-AA99-871A76A3687B}" srcOrd="1" destOrd="0" presId="urn:microsoft.com/office/officeart/2005/8/layout/hierarchy6"/>
    <dgm:cxn modelId="{3D882482-D8C2-4A7C-AECC-3B4FD05586DC}" type="presParOf" srcId="{3F0B7EBD-2470-496A-AA99-871A76A3687B}" destId="{AD728BDA-C8D3-4FBE-9DCD-44A93983F636}" srcOrd="0" destOrd="0" presId="urn:microsoft.com/office/officeart/2005/8/layout/hierarchy6"/>
    <dgm:cxn modelId="{8EEB3D57-AB48-442F-940C-985C38D72362}" type="presParOf" srcId="{3F0B7EBD-2470-496A-AA99-871A76A3687B}" destId="{C0E4F57B-7A54-410A-AF3C-08F4FE0D9156}" srcOrd="1" destOrd="0" presId="urn:microsoft.com/office/officeart/2005/8/layout/hierarchy6"/>
    <dgm:cxn modelId="{9D876414-F067-4123-8A03-333400B0E10A}" type="presParOf" srcId="{C0E4F57B-7A54-410A-AF3C-08F4FE0D9156}" destId="{18E5C405-1B6E-45CE-9BE4-314A3DF821B0}" srcOrd="0" destOrd="0" presId="urn:microsoft.com/office/officeart/2005/8/layout/hierarchy6"/>
    <dgm:cxn modelId="{F03FFB88-FC54-4AC9-AE16-5A93262D9604}" type="presParOf" srcId="{C0E4F57B-7A54-410A-AF3C-08F4FE0D9156}" destId="{95DC06DA-1F3E-4D87-9FD8-4F8703370348}" srcOrd="1" destOrd="0" presId="urn:microsoft.com/office/officeart/2005/8/layout/hierarchy6"/>
    <dgm:cxn modelId="{7BCD9BBC-3F00-4A27-8608-EA566EAC0D92}" type="presParOf" srcId="{C625DE0C-11D3-45D5-9984-6A9E3AC6EF65}" destId="{AF6B22C5-532D-44EA-A4E1-5FEF2EC01F5D}" srcOrd="4" destOrd="0" presId="urn:microsoft.com/office/officeart/2005/8/layout/hierarchy6"/>
    <dgm:cxn modelId="{41C29BBA-4605-4617-8097-7A9B851E4278}" type="presParOf" srcId="{C625DE0C-11D3-45D5-9984-6A9E3AC6EF65}" destId="{B7A7FB2A-9796-4F88-A47F-4CE2A9F05EB6}" srcOrd="5" destOrd="0" presId="urn:microsoft.com/office/officeart/2005/8/layout/hierarchy6"/>
    <dgm:cxn modelId="{EB243964-A34A-4858-9AAD-ED7BDD857F90}" type="presParOf" srcId="{B7A7FB2A-9796-4F88-A47F-4CE2A9F05EB6}" destId="{BEEAB6ED-FADB-424C-AEFD-0550A6156DDC}" srcOrd="0" destOrd="0" presId="urn:microsoft.com/office/officeart/2005/8/layout/hierarchy6"/>
    <dgm:cxn modelId="{80FA4FB5-CD60-4A3A-AAA3-A362A74E7B6A}" type="presParOf" srcId="{B7A7FB2A-9796-4F88-A47F-4CE2A9F05EB6}" destId="{224DCBE7-A2B8-4DB0-9F99-8FAEF85A5B35}" srcOrd="1" destOrd="0" presId="urn:microsoft.com/office/officeart/2005/8/layout/hierarchy6"/>
    <dgm:cxn modelId="{844EA9C2-C204-43CB-9374-68A062A81E06}" type="presParOf" srcId="{224DCBE7-A2B8-4DB0-9F99-8FAEF85A5B35}" destId="{2099C3BA-C22C-4015-BA3E-94822C7912BF}" srcOrd="0" destOrd="0" presId="urn:microsoft.com/office/officeart/2005/8/layout/hierarchy6"/>
    <dgm:cxn modelId="{FC80095A-C4E4-4DCE-BFFF-3351B275B372}" type="presParOf" srcId="{224DCBE7-A2B8-4DB0-9F99-8FAEF85A5B35}" destId="{595478B4-20E4-485A-8CD2-7C13BF83961C}" srcOrd="1" destOrd="0" presId="urn:microsoft.com/office/officeart/2005/8/layout/hierarchy6"/>
    <dgm:cxn modelId="{42E4497D-60F1-4CAF-AB2B-3BC913E434BE}" type="presParOf" srcId="{595478B4-20E4-485A-8CD2-7C13BF83961C}" destId="{FA375315-21AE-4AAB-938C-7A0974DF9780}" srcOrd="0" destOrd="0" presId="urn:microsoft.com/office/officeart/2005/8/layout/hierarchy6"/>
    <dgm:cxn modelId="{CE0238E9-AE2D-41EE-AC77-799448730D6C}" type="presParOf" srcId="{595478B4-20E4-485A-8CD2-7C13BF83961C}" destId="{1023A7DB-C08F-41A2-81E7-310DD668A42D}" srcOrd="1" destOrd="0" presId="urn:microsoft.com/office/officeart/2005/8/layout/hierarchy6"/>
    <dgm:cxn modelId="{A6EF338B-B739-4F90-A34F-0696CCD8ED24}" type="presParOf" srcId="{1023A7DB-C08F-41A2-81E7-310DD668A42D}" destId="{C941EBFC-94F2-4353-85F2-DA791AB65EE4}" srcOrd="0" destOrd="0" presId="urn:microsoft.com/office/officeart/2005/8/layout/hierarchy6"/>
    <dgm:cxn modelId="{21D880A7-FAB0-486E-A540-F8FF858C1F58}" type="presParOf" srcId="{1023A7DB-C08F-41A2-81E7-310DD668A42D}" destId="{CEB73C3C-78A5-4DFE-8BE0-711D430347C7}" srcOrd="1" destOrd="0" presId="urn:microsoft.com/office/officeart/2005/8/layout/hierarchy6"/>
    <dgm:cxn modelId="{CFBE6F7A-EB3B-4487-BDCF-8AD16A1861B5}" type="presParOf" srcId="{CEB73C3C-78A5-4DFE-8BE0-711D430347C7}" destId="{1DA1F71C-2959-49DD-A430-B823EDA222A8}" srcOrd="0" destOrd="0" presId="urn:microsoft.com/office/officeart/2005/8/layout/hierarchy6"/>
    <dgm:cxn modelId="{30DB6AC6-EE44-4547-AE62-487595332B05}" type="presParOf" srcId="{CEB73C3C-78A5-4DFE-8BE0-711D430347C7}" destId="{CE124E58-FE75-4A9E-A4D8-26DE514B2B9D}" srcOrd="1" destOrd="0" presId="urn:microsoft.com/office/officeart/2005/8/layout/hierarchy6"/>
    <dgm:cxn modelId="{516750A8-6764-4C9A-8968-107C407D2ABD}" type="presParOf" srcId="{CE124E58-FE75-4A9E-A4D8-26DE514B2B9D}" destId="{7DCD18FB-B51B-4838-B70C-E6B687755440}" srcOrd="0" destOrd="0" presId="urn:microsoft.com/office/officeart/2005/8/layout/hierarchy6"/>
    <dgm:cxn modelId="{F3AA3752-B058-4703-BB5A-EF7B66D8AF57}" type="presParOf" srcId="{CE124E58-FE75-4A9E-A4D8-26DE514B2B9D}" destId="{056069C9-6A87-4816-BC6E-A8C3BF431FDF}" srcOrd="1" destOrd="0" presId="urn:microsoft.com/office/officeart/2005/8/layout/hierarchy6"/>
    <dgm:cxn modelId="{B702A49D-246D-4555-AA15-0AADBFFE731B}" type="presParOf" srcId="{056069C9-6A87-4816-BC6E-A8C3BF431FDF}" destId="{39B75839-F955-43DF-98E0-E1A2641851AE}" srcOrd="0" destOrd="0" presId="urn:microsoft.com/office/officeart/2005/8/layout/hierarchy6"/>
    <dgm:cxn modelId="{5CAA6900-28D5-4710-865B-6EA0206CF054}" type="presParOf" srcId="{056069C9-6A87-4816-BC6E-A8C3BF431FDF}" destId="{3128D2B9-5426-4AE4-80E2-F996FFEBA483}" srcOrd="1" destOrd="0" presId="urn:microsoft.com/office/officeart/2005/8/layout/hierarchy6"/>
    <dgm:cxn modelId="{CE9761BA-2C78-465B-9D4C-BD075C57A811}" type="presParOf" srcId="{3128D2B9-5426-4AE4-80E2-F996FFEBA483}" destId="{261F41B6-1FEA-40DC-AED7-29D8BE6DCDB9}" srcOrd="0" destOrd="0" presId="urn:microsoft.com/office/officeart/2005/8/layout/hierarchy6"/>
    <dgm:cxn modelId="{CAE33238-31D7-4EC6-8D2B-5B24E14FF6DA}" type="presParOf" srcId="{3128D2B9-5426-4AE4-80E2-F996FFEBA483}" destId="{43901CB7-F512-4401-A933-00F9F24581BC}" srcOrd="1" destOrd="0" presId="urn:microsoft.com/office/officeart/2005/8/layout/hierarchy6"/>
    <dgm:cxn modelId="{378EE223-3FCB-40D4-8D46-BDEE15904AD9}" type="presParOf" srcId="{43901CB7-F512-4401-A933-00F9F24581BC}" destId="{EEBBAB1D-B7CC-4C70-95CC-820A2C0AE5A1}" srcOrd="0" destOrd="0" presId="urn:microsoft.com/office/officeart/2005/8/layout/hierarchy6"/>
    <dgm:cxn modelId="{A0460884-19F3-48D0-84DE-7C4549AE1E4D}" type="presParOf" srcId="{43901CB7-F512-4401-A933-00F9F24581BC}" destId="{F2F257D5-B445-4DF3-9982-AD433C725FD4}" srcOrd="1" destOrd="0" presId="urn:microsoft.com/office/officeart/2005/8/layout/hierarchy6"/>
    <dgm:cxn modelId="{760788BA-E3B7-4532-9ACB-8BBB5F08CB22}" type="presParOf" srcId="{C625DE0C-11D3-45D5-9984-6A9E3AC6EF65}" destId="{8BE48B4E-1A8E-4032-9CA4-D0ED2C12C05C}" srcOrd="6" destOrd="0" presId="urn:microsoft.com/office/officeart/2005/8/layout/hierarchy6"/>
    <dgm:cxn modelId="{CF9902B4-ADE3-4166-8C4E-24467C8496F3}" type="presParOf" srcId="{C625DE0C-11D3-45D5-9984-6A9E3AC6EF65}" destId="{7CFEAB7B-32AE-4022-A50F-9E50E83E3264}" srcOrd="7" destOrd="0" presId="urn:microsoft.com/office/officeart/2005/8/layout/hierarchy6"/>
    <dgm:cxn modelId="{0EEBDC29-CA51-42B2-936B-F2EDE29B4C43}" type="presParOf" srcId="{7CFEAB7B-32AE-4022-A50F-9E50E83E3264}" destId="{20514297-764F-4440-86DF-5F2AE29E3CD1}" srcOrd="0" destOrd="0" presId="urn:microsoft.com/office/officeart/2005/8/layout/hierarchy6"/>
    <dgm:cxn modelId="{40DAB596-B706-46F0-A624-7AF41D06C69C}" type="presParOf" srcId="{7CFEAB7B-32AE-4022-A50F-9E50E83E3264}" destId="{771D9434-7799-48FD-A5A3-D0DFE3E7B4F2}" srcOrd="1" destOrd="0" presId="urn:microsoft.com/office/officeart/2005/8/layout/hierarchy6"/>
    <dgm:cxn modelId="{3FB26ADE-73DA-4405-A011-565AF29F4733}" type="presParOf" srcId="{771D9434-7799-48FD-A5A3-D0DFE3E7B4F2}" destId="{6DEDE5ED-C83B-48B1-A721-F1464AFB9B6D}" srcOrd="0" destOrd="0" presId="urn:microsoft.com/office/officeart/2005/8/layout/hierarchy6"/>
    <dgm:cxn modelId="{D282F73D-AEFF-4318-9561-F52635047830}" type="presParOf" srcId="{771D9434-7799-48FD-A5A3-D0DFE3E7B4F2}" destId="{98D14D77-200F-4574-81FB-0328AEE245DA}" srcOrd="1" destOrd="0" presId="urn:microsoft.com/office/officeart/2005/8/layout/hierarchy6"/>
    <dgm:cxn modelId="{EF0F221A-1DDF-46C2-8658-47AFE9C4C15E}" type="presParOf" srcId="{98D14D77-200F-4574-81FB-0328AEE245DA}" destId="{1DEFF750-6110-4DB9-84CF-06DCFDF68EA8}" srcOrd="0" destOrd="0" presId="urn:microsoft.com/office/officeart/2005/8/layout/hierarchy6"/>
    <dgm:cxn modelId="{CF035274-22DC-4D7E-B6C2-1678C8F39FD8}" type="presParOf" srcId="{98D14D77-200F-4574-81FB-0328AEE245DA}" destId="{09347DC9-18EE-4889-AC2C-6EAF44D0DE0F}" srcOrd="1" destOrd="0" presId="urn:microsoft.com/office/officeart/2005/8/layout/hierarchy6"/>
    <dgm:cxn modelId="{852FBE69-DA04-4895-A841-D2A49CB88447}" type="presParOf" srcId="{09347DC9-18EE-4889-AC2C-6EAF44D0DE0F}" destId="{55958652-73AD-4E7C-A491-FDDDC712F70B}" srcOrd="0" destOrd="0" presId="urn:microsoft.com/office/officeart/2005/8/layout/hierarchy6"/>
    <dgm:cxn modelId="{DD43335C-FF0A-4412-B554-18DCED2A875C}" type="presParOf" srcId="{09347DC9-18EE-4889-AC2C-6EAF44D0DE0F}" destId="{2DAF9B92-E126-4892-8AE7-1A87F1E66459}" srcOrd="1" destOrd="0" presId="urn:microsoft.com/office/officeart/2005/8/layout/hierarchy6"/>
    <dgm:cxn modelId="{69B6E2B0-71ED-4058-91FE-3EF2E7EECD17}" type="presParOf" srcId="{2DAF9B92-E126-4892-8AE7-1A87F1E66459}" destId="{261D5960-2EA2-4051-89A9-28840E37F36E}" srcOrd="0" destOrd="0" presId="urn:microsoft.com/office/officeart/2005/8/layout/hierarchy6"/>
    <dgm:cxn modelId="{286A5A23-029C-41B2-B18D-B09822B1CB5B}" type="presParOf" srcId="{2DAF9B92-E126-4892-8AE7-1A87F1E66459}" destId="{FF248D8F-3CF4-4A55-9CB4-0431BBAD6612}" srcOrd="1" destOrd="0" presId="urn:microsoft.com/office/officeart/2005/8/layout/hierarchy6"/>
    <dgm:cxn modelId="{DF55D07B-56D5-4B53-A0B2-EF8FCD049642}" type="presParOf" srcId="{C625DE0C-11D3-45D5-9984-6A9E3AC6EF65}" destId="{BA5725ED-70F0-4BD8-8EBA-9A7D3F13DC90}" srcOrd="8" destOrd="0" presId="urn:microsoft.com/office/officeart/2005/8/layout/hierarchy6"/>
    <dgm:cxn modelId="{D9E811CA-0A94-4D52-A1A9-D04201DB78D6}" type="presParOf" srcId="{C625DE0C-11D3-45D5-9984-6A9E3AC6EF65}" destId="{507A11D8-99AE-4740-B5AB-854D65C13848}" srcOrd="9" destOrd="0" presId="urn:microsoft.com/office/officeart/2005/8/layout/hierarchy6"/>
    <dgm:cxn modelId="{F627C230-E5E9-466C-A7E4-300F25D60E2C}" type="presParOf" srcId="{507A11D8-99AE-4740-B5AB-854D65C13848}" destId="{BB6CCCB0-3D10-4F72-A8F9-E70A0C8B8ECE}" srcOrd="0" destOrd="0" presId="urn:microsoft.com/office/officeart/2005/8/layout/hierarchy6"/>
    <dgm:cxn modelId="{38DA3EB9-A3C5-423A-9434-3ACB164B5DFE}" type="presParOf" srcId="{507A11D8-99AE-4740-B5AB-854D65C13848}" destId="{D0F44BE5-1AB8-40C1-9FAA-B82A0D6C6942}" srcOrd="1" destOrd="0" presId="urn:microsoft.com/office/officeart/2005/8/layout/hierarchy6"/>
    <dgm:cxn modelId="{405075F6-5603-4713-BEE6-0FF23E2D62F0}" type="presParOf" srcId="{D0F44BE5-1AB8-40C1-9FAA-B82A0D6C6942}" destId="{B50ABD23-6E4A-4D37-85C6-BC81DF74045A}" srcOrd="0" destOrd="0" presId="urn:microsoft.com/office/officeart/2005/8/layout/hierarchy6"/>
    <dgm:cxn modelId="{8BA14FA2-2079-4D2F-BBA1-D8581EB66B5C}" type="presParOf" srcId="{D0F44BE5-1AB8-40C1-9FAA-B82A0D6C6942}" destId="{714D32CB-E136-4D56-9A4F-8E35830C1EBF}" srcOrd="1" destOrd="0" presId="urn:microsoft.com/office/officeart/2005/8/layout/hierarchy6"/>
    <dgm:cxn modelId="{4D247E3F-CE24-4D02-A89F-CE8F3EADB19A}" type="presParOf" srcId="{714D32CB-E136-4D56-9A4F-8E35830C1EBF}" destId="{DECBA5EA-8E68-4176-861F-5D78B8BFE50A}" srcOrd="0" destOrd="0" presId="urn:microsoft.com/office/officeart/2005/8/layout/hierarchy6"/>
    <dgm:cxn modelId="{15684041-80A7-4182-9DA7-527467F6EA93}" type="presParOf" srcId="{714D32CB-E136-4D56-9A4F-8E35830C1EBF}" destId="{8C738277-BE54-4666-AB27-8C20DFEF266E}" srcOrd="1" destOrd="0" presId="urn:microsoft.com/office/officeart/2005/8/layout/hierarchy6"/>
    <dgm:cxn modelId="{2BFFAA1D-F4CB-43C1-ABA2-E6F459812FD9}" type="presParOf" srcId="{8C738277-BE54-4666-AB27-8C20DFEF266E}" destId="{288BFF9E-8CC9-4982-A7D1-FF2E99BFCD5A}" srcOrd="0" destOrd="0" presId="urn:microsoft.com/office/officeart/2005/8/layout/hierarchy6"/>
    <dgm:cxn modelId="{70769B4D-49FB-435F-984A-FD4D8C4BEA77}" type="presParOf" srcId="{8C738277-BE54-4666-AB27-8C20DFEF266E}" destId="{EFEA34ED-3EE3-4EFE-AE0C-E626F4719B46}" srcOrd="1" destOrd="0" presId="urn:microsoft.com/office/officeart/2005/8/layout/hierarchy6"/>
    <dgm:cxn modelId="{535DF577-1AA3-4BF9-BBFB-40968F81BFFA}" type="presParOf" srcId="{EFEA34ED-3EE3-4EFE-AE0C-E626F4719B46}" destId="{65E199D6-5377-4142-9B91-ED445303890E}" srcOrd="0" destOrd="0" presId="urn:microsoft.com/office/officeart/2005/8/layout/hierarchy6"/>
    <dgm:cxn modelId="{3C6BD580-C39C-4486-8479-A9336FD63FEA}" type="presParOf" srcId="{EFEA34ED-3EE3-4EFE-AE0C-E626F4719B46}" destId="{85BC4F44-8FE6-4DCA-88A2-D5782B3D153F}" srcOrd="1" destOrd="0" presId="urn:microsoft.com/office/officeart/2005/8/layout/hierarchy6"/>
    <dgm:cxn modelId="{7639EA6D-4904-492D-9F55-74740BBD7C14}" type="presParOf" srcId="{C625DE0C-11D3-45D5-9984-6A9E3AC6EF65}" destId="{4F111C7D-860C-4D0D-B9D5-4667DEA01D12}" srcOrd="10" destOrd="0" presId="urn:microsoft.com/office/officeart/2005/8/layout/hierarchy6"/>
    <dgm:cxn modelId="{DE60E5C8-4BF8-45FF-B75A-BBD31D2633DC}" type="presParOf" srcId="{C625DE0C-11D3-45D5-9984-6A9E3AC6EF65}" destId="{12816CD7-30A0-4B43-97C5-13875E33E7CD}" srcOrd="11" destOrd="0" presId="urn:microsoft.com/office/officeart/2005/8/layout/hierarchy6"/>
    <dgm:cxn modelId="{0D580BAB-E10D-4779-832D-45D1B1B7CD86}" type="presParOf" srcId="{12816CD7-30A0-4B43-97C5-13875E33E7CD}" destId="{F69825A8-423F-4E84-BB7B-53F5783B86ED}" srcOrd="0" destOrd="0" presId="urn:microsoft.com/office/officeart/2005/8/layout/hierarchy6"/>
    <dgm:cxn modelId="{CBFF9207-ED26-4942-8B3F-79834B7A2ED9}" type="presParOf" srcId="{12816CD7-30A0-4B43-97C5-13875E33E7CD}" destId="{943786F2-A7AA-429C-A242-B2CCA3E5D1D9}" srcOrd="1" destOrd="0" presId="urn:microsoft.com/office/officeart/2005/8/layout/hierarchy6"/>
    <dgm:cxn modelId="{3B9A5675-EAD0-4A26-81D9-8A7BFAA47BF8}" type="presParOf" srcId="{943786F2-A7AA-429C-A242-B2CCA3E5D1D9}" destId="{4DC08C8C-00EC-40B5-A946-83484CB872CA}" srcOrd="0" destOrd="0" presId="urn:microsoft.com/office/officeart/2005/8/layout/hierarchy6"/>
    <dgm:cxn modelId="{B85F2439-3312-4419-A88D-76C941522974}" type="presParOf" srcId="{943786F2-A7AA-429C-A242-B2CCA3E5D1D9}" destId="{8A67BA6D-B286-4BD5-86CB-DCF5D7B23AC1}" srcOrd="1" destOrd="0" presId="urn:microsoft.com/office/officeart/2005/8/layout/hierarchy6"/>
    <dgm:cxn modelId="{B5940192-5331-4717-B7D6-979579AD32F0}" type="presParOf" srcId="{8A67BA6D-B286-4BD5-86CB-DCF5D7B23AC1}" destId="{3CF09E16-7084-490A-A90F-DBFF5577D864}" srcOrd="0" destOrd="0" presId="urn:microsoft.com/office/officeart/2005/8/layout/hierarchy6"/>
    <dgm:cxn modelId="{B2775201-54E5-4036-A6F9-AE08AE0E09DE}" type="presParOf" srcId="{8A67BA6D-B286-4BD5-86CB-DCF5D7B23AC1}" destId="{C7EB5112-F89D-4124-AF73-EFB189EA99CB}" srcOrd="1" destOrd="0" presId="urn:microsoft.com/office/officeart/2005/8/layout/hierarchy6"/>
    <dgm:cxn modelId="{532B77E8-B489-4346-8687-F2C4E386DB81}" type="presParOf" srcId="{C7EB5112-F89D-4124-AF73-EFB189EA99CB}" destId="{DABEC337-609D-4CF8-8633-A7919225F620}" srcOrd="0" destOrd="0" presId="urn:microsoft.com/office/officeart/2005/8/layout/hierarchy6"/>
    <dgm:cxn modelId="{324796E0-843F-4F91-802D-A8ED4E2D79CB}" type="presParOf" srcId="{C7EB5112-F89D-4124-AF73-EFB189EA99CB}" destId="{0002CF62-BE72-4F0F-BE98-576EE42A0D86}" srcOrd="1" destOrd="0" presId="urn:microsoft.com/office/officeart/2005/8/layout/hierarchy6"/>
    <dgm:cxn modelId="{BF51133A-279B-41A2-A0EE-1A6647C42AA2}" type="presParOf" srcId="{0002CF62-BE72-4F0F-BE98-576EE42A0D86}" destId="{EA7038B1-6E56-4CD7-AB21-C3ADB4155548}" srcOrd="0" destOrd="0" presId="urn:microsoft.com/office/officeart/2005/8/layout/hierarchy6"/>
    <dgm:cxn modelId="{C398B8BF-6684-44A6-BF1D-9B180DA08186}" type="presParOf" srcId="{0002CF62-BE72-4F0F-BE98-576EE42A0D86}" destId="{90886390-0628-4253-87AB-BEF5F2E83F51}" srcOrd="1" destOrd="0" presId="urn:microsoft.com/office/officeart/2005/8/layout/hierarchy6"/>
    <dgm:cxn modelId="{F4D4A815-EB96-44B0-9AF0-E99B2C3E82F0}" type="presParOf" srcId="{90886390-0628-4253-87AB-BEF5F2E83F51}" destId="{6D3F4CCC-A3C9-4AF0-B4B3-0797B4F8F754}" srcOrd="0" destOrd="0" presId="urn:microsoft.com/office/officeart/2005/8/layout/hierarchy6"/>
    <dgm:cxn modelId="{79F3B133-074F-4C3F-98D5-E5AF61A8470A}" type="presParOf" srcId="{90886390-0628-4253-87AB-BEF5F2E83F51}" destId="{F429D830-FC72-4904-B875-F6A580A475E6}" srcOrd="1" destOrd="0" presId="urn:microsoft.com/office/officeart/2005/8/layout/hierarchy6"/>
    <dgm:cxn modelId="{39748C14-9303-47C2-A2DF-3669B67C93FE}" type="presParOf" srcId="{F429D830-FC72-4904-B875-F6A580A475E6}" destId="{C6E43939-B28A-4AD3-9668-0C347C79B26B}" srcOrd="0" destOrd="0" presId="urn:microsoft.com/office/officeart/2005/8/layout/hierarchy6"/>
    <dgm:cxn modelId="{F8CE0E2E-9ED3-4ACD-A1D6-5E3B612ACEAB}" type="presParOf" srcId="{F429D830-FC72-4904-B875-F6A580A475E6}" destId="{E332405C-A7CA-4E04-8B7F-B2875DD10FFC}" srcOrd="1" destOrd="0" presId="urn:microsoft.com/office/officeart/2005/8/layout/hierarchy6"/>
    <dgm:cxn modelId="{073E2F7E-1142-4FD8-BC6C-E01597A92F2B}" type="presParOf" srcId="{46768D7A-F8AF-49EA-B1D0-BE2162EB4C29}" destId="{6DB2101E-C801-4F21-A2D6-51DBA43B2EA4}" srcOrd="1" destOrd="0" presId="urn:microsoft.com/office/officeart/2005/8/layout/hierarchy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4A1A343-FEBB-449A-A8D3-70B451069617}" type="doc">
      <dgm:prSet loTypeId="urn:microsoft.com/office/officeart/2005/8/layout/chevron1" loCatId="process" qsTypeId="urn:microsoft.com/office/officeart/2005/8/quickstyle/simple4" qsCatId="simple" csTypeId="urn:microsoft.com/office/officeart/2005/8/colors/accent1_2" csCatId="accent1" phldr="1"/>
      <dgm:spPr/>
    </dgm:pt>
    <dgm:pt modelId="{5D3162A9-4156-4314-AC96-23482FE76DF1}">
      <dgm:prSet phldrT="[Text]" custT="1"/>
      <dgm:spPr>
        <a:solidFill>
          <a:schemeClr val="accent2">
            <a:lumMod val="50000"/>
          </a:schemeClr>
        </a:solidFill>
        <a:ln>
          <a:solidFill>
            <a:schemeClr val="accent2">
              <a:lumMod val="50000"/>
            </a:schemeClr>
          </a:solidFill>
        </a:ln>
      </dgm:spPr>
      <dgm:t>
        <a:bodyPr/>
        <a:lstStyle/>
        <a:p>
          <a:r>
            <a:rPr lang="en-AU" sz="900" b="1" i="1"/>
            <a:t>Step 1: Idnetify and prioritise values</a:t>
          </a:r>
        </a:p>
      </dgm:t>
    </dgm:pt>
    <dgm:pt modelId="{76B093EA-6EDD-4698-9DE0-847744483BC7}" type="parTrans" cxnId="{2CAF4E66-1EAF-4529-8335-77F3AA91A25B}">
      <dgm:prSet/>
      <dgm:spPr/>
      <dgm:t>
        <a:bodyPr/>
        <a:lstStyle/>
        <a:p>
          <a:endParaRPr lang="en-AU" sz="900"/>
        </a:p>
      </dgm:t>
    </dgm:pt>
    <dgm:pt modelId="{11F3AB01-3BAF-461A-B392-E50B49C5B246}" type="sibTrans" cxnId="{2CAF4E66-1EAF-4529-8335-77F3AA91A25B}">
      <dgm:prSet/>
      <dgm:spPr/>
      <dgm:t>
        <a:bodyPr/>
        <a:lstStyle/>
        <a:p>
          <a:endParaRPr lang="en-AU" sz="900"/>
        </a:p>
      </dgm:t>
    </dgm:pt>
    <dgm:pt modelId="{91295B44-8D4E-4EA3-837E-C3BAF8CC7AD6}">
      <dgm:prSet phldrT="[Text]" custT="1"/>
      <dgm:spPr>
        <a:solidFill>
          <a:schemeClr val="accent2">
            <a:lumMod val="75000"/>
          </a:schemeClr>
        </a:solidFill>
      </dgm:spPr>
      <dgm:t>
        <a:bodyPr/>
        <a:lstStyle/>
        <a:p>
          <a:r>
            <a:rPr lang="en-AU" sz="900">
              <a:solidFill>
                <a:schemeClr val="tx2">
                  <a:lumMod val="50000"/>
                </a:schemeClr>
              </a:solidFill>
            </a:rPr>
            <a:t>Step 2</a:t>
          </a:r>
        </a:p>
      </dgm:t>
    </dgm:pt>
    <dgm:pt modelId="{8922FBB5-FC1D-4C74-833C-A5A0B4B644DD}" type="parTrans" cxnId="{13584D01-EABB-4646-88D0-7B95444EC1C7}">
      <dgm:prSet/>
      <dgm:spPr/>
      <dgm:t>
        <a:bodyPr/>
        <a:lstStyle/>
        <a:p>
          <a:endParaRPr lang="en-AU" sz="900"/>
        </a:p>
      </dgm:t>
    </dgm:pt>
    <dgm:pt modelId="{5CE7C0D0-3A5F-4664-823A-D54A13B0767D}" type="sibTrans" cxnId="{13584D01-EABB-4646-88D0-7B95444EC1C7}">
      <dgm:prSet/>
      <dgm:spPr/>
      <dgm:t>
        <a:bodyPr/>
        <a:lstStyle/>
        <a:p>
          <a:endParaRPr lang="en-AU" sz="900"/>
        </a:p>
      </dgm:t>
    </dgm:pt>
    <dgm:pt modelId="{72B3FC92-06E7-473C-B46E-0F02C5FDB064}">
      <dgm:prSet phldrT="[Text]" custT="1"/>
      <dgm:spPr>
        <a:solidFill>
          <a:schemeClr val="accent2">
            <a:lumMod val="75000"/>
          </a:schemeClr>
        </a:solidFill>
      </dgm:spPr>
      <dgm:t>
        <a:bodyPr/>
        <a:lstStyle/>
        <a:p>
          <a:r>
            <a:rPr lang="en-AU" sz="900">
              <a:solidFill>
                <a:schemeClr val="tx2">
                  <a:lumMod val="50000"/>
                </a:schemeClr>
              </a:solidFill>
            </a:rPr>
            <a:t>Step 3</a:t>
          </a:r>
        </a:p>
      </dgm:t>
    </dgm:pt>
    <dgm:pt modelId="{04780732-D9FA-4F6C-A994-6B5B81CF76B7}" type="parTrans" cxnId="{95077CBC-52ED-41D4-9936-CC819B066540}">
      <dgm:prSet/>
      <dgm:spPr/>
      <dgm:t>
        <a:bodyPr/>
        <a:lstStyle/>
        <a:p>
          <a:endParaRPr lang="en-AU" sz="900"/>
        </a:p>
      </dgm:t>
    </dgm:pt>
    <dgm:pt modelId="{ABFF6385-3823-492D-804F-A59D03388CCB}" type="sibTrans" cxnId="{95077CBC-52ED-41D4-9936-CC819B066540}">
      <dgm:prSet/>
      <dgm:spPr/>
      <dgm:t>
        <a:bodyPr/>
        <a:lstStyle/>
        <a:p>
          <a:endParaRPr lang="en-AU" sz="900"/>
        </a:p>
      </dgm:t>
    </dgm:pt>
    <dgm:pt modelId="{8375F3E0-46F0-4839-9F4D-322B84BB24E6}">
      <dgm:prSet custT="1"/>
      <dgm:spPr>
        <a:solidFill>
          <a:schemeClr val="accent2">
            <a:lumMod val="75000"/>
          </a:schemeClr>
        </a:solidFill>
      </dgm:spPr>
      <dgm:t>
        <a:bodyPr/>
        <a:lstStyle/>
        <a:p>
          <a:r>
            <a:rPr lang="en-AU" sz="900">
              <a:solidFill>
                <a:schemeClr val="tx2">
                  <a:lumMod val="50000"/>
                </a:schemeClr>
              </a:solidFill>
            </a:rPr>
            <a:t>Step 4</a:t>
          </a:r>
        </a:p>
      </dgm:t>
    </dgm:pt>
    <dgm:pt modelId="{A348CDAB-53CA-4C3E-8BEC-714200D71D3D}" type="parTrans" cxnId="{6B3A3478-BE5B-48A4-B954-0E21A91E5264}">
      <dgm:prSet/>
      <dgm:spPr/>
      <dgm:t>
        <a:bodyPr/>
        <a:lstStyle/>
        <a:p>
          <a:endParaRPr lang="en-AU" sz="900"/>
        </a:p>
      </dgm:t>
    </dgm:pt>
    <dgm:pt modelId="{CB0A790D-279D-4D7F-A1B7-3D02025AA881}" type="sibTrans" cxnId="{6B3A3478-BE5B-48A4-B954-0E21A91E5264}">
      <dgm:prSet/>
      <dgm:spPr/>
      <dgm:t>
        <a:bodyPr/>
        <a:lstStyle/>
        <a:p>
          <a:endParaRPr lang="en-AU" sz="900"/>
        </a:p>
      </dgm:t>
    </dgm:pt>
    <dgm:pt modelId="{7D65FF2D-E0B8-410B-8392-65CB7C358DC4}">
      <dgm:prSet custT="1"/>
      <dgm:spPr>
        <a:solidFill>
          <a:schemeClr val="accent2">
            <a:lumMod val="75000"/>
          </a:schemeClr>
        </a:solidFill>
      </dgm:spPr>
      <dgm:t>
        <a:bodyPr/>
        <a:lstStyle/>
        <a:p>
          <a:r>
            <a:rPr lang="en-AU" sz="900">
              <a:solidFill>
                <a:schemeClr val="tx2">
                  <a:lumMod val="50000"/>
                </a:schemeClr>
              </a:solidFill>
            </a:rPr>
            <a:t>Step 5</a:t>
          </a:r>
        </a:p>
      </dgm:t>
    </dgm:pt>
    <dgm:pt modelId="{D957CBB4-21F9-443D-9DCF-ED9F25413796}" type="parTrans" cxnId="{7E3047FB-71EF-4E28-A5B9-9D4A76D7216C}">
      <dgm:prSet/>
      <dgm:spPr/>
      <dgm:t>
        <a:bodyPr/>
        <a:lstStyle/>
        <a:p>
          <a:endParaRPr lang="en-AU" sz="900"/>
        </a:p>
      </dgm:t>
    </dgm:pt>
    <dgm:pt modelId="{6222001B-2ED7-4B0F-8AE4-1B8CA3A46E28}" type="sibTrans" cxnId="{7E3047FB-71EF-4E28-A5B9-9D4A76D7216C}">
      <dgm:prSet/>
      <dgm:spPr/>
      <dgm:t>
        <a:bodyPr/>
        <a:lstStyle/>
        <a:p>
          <a:endParaRPr lang="en-AU" sz="900"/>
        </a:p>
      </dgm:t>
    </dgm:pt>
    <dgm:pt modelId="{BA18D897-2569-4A5F-A12F-85072D012B0F}">
      <dgm:prSet custT="1"/>
      <dgm:spPr>
        <a:solidFill>
          <a:schemeClr val="accent2">
            <a:lumMod val="75000"/>
          </a:schemeClr>
        </a:solidFill>
      </dgm:spPr>
      <dgm:t>
        <a:bodyPr/>
        <a:lstStyle/>
        <a:p>
          <a:r>
            <a:rPr lang="en-AU" sz="900">
              <a:solidFill>
                <a:schemeClr val="tx2">
                  <a:lumMod val="50000"/>
                </a:schemeClr>
              </a:solidFill>
            </a:rPr>
            <a:t>Step 6</a:t>
          </a:r>
        </a:p>
      </dgm:t>
    </dgm:pt>
    <dgm:pt modelId="{3C1ECD8F-C536-46AA-ADF1-E710A2BA2ED6}" type="parTrans" cxnId="{46A52633-A488-423B-9602-91C563DFF598}">
      <dgm:prSet/>
      <dgm:spPr/>
      <dgm:t>
        <a:bodyPr/>
        <a:lstStyle/>
        <a:p>
          <a:endParaRPr lang="en-AU" sz="900"/>
        </a:p>
      </dgm:t>
    </dgm:pt>
    <dgm:pt modelId="{D0275449-8848-4D60-B839-D41C2B28941E}" type="sibTrans" cxnId="{46A52633-A488-423B-9602-91C563DFF598}">
      <dgm:prSet/>
      <dgm:spPr/>
      <dgm:t>
        <a:bodyPr/>
        <a:lstStyle/>
        <a:p>
          <a:endParaRPr lang="en-AU" sz="900"/>
        </a:p>
      </dgm:t>
    </dgm:pt>
    <dgm:pt modelId="{81397574-9060-4111-B041-AC361AA39DEE}">
      <dgm:prSet custT="1"/>
      <dgm:spPr>
        <a:solidFill>
          <a:schemeClr val="accent2">
            <a:lumMod val="75000"/>
          </a:schemeClr>
        </a:solidFill>
      </dgm:spPr>
      <dgm:t>
        <a:bodyPr/>
        <a:lstStyle/>
        <a:p>
          <a:r>
            <a:rPr lang="en-AU" sz="900">
              <a:solidFill>
                <a:schemeClr val="tx2">
                  <a:lumMod val="50000"/>
                </a:schemeClr>
              </a:solidFill>
            </a:rPr>
            <a:t>Step  7</a:t>
          </a:r>
        </a:p>
      </dgm:t>
    </dgm:pt>
    <dgm:pt modelId="{167C0DC0-C795-44C8-8AAE-04C999FBB7B6}" type="parTrans" cxnId="{40914133-A6F7-4109-AFE4-B994CE518361}">
      <dgm:prSet/>
      <dgm:spPr/>
      <dgm:t>
        <a:bodyPr/>
        <a:lstStyle/>
        <a:p>
          <a:endParaRPr lang="en-AU" sz="900"/>
        </a:p>
      </dgm:t>
    </dgm:pt>
    <dgm:pt modelId="{05E63AD2-C047-40C2-B49F-02A5849A17CD}" type="sibTrans" cxnId="{40914133-A6F7-4109-AFE4-B994CE518361}">
      <dgm:prSet/>
      <dgm:spPr/>
      <dgm:t>
        <a:bodyPr/>
        <a:lstStyle/>
        <a:p>
          <a:endParaRPr lang="en-AU" sz="900"/>
        </a:p>
      </dgm:t>
    </dgm:pt>
    <dgm:pt modelId="{D62C28C4-9520-4045-9C7B-51069030D9AF}">
      <dgm:prSet custT="1"/>
      <dgm:spPr>
        <a:solidFill>
          <a:schemeClr val="accent2">
            <a:lumMod val="75000"/>
          </a:schemeClr>
        </a:solidFill>
      </dgm:spPr>
      <dgm:t>
        <a:bodyPr/>
        <a:lstStyle/>
        <a:p>
          <a:r>
            <a:rPr lang="en-AU" sz="900">
              <a:solidFill>
                <a:schemeClr val="tx2">
                  <a:lumMod val="50000"/>
                </a:schemeClr>
              </a:solidFill>
            </a:rPr>
            <a:t>Step 8</a:t>
          </a:r>
        </a:p>
      </dgm:t>
    </dgm:pt>
    <dgm:pt modelId="{13E9B9AC-AFFE-4CD9-B2CE-8668FF52217D}" type="parTrans" cxnId="{39184140-C5CF-4D0B-A6DC-46528684EEB6}">
      <dgm:prSet/>
      <dgm:spPr/>
      <dgm:t>
        <a:bodyPr/>
        <a:lstStyle/>
        <a:p>
          <a:endParaRPr lang="en-AU" sz="900"/>
        </a:p>
      </dgm:t>
    </dgm:pt>
    <dgm:pt modelId="{67E513B8-9C91-41DF-ACF8-E8150E5226B9}" type="sibTrans" cxnId="{39184140-C5CF-4D0B-A6DC-46528684EEB6}">
      <dgm:prSet/>
      <dgm:spPr/>
      <dgm:t>
        <a:bodyPr/>
        <a:lstStyle/>
        <a:p>
          <a:endParaRPr lang="en-AU" sz="900"/>
        </a:p>
      </dgm:t>
    </dgm:pt>
    <dgm:pt modelId="{1FDC6512-C7D4-4110-BEF3-A0CAB12F8445}" type="pres">
      <dgm:prSet presAssocID="{34A1A343-FEBB-449A-A8D3-70B451069617}" presName="Name0" presStyleCnt="0">
        <dgm:presLayoutVars>
          <dgm:dir/>
          <dgm:animLvl val="lvl"/>
          <dgm:resizeHandles val="exact"/>
        </dgm:presLayoutVars>
      </dgm:prSet>
      <dgm:spPr/>
    </dgm:pt>
    <dgm:pt modelId="{694B1432-2B83-4456-BD41-8016077A515A}" type="pres">
      <dgm:prSet presAssocID="{5D3162A9-4156-4314-AC96-23482FE76DF1}" presName="parTxOnly" presStyleLbl="node1" presStyleIdx="0" presStyleCnt="8" custScaleX="194508" custScaleY="167782" custLinFactNeighborX="625" custLinFactNeighborY="-23969">
        <dgm:presLayoutVars>
          <dgm:chMax val="0"/>
          <dgm:chPref val="0"/>
          <dgm:bulletEnabled val="1"/>
        </dgm:presLayoutVars>
      </dgm:prSet>
      <dgm:spPr/>
      <dgm:t>
        <a:bodyPr/>
        <a:lstStyle/>
        <a:p>
          <a:endParaRPr lang="en-AU"/>
        </a:p>
      </dgm:t>
    </dgm:pt>
    <dgm:pt modelId="{A8500963-B6A5-44E3-AA9B-49CE6BC83D81}" type="pres">
      <dgm:prSet presAssocID="{11F3AB01-3BAF-461A-B392-E50B49C5B246}" presName="parTxOnlySpace" presStyleCnt="0"/>
      <dgm:spPr/>
    </dgm:pt>
    <dgm:pt modelId="{856CB68D-1F08-4D89-BEDB-F12ACE91F717}" type="pres">
      <dgm:prSet presAssocID="{91295B44-8D4E-4EA3-837E-C3BAF8CC7AD6}" presName="parTxOnly" presStyleLbl="node1" presStyleIdx="1" presStyleCnt="8" custLinFactNeighborX="70353" custLinFactNeighborY="-33891">
        <dgm:presLayoutVars>
          <dgm:chMax val="0"/>
          <dgm:chPref val="0"/>
          <dgm:bulletEnabled val="1"/>
        </dgm:presLayoutVars>
      </dgm:prSet>
      <dgm:spPr/>
      <dgm:t>
        <a:bodyPr/>
        <a:lstStyle/>
        <a:p>
          <a:endParaRPr lang="en-AU"/>
        </a:p>
      </dgm:t>
    </dgm:pt>
    <dgm:pt modelId="{3D8E954B-5C78-4C2A-A0E7-1CC954C0FCF4}" type="pres">
      <dgm:prSet presAssocID="{5CE7C0D0-3A5F-4664-823A-D54A13B0767D}" presName="parTxOnlySpace" presStyleCnt="0"/>
      <dgm:spPr/>
    </dgm:pt>
    <dgm:pt modelId="{C44F9971-22F4-4E5D-B3F5-F88B9C9DF7A8}" type="pres">
      <dgm:prSet presAssocID="{72B3FC92-06E7-473C-B46E-0F02C5FDB064}" presName="parTxOnly" presStyleLbl="node1" presStyleIdx="2" presStyleCnt="8" custLinFactNeighborX="70353" custLinFactNeighborY="-33891">
        <dgm:presLayoutVars>
          <dgm:chMax val="0"/>
          <dgm:chPref val="0"/>
          <dgm:bulletEnabled val="1"/>
        </dgm:presLayoutVars>
      </dgm:prSet>
      <dgm:spPr/>
      <dgm:t>
        <a:bodyPr/>
        <a:lstStyle/>
        <a:p>
          <a:endParaRPr lang="en-AU"/>
        </a:p>
      </dgm:t>
    </dgm:pt>
    <dgm:pt modelId="{65241486-EB9C-4663-86D0-9D7455998324}" type="pres">
      <dgm:prSet presAssocID="{ABFF6385-3823-492D-804F-A59D03388CCB}" presName="parTxOnlySpace" presStyleCnt="0"/>
      <dgm:spPr/>
    </dgm:pt>
    <dgm:pt modelId="{80D7A788-5442-4141-B1AA-EC23E182D957}" type="pres">
      <dgm:prSet presAssocID="{8375F3E0-46F0-4839-9F4D-322B84BB24E6}" presName="parTxOnly" presStyleLbl="node1" presStyleIdx="3" presStyleCnt="8" custLinFactNeighborX="70353" custLinFactNeighborY="-33891">
        <dgm:presLayoutVars>
          <dgm:chMax val="0"/>
          <dgm:chPref val="0"/>
          <dgm:bulletEnabled val="1"/>
        </dgm:presLayoutVars>
      </dgm:prSet>
      <dgm:spPr/>
      <dgm:t>
        <a:bodyPr/>
        <a:lstStyle/>
        <a:p>
          <a:endParaRPr lang="en-AU"/>
        </a:p>
      </dgm:t>
    </dgm:pt>
    <dgm:pt modelId="{E3BA2AA3-5F00-4EBD-B246-CB52E7673934}" type="pres">
      <dgm:prSet presAssocID="{CB0A790D-279D-4D7F-A1B7-3D02025AA881}" presName="parTxOnlySpace" presStyleCnt="0"/>
      <dgm:spPr/>
    </dgm:pt>
    <dgm:pt modelId="{90A0C395-3988-474C-92F1-2DD6E1BDAB0F}" type="pres">
      <dgm:prSet presAssocID="{7D65FF2D-E0B8-410B-8392-65CB7C358DC4}" presName="parTxOnly" presStyleLbl="node1" presStyleIdx="4" presStyleCnt="8" custLinFactNeighborX="70353" custLinFactNeighborY="-33891">
        <dgm:presLayoutVars>
          <dgm:chMax val="0"/>
          <dgm:chPref val="0"/>
          <dgm:bulletEnabled val="1"/>
        </dgm:presLayoutVars>
      </dgm:prSet>
      <dgm:spPr/>
      <dgm:t>
        <a:bodyPr/>
        <a:lstStyle/>
        <a:p>
          <a:endParaRPr lang="en-AU"/>
        </a:p>
      </dgm:t>
    </dgm:pt>
    <dgm:pt modelId="{7678F646-0C93-4396-8C1C-508614A54829}" type="pres">
      <dgm:prSet presAssocID="{6222001B-2ED7-4B0F-8AE4-1B8CA3A46E28}" presName="parTxOnlySpace" presStyleCnt="0"/>
      <dgm:spPr/>
    </dgm:pt>
    <dgm:pt modelId="{B26424C9-E7B8-44D6-B292-F54C8AFFF838}" type="pres">
      <dgm:prSet presAssocID="{BA18D897-2569-4A5F-A12F-85072D012B0F}" presName="parTxOnly" presStyleLbl="node1" presStyleIdx="5" presStyleCnt="8" custLinFactNeighborX="70353" custLinFactNeighborY="-33891">
        <dgm:presLayoutVars>
          <dgm:chMax val="0"/>
          <dgm:chPref val="0"/>
          <dgm:bulletEnabled val="1"/>
        </dgm:presLayoutVars>
      </dgm:prSet>
      <dgm:spPr/>
      <dgm:t>
        <a:bodyPr/>
        <a:lstStyle/>
        <a:p>
          <a:endParaRPr lang="en-AU"/>
        </a:p>
      </dgm:t>
    </dgm:pt>
    <dgm:pt modelId="{9F54386B-9C58-49E4-A5B4-3F817322844C}" type="pres">
      <dgm:prSet presAssocID="{D0275449-8848-4D60-B839-D41C2B28941E}" presName="parTxOnlySpace" presStyleCnt="0"/>
      <dgm:spPr/>
    </dgm:pt>
    <dgm:pt modelId="{372A0707-C206-4125-913C-150A3501952D}" type="pres">
      <dgm:prSet presAssocID="{81397574-9060-4111-B041-AC361AA39DEE}" presName="parTxOnly" presStyleLbl="node1" presStyleIdx="6" presStyleCnt="8" custLinFactNeighborX="35489" custLinFactNeighborY="-33891">
        <dgm:presLayoutVars>
          <dgm:chMax val="0"/>
          <dgm:chPref val="0"/>
          <dgm:bulletEnabled val="1"/>
        </dgm:presLayoutVars>
      </dgm:prSet>
      <dgm:spPr/>
      <dgm:t>
        <a:bodyPr/>
        <a:lstStyle/>
        <a:p>
          <a:endParaRPr lang="en-AU"/>
        </a:p>
      </dgm:t>
    </dgm:pt>
    <dgm:pt modelId="{573DBA9A-BC47-4CF8-9BC0-C95DDCD24A38}" type="pres">
      <dgm:prSet presAssocID="{05E63AD2-C047-40C2-B49F-02A5849A17CD}" presName="parTxOnlySpace" presStyleCnt="0"/>
      <dgm:spPr/>
    </dgm:pt>
    <dgm:pt modelId="{1956EF06-B7F2-4988-B170-CCFB1252D9EC}" type="pres">
      <dgm:prSet presAssocID="{D62C28C4-9520-4045-9C7B-51069030D9AF}" presName="parTxOnly" presStyleLbl="node1" presStyleIdx="7" presStyleCnt="8" custLinFactNeighborX="13238" custLinFactNeighborY="-33891">
        <dgm:presLayoutVars>
          <dgm:chMax val="0"/>
          <dgm:chPref val="0"/>
          <dgm:bulletEnabled val="1"/>
        </dgm:presLayoutVars>
      </dgm:prSet>
      <dgm:spPr/>
      <dgm:t>
        <a:bodyPr/>
        <a:lstStyle/>
        <a:p>
          <a:endParaRPr lang="en-AU"/>
        </a:p>
      </dgm:t>
    </dgm:pt>
  </dgm:ptLst>
  <dgm:cxnLst>
    <dgm:cxn modelId="{158EB68B-C067-4E27-AB5D-103D829AE1D1}" type="presOf" srcId="{91295B44-8D4E-4EA3-837E-C3BAF8CC7AD6}" destId="{856CB68D-1F08-4D89-BEDB-F12ACE91F717}" srcOrd="0" destOrd="0" presId="urn:microsoft.com/office/officeart/2005/8/layout/chevron1"/>
    <dgm:cxn modelId="{39184140-C5CF-4D0B-A6DC-46528684EEB6}" srcId="{34A1A343-FEBB-449A-A8D3-70B451069617}" destId="{D62C28C4-9520-4045-9C7B-51069030D9AF}" srcOrd="7" destOrd="0" parTransId="{13E9B9AC-AFFE-4CD9-B2CE-8668FF52217D}" sibTransId="{67E513B8-9C91-41DF-ACF8-E8150E5226B9}"/>
    <dgm:cxn modelId="{13584D01-EABB-4646-88D0-7B95444EC1C7}" srcId="{34A1A343-FEBB-449A-A8D3-70B451069617}" destId="{91295B44-8D4E-4EA3-837E-C3BAF8CC7AD6}" srcOrd="1" destOrd="0" parTransId="{8922FBB5-FC1D-4C74-833C-A5A0B4B644DD}" sibTransId="{5CE7C0D0-3A5F-4664-823A-D54A13B0767D}"/>
    <dgm:cxn modelId="{8B506891-44CB-4285-BC21-FEA48A44B34D}" type="presOf" srcId="{81397574-9060-4111-B041-AC361AA39DEE}" destId="{372A0707-C206-4125-913C-150A3501952D}" srcOrd="0" destOrd="0" presId="urn:microsoft.com/office/officeart/2005/8/layout/chevron1"/>
    <dgm:cxn modelId="{123CF15E-1841-4174-AADB-3AF841B71E4B}" type="presOf" srcId="{8375F3E0-46F0-4839-9F4D-322B84BB24E6}" destId="{80D7A788-5442-4141-B1AA-EC23E182D957}" srcOrd="0" destOrd="0" presId="urn:microsoft.com/office/officeart/2005/8/layout/chevron1"/>
    <dgm:cxn modelId="{78E47A31-C489-4147-93A0-1B486515A355}" type="presOf" srcId="{BA18D897-2569-4A5F-A12F-85072D012B0F}" destId="{B26424C9-E7B8-44D6-B292-F54C8AFFF838}" srcOrd="0" destOrd="0" presId="urn:microsoft.com/office/officeart/2005/8/layout/chevron1"/>
    <dgm:cxn modelId="{257B89B5-F9E0-4D8C-8C22-7E0F7059A97C}" type="presOf" srcId="{72B3FC92-06E7-473C-B46E-0F02C5FDB064}" destId="{C44F9971-22F4-4E5D-B3F5-F88B9C9DF7A8}" srcOrd="0" destOrd="0" presId="urn:microsoft.com/office/officeart/2005/8/layout/chevron1"/>
    <dgm:cxn modelId="{9FBB2F21-9730-4060-A83E-295A2891C9BE}" type="presOf" srcId="{7D65FF2D-E0B8-410B-8392-65CB7C358DC4}" destId="{90A0C395-3988-474C-92F1-2DD6E1BDAB0F}" srcOrd="0" destOrd="0" presId="urn:microsoft.com/office/officeart/2005/8/layout/chevron1"/>
    <dgm:cxn modelId="{2143B3F4-936A-4F17-9FBC-4D90348C001E}" type="presOf" srcId="{5D3162A9-4156-4314-AC96-23482FE76DF1}" destId="{694B1432-2B83-4456-BD41-8016077A515A}" srcOrd="0" destOrd="0" presId="urn:microsoft.com/office/officeart/2005/8/layout/chevron1"/>
    <dgm:cxn modelId="{95077CBC-52ED-41D4-9936-CC819B066540}" srcId="{34A1A343-FEBB-449A-A8D3-70B451069617}" destId="{72B3FC92-06E7-473C-B46E-0F02C5FDB064}" srcOrd="2" destOrd="0" parTransId="{04780732-D9FA-4F6C-A994-6B5B81CF76B7}" sibTransId="{ABFF6385-3823-492D-804F-A59D03388CCB}"/>
    <dgm:cxn modelId="{7E3047FB-71EF-4E28-A5B9-9D4A76D7216C}" srcId="{34A1A343-FEBB-449A-A8D3-70B451069617}" destId="{7D65FF2D-E0B8-410B-8392-65CB7C358DC4}" srcOrd="4" destOrd="0" parTransId="{D957CBB4-21F9-443D-9DCF-ED9F25413796}" sibTransId="{6222001B-2ED7-4B0F-8AE4-1B8CA3A46E28}"/>
    <dgm:cxn modelId="{D84A3261-B827-4706-BDBA-3BBBD0576EC8}" type="presOf" srcId="{D62C28C4-9520-4045-9C7B-51069030D9AF}" destId="{1956EF06-B7F2-4988-B170-CCFB1252D9EC}" srcOrd="0" destOrd="0" presId="urn:microsoft.com/office/officeart/2005/8/layout/chevron1"/>
    <dgm:cxn modelId="{40914133-A6F7-4109-AFE4-B994CE518361}" srcId="{34A1A343-FEBB-449A-A8D3-70B451069617}" destId="{81397574-9060-4111-B041-AC361AA39DEE}" srcOrd="6" destOrd="0" parTransId="{167C0DC0-C795-44C8-8AAE-04C999FBB7B6}" sibTransId="{05E63AD2-C047-40C2-B49F-02A5849A17CD}"/>
    <dgm:cxn modelId="{46A52633-A488-423B-9602-91C563DFF598}" srcId="{34A1A343-FEBB-449A-A8D3-70B451069617}" destId="{BA18D897-2569-4A5F-A12F-85072D012B0F}" srcOrd="5" destOrd="0" parTransId="{3C1ECD8F-C536-46AA-ADF1-E710A2BA2ED6}" sibTransId="{D0275449-8848-4D60-B839-D41C2B28941E}"/>
    <dgm:cxn modelId="{2CAF4E66-1EAF-4529-8335-77F3AA91A25B}" srcId="{34A1A343-FEBB-449A-A8D3-70B451069617}" destId="{5D3162A9-4156-4314-AC96-23482FE76DF1}" srcOrd="0" destOrd="0" parTransId="{76B093EA-6EDD-4698-9DE0-847744483BC7}" sibTransId="{11F3AB01-3BAF-461A-B392-E50B49C5B246}"/>
    <dgm:cxn modelId="{619C8A4E-45C8-4169-9B31-9391E0D0E799}" type="presOf" srcId="{34A1A343-FEBB-449A-A8D3-70B451069617}" destId="{1FDC6512-C7D4-4110-BEF3-A0CAB12F8445}" srcOrd="0" destOrd="0" presId="urn:microsoft.com/office/officeart/2005/8/layout/chevron1"/>
    <dgm:cxn modelId="{6B3A3478-BE5B-48A4-B954-0E21A91E5264}" srcId="{34A1A343-FEBB-449A-A8D3-70B451069617}" destId="{8375F3E0-46F0-4839-9F4D-322B84BB24E6}" srcOrd="3" destOrd="0" parTransId="{A348CDAB-53CA-4C3E-8BEC-714200D71D3D}" sibTransId="{CB0A790D-279D-4D7F-A1B7-3D02025AA881}"/>
    <dgm:cxn modelId="{9975D478-4604-47B2-B78B-3C8D0C56F4D8}" type="presParOf" srcId="{1FDC6512-C7D4-4110-BEF3-A0CAB12F8445}" destId="{694B1432-2B83-4456-BD41-8016077A515A}" srcOrd="0" destOrd="0" presId="urn:microsoft.com/office/officeart/2005/8/layout/chevron1"/>
    <dgm:cxn modelId="{C9D6BF37-AF00-403D-9E8A-28AE3F29D2B8}" type="presParOf" srcId="{1FDC6512-C7D4-4110-BEF3-A0CAB12F8445}" destId="{A8500963-B6A5-44E3-AA9B-49CE6BC83D81}" srcOrd="1" destOrd="0" presId="urn:microsoft.com/office/officeart/2005/8/layout/chevron1"/>
    <dgm:cxn modelId="{715C69DF-8D9D-4B11-82CC-CEA124C4D606}" type="presParOf" srcId="{1FDC6512-C7D4-4110-BEF3-A0CAB12F8445}" destId="{856CB68D-1F08-4D89-BEDB-F12ACE91F717}" srcOrd="2" destOrd="0" presId="urn:microsoft.com/office/officeart/2005/8/layout/chevron1"/>
    <dgm:cxn modelId="{F07075B6-406A-40A9-B348-0D6098460ED1}" type="presParOf" srcId="{1FDC6512-C7D4-4110-BEF3-A0CAB12F8445}" destId="{3D8E954B-5C78-4C2A-A0E7-1CC954C0FCF4}" srcOrd="3" destOrd="0" presId="urn:microsoft.com/office/officeart/2005/8/layout/chevron1"/>
    <dgm:cxn modelId="{420E3086-6D94-42CF-A581-26CBB63B91C7}" type="presParOf" srcId="{1FDC6512-C7D4-4110-BEF3-A0CAB12F8445}" destId="{C44F9971-22F4-4E5D-B3F5-F88B9C9DF7A8}" srcOrd="4" destOrd="0" presId="urn:microsoft.com/office/officeart/2005/8/layout/chevron1"/>
    <dgm:cxn modelId="{69E4BF75-46D8-4E8F-AD91-5A47ADDA9C9E}" type="presParOf" srcId="{1FDC6512-C7D4-4110-BEF3-A0CAB12F8445}" destId="{65241486-EB9C-4663-86D0-9D7455998324}" srcOrd="5" destOrd="0" presId="urn:microsoft.com/office/officeart/2005/8/layout/chevron1"/>
    <dgm:cxn modelId="{3A44F0C9-4BDD-4801-9FC9-CF11E0B348CE}" type="presParOf" srcId="{1FDC6512-C7D4-4110-BEF3-A0CAB12F8445}" destId="{80D7A788-5442-4141-B1AA-EC23E182D957}" srcOrd="6" destOrd="0" presId="urn:microsoft.com/office/officeart/2005/8/layout/chevron1"/>
    <dgm:cxn modelId="{434B6C36-4762-427C-B14A-514A2393BBCD}" type="presParOf" srcId="{1FDC6512-C7D4-4110-BEF3-A0CAB12F8445}" destId="{E3BA2AA3-5F00-4EBD-B246-CB52E7673934}" srcOrd="7" destOrd="0" presId="urn:microsoft.com/office/officeart/2005/8/layout/chevron1"/>
    <dgm:cxn modelId="{487875F4-FAFB-4FCF-B3E9-0AE4F9B5CA3C}" type="presParOf" srcId="{1FDC6512-C7D4-4110-BEF3-A0CAB12F8445}" destId="{90A0C395-3988-474C-92F1-2DD6E1BDAB0F}" srcOrd="8" destOrd="0" presId="urn:microsoft.com/office/officeart/2005/8/layout/chevron1"/>
    <dgm:cxn modelId="{69B040C2-A62C-4736-8812-39DDE8CC211D}" type="presParOf" srcId="{1FDC6512-C7D4-4110-BEF3-A0CAB12F8445}" destId="{7678F646-0C93-4396-8C1C-508614A54829}" srcOrd="9" destOrd="0" presId="urn:microsoft.com/office/officeart/2005/8/layout/chevron1"/>
    <dgm:cxn modelId="{E4B23452-A460-4C5B-B554-478D1EFE01D0}" type="presParOf" srcId="{1FDC6512-C7D4-4110-BEF3-A0CAB12F8445}" destId="{B26424C9-E7B8-44D6-B292-F54C8AFFF838}" srcOrd="10" destOrd="0" presId="urn:microsoft.com/office/officeart/2005/8/layout/chevron1"/>
    <dgm:cxn modelId="{03A947DD-D1ED-409B-B0B2-DE87716D8392}" type="presParOf" srcId="{1FDC6512-C7D4-4110-BEF3-A0CAB12F8445}" destId="{9F54386B-9C58-49E4-A5B4-3F817322844C}" srcOrd="11" destOrd="0" presId="urn:microsoft.com/office/officeart/2005/8/layout/chevron1"/>
    <dgm:cxn modelId="{FB873FA2-039B-419F-BA7A-AB54EEE73A77}" type="presParOf" srcId="{1FDC6512-C7D4-4110-BEF3-A0CAB12F8445}" destId="{372A0707-C206-4125-913C-150A3501952D}" srcOrd="12" destOrd="0" presId="urn:microsoft.com/office/officeart/2005/8/layout/chevron1"/>
    <dgm:cxn modelId="{7585A18B-79A9-4D62-8615-1D3172C45918}" type="presParOf" srcId="{1FDC6512-C7D4-4110-BEF3-A0CAB12F8445}" destId="{573DBA9A-BC47-4CF8-9BC0-C95DDCD24A38}" srcOrd="13" destOrd="0" presId="urn:microsoft.com/office/officeart/2005/8/layout/chevron1"/>
    <dgm:cxn modelId="{45558627-4A6E-4CC0-8F02-A3B949FDD26C}" type="presParOf" srcId="{1FDC6512-C7D4-4110-BEF3-A0CAB12F8445}" destId="{1956EF06-B7F2-4988-B170-CCFB1252D9EC}" srcOrd="14"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4A1A343-FEBB-449A-A8D3-70B451069617}" type="doc">
      <dgm:prSet loTypeId="urn:microsoft.com/office/officeart/2005/8/layout/chevron1" loCatId="process" qsTypeId="urn:microsoft.com/office/officeart/2005/8/quickstyle/simple4" qsCatId="simple" csTypeId="urn:microsoft.com/office/officeart/2005/8/colors/accent1_2" csCatId="accent1" phldr="1"/>
      <dgm:spPr/>
    </dgm:pt>
    <dgm:pt modelId="{5D3162A9-4156-4314-AC96-23482FE76DF1}">
      <dgm:prSet phldrT="[Text]" custT="1"/>
      <dgm:spPr>
        <a:solidFill>
          <a:schemeClr val="accent2">
            <a:lumMod val="75000"/>
          </a:schemeClr>
        </a:solidFill>
      </dgm:spPr>
      <dgm:t>
        <a:bodyPr/>
        <a:lstStyle/>
        <a:p>
          <a:r>
            <a:rPr lang="en-AU" sz="900">
              <a:solidFill>
                <a:schemeClr val="tx2">
                  <a:lumMod val="50000"/>
                </a:schemeClr>
              </a:solidFill>
            </a:rPr>
            <a:t>Step 1</a:t>
          </a:r>
        </a:p>
      </dgm:t>
    </dgm:pt>
    <dgm:pt modelId="{76B093EA-6EDD-4698-9DE0-847744483BC7}" type="parTrans" cxnId="{2CAF4E66-1EAF-4529-8335-77F3AA91A25B}">
      <dgm:prSet/>
      <dgm:spPr/>
      <dgm:t>
        <a:bodyPr/>
        <a:lstStyle/>
        <a:p>
          <a:endParaRPr lang="en-AU" sz="900"/>
        </a:p>
      </dgm:t>
    </dgm:pt>
    <dgm:pt modelId="{11F3AB01-3BAF-461A-B392-E50B49C5B246}" type="sibTrans" cxnId="{2CAF4E66-1EAF-4529-8335-77F3AA91A25B}">
      <dgm:prSet/>
      <dgm:spPr/>
      <dgm:t>
        <a:bodyPr/>
        <a:lstStyle/>
        <a:p>
          <a:endParaRPr lang="en-AU" sz="900"/>
        </a:p>
      </dgm:t>
    </dgm:pt>
    <dgm:pt modelId="{91295B44-8D4E-4EA3-837E-C3BAF8CC7AD6}">
      <dgm:prSet phldrT="[Text]" custT="1"/>
      <dgm:spPr>
        <a:solidFill>
          <a:schemeClr val="accent2">
            <a:lumMod val="50000"/>
          </a:schemeClr>
        </a:solidFill>
        <a:ln>
          <a:solidFill>
            <a:schemeClr val="accent2">
              <a:lumMod val="50000"/>
            </a:schemeClr>
          </a:solidFill>
        </a:ln>
      </dgm:spPr>
      <dgm:t>
        <a:bodyPr/>
        <a:lstStyle/>
        <a:p>
          <a:r>
            <a:rPr lang="en-AU" sz="900" b="1"/>
            <a:t>Step 2: Identify and prioritise threats</a:t>
          </a:r>
        </a:p>
      </dgm:t>
    </dgm:pt>
    <dgm:pt modelId="{8922FBB5-FC1D-4C74-833C-A5A0B4B644DD}" type="parTrans" cxnId="{13584D01-EABB-4646-88D0-7B95444EC1C7}">
      <dgm:prSet/>
      <dgm:spPr/>
      <dgm:t>
        <a:bodyPr/>
        <a:lstStyle/>
        <a:p>
          <a:endParaRPr lang="en-AU" sz="900"/>
        </a:p>
      </dgm:t>
    </dgm:pt>
    <dgm:pt modelId="{5CE7C0D0-3A5F-4664-823A-D54A13B0767D}" type="sibTrans" cxnId="{13584D01-EABB-4646-88D0-7B95444EC1C7}">
      <dgm:prSet/>
      <dgm:spPr/>
      <dgm:t>
        <a:bodyPr/>
        <a:lstStyle/>
        <a:p>
          <a:endParaRPr lang="en-AU" sz="900"/>
        </a:p>
      </dgm:t>
    </dgm:pt>
    <dgm:pt modelId="{72B3FC92-06E7-473C-B46E-0F02C5FDB064}">
      <dgm:prSet phldrT="[Text]" custT="1"/>
      <dgm:spPr>
        <a:solidFill>
          <a:schemeClr val="accent2">
            <a:lumMod val="75000"/>
          </a:schemeClr>
        </a:solidFill>
      </dgm:spPr>
      <dgm:t>
        <a:bodyPr/>
        <a:lstStyle/>
        <a:p>
          <a:r>
            <a:rPr lang="en-AU" sz="900">
              <a:solidFill>
                <a:schemeClr val="tx2">
                  <a:lumMod val="50000"/>
                </a:schemeClr>
              </a:solidFill>
            </a:rPr>
            <a:t>Step 3</a:t>
          </a:r>
        </a:p>
      </dgm:t>
    </dgm:pt>
    <dgm:pt modelId="{04780732-D9FA-4F6C-A994-6B5B81CF76B7}" type="parTrans" cxnId="{95077CBC-52ED-41D4-9936-CC819B066540}">
      <dgm:prSet/>
      <dgm:spPr/>
      <dgm:t>
        <a:bodyPr/>
        <a:lstStyle/>
        <a:p>
          <a:endParaRPr lang="en-AU" sz="900"/>
        </a:p>
      </dgm:t>
    </dgm:pt>
    <dgm:pt modelId="{ABFF6385-3823-492D-804F-A59D03388CCB}" type="sibTrans" cxnId="{95077CBC-52ED-41D4-9936-CC819B066540}">
      <dgm:prSet/>
      <dgm:spPr/>
      <dgm:t>
        <a:bodyPr/>
        <a:lstStyle/>
        <a:p>
          <a:endParaRPr lang="en-AU" sz="900"/>
        </a:p>
      </dgm:t>
    </dgm:pt>
    <dgm:pt modelId="{8375F3E0-46F0-4839-9F4D-322B84BB24E6}">
      <dgm:prSet custT="1"/>
      <dgm:spPr>
        <a:solidFill>
          <a:schemeClr val="accent2">
            <a:lumMod val="75000"/>
          </a:schemeClr>
        </a:solidFill>
      </dgm:spPr>
      <dgm:t>
        <a:bodyPr/>
        <a:lstStyle/>
        <a:p>
          <a:r>
            <a:rPr lang="en-AU" sz="900">
              <a:solidFill>
                <a:schemeClr val="tx2">
                  <a:lumMod val="50000"/>
                </a:schemeClr>
              </a:solidFill>
            </a:rPr>
            <a:t>Step 4</a:t>
          </a:r>
        </a:p>
      </dgm:t>
    </dgm:pt>
    <dgm:pt modelId="{A348CDAB-53CA-4C3E-8BEC-714200D71D3D}" type="parTrans" cxnId="{6B3A3478-BE5B-48A4-B954-0E21A91E5264}">
      <dgm:prSet/>
      <dgm:spPr/>
      <dgm:t>
        <a:bodyPr/>
        <a:lstStyle/>
        <a:p>
          <a:endParaRPr lang="en-AU" sz="900"/>
        </a:p>
      </dgm:t>
    </dgm:pt>
    <dgm:pt modelId="{CB0A790D-279D-4D7F-A1B7-3D02025AA881}" type="sibTrans" cxnId="{6B3A3478-BE5B-48A4-B954-0E21A91E5264}">
      <dgm:prSet/>
      <dgm:spPr/>
      <dgm:t>
        <a:bodyPr/>
        <a:lstStyle/>
        <a:p>
          <a:endParaRPr lang="en-AU" sz="900"/>
        </a:p>
      </dgm:t>
    </dgm:pt>
    <dgm:pt modelId="{7D65FF2D-E0B8-410B-8392-65CB7C358DC4}">
      <dgm:prSet custT="1"/>
      <dgm:spPr>
        <a:solidFill>
          <a:schemeClr val="accent2">
            <a:lumMod val="75000"/>
          </a:schemeClr>
        </a:solidFill>
      </dgm:spPr>
      <dgm:t>
        <a:bodyPr/>
        <a:lstStyle/>
        <a:p>
          <a:r>
            <a:rPr lang="en-AU" sz="900">
              <a:solidFill>
                <a:schemeClr val="tx2">
                  <a:lumMod val="50000"/>
                </a:schemeClr>
              </a:solidFill>
            </a:rPr>
            <a:t>Step 5</a:t>
          </a:r>
        </a:p>
      </dgm:t>
    </dgm:pt>
    <dgm:pt modelId="{D957CBB4-21F9-443D-9DCF-ED9F25413796}" type="parTrans" cxnId="{7E3047FB-71EF-4E28-A5B9-9D4A76D7216C}">
      <dgm:prSet/>
      <dgm:spPr/>
      <dgm:t>
        <a:bodyPr/>
        <a:lstStyle/>
        <a:p>
          <a:endParaRPr lang="en-AU" sz="900"/>
        </a:p>
      </dgm:t>
    </dgm:pt>
    <dgm:pt modelId="{6222001B-2ED7-4B0F-8AE4-1B8CA3A46E28}" type="sibTrans" cxnId="{7E3047FB-71EF-4E28-A5B9-9D4A76D7216C}">
      <dgm:prSet/>
      <dgm:spPr/>
      <dgm:t>
        <a:bodyPr/>
        <a:lstStyle/>
        <a:p>
          <a:endParaRPr lang="en-AU" sz="900"/>
        </a:p>
      </dgm:t>
    </dgm:pt>
    <dgm:pt modelId="{BA18D897-2569-4A5F-A12F-85072D012B0F}">
      <dgm:prSet custT="1"/>
      <dgm:spPr>
        <a:solidFill>
          <a:schemeClr val="accent2">
            <a:lumMod val="75000"/>
          </a:schemeClr>
        </a:solidFill>
      </dgm:spPr>
      <dgm:t>
        <a:bodyPr/>
        <a:lstStyle/>
        <a:p>
          <a:r>
            <a:rPr lang="en-AU" sz="900">
              <a:solidFill>
                <a:schemeClr val="tx2">
                  <a:lumMod val="50000"/>
                </a:schemeClr>
              </a:solidFill>
            </a:rPr>
            <a:t>Step 6</a:t>
          </a:r>
        </a:p>
      </dgm:t>
    </dgm:pt>
    <dgm:pt modelId="{3C1ECD8F-C536-46AA-ADF1-E710A2BA2ED6}" type="parTrans" cxnId="{46A52633-A488-423B-9602-91C563DFF598}">
      <dgm:prSet/>
      <dgm:spPr/>
      <dgm:t>
        <a:bodyPr/>
        <a:lstStyle/>
        <a:p>
          <a:endParaRPr lang="en-AU" sz="900"/>
        </a:p>
      </dgm:t>
    </dgm:pt>
    <dgm:pt modelId="{D0275449-8848-4D60-B839-D41C2B28941E}" type="sibTrans" cxnId="{46A52633-A488-423B-9602-91C563DFF598}">
      <dgm:prSet/>
      <dgm:spPr/>
      <dgm:t>
        <a:bodyPr/>
        <a:lstStyle/>
        <a:p>
          <a:endParaRPr lang="en-AU" sz="900"/>
        </a:p>
      </dgm:t>
    </dgm:pt>
    <dgm:pt modelId="{81397574-9060-4111-B041-AC361AA39DEE}">
      <dgm:prSet custT="1"/>
      <dgm:spPr>
        <a:solidFill>
          <a:schemeClr val="accent2">
            <a:lumMod val="75000"/>
          </a:schemeClr>
        </a:solidFill>
      </dgm:spPr>
      <dgm:t>
        <a:bodyPr/>
        <a:lstStyle/>
        <a:p>
          <a:r>
            <a:rPr lang="en-AU" sz="900">
              <a:solidFill>
                <a:schemeClr val="tx2">
                  <a:lumMod val="50000"/>
                </a:schemeClr>
              </a:solidFill>
            </a:rPr>
            <a:t>Step  7</a:t>
          </a:r>
        </a:p>
      </dgm:t>
    </dgm:pt>
    <dgm:pt modelId="{167C0DC0-C795-44C8-8AAE-04C999FBB7B6}" type="parTrans" cxnId="{40914133-A6F7-4109-AFE4-B994CE518361}">
      <dgm:prSet/>
      <dgm:spPr/>
      <dgm:t>
        <a:bodyPr/>
        <a:lstStyle/>
        <a:p>
          <a:endParaRPr lang="en-AU" sz="900"/>
        </a:p>
      </dgm:t>
    </dgm:pt>
    <dgm:pt modelId="{05E63AD2-C047-40C2-B49F-02A5849A17CD}" type="sibTrans" cxnId="{40914133-A6F7-4109-AFE4-B994CE518361}">
      <dgm:prSet/>
      <dgm:spPr/>
      <dgm:t>
        <a:bodyPr/>
        <a:lstStyle/>
        <a:p>
          <a:endParaRPr lang="en-AU" sz="900"/>
        </a:p>
      </dgm:t>
    </dgm:pt>
    <dgm:pt modelId="{D62C28C4-9520-4045-9C7B-51069030D9AF}">
      <dgm:prSet custT="1"/>
      <dgm:spPr>
        <a:solidFill>
          <a:schemeClr val="accent2">
            <a:lumMod val="75000"/>
          </a:schemeClr>
        </a:solidFill>
      </dgm:spPr>
      <dgm:t>
        <a:bodyPr/>
        <a:lstStyle/>
        <a:p>
          <a:r>
            <a:rPr lang="en-AU" sz="900">
              <a:solidFill>
                <a:schemeClr val="tx2">
                  <a:lumMod val="50000"/>
                </a:schemeClr>
              </a:solidFill>
            </a:rPr>
            <a:t>Step 8</a:t>
          </a:r>
        </a:p>
      </dgm:t>
    </dgm:pt>
    <dgm:pt modelId="{13E9B9AC-AFFE-4CD9-B2CE-8668FF52217D}" type="parTrans" cxnId="{39184140-C5CF-4D0B-A6DC-46528684EEB6}">
      <dgm:prSet/>
      <dgm:spPr/>
      <dgm:t>
        <a:bodyPr/>
        <a:lstStyle/>
        <a:p>
          <a:endParaRPr lang="en-AU" sz="900"/>
        </a:p>
      </dgm:t>
    </dgm:pt>
    <dgm:pt modelId="{67E513B8-9C91-41DF-ACF8-E8150E5226B9}" type="sibTrans" cxnId="{39184140-C5CF-4D0B-A6DC-46528684EEB6}">
      <dgm:prSet/>
      <dgm:spPr/>
      <dgm:t>
        <a:bodyPr/>
        <a:lstStyle/>
        <a:p>
          <a:endParaRPr lang="en-AU" sz="900"/>
        </a:p>
      </dgm:t>
    </dgm:pt>
    <dgm:pt modelId="{1FDC6512-C7D4-4110-BEF3-A0CAB12F8445}" type="pres">
      <dgm:prSet presAssocID="{34A1A343-FEBB-449A-A8D3-70B451069617}" presName="Name0" presStyleCnt="0">
        <dgm:presLayoutVars>
          <dgm:dir/>
          <dgm:animLvl val="lvl"/>
          <dgm:resizeHandles val="exact"/>
        </dgm:presLayoutVars>
      </dgm:prSet>
      <dgm:spPr/>
    </dgm:pt>
    <dgm:pt modelId="{694B1432-2B83-4456-BD41-8016077A515A}" type="pres">
      <dgm:prSet presAssocID="{5D3162A9-4156-4314-AC96-23482FE76DF1}" presName="parTxOnly" presStyleLbl="node1" presStyleIdx="0" presStyleCnt="8" custLinFactNeighborX="625" custLinFactNeighborY="-17138">
        <dgm:presLayoutVars>
          <dgm:chMax val="0"/>
          <dgm:chPref val="0"/>
          <dgm:bulletEnabled val="1"/>
        </dgm:presLayoutVars>
      </dgm:prSet>
      <dgm:spPr/>
      <dgm:t>
        <a:bodyPr/>
        <a:lstStyle/>
        <a:p>
          <a:endParaRPr lang="en-AU"/>
        </a:p>
      </dgm:t>
    </dgm:pt>
    <dgm:pt modelId="{A8500963-B6A5-44E3-AA9B-49CE6BC83D81}" type="pres">
      <dgm:prSet presAssocID="{11F3AB01-3BAF-461A-B392-E50B49C5B246}" presName="parTxOnlySpace" presStyleCnt="0"/>
      <dgm:spPr/>
    </dgm:pt>
    <dgm:pt modelId="{856CB68D-1F08-4D89-BEDB-F12ACE91F717}" type="pres">
      <dgm:prSet presAssocID="{91295B44-8D4E-4EA3-837E-C3BAF8CC7AD6}" presName="parTxOnly" presStyleLbl="node1" presStyleIdx="1" presStyleCnt="8" custScaleX="191238" custScaleY="157884" custLinFactNeighborX="-24543" custLinFactNeighborY="-11025">
        <dgm:presLayoutVars>
          <dgm:chMax val="0"/>
          <dgm:chPref val="0"/>
          <dgm:bulletEnabled val="1"/>
        </dgm:presLayoutVars>
      </dgm:prSet>
      <dgm:spPr/>
      <dgm:t>
        <a:bodyPr/>
        <a:lstStyle/>
        <a:p>
          <a:endParaRPr lang="en-AU"/>
        </a:p>
      </dgm:t>
    </dgm:pt>
    <dgm:pt modelId="{3D8E954B-5C78-4C2A-A0E7-1CC954C0FCF4}" type="pres">
      <dgm:prSet presAssocID="{5CE7C0D0-3A5F-4664-823A-D54A13B0767D}" presName="parTxOnlySpace" presStyleCnt="0"/>
      <dgm:spPr/>
    </dgm:pt>
    <dgm:pt modelId="{C44F9971-22F4-4E5D-B3F5-F88B9C9DF7A8}" type="pres">
      <dgm:prSet presAssocID="{72B3FC92-06E7-473C-B46E-0F02C5FDB064}" presName="parTxOnly" presStyleLbl="node1" presStyleIdx="2" presStyleCnt="8" custLinFactNeighborX="625" custLinFactNeighborY="-17138">
        <dgm:presLayoutVars>
          <dgm:chMax val="0"/>
          <dgm:chPref val="0"/>
          <dgm:bulletEnabled val="1"/>
        </dgm:presLayoutVars>
      </dgm:prSet>
      <dgm:spPr/>
      <dgm:t>
        <a:bodyPr/>
        <a:lstStyle/>
        <a:p>
          <a:endParaRPr lang="en-AU"/>
        </a:p>
      </dgm:t>
    </dgm:pt>
    <dgm:pt modelId="{65241486-EB9C-4663-86D0-9D7455998324}" type="pres">
      <dgm:prSet presAssocID="{ABFF6385-3823-492D-804F-A59D03388CCB}" presName="parTxOnlySpace" presStyleCnt="0"/>
      <dgm:spPr/>
    </dgm:pt>
    <dgm:pt modelId="{80D7A788-5442-4141-B1AA-EC23E182D957}" type="pres">
      <dgm:prSet presAssocID="{8375F3E0-46F0-4839-9F4D-322B84BB24E6}" presName="parTxOnly" presStyleLbl="node1" presStyleIdx="3" presStyleCnt="8" custLinFactNeighborX="625" custLinFactNeighborY="-17138">
        <dgm:presLayoutVars>
          <dgm:chMax val="0"/>
          <dgm:chPref val="0"/>
          <dgm:bulletEnabled val="1"/>
        </dgm:presLayoutVars>
      </dgm:prSet>
      <dgm:spPr/>
      <dgm:t>
        <a:bodyPr/>
        <a:lstStyle/>
        <a:p>
          <a:endParaRPr lang="en-AU"/>
        </a:p>
      </dgm:t>
    </dgm:pt>
    <dgm:pt modelId="{E3BA2AA3-5F00-4EBD-B246-CB52E7673934}" type="pres">
      <dgm:prSet presAssocID="{CB0A790D-279D-4D7F-A1B7-3D02025AA881}" presName="parTxOnlySpace" presStyleCnt="0"/>
      <dgm:spPr/>
    </dgm:pt>
    <dgm:pt modelId="{90A0C395-3988-474C-92F1-2DD6E1BDAB0F}" type="pres">
      <dgm:prSet presAssocID="{7D65FF2D-E0B8-410B-8392-65CB7C358DC4}" presName="parTxOnly" presStyleLbl="node1" presStyleIdx="4" presStyleCnt="8" custLinFactNeighborX="625" custLinFactNeighborY="-17138">
        <dgm:presLayoutVars>
          <dgm:chMax val="0"/>
          <dgm:chPref val="0"/>
          <dgm:bulletEnabled val="1"/>
        </dgm:presLayoutVars>
      </dgm:prSet>
      <dgm:spPr/>
      <dgm:t>
        <a:bodyPr/>
        <a:lstStyle/>
        <a:p>
          <a:endParaRPr lang="en-AU"/>
        </a:p>
      </dgm:t>
    </dgm:pt>
    <dgm:pt modelId="{7678F646-0C93-4396-8C1C-508614A54829}" type="pres">
      <dgm:prSet presAssocID="{6222001B-2ED7-4B0F-8AE4-1B8CA3A46E28}" presName="parTxOnlySpace" presStyleCnt="0"/>
      <dgm:spPr/>
    </dgm:pt>
    <dgm:pt modelId="{B26424C9-E7B8-44D6-B292-F54C8AFFF838}" type="pres">
      <dgm:prSet presAssocID="{BA18D897-2569-4A5F-A12F-85072D012B0F}" presName="parTxOnly" presStyleLbl="node1" presStyleIdx="5" presStyleCnt="8" custLinFactNeighborX="625" custLinFactNeighborY="-17138">
        <dgm:presLayoutVars>
          <dgm:chMax val="0"/>
          <dgm:chPref val="0"/>
          <dgm:bulletEnabled val="1"/>
        </dgm:presLayoutVars>
      </dgm:prSet>
      <dgm:spPr/>
      <dgm:t>
        <a:bodyPr/>
        <a:lstStyle/>
        <a:p>
          <a:endParaRPr lang="en-AU"/>
        </a:p>
      </dgm:t>
    </dgm:pt>
    <dgm:pt modelId="{9F54386B-9C58-49E4-A5B4-3F817322844C}" type="pres">
      <dgm:prSet presAssocID="{D0275449-8848-4D60-B839-D41C2B28941E}" presName="parTxOnlySpace" presStyleCnt="0"/>
      <dgm:spPr/>
    </dgm:pt>
    <dgm:pt modelId="{372A0707-C206-4125-913C-150A3501952D}" type="pres">
      <dgm:prSet presAssocID="{81397574-9060-4111-B041-AC361AA39DEE}" presName="parTxOnly" presStyleLbl="node1" presStyleIdx="6" presStyleCnt="8" custLinFactNeighborX="625" custLinFactNeighborY="-17138">
        <dgm:presLayoutVars>
          <dgm:chMax val="0"/>
          <dgm:chPref val="0"/>
          <dgm:bulletEnabled val="1"/>
        </dgm:presLayoutVars>
      </dgm:prSet>
      <dgm:spPr/>
      <dgm:t>
        <a:bodyPr/>
        <a:lstStyle/>
        <a:p>
          <a:endParaRPr lang="en-AU"/>
        </a:p>
      </dgm:t>
    </dgm:pt>
    <dgm:pt modelId="{573DBA9A-BC47-4CF8-9BC0-C95DDCD24A38}" type="pres">
      <dgm:prSet presAssocID="{05E63AD2-C047-40C2-B49F-02A5849A17CD}" presName="parTxOnlySpace" presStyleCnt="0"/>
      <dgm:spPr/>
    </dgm:pt>
    <dgm:pt modelId="{1956EF06-B7F2-4988-B170-CCFB1252D9EC}" type="pres">
      <dgm:prSet presAssocID="{D62C28C4-9520-4045-9C7B-51069030D9AF}" presName="parTxOnly" presStyleLbl="node1" presStyleIdx="7" presStyleCnt="8" custLinFactNeighborX="625" custLinFactNeighborY="-17138">
        <dgm:presLayoutVars>
          <dgm:chMax val="0"/>
          <dgm:chPref val="0"/>
          <dgm:bulletEnabled val="1"/>
        </dgm:presLayoutVars>
      </dgm:prSet>
      <dgm:spPr/>
      <dgm:t>
        <a:bodyPr/>
        <a:lstStyle/>
        <a:p>
          <a:endParaRPr lang="en-AU"/>
        </a:p>
      </dgm:t>
    </dgm:pt>
  </dgm:ptLst>
  <dgm:cxnLst>
    <dgm:cxn modelId="{39184140-C5CF-4D0B-A6DC-46528684EEB6}" srcId="{34A1A343-FEBB-449A-A8D3-70B451069617}" destId="{D62C28C4-9520-4045-9C7B-51069030D9AF}" srcOrd="7" destOrd="0" parTransId="{13E9B9AC-AFFE-4CD9-B2CE-8668FF52217D}" sibTransId="{67E513B8-9C91-41DF-ACF8-E8150E5226B9}"/>
    <dgm:cxn modelId="{13584D01-EABB-4646-88D0-7B95444EC1C7}" srcId="{34A1A343-FEBB-449A-A8D3-70B451069617}" destId="{91295B44-8D4E-4EA3-837E-C3BAF8CC7AD6}" srcOrd="1" destOrd="0" parTransId="{8922FBB5-FC1D-4C74-833C-A5A0B4B644DD}" sibTransId="{5CE7C0D0-3A5F-4664-823A-D54A13B0767D}"/>
    <dgm:cxn modelId="{2FE44554-0C22-4688-86B2-F7FBBE901FE0}" type="presOf" srcId="{8375F3E0-46F0-4839-9F4D-322B84BB24E6}" destId="{80D7A788-5442-4141-B1AA-EC23E182D957}" srcOrd="0" destOrd="0" presId="urn:microsoft.com/office/officeart/2005/8/layout/chevron1"/>
    <dgm:cxn modelId="{83E79586-CD21-4369-AE28-3E710DC109E3}" type="presOf" srcId="{5D3162A9-4156-4314-AC96-23482FE76DF1}" destId="{694B1432-2B83-4456-BD41-8016077A515A}" srcOrd="0" destOrd="0" presId="urn:microsoft.com/office/officeart/2005/8/layout/chevron1"/>
    <dgm:cxn modelId="{AD956796-D68D-40CB-91A7-FD0BB78C259D}" type="presOf" srcId="{34A1A343-FEBB-449A-A8D3-70B451069617}" destId="{1FDC6512-C7D4-4110-BEF3-A0CAB12F8445}" srcOrd="0" destOrd="0" presId="urn:microsoft.com/office/officeart/2005/8/layout/chevron1"/>
    <dgm:cxn modelId="{23B29B43-B795-4620-966A-16E2DB0968FA}" type="presOf" srcId="{BA18D897-2569-4A5F-A12F-85072D012B0F}" destId="{B26424C9-E7B8-44D6-B292-F54C8AFFF838}" srcOrd="0" destOrd="0" presId="urn:microsoft.com/office/officeart/2005/8/layout/chevron1"/>
    <dgm:cxn modelId="{B00AAADD-4289-4D66-A090-664A02323C4B}" type="presOf" srcId="{91295B44-8D4E-4EA3-837E-C3BAF8CC7AD6}" destId="{856CB68D-1F08-4D89-BEDB-F12ACE91F717}" srcOrd="0" destOrd="0" presId="urn:microsoft.com/office/officeart/2005/8/layout/chevron1"/>
    <dgm:cxn modelId="{95077CBC-52ED-41D4-9936-CC819B066540}" srcId="{34A1A343-FEBB-449A-A8D3-70B451069617}" destId="{72B3FC92-06E7-473C-B46E-0F02C5FDB064}" srcOrd="2" destOrd="0" parTransId="{04780732-D9FA-4F6C-A994-6B5B81CF76B7}" sibTransId="{ABFF6385-3823-492D-804F-A59D03388CCB}"/>
    <dgm:cxn modelId="{7E3047FB-71EF-4E28-A5B9-9D4A76D7216C}" srcId="{34A1A343-FEBB-449A-A8D3-70B451069617}" destId="{7D65FF2D-E0B8-410B-8392-65CB7C358DC4}" srcOrd="4" destOrd="0" parTransId="{D957CBB4-21F9-443D-9DCF-ED9F25413796}" sibTransId="{6222001B-2ED7-4B0F-8AE4-1B8CA3A46E28}"/>
    <dgm:cxn modelId="{A68EC975-4B7E-4D51-8D3B-D502E9ABB655}" type="presOf" srcId="{81397574-9060-4111-B041-AC361AA39DEE}" destId="{372A0707-C206-4125-913C-150A3501952D}" srcOrd="0" destOrd="0" presId="urn:microsoft.com/office/officeart/2005/8/layout/chevron1"/>
    <dgm:cxn modelId="{39DBD19D-6F25-42D5-A43A-EF76044B875A}" type="presOf" srcId="{7D65FF2D-E0B8-410B-8392-65CB7C358DC4}" destId="{90A0C395-3988-474C-92F1-2DD6E1BDAB0F}" srcOrd="0" destOrd="0" presId="urn:microsoft.com/office/officeart/2005/8/layout/chevron1"/>
    <dgm:cxn modelId="{40914133-A6F7-4109-AFE4-B994CE518361}" srcId="{34A1A343-FEBB-449A-A8D3-70B451069617}" destId="{81397574-9060-4111-B041-AC361AA39DEE}" srcOrd="6" destOrd="0" parTransId="{167C0DC0-C795-44C8-8AAE-04C999FBB7B6}" sibTransId="{05E63AD2-C047-40C2-B49F-02A5849A17CD}"/>
    <dgm:cxn modelId="{46A52633-A488-423B-9602-91C563DFF598}" srcId="{34A1A343-FEBB-449A-A8D3-70B451069617}" destId="{BA18D897-2569-4A5F-A12F-85072D012B0F}" srcOrd="5" destOrd="0" parTransId="{3C1ECD8F-C536-46AA-ADF1-E710A2BA2ED6}" sibTransId="{D0275449-8848-4D60-B839-D41C2B28941E}"/>
    <dgm:cxn modelId="{1079CA7C-4F05-46F1-BEE3-1B523BD350FA}" type="presOf" srcId="{D62C28C4-9520-4045-9C7B-51069030D9AF}" destId="{1956EF06-B7F2-4988-B170-CCFB1252D9EC}" srcOrd="0" destOrd="0" presId="urn:microsoft.com/office/officeart/2005/8/layout/chevron1"/>
    <dgm:cxn modelId="{2CAF4E66-1EAF-4529-8335-77F3AA91A25B}" srcId="{34A1A343-FEBB-449A-A8D3-70B451069617}" destId="{5D3162A9-4156-4314-AC96-23482FE76DF1}" srcOrd="0" destOrd="0" parTransId="{76B093EA-6EDD-4698-9DE0-847744483BC7}" sibTransId="{11F3AB01-3BAF-461A-B392-E50B49C5B246}"/>
    <dgm:cxn modelId="{6B3A3478-BE5B-48A4-B954-0E21A91E5264}" srcId="{34A1A343-FEBB-449A-A8D3-70B451069617}" destId="{8375F3E0-46F0-4839-9F4D-322B84BB24E6}" srcOrd="3" destOrd="0" parTransId="{A348CDAB-53CA-4C3E-8BEC-714200D71D3D}" sibTransId="{CB0A790D-279D-4D7F-A1B7-3D02025AA881}"/>
    <dgm:cxn modelId="{330E6650-35D2-41AE-9263-733994EFF491}" type="presOf" srcId="{72B3FC92-06E7-473C-B46E-0F02C5FDB064}" destId="{C44F9971-22F4-4E5D-B3F5-F88B9C9DF7A8}" srcOrd="0" destOrd="0" presId="urn:microsoft.com/office/officeart/2005/8/layout/chevron1"/>
    <dgm:cxn modelId="{BD1F3A38-22DC-4C68-A8BE-514ADBD4241E}" type="presParOf" srcId="{1FDC6512-C7D4-4110-BEF3-A0CAB12F8445}" destId="{694B1432-2B83-4456-BD41-8016077A515A}" srcOrd="0" destOrd="0" presId="urn:microsoft.com/office/officeart/2005/8/layout/chevron1"/>
    <dgm:cxn modelId="{B0F95DFC-2FA7-4B19-BFAA-3356561670EA}" type="presParOf" srcId="{1FDC6512-C7D4-4110-BEF3-A0CAB12F8445}" destId="{A8500963-B6A5-44E3-AA9B-49CE6BC83D81}" srcOrd="1" destOrd="0" presId="urn:microsoft.com/office/officeart/2005/8/layout/chevron1"/>
    <dgm:cxn modelId="{F15BD07C-BBC1-45EF-96F6-F1F62C7D1993}" type="presParOf" srcId="{1FDC6512-C7D4-4110-BEF3-A0CAB12F8445}" destId="{856CB68D-1F08-4D89-BEDB-F12ACE91F717}" srcOrd="2" destOrd="0" presId="urn:microsoft.com/office/officeart/2005/8/layout/chevron1"/>
    <dgm:cxn modelId="{145FA08E-9574-461E-B16B-2CCD74DC2F23}" type="presParOf" srcId="{1FDC6512-C7D4-4110-BEF3-A0CAB12F8445}" destId="{3D8E954B-5C78-4C2A-A0E7-1CC954C0FCF4}" srcOrd="3" destOrd="0" presId="urn:microsoft.com/office/officeart/2005/8/layout/chevron1"/>
    <dgm:cxn modelId="{912CAF57-A31A-43A5-AE81-172B41D072AE}" type="presParOf" srcId="{1FDC6512-C7D4-4110-BEF3-A0CAB12F8445}" destId="{C44F9971-22F4-4E5D-B3F5-F88B9C9DF7A8}" srcOrd="4" destOrd="0" presId="urn:microsoft.com/office/officeart/2005/8/layout/chevron1"/>
    <dgm:cxn modelId="{70FE93F2-DC93-4621-AEBB-199DF55CBDAE}" type="presParOf" srcId="{1FDC6512-C7D4-4110-BEF3-A0CAB12F8445}" destId="{65241486-EB9C-4663-86D0-9D7455998324}" srcOrd="5" destOrd="0" presId="urn:microsoft.com/office/officeart/2005/8/layout/chevron1"/>
    <dgm:cxn modelId="{712F2DCF-CA0E-4B8B-B370-8CBA27F404B6}" type="presParOf" srcId="{1FDC6512-C7D4-4110-BEF3-A0CAB12F8445}" destId="{80D7A788-5442-4141-B1AA-EC23E182D957}" srcOrd="6" destOrd="0" presId="urn:microsoft.com/office/officeart/2005/8/layout/chevron1"/>
    <dgm:cxn modelId="{8B6DE224-11E8-4E03-999F-D89B3BE91635}" type="presParOf" srcId="{1FDC6512-C7D4-4110-BEF3-A0CAB12F8445}" destId="{E3BA2AA3-5F00-4EBD-B246-CB52E7673934}" srcOrd="7" destOrd="0" presId="urn:microsoft.com/office/officeart/2005/8/layout/chevron1"/>
    <dgm:cxn modelId="{76BC8947-6367-4F97-A8A3-6401F9FC8D25}" type="presParOf" srcId="{1FDC6512-C7D4-4110-BEF3-A0CAB12F8445}" destId="{90A0C395-3988-474C-92F1-2DD6E1BDAB0F}" srcOrd="8" destOrd="0" presId="urn:microsoft.com/office/officeart/2005/8/layout/chevron1"/>
    <dgm:cxn modelId="{DF1CAB44-2DD8-40C8-A161-9C8F08BA1376}" type="presParOf" srcId="{1FDC6512-C7D4-4110-BEF3-A0CAB12F8445}" destId="{7678F646-0C93-4396-8C1C-508614A54829}" srcOrd="9" destOrd="0" presId="urn:microsoft.com/office/officeart/2005/8/layout/chevron1"/>
    <dgm:cxn modelId="{63E5DEF2-B2A8-4FFC-B463-169EAD681E74}" type="presParOf" srcId="{1FDC6512-C7D4-4110-BEF3-A0CAB12F8445}" destId="{B26424C9-E7B8-44D6-B292-F54C8AFFF838}" srcOrd="10" destOrd="0" presId="urn:microsoft.com/office/officeart/2005/8/layout/chevron1"/>
    <dgm:cxn modelId="{E3989864-27B7-4DE4-BEF7-79407B1FA7BD}" type="presParOf" srcId="{1FDC6512-C7D4-4110-BEF3-A0CAB12F8445}" destId="{9F54386B-9C58-49E4-A5B4-3F817322844C}" srcOrd="11" destOrd="0" presId="urn:microsoft.com/office/officeart/2005/8/layout/chevron1"/>
    <dgm:cxn modelId="{F2D295F0-F375-4FF9-BB9C-BFD75207D794}" type="presParOf" srcId="{1FDC6512-C7D4-4110-BEF3-A0CAB12F8445}" destId="{372A0707-C206-4125-913C-150A3501952D}" srcOrd="12" destOrd="0" presId="urn:microsoft.com/office/officeart/2005/8/layout/chevron1"/>
    <dgm:cxn modelId="{B481E91A-1E7D-47A0-9763-85F8D28C2510}" type="presParOf" srcId="{1FDC6512-C7D4-4110-BEF3-A0CAB12F8445}" destId="{573DBA9A-BC47-4CF8-9BC0-C95DDCD24A38}" srcOrd="13" destOrd="0" presId="urn:microsoft.com/office/officeart/2005/8/layout/chevron1"/>
    <dgm:cxn modelId="{64EC1EAF-C3A2-490B-924B-89D46D13200F}" type="presParOf" srcId="{1FDC6512-C7D4-4110-BEF3-A0CAB12F8445}" destId="{1956EF06-B7F2-4988-B170-CCFB1252D9EC}" srcOrd="14"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4A1A343-FEBB-449A-A8D3-70B451069617}" type="doc">
      <dgm:prSet loTypeId="urn:microsoft.com/office/officeart/2005/8/layout/chevron1" loCatId="process" qsTypeId="urn:microsoft.com/office/officeart/2005/8/quickstyle/simple4" qsCatId="simple" csTypeId="urn:microsoft.com/office/officeart/2005/8/colors/accent1_2" csCatId="accent1" phldr="1"/>
      <dgm:spPr/>
    </dgm:pt>
    <dgm:pt modelId="{5D3162A9-4156-4314-AC96-23482FE76DF1}">
      <dgm:prSet phldrT="[Text]" custT="1"/>
      <dgm:spPr>
        <a:solidFill>
          <a:schemeClr val="accent2">
            <a:lumMod val="75000"/>
          </a:schemeClr>
        </a:solidFill>
      </dgm:spPr>
      <dgm:t>
        <a:bodyPr/>
        <a:lstStyle/>
        <a:p>
          <a:r>
            <a:rPr lang="en-AU" sz="900">
              <a:solidFill>
                <a:schemeClr val="tx2">
                  <a:lumMod val="50000"/>
                </a:schemeClr>
              </a:solidFill>
            </a:rPr>
            <a:t>Step 1</a:t>
          </a:r>
        </a:p>
      </dgm:t>
    </dgm:pt>
    <dgm:pt modelId="{76B093EA-6EDD-4698-9DE0-847744483BC7}" type="parTrans" cxnId="{2CAF4E66-1EAF-4529-8335-77F3AA91A25B}">
      <dgm:prSet/>
      <dgm:spPr/>
      <dgm:t>
        <a:bodyPr/>
        <a:lstStyle/>
        <a:p>
          <a:endParaRPr lang="en-AU" sz="900"/>
        </a:p>
      </dgm:t>
    </dgm:pt>
    <dgm:pt modelId="{11F3AB01-3BAF-461A-B392-E50B49C5B246}" type="sibTrans" cxnId="{2CAF4E66-1EAF-4529-8335-77F3AA91A25B}">
      <dgm:prSet/>
      <dgm:spPr/>
      <dgm:t>
        <a:bodyPr/>
        <a:lstStyle/>
        <a:p>
          <a:endParaRPr lang="en-AU" sz="900"/>
        </a:p>
      </dgm:t>
    </dgm:pt>
    <dgm:pt modelId="{72B3FC92-06E7-473C-B46E-0F02C5FDB064}">
      <dgm:prSet phldrT="[Text]" custT="1"/>
      <dgm:spPr>
        <a:solidFill>
          <a:schemeClr val="accent2">
            <a:lumMod val="50000"/>
          </a:schemeClr>
        </a:solidFill>
        <a:ln>
          <a:solidFill>
            <a:schemeClr val="accent2">
              <a:lumMod val="50000"/>
            </a:schemeClr>
          </a:solidFill>
        </a:ln>
      </dgm:spPr>
      <dgm:t>
        <a:bodyPr/>
        <a:lstStyle/>
        <a:p>
          <a:r>
            <a:rPr lang="en-AU" sz="900" b="1"/>
            <a:t>Step 3: Develop KEQs</a:t>
          </a:r>
        </a:p>
      </dgm:t>
    </dgm:pt>
    <dgm:pt modelId="{04780732-D9FA-4F6C-A994-6B5B81CF76B7}" type="parTrans" cxnId="{95077CBC-52ED-41D4-9936-CC819B066540}">
      <dgm:prSet/>
      <dgm:spPr/>
      <dgm:t>
        <a:bodyPr/>
        <a:lstStyle/>
        <a:p>
          <a:endParaRPr lang="en-AU" sz="900"/>
        </a:p>
      </dgm:t>
    </dgm:pt>
    <dgm:pt modelId="{ABFF6385-3823-492D-804F-A59D03388CCB}" type="sibTrans" cxnId="{95077CBC-52ED-41D4-9936-CC819B066540}">
      <dgm:prSet/>
      <dgm:spPr/>
      <dgm:t>
        <a:bodyPr/>
        <a:lstStyle/>
        <a:p>
          <a:endParaRPr lang="en-AU" sz="900"/>
        </a:p>
      </dgm:t>
    </dgm:pt>
    <dgm:pt modelId="{8375F3E0-46F0-4839-9F4D-322B84BB24E6}">
      <dgm:prSet custT="1"/>
      <dgm:spPr>
        <a:solidFill>
          <a:schemeClr val="accent2">
            <a:lumMod val="75000"/>
          </a:schemeClr>
        </a:solidFill>
      </dgm:spPr>
      <dgm:t>
        <a:bodyPr/>
        <a:lstStyle/>
        <a:p>
          <a:r>
            <a:rPr lang="en-AU" sz="900">
              <a:solidFill>
                <a:schemeClr val="tx2">
                  <a:lumMod val="50000"/>
                </a:schemeClr>
              </a:solidFill>
            </a:rPr>
            <a:t>Step 4</a:t>
          </a:r>
        </a:p>
      </dgm:t>
    </dgm:pt>
    <dgm:pt modelId="{A348CDAB-53CA-4C3E-8BEC-714200D71D3D}" type="parTrans" cxnId="{6B3A3478-BE5B-48A4-B954-0E21A91E5264}">
      <dgm:prSet/>
      <dgm:spPr/>
      <dgm:t>
        <a:bodyPr/>
        <a:lstStyle/>
        <a:p>
          <a:endParaRPr lang="en-AU" sz="900"/>
        </a:p>
      </dgm:t>
    </dgm:pt>
    <dgm:pt modelId="{CB0A790D-279D-4D7F-A1B7-3D02025AA881}" type="sibTrans" cxnId="{6B3A3478-BE5B-48A4-B954-0E21A91E5264}">
      <dgm:prSet/>
      <dgm:spPr/>
      <dgm:t>
        <a:bodyPr/>
        <a:lstStyle/>
        <a:p>
          <a:endParaRPr lang="en-AU" sz="900"/>
        </a:p>
      </dgm:t>
    </dgm:pt>
    <dgm:pt modelId="{7D65FF2D-E0B8-410B-8392-65CB7C358DC4}">
      <dgm:prSet custT="1"/>
      <dgm:spPr>
        <a:solidFill>
          <a:schemeClr val="accent2">
            <a:lumMod val="75000"/>
          </a:schemeClr>
        </a:solidFill>
      </dgm:spPr>
      <dgm:t>
        <a:bodyPr/>
        <a:lstStyle/>
        <a:p>
          <a:r>
            <a:rPr lang="en-AU" sz="900">
              <a:solidFill>
                <a:schemeClr val="tx2">
                  <a:lumMod val="50000"/>
                </a:schemeClr>
              </a:solidFill>
            </a:rPr>
            <a:t>Step 5</a:t>
          </a:r>
        </a:p>
      </dgm:t>
    </dgm:pt>
    <dgm:pt modelId="{D957CBB4-21F9-443D-9DCF-ED9F25413796}" type="parTrans" cxnId="{7E3047FB-71EF-4E28-A5B9-9D4A76D7216C}">
      <dgm:prSet/>
      <dgm:spPr/>
      <dgm:t>
        <a:bodyPr/>
        <a:lstStyle/>
        <a:p>
          <a:endParaRPr lang="en-AU" sz="900"/>
        </a:p>
      </dgm:t>
    </dgm:pt>
    <dgm:pt modelId="{6222001B-2ED7-4B0F-8AE4-1B8CA3A46E28}" type="sibTrans" cxnId="{7E3047FB-71EF-4E28-A5B9-9D4A76D7216C}">
      <dgm:prSet/>
      <dgm:spPr/>
      <dgm:t>
        <a:bodyPr/>
        <a:lstStyle/>
        <a:p>
          <a:endParaRPr lang="en-AU" sz="900"/>
        </a:p>
      </dgm:t>
    </dgm:pt>
    <dgm:pt modelId="{BA18D897-2569-4A5F-A12F-85072D012B0F}">
      <dgm:prSet custT="1"/>
      <dgm:spPr>
        <a:solidFill>
          <a:schemeClr val="accent2">
            <a:lumMod val="75000"/>
          </a:schemeClr>
        </a:solidFill>
      </dgm:spPr>
      <dgm:t>
        <a:bodyPr/>
        <a:lstStyle/>
        <a:p>
          <a:r>
            <a:rPr lang="en-AU" sz="900">
              <a:solidFill>
                <a:schemeClr val="tx2">
                  <a:lumMod val="50000"/>
                </a:schemeClr>
              </a:solidFill>
            </a:rPr>
            <a:t>Step 6</a:t>
          </a:r>
        </a:p>
      </dgm:t>
    </dgm:pt>
    <dgm:pt modelId="{3C1ECD8F-C536-46AA-ADF1-E710A2BA2ED6}" type="parTrans" cxnId="{46A52633-A488-423B-9602-91C563DFF598}">
      <dgm:prSet/>
      <dgm:spPr/>
      <dgm:t>
        <a:bodyPr/>
        <a:lstStyle/>
        <a:p>
          <a:endParaRPr lang="en-AU" sz="900"/>
        </a:p>
      </dgm:t>
    </dgm:pt>
    <dgm:pt modelId="{D0275449-8848-4D60-B839-D41C2B28941E}" type="sibTrans" cxnId="{46A52633-A488-423B-9602-91C563DFF598}">
      <dgm:prSet/>
      <dgm:spPr/>
      <dgm:t>
        <a:bodyPr/>
        <a:lstStyle/>
        <a:p>
          <a:endParaRPr lang="en-AU" sz="900"/>
        </a:p>
      </dgm:t>
    </dgm:pt>
    <dgm:pt modelId="{81397574-9060-4111-B041-AC361AA39DEE}">
      <dgm:prSet custT="1"/>
      <dgm:spPr>
        <a:solidFill>
          <a:schemeClr val="accent2">
            <a:lumMod val="75000"/>
          </a:schemeClr>
        </a:solidFill>
      </dgm:spPr>
      <dgm:t>
        <a:bodyPr/>
        <a:lstStyle/>
        <a:p>
          <a:r>
            <a:rPr lang="en-AU" sz="900">
              <a:solidFill>
                <a:schemeClr val="tx2">
                  <a:lumMod val="50000"/>
                </a:schemeClr>
              </a:solidFill>
            </a:rPr>
            <a:t>Step  7</a:t>
          </a:r>
        </a:p>
      </dgm:t>
    </dgm:pt>
    <dgm:pt modelId="{167C0DC0-C795-44C8-8AAE-04C999FBB7B6}" type="parTrans" cxnId="{40914133-A6F7-4109-AFE4-B994CE518361}">
      <dgm:prSet/>
      <dgm:spPr/>
      <dgm:t>
        <a:bodyPr/>
        <a:lstStyle/>
        <a:p>
          <a:endParaRPr lang="en-AU" sz="900"/>
        </a:p>
      </dgm:t>
    </dgm:pt>
    <dgm:pt modelId="{05E63AD2-C047-40C2-B49F-02A5849A17CD}" type="sibTrans" cxnId="{40914133-A6F7-4109-AFE4-B994CE518361}">
      <dgm:prSet/>
      <dgm:spPr/>
      <dgm:t>
        <a:bodyPr/>
        <a:lstStyle/>
        <a:p>
          <a:endParaRPr lang="en-AU" sz="900"/>
        </a:p>
      </dgm:t>
    </dgm:pt>
    <dgm:pt modelId="{D62C28C4-9520-4045-9C7B-51069030D9AF}">
      <dgm:prSet custT="1"/>
      <dgm:spPr>
        <a:solidFill>
          <a:schemeClr val="accent2">
            <a:lumMod val="75000"/>
          </a:schemeClr>
        </a:solidFill>
      </dgm:spPr>
      <dgm:t>
        <a:bodyPr/>
        <a:lstStyle/>
        <a:p>
          <a:r>
            <a:rPr lang="en-AU" sz="900">
              <a:solidFill>
                <a:schemeClr val="tx2">
                  <a:lumMod val="50000"/>
                </a:schemeClr>
              </a:solidFill>
            </a:rPr>
            <a:t>Step 8</a:t>
          </a:r>
        </a:p>
      </dgm:t>
    </dgm:pt>
    <dgm:pt modelId="{13E9B9AC-AFFE-4CD9-B2CE-8668FF52217D}" type="parTrans" cxnId="{39184140-C5CF-4D0B-A6DC-46528684EEB6}">
      <dgm:prSet/>
      <dgm:spPr/>
      <dgm:t>
        <a:bodyPr/>
        <a:lstStyle/>
        <a:p>
          <a:endParaRPr lang="en-AU" sz="900"/>
        </a:p>
      </dgm:t>
    </dgm:pt>
    <dgm:pt modelId="{67E513B8-9C91-41DF-ACF8-E8150E5226B9}" type="sibTrans" cxnId="{39184140-C5CF-4D0B-A6DC-46528684EEB6}">
      <dgm:prSet/>
      <dgm:spPr/>
      <dgm:t>
        <a:bodyPr/>
        <a:lstStyle/>
        <a:p>
          <a:endParaRPr lang="en-AU" sz="900"/>
        </a:p>
      </dgm:t>
    </dgm:pt>
    <dgm:pt modelId="{84AB9A67-BC7D-4E5A-8498-EC5B390620C0}">
      <dgm:prSet custT="1"/>
      <dgm:spPr>
        <a:solidFill>
          <a:schemeClr val="accent2">
            <a:lumMod val="75000"/>
          </a:schemeClr>
        </a:solidFill>
      </dgm:spPr>
      <dgm:t>
        <a:bodyPr/>
        <a:lstStyle/>
        <a:p>
          <a:r>
            <a:rPr lang="en-AU" sz="900">
              <a:solidFill>
                <a:schemeClr val="tx2">
                  <a:lumMod val="50000"/>
                </a:schemeClr>
              </a:solidFill>
            </a:rPr>
            <a:t>Step 2</a:t>
          </a:r>
        </a:p>
      </dgm:t>
    </dgm:pt>
    <dgm:pt modelId="{799605DA-6659-42E9-9C2C-EEBD0442B359}" type="parTrans" cxnId="{77E0B77A-6675-4E5C-866B-B241F7BC9C49}">
      <dgm:prSet/>
      <dgm:spPr/>
      <dgm:t>
        <a:bodyPr/>
        <a:lstStyle/>
        <a:p>
          <a:endParaRPr lang="en-AU" sz="900"/>
        </a:p>
      </dgm:t>
    </dgm:pt>
    <dgm:pt modelId="{DA6E0066-D480-49B1-B3D4-08C69FA3E5B8}" type="sibTrans" cxnId="{77E0B77A-6675-4E5C-866B-B241F7BC9C49}">
      <dgm:prSet/>
      <dgm:spPr/>
      <dgm:t>
        <a:bodyPr/>
        <a:lstStyle/>
        <a:p>
          <a:endParaRPr lang="en-AU" sz="900"/>
        </a:p>
      </dgm:t>
    </dgm:pt>
    <dgm:pt modelId="{1FDC6512-C7D4-4110-BEF3-A0CAB12F8445}" type="pres">
      <dgm:prSet presAssocID="{34A1A343-FEBB-449A-A8D3-70B451069617}" presName="Name0" presStyleCnt="0">
        <dgm:presLayoutVars>
          <dgm:dir/>
          <dgm:animLvl val="lvl"/>
          <dgm:resizeHandles val="exact"/>
        </dgm:presLayoutVars>
      </dgm:prSet>
      <dgm:spPr/>
    </dgm:pt>
    <dgm:pt modelId="{694B1432-2B83-4456-BD41-8016077A515A}" type="pres">
      <dgm:prSet presAssocID="{5D3162A9-4156-4314-AC96-23482FE76DF1}" presName="parTxOnly" presStyleLbl="node1" presStyleIdx="0" presStyleCnt="8" custLinFactNeighborX="625" custLinFactNeighborY="-17138">
        <dgm:presLayoutVars>
          <dgm:chMax val="0"/>
          <dgm:chPref val="0"/>
          <dgm:bulletEnabled val="1"/>
        </dgm:presLayoutVars>
      </dgm:prSet>
      <dgm:spPr/>
      <dgm:t>
        <a:bodyPr/>
        <a:lstStyle/>
        <a:p>
          <a:endParaRPr lang="en-AU"/>
        </a:p>
      </dgm:t>
    </dgm:pt>
    <dgm:pt modelId="{A8500963-B6A5-44E3-AA9B-49CE6BC83D81}" type="pres">
      <dgm:prSet presAssocID="{11F3AB01-3BAF-461A-B392-E50B49C5B246}" presName="parTxOnlySpace" presStyleCnt="0"/>
      <dgm:spPr/>
    </dgm:pt>
    <dgm:pt modelId="{BE47DD43-34D6-4BB8-8E85-8B9317DB3B01}" type="pres">
      <dgm:prSet presAssocID="{84AB9A67-BC7D-4E5A-8498-EC5B390620C0}" presName="parTxOnly" presStyleLbl="node1" presStyleIdx="1" presStyleCnt="8" custLinFactNeighborY="-18600">
        <dgm:presLayoutVars>
          <dgm:chMax val="0"/>
          <dgm:chPref val="0"/>
          <dgm:bulletEnabled val="1"/>
        </dgm:presLayoutVars>
      </dgm:prSet>
      <dgm:spPr/>
      <dgm:t>
        <a:bodyPr/>
        <a:lstStyle/>
        <a:p>
          <a:endParaRPr lang="en-AU"/>
        </a:p>
      </dgm:t>
    </dgm:pt>
    <dgm:pt modelId="{2A624379-61C7-4579-B487-A563CF4B28A7}" type="pres">
      <dgm:prSet presAssocID="{DA6E0066-D480-49B1-B3D4-08C69FA3E5B8}" presName="parTxOnlySpace" presStyleCnt="0"/>
      <dgm:spPr/>
    </dgm:pt>
    <dgm:pt modelId="{C44F9971-22F4-4E5D-B3F5-F88B9C9DF7A8}" type="pres">
      <dgm:prSet presAssocID="{72B3FC92-06E7-473C-B46E-0F02C5FDB064}" presName="parTxOnly" presStyleLbl="node1" presStyleIdx="2" presStyleCnt="8" custScaleX="191493" custScaleY="175171" custLinFactNeighborX="-73291" custLinFactNeighborY="-10981">
        <dgm:presLayoutVars>
          <dgm:chMax val="0"/>
          <dgm:chPref val="0"/>
          <dgm:bulletEnabled val="1"/>
        </dgm:presLayoutVars>
      </dgm:prSet>
      <dgm:spPr/>
      <dgm:t>
        <a:bodyPr/>
        <a:lstStyle/>
        <a:p>
          <a:endParaRPr lang="en-AU"/>
        </a:p>
      </dgm:t>
    </dgm:pt>
    <dgm:pt modelId="{65241486-EB9C-4663-86D0-9D7455998324}" type="pres">
      <dgm:prSet presAssocID="{ABFF6385-3823-492D-804F-A59D03388CCB}" presName="parTxOnlySpace" presStyleCnt="0"/>
      <dgm:spPr/>
    </dgm:pt>
    <dgm:pt modelId="{80D7A788-5442-4141-B1AA-EC23E182D957}" type="pres">
      <dgm:prSet presAssocID="{8375F3E0-46F0-4839-9F4D-322B84BB24E6}" presName="parTxOnly" presStyleLbl="node1" presStyleIdx="3" presStyleCnt="8" custLinFactNeighborX="625" custLinFactNeighborY="-17138">
        <dgm:presLayoutVars>
          <dgm:chMax val="0"/>
          <dgm:chPref val="0"/>
          <dgm:bulletEnabled val="1"/>
        </dgm:presLayoutVars>
      </dgm:prSet>
      <dgm:spPr/>
      <dgm:t>
        <a:bodyPr/>
        <a:lstStyle/>
        <a:p>
          <a:endParaRPr lang="en-AU"/>
        </a:p>
      </dgm:t>
    </dgm:pt>
    <dgm:pt modelId="{E3BA2AA3-5F00-4EBD-B246-CB52E7673934}" type="pres">
      <dgm:prSet presAssocID="{CB0A790D-279D-4D7F-A1B7-3D02025AA881}" presName="parTxOnlySpace" presStyleCnt="0"/>
      <dgm:spPr/>
    </dgm:pt>
    <dgm:pt modelId="{90A0C395-3988-474C-92F1-2DD6E1BDAB0F}" type="pres">
      <dgm:prSet presAssocID="{7D65FF2D-E0B8-410B-8392-65CB7C358DC4}" presName="parTxOnly" presStyleLbl="node1" presStyleIdx="4" presStyleCnt="8" custLinFactNeighborX="625" custLinFactNeighborY="-17138">
        <dgm:presLayoutVars>
          <dgm:chMax val="0"/>
          <dgm:chPref val="0"/>
          <dgm:bulletEnabled val="1"/>
        </dgm:presLayoutVars>
      </dgm:prSet>
      <dgm:spPr/>
      <dgm:t>
        <a:bodyPr/>
        <a:lstStyle/>
        <a:p>
          <a:endParaRPr lang="en-AU"/>
        </a:p>
      </dgm:t>
    </dgm:pt>
    <dgm:pt modelId="{7678F646-0C93-4396-8C1C-508614A54829}" type="pres">
      <dgm:prSet presAssocID="{6222001B-2ED7-4B0F-8AE4-1B8CA3A46E28}" presName="parTxOnlySpace" presStyleCnt="0"/>
      <dgm:spPr/>
    </dgm:pt>
    <dgm:pt modelId="{B26424C9-E7B8-44D6-B292-F54C8AFFF838}" type="pres">
      <dgm:prSet presAssocID="{BA18D897-2569-4A5F-A12F-85072D012B0F}" presName="parTxOnly" presStyleLbl="node1" presStyleIdx="5" presStyleCnt="8" custLinFactNeighborX="625" custLinFactNeighborY="-17138">
        <dgm:presLayoutVars>
          <dgm:chMax val="0"/>
          <dgm:chPref val="0"/>
          <dgm:bulletEnabled val="1"/>
        </dgm:presLayoutVars>
      </dgm:prSet>
      <dgm:spPr/>
      <dgm:t>
        <a:bodyPr/>
        <a:lstStyle/>
        <a:p>
          <a:endParaRPr lang="en-AU"/>
        </a:p>
      </dgm:t>
    </dgm:pt>
    <dgm:pt modelId="{9F54386B-9C58-49E4-A5B4-3F817322844C}" type="pres">
      <dgm:prSet presAssocID="{D0275449-8848-4D60-B839-D41C2B28941E}" presName="parTxOnlySpace" presStyleCnt="0"/>
      <dgm:spPr/>
    </dgm:pt>
    <dgm:pt modelId="{372A0707-C206-4125-913C-150A3501952D}" type="pres">
      <dgm:prSet presAssocID="{81397574-9060-4111-B041-AC361AA39DEE}" presName="parTxOnly" presStyleLbl="node1" presStyleIdx="6" presStyleCnt="8" custLinFactNeighborX="625" custLinFactNeighborY="-17138">
        <dgm:presLayoutVars>
          <dgm:chMax val="0"/>
          <dgm:chPref val="0"/>
          <dgm:bulletEnabled val="1"/>
        </dgm:presLayoutVars>
      </dgm:prSet>
      <dgm:spPr/>
      <dgm:t>
        <a:bodyPr/>
        <a:lstStyle/>
        <a:p>
          <a:endParaRPr lang="en-AU"/>
        </a:p>
      </dgm:t>
    </dgm:pt>
    <dgm:pt modelId="{573DBA9A-BC47-4CF8-9BC0-C95DDCD24A38}" type="pres">
      <dgm:prSet presAssocID="{05E63AD2-C047-40C2-B49F-02A5849A17CD}" presName="parTxOnlySpace" presStyleCnt="0"/>
      <dgm:spPr/>
    </dgm:pt>
    <dgm:pt modelId="{1956EF06-B7F2-4988-B170-CCFB1252D9EC}" type="pres">
      <dgm:prSet presAssocID="{D62C28C4-9520-4045-9C7B-51069030D9AF}" presName="parTxOnly" presStyleLbl="node1" presStyleIdx="7" presStyleCnt="8" custLinFactNeighborX="625" custLinFactNeighborY="-17138">
        <dgm:presLayoutVars>
          <dgm:chMax val="0"/>
          <dgm:chPref val="0"/>
          <dgm:bulletEnabled val="1"/>
        </dgm:presLayoutVars>
      </dgm:prSet>
      <dgm:spPr/>
      <dgm:t>
        <a:bodyPr/>
        <a:lstStyle/>
        <a:p>
          <a:endParaRPr lang="en-AU"/>
        </a:p>
      </dgm:t>
    </dgm:pt>
  </dgm:ptLst>
  <dgm:cxnLst>
    <dgm:cxn modelId="{A092ECDF-4931-4BDC-B62B-DD5B9A1FE10A}" type="presOf" srcId="{7D65FF2D-E0B8-410B-8392-65CB7C358DC4}" destId="{90A0C395-3988-474C-92F1-2DD6E1BDAB0F}" srcOrd="0" destOrd="0" presId="urn:microsoft.com/office/officeart/2005/8/layout/chevron1"/>
    <dgm:cxn modelId="{89115424-B360-4821-946E-ADF31F1FBA1B}" type="presOf" srcId="{5D3162A9-4156-4314-AC96-23482FE76DF1}" destId="{694B1432-2B83-4456-BD41-8016077A515A}" srcOrd="0" destOrd="0" presId="urn:microsoft.com/office/officeart/2005/8/layout/chevron1"/>
    <dgm:cxn modelId="{77E0B77A-6675-4E5C-866B-B241F7BC9C49}" srcId="{34A1A343-FEBB-449A-A8D3-70B451069617}" destId="{84AB9A67-BC7D-4E5A-8498-EC5B390620C0}" srcOrd="1" destOrd="0" parTransId="{799605DA-6659-42E9-9C2C-EEBD0442B359}" sibTransId="{DA6E0066-D480-49B1-B3D4-08C69FA3E5B8}"/>
    <dgm:cxn modelId="{39184140-C5CF-4D0B-A6DC-46528684EEB6}" srcId="{34A1A343-FEBB-449A-A8D3-70B451069617}" destId="{D62C28C4-9520-4045-9C7B-51069030D9AF}" srcOrd="7" destOrd="0" parTransId="{13E9B9AC-AFFE-4CD9-B2CE-8668FF52217D}" sibTransId="{67E513B8-9C91-41DF-ACF8-E8150E5226B9}"/>
    <dgm:cxn modelId="{8DEBA054-E40F-4011-947B-F5562BA2209F}" type="presOf" srcId="{81397574-9060-4111-B041-AC361AA39DEE}" destId="{372A0707-C206-4125-913C-150A3501952D}" srcOrd="0" destOrd="0" presId="urn:microsoft.com/office/officeart/2005/8/layout/chevron1"/>
    <dgm:cxn modelId="{60137907-EDD3-4743-8E1D-B645831CBDFA}" type="presOf" srcId="{D62C28C4-9520-4045-9C7B-51069030D9AF}" destId="{1956EF06-B7F2-4988-B170-CCFB1252D9EC}" srcOrd="0" destOrd="0" presId="urn:microsoft.com/office/officeart/2005/8/layout/chevron1"/>
    <dgm:cxn modelId="{95077CBC-52ED-41D4-9936-CC819B066540}" srcId="{34A1A343-FEBB-449A-A8D3-70B451069617}" destId="{72B3FC92-06E7-473C-B46E-0F02C5FDB064}" srcOrd="2" destOrd="0" parTransId="{04780732-D9FA-4F6C-A994-6B5B81CF76B7}" sibTransId="{ABFF6385-3823-492D-804F-A59D03388CCB}"/>
    <dgm:cxn modelId="{7E3047FB-71EF-4E28-A5B9-9D4A76D7216C}" srcId="{34A1A343-FEBB-449A-A8D3-70B451069617}" destId="{7D65FF2D-E0B8-410B-8392-65CB7C358DC4}" srcOrd="4" destOrd="0" parTransId="{D957CBB4-21F9-443D-9DCF-ED9F25413796}" sibTransId="{6222001B-2ED7-4B0F-8AE4-1B8CA3A46E28}"/>
    <dgm:cxn modelId="{D50A265B-9A0C-48B9-952D-D84A82676955}" type="presOf" srcId="{8375F3E0-46F0-4839-9F4D-322B84BB24E6}" destId="{80D7A788-5442-4141-B1AA-EC23E182D957}" srcOrd="0" destOrd="0" presId="urn:microsoft.com/office/officeart/2005/8/layout/chevron1"/>
    <dgm:cxn modelId="{73EE81D5-B0C9-42C1-B1DD-F40E2AB355DC}" type="presOf" srcId="{72B3FC92-06E7-473C-B46E-0F02C5FDB064}" destId="{C44F9971-22F4-4E5D-B3F5-F88B9C9DF7A8}" srcOrd="0" destOrd="0" presId="urn:microsoft.com/office/officeart/2005/8/layout/chevron1"/>
    <dgm:cxn modelId="{1D12FE0B-A0E8-4106-95FC-DBD667B10852}" type="presOf" srcId="{34A1A343-FEBB-449A-A8D3-70B451069617}" destId="{1FDC6512-C7D4-4110-BEF3-A0CAB12F8445}" srcOrd="0" destOrd="0" presId="urn:microsoft.com/office/officeart/2005/8/layout/chevron1"/>
    <dgm:cxn modelId="{40914133-A6F7-4109-AFE4-B994CE518361}" srcId="{34A1A343-FEBB-449A-A8D3-70B451069617}" destId="{81397574-9060-4111-B041-AC361AA39DEE}" srcOrd="6" destOrd="0" parTransId="{167C0DC0-C795-44C8-8AAE-04C999FBB7B6}" sibTransId="{05E63AD2-C047-40C2-B49F-02A5849A17CD}"/>
    <dgm:cxn modelId="{46A52633-A488-423B-9602-91C563DFF598}" srcId="{34A1A343-FEBB-449A-A8D3-70B451069617}" destId="{BA18D897-2569-4A5F-A12F-85072D012B0F}" srcOrd="5" destOrd="0" parTransId="{3C1ECD8F-C536-46AA-ADF1-E710A2BA2ED6}" sibTransId="{D0275449-8848-4D60-B839-D41C2B28941E}"/>
    <dgm:cxn modelId="{255D2B02-1711-463B-B158-900C80012A54}" type="presOf" srcId="{84AB9A67-BC7D-4E5A-8498-EC5B390620C0}" destId="{BE47DD43-34D6-4BB8-8E85-8B9317DB3B01}" srcOrd="0" destOrd="0" presId="urn:microsoft.com/office/officeart/2005/8/layout/chevron1"/>
    <dgm:cxn modelId="{2CAF4E66-1EAF-4529-8335-77F3AA91A25B}" srcId="{34A1A343-FEBB-449A-A8D3-70B451069617}" destId="{5D3162A9-4156-4314-AC96-23482FE76DF1}" srcOrd="0" destOrd="0" parTransId="{76B093EA-6EDD-4698-9DE0-847744483BC7}" sibTransId="{11F3AB01-3BAF-461A-B392-E50B49C5B246}"/>
    <dgm:cxn modelId="{6B3A3478-BE5B-48A4-B954-0E21A91E5264}" srcId="{34A1A343-FEBB-449A-A8D3-70B451069617}" destId="{8375F3E0-46F0-4839-9F4D-322B84BB24E6}" srcOrd="3" destOrd="0" parTransId="{A348CDAB-53CA-4C3E-8BEC-714200D71D3D}" sibTransId="{CB0A790D-279D-4D7F-A1B7-3D02025AA881}"/>
    <dgm:cxn modelId="{FF04B238-C0E7-4BB0-AB7C-B1CA9399A267}" type="presOf" srcId="{BA18D897-2569-4A5F-A12F-85072D012B0F}" destId="{B26424C9-E7B8-44D6-B292-F54C8AFFF838}" srcOrd="0" destOrd="0" presId="urn:microsoft.com/office/officeart/2005/8/layout/chevron1"/>
    <dgm:cxn modelId="{54C5502C-844C-4CBF-A67C-B4E3470F44BF}" type="presParOf" srcId="{1FDC6512-C7D4-4110-BEF3-A0CAB12F8445}" destId="{694B1432-2B83-4456-BD41-8016077A515A}" srcOrd="0" destOrd="0" presId="urn:microsoft.com/office/officeart/2005/8/layout/chevron1"/>
    <dgm:cxn modelId="{0C8B84DD-2641-4B48-B80F-22A3509DEE96}" type="presParOf" srcId="{1FDC6512-C7D4-4110-BEF3-A0CAB12F8445}" destId="{A8500963-B6A5-44E3-AA9B-49CE6BC83D81}" srcOrd="1" destOrd="0" presId="urn:microsoft.com/office/officeart/2005/8/layout/chevron1"/>
    <dgm:cxn modelId="{FBE73F75-A1AB-4F3C-8D08-7498D2360C55}" type="presParOf" srcId="{1FDC6512-C7D4-4110-BEF3-A0CAB12F8445}" destId="{BE47DD43-34D6-4BB8-8E85-8B9317DB3B01}" srcOrd="2" destOrd="0" presId="urn:microsoft.com/office/officeart/2005/8/layout/chevron1"/>
    <dgm:cxn modelId="{EFDF727D-2E45-40F8-9D67-891C4DE71E6E}" type="presParOf" srcId="{1FDC6512-C7D4-4110-BEF3-A0CAB12F8445}" destId="{2A624379-61C7-4579-B487-A563CF4B28A7}" srcOrd="3" destOrd="0" presId="urn:microsoft.com/office/officeart/2005/8/layout/chevron1"/>
    <dgm:cxn modelId="{AE9EA5B0-DB8C-429B-BBE4-6E8233E800C1}" type="presParOf" srcId="{1FDC6512-C7D4-4110-BEF3-A0CAB12F8445}" destId="{C44F9971-22F4-4E5D-B3F5-F88B9C9DF7A8}" srcOrd="4" destOrd="0" presId="urn:microsoft.com/office/officeart/2005/8/layout/chevron1"/>
    <dgm:cxn modelId="{E61B1DEC-9277-4928-A422-B3177E79404A}" type="presParOf" srcId="{1FDC6512-C7D4-4110-BEF3-A0CAB12F8445}" destId="{65241486-EB9C-4663-86D0-9D7455998324}" srcOrd="5" destOrd="0" presId="urn:microsoft.com/office/officeart/2005/8/layout/chevron1"/>
    <dgm:cxn modelId="{56AD3D53-E173-41BD-8A8B-586EC6D97FF0}" type="presParOf" srcId="{1FDC6512-C7D4-4110-BEF3-A0CAB12F8445}" destId="{80D7A788-5442-4141-B1AA-EC23E182D957}" srcOrd="6" destOrd="0" presId="urn:microsoft.com/office/officeart/2005/8/layout/chevron1"/>
    <dgm:cxn modelId="{7E722C3B-B164-41AE-8477-0BDB9EE804ED}" type="presParOf" srcId="{1FDC6512-C7D4-4110-BEF3-A0CAB12F8445}" destId="{E3BA2AA3-5F00-4EBD-B246-CB52E7673934}" srcOrd="7" destOrd="0" presId="urn:microsoft.com/office/officeart/2005/8/layout/chevron1"/>
    <dgm:cxn modelId="{C125DADA-6E5E-4ADB-AF4B-A4AEF6ACE9A1}" type="presParOf" srcId="{1FDC6512-C7D4-4110-BEF3-A0CAB12F8445}" destId="{90A0C395-3988-474C-92F1-2DD6E1BDAB0F}" srcOrd="8" destOrd="0" presId="urn:microsoft.com/office/officeart/2005/8/layout/chevron1"/>
    <dgm:cxn modelId="{CEA655D9-BC78-4DB9-9E5E-A23C20B81540}" type="presParOf" srcId="{1FDC6512-C7D4-4110-BEF3-A0CAB12F8445}" destId="{7678F646-0C93-4396-8C1C-508614A54829}" srcOrd="9" destOrd="0" presId="urn:microsoft.com/office/officeart/2005/8/layout/chevron1"/>
    <dgm:cxn modelId="{106BEE66-8F47-4280-ACC3-B2B2DD554418}" type="presParOf" srcId="{1FDC6512-C7D4-4110-BEF3-A0CAB12F8445}" destId="{B26424C9-E7B8-44D6-B292-F54C8AFFF838}" srcOrd="10" destOrd="0" presId="urn:microsoft.com/office/officeart/2005/8/layout/chevron1"/>
    <dgm:cxn modelId="{D65E5552-A7B2-4050-9552-558E91E21242}" type="presParOf" srcId="{1FDC6512-C7D4-4110-BEF3-A0CAB12F8445}" destId="{9F54386B-9C58-49E4-A5B4-3F817322844C}" srcOrd="11" destOrd="0" presId="urn:microsoft.com/office/officeart/2005/8/layout/chevron1"/>
    <dgm:cxn modelId="{C87744BB-F050-42D6-AEC6-1ED24D83D220}" type="presParOf" srcId="{1FDC6512-C7D4-4110-BEF3-A0CAB12F8445}" destId="{372A0707-C206-4125-913C-150A3501952D}" srcOrd="12" destOrd="0" presId="urn:microsoft.com/office/officeart/2005/8/layout/chevron1"/>
    <dgm:cxn modelId="{6A7CA25E-7ED2-4D91-A531-387931F25793}" type="presParOf" srcId="{1FDC6512-C7D4-4110-BEF3-A0CAB12F8445}" destId="{573DBA9A-BC47-4CF8-9BC0-C95DDCD24A38}" srcOrd="13" destOrd="0" presId="urn:microsoft.com/office/officeart/2005/8/layout/chevron1"/>
    <dgm:cxn modelId="{831FAAF3-B9FB-4946-BE5D-3461987E6E0C}" type="presParOf" srcId="{1FDC6512-C7D4-4110-BEF3-A0CAB12F8445}" destId="{1956EF06-B7F2-4988-B170-CCFB1252D9EC}" srcOrd="14"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4A1A343-FEBB-449A-A8D3-70B451069617}" type="doc">
      <dgm:prSet loTypeId="urn:microsoft.com/office/officeart/2005/8/layout/chevron1" loCatId="process" qsTypeId="urn:microsoft.com/office/officeart/2005/8/quickstyle/simple4" qsCatId="simple" csTypeId="urn:microsoft.com/office/officeart/2005/8/colors/accent1_2" csCatId="accent1" phldr="1"/>
      <dgm:spPr/>
    </dgm:pt>
    <dgm:pt modelId="{5D3162A9-4156-4314-AC96-23482FE76DF1}">
      <dgm:prSet phldrT="[Text]" custT="1"/>
      <dgm:spPr>
        <a:solidFill>
          <a:schemeClr val="accent2">
            <a:lumMod val="75000"/>
          </a:schemeClr>
        </a:solidFill>
      </dgm:spPr>
      <dgm:t>
        <a:bodyPr/>
        <a:lstStyle/>
        <a:p>
          <a:r>
            <a:rPr lang="en-AU" sz="900">
              <a:solidFill>
                <a:schemeClr val="tx2">
                  <a:lumMod val="50000"/>
                </a:schemeClr>
              </a:solidFill>
            </a:rPr>
            <a:t>Step 1</a:t>
          </a:r>
        </a:p>
      </dgm:t>
    </dgm:pt>
    <dgm:pt modelId="{76B093EA-6EDD-4698-9DE0-847744483BC7}" type="parTrans" cxnId="{2CAF4E66-1EAF-4529-8335-77F3AA91A25B}">
      <dgm:prSet/>
      <dgm:spPr/>
      <dgm:t>
        <a:bodyPr/>
        <a:lstStyle/>
        <a:p>
          <a:endParaRPr lang="en-AU" sz="900"/>
        </a:p>
      </dgm:t>
    </dgm:pt>
    <dgm:pt modelId="{11F3AB01-3BAF-461A-B392-E50B49C5B246}" type="sibTrans" cxnId="{2CAF4E66-1EAF-4529-8335-77F3AA91A25B}">
      <dgm:prSet/>
      <dgm:spPr/>
      <dgm:t>
        <a:bodyPr/>
        <a:lstStyle/>
        <a:p>
          <a:endParaRPr lang="en-AU" sz="900"/>
        </a:p>
      </dgm:t>
    </dgm:pt>
    <dgm:pt modelId="{8375F3E0-46F0-4839-9F4D-322B84BB24E6}">
      <dgm:prSet custT="1"/>
      <dgm:spPr>
        <a:solidFill>
          <a:schemeClr val="accent2">
            <a:lumMod val="50000"/>
          </a:schemeClr>
        </a:solidFill>
        <a:ln>
          <a:solidFill>
            <a:schemeClr val="accent2">
              <a:lumMod val="50000"/>
            </a:schemeClr>
          </a:solidFill>
        </a:ln>
      </dgm:spPr>
      <dgm:t>
        <a:bodyPr/>
        <a:lstStyle/>
        <a:p>
          <a:r>
            <a:rPr lang="en-AU" sz="900" b="1"/>
            <a:t>Step 4: Identify and prioritise indicators</a:t>
          </a:r>
        </a:p>
      </dgm:t>
    </dgm:pt>
    <dgm:pt modelId="{A348CDAB-53CA-4C3E-8BEC-714200D71D3D}" type="parTrans" cxnId="{6B3A3478-BE5B-48A4-B954-0E21A91E5264}">
      <dgm:prSet/>
      <dgm:spPr/>
      <dgm:t>
        <a:bodyPr/>
        <a:lstStyle/>
        <a:p>
          <a:endParaRPr lang="en-AU" sz="900"/>
        </a:p>
      </dgm:t>
    </dgm:pt>
    <dgm:pt modelId="{CB0A790D-279D-4D7F-A1B7-3D02025AA881}" type="sibTrans" cxnId="{6B3A3478-BE5B-48A4-B954-0E21A91E5264}">
      <dgm:prSet/>
      <dgm:spPr/>
      <dgm:t>
        <a:bodyPr/>
        <a:lstStyle/>
        <a:p>
          <a:endParaRPr lang="en-AU" sz="900"/>
        </a:p>
      </dgm:t>
    </dgm:pt>
    <dgm:pt modelId="{7D65FF2D-E0B8-410B-8392-65CB7C358DC4}">
      <dgm:prSet custT="1"/>
      <dgm:spPr>
        <a:solidFill>
          <a:schemeClr val="accent2">
            <a:lumMod val="75000"/>
          </a:schemeClr>
        </a:solidFill>
      </dgm:spPr>
      <dgm:t>
        <a:bodyPr/>
        <a:lstStyle/>
        <a:p>
          <a:r>
            <a:rPr lang="en-AU" sz="900">
              <a:solidFill>
                <a:schemeClr val="tx2">
                  <a:lumMod val="50000"/>
                </a:schemeClr>
              </a:solidFill>
            </a:rPr>
            <a:t>Step 5</a:t>
          </a:r>
        </a:p>
      </dgm:t>
    </dgm:pt>
    <dgm:pt modelId="{D957CBB4-21F9-443D-9DCF-ED9F25413796}" type="parTrans" cxnId="{7E3047FB-71EF-4E28-A5B9-9D4A76D7216C}">
      <dgm:prSet/>
      <dgm:spPr/>
      <dgm:t>
        <a:bodyPr/>
        <a:lstStyle/>
        <a:p>
          <a:endParaRPr lang="en-AU" sz="900"/>
        </a:p>
      </dgm:t>
    </dgm:pt>
    <dgm:pt modelId="{6222001B-2ED7-4B0F-8AE4-1B8CA3A46E28}" type="sibTrans" cxnId="{7E3047FB-71EF-4E28-A5B9-9D4A76D7216C}">
      <dgm:prSet/>
      <dgm:spPr/>
      <dgm:t>
        <a:bodyPr/>
        <a:lstStyle/>
        <a:p>
          <a:endParaRPr lang="en-AU" sz="900"/>
        </a:p>
      </dgm:t>
    </dgm:pt>
    <dgm:pt modelId="{BA18D897-2569-4A5F-A12F-85072D012B0F}">
      <dgm:prSet custT="1"/>
      <dgm:spPr>
        <a:solidFill>
          <a:schemeClr val="accent2">
            <a:lumMod val="75000"/>
          </a:schemeClr>
        </a:solidFill>
      </dgm:spPr>
      <dgm:t>
        <a:bodyPr/>
        <a:lstStyle/>
        <a:p>
          <a:r>
            <a:rPr lang="en-AU" sz="900">
              <a:solidFill>
                <a:schemeClr val="tx2">
                  <a:lumMod val="50000"/>
                </a:schemeClr>
              </a:solidFill>
            </a:rPr>
            <a:t>Step 6</a:t>
          </a:r>
        </a:p>
      </dgm:t>
    </dgm:pt>
    <dgm:pt modelId="{3C1ECD8F-C536-46AA-ADF1-E710A2BA2ED6}" type="parTrans" cxnId="{46A52633-A488-423B-9602-91C563DFF598}">
      <dgm:prSet/>
      <dgm:spPr/>
      <dgm:t>
        <a:bodyPr/>
        <a:lstStyle/>
        <a:p>
          <a:endParaRPr lang="en-AU" sz="900"/>
        </a:p>
      </dgm:t>
    </dgm:pt>
    <dgm:pt modelId="{D0275449-8848-4D60-B839-D41C2B28941E}" type="sibTrans" cxnId="{46A52633-A488-423B-9602-91C563DFF598}">
      <dgm:prSet/>
      <dgm:spPr/>
      <dgm:t>
        <a:bodyPr/>
        <a:lstStyle/>
        <a:p>
          <a:endParaRPr lang="en-AU" sz="900"/>
        </a:p>
      </dgm:t>
    </dgm:pt>
    <dgm:pt modelId="{81397574-9060-4111-B041-AC361AA39DEE}">
      <dgm:prSet custT="1"/>
      <dgm:spPr>
        <a:solidFill>
          <a:schemeClr val="accent2">
            <a:lumMod val="75000"/>
          </a:schemeClr>
        </a:solidFill>
      </dgm:spPr>
      <dgm:t>
        <a:bodyPr/>
        <a:lstStyle/>
        <a:p>
          <a:r>
            <a:rPr lang="en-AU" sz="900">
              <a:solidFill>
                <a:schemeClr val="tx2">
                  <a:lumMod val="50000"/>
                </a:schemeClr>
              </a:solidFill>
            </a:rPr>
            <a:t>Step  7</a:t>
          </a:r>
        </a:p>
      </dgm:t>
    </dgm:pt>
    <dgm:pt modelId="{167C0DC0-C795-44C8-8AAE-04C999FBB7B6}" type="parTrans" cxnId="{40914133-A6F7-4109-AFE4-B994CE518361}">
      <dgm:prSet/>
      <dgm:spPr/>
      <dgm:t>
        <a:bodyPr/>
        <a:lstStyle/>
        <a:p>
          <a:endParaRPr lang="en-AU" sz="900"/>
        </a:p>
      </dgm:t>
    </dgm:pt>
    <dgm:pt modelId="{05E63AD2-C047-40C2-B49F-02A5849A17CD}" type="sibTrans" cxnId="{40914133-A6F7-4109-AFE4-B994CE518361}">
      <dgm:prSet/>
      <dgm:spPr/>
      <dgm:t>
        <a:bodyPr/>
        <a:lstStyle/>
        <a:p>
          <a:endParaRPr lang="en-AU" sz="900"/>
        </a:p>
      </dgm:t>
    </dgm:pt>
    <dgm:pt modelId="{D62C28C4-9520-4045-9C7B-51069030D9AF}">
      <dgm:prSet custT="1"/>
      <dgm:spPr>
        <a:solidFill>
          <a:schemeClr val="accent2">
            <a:lumMod val="75000"/>
          </a:schemeClr>
        </a:solidFill>
      </dgm:spPr>
      <dgm:t>
        <a:bodyPr/>
        <a:lstStyle/>
        <a:p>
          <a:r>
            <a:rPr lang="en-AU" sz="900">
              <a:solidFill>
                <a:schemeClr val="tx2">
                  <a:lumMod val="50000"/>
                </a:schemeClr>
              </a:solidFill>
            </a:rPr>
            <a:t>Step 8</a:t>
          </a:r>
        </a:p>
      </dgm:t>
    </dgm:pt>
    <dgm:pt modelId="{13E9B9AC-AFFE-4CD9-B2CE-8668FF52217D}" type="parTrans" cxnId="{39184140-C5CF-4D0B-A6DC-46528684EEB6}">
      <dgm:prSet/>
      <dgm:spPr/>
      <dgm:t>
        <a:bodyPr/>
        <a:lstStyle/>
        <a:p>
          <a:endParaRPr lang="en-AU" sz="900"/>
        </a:p>
      </dgm:t>
    </dgm:pt>
    <dgm:pt modelId="{67E513B8-9C91-41DF-ACF8-E8150E5226B9}" type="sibTrans" cxnId="{39184140-C5CF-4D0B-A6DC-46528684EEB6}">
      <dgm:prSet/>
      <dgm:spPr/>
      <dgm:t>
        <a:bodyPr/>
        <a:lstStyle/>
        <a:p>
          <a:endParaRPr lang="en-AU" sz="900"/>
        </a:p>
      </dgm:t>
    </dgm:pt>
    <dgm:pt modelId="{84AB9A67-BC7D-4E5A-8498-EC5B390620C0}">
      <dgm:prSet custT="1"/>
      <dgm:spPr>
        <a:solidFill>
          <a:schemeClr val="accent2">
            <a:lumMod val="75000"/>
          </a:schemeClr>
        </a:solidFill>
      </dgm:spPr>
      <dgm:t>
        <a:bodyPr/>
        <a:lstStyle/>
        <a:p>
          <a:r>
            <a:rPr lang="en-AU" sz="900">
              <a:solidFill>
                <a:schemeClr val="tx2">
                  <a:lumMod val="50000"/>
                </a:schemeClr>
              </a:solidFill>
            </a:rPr>
            <a:t>Step 2</a:t>
          </a:r>
        </a:p>
      </dgm:t>
    </dgm:pt>
    <dgm:pt modelId="{799605DA-6659-42E9-9C2C-EEBD0442B359}" type="parTrans" cxnId="{77E0B77A-6675-4E5C-866B-B241F7BC9C49}">
      <dgm:prSet/>
      <dgm:spPr/>
      <dgm:t>
        <a:bodyPr/>
        <a:lstStyle/>
        <a:p>
          <a:endParaRPr lang="en-AU" sz="900"/>
        </a:p>
      </dgm:t>
    </dgm:pt>
    <dgm:pt modelId="{DA6E0066-D480-49B1-B3D4-08C69FA3E5B8}" type="sibTrans" cxnId="{77E0B77A-6675-4E5C-866B-B241F7BC9C49}">
      <dgm:prSet/>
      <dgm:spPr/>
      <dgm:t>
        <a:bodyPr/>
        <a:lstStyle/>
        <a:p>
          <a:endParaRPr lang="en-AU" sz="900"/>
        </a:p>
      </dgm:t>
    </dgm:pt>
    <dgm:pt modelId="{3C7D4B0D-6660-4321-AFB6-E36F95272A47}">
      <dgm:prSet custT="1"/>
      <dgm:spPr>
        <a:solidFill>
          <a:schemeClr val="accent2">
            <a:lumMod val="75000"/>
          </a:schemeClr>
        </a:solidFill>
      </dgm:spPr>
      <dgm:t>
        <a:bodyPr/>
        <a:lstStyle/>
        <a:p>
          <a:r>
            <a:rPr lang="en-AU" sz="900">
              <a:solidFill>
                <a:schemeClr val="tx2">
                  <a:lumMod val="50000"/>
                </a:schemeClr>
              </a:solidFill>
            </a:rPr>
            <a:t>Step 3</a:t>
          </a:r>
        </a:p>
      </dgm:t>
    </dgm:pt>
    <dgm:pt modelId="{3D09E5B2-E0F8-4B11-9289-90B51C2356C0}" type="parTrans" cxnId="{F7A4AE87-DFF6-4EAE-B337-D40C3C583235}">
      <dgm:prSet/>
      <dgm:spPr/>
      <dgm:t>
        <a:bodyPr/>
        <a:lstStyle/>
        <a:p>
          <a:endParaRPr lang="en-AU" sz="900"/>
        </a:p>
      </dgm:t>
    </dgm:pt>
    <dgm:pt modelId="{6FE442A1-FD16-4834-81C8-5439D1283887}" type="sibTrans" cxnId="{F7A4AE87-DFF6-4EAE-B337-D40C3C583235}">
      <dgm:prSet/>
      <dgm:spPr/>
      <dgm:t>
        <a:bodyPr/>
        <a:lstStyle/>
        <a:p>
          <a:endParaRPr lang="en-AU" sz="900"/>
        </a:p>
      </dgm:t>
    </dgm:pt>
    <dgm:pt modelId="{1FDC6512-C7D4-4110-BEF3-A0CAB12F8445}" type="pres">
      <dgm:prSet presAssocID="{34A1A343-FEBB-449A-A8D3-70B451069617}" presName="Name0" presStyleCnt="0">
        <dgm:presLayoutVars>
          <dgm:dir/>
          <dgm:animLvl val="lvl"/>
          <dgm:resizeHandles val="exact"/>
        </dgm:presLayoutVars>
      </dgm:prSet>
      <dgm:spPr/>
    </dgm:pt>
    <dgm:pt modelId="{694B1432-2B83-4456-BD41-8016077A515A}" type="pres">
      <dgm:prSet presAssocID="{5D3162A9-4156-4314-AC96-23482FE76DF1}" presName="parTxOnly" presStyleLbl="node1" presStyleIdx="0" presStyleCnt="8" custLinFactNeighborX="625" custLinFactNeighborY="-17138">
        <dgm:presLayoutVars>
          <dgm:chMax val="0"/>
          <dgm:chPref val="0"/>
          <dgm:bulletEnabled val="1"/>
        </dgm:presLayoutVars>
      </dgm:prSet>
      <dgm:spPr/>
      <dgm:t>
        <a:bodyPr/>
        <a:lstStyle/>
        <a:p>
          <a:endParaRPr lang="en-AU"/>
        </a:p>
      </dgm:t>
    </dgm:pt>
    <dgm:pt modelId="{A8500963-B6A5-44E3-AA9B-49CE6BC83D81}" type="pres">
      <dgm:prSet presAssocID="{11F3AB01-3BAF-461A-B392-E50B49C5B246}" presName="parTxOnlySpace" presStyleCnt="0"/>
      <dgm:spPr/>
    </dgm:pt>
    <dgm:pt modelId="{BE47DD43-34D6-4BB8-8E85-8B9317DB3B01}" type="pres">
      <dgm:prSet presAssocID="{84AB9A67-BC7D-4E5A-8498-EC5B390620C0}" presName="parTxOnly" presStyleLbl="node1" presStyleIdx="1" presStyleCnt="8" custLinFactNeighborY="-18600">
        <dgm:presLayoutVars>
          <dgm:chMax val="0"/>
          <dgm:chPref val="0"/>
          <dgm:bulletEnabled val="1"/>
        </dgm:presLayoutVars>
      </dgm:prSet>
      <dgm:spPr/>
      <dgm:t>
        <a:bodyPr/>
        <a:lstStyle/>
        <a:p>
          <a:endParaRPr lang="en-AU"/>
        </a:p>
      </dgm:t>
    </dgm:pt>
    <dgm:pt modelId="{2A624379-61C7-4579-B487-A563CF4B28A7}" type="pres">
      <dgm:prSet presAssocID="{DA6E0066-D480-49B1-B3D4-08C69FA3E5B8}" presName="parTxOnlySpace" presStyleCnt="0"/>
      <dgm:spPr/>
    </dgm:pt>
    <dgm:pt modelId="{28DD6C66-9E97-427D-BBEA-74A6FDD08EEF}" type="pres">
      <dgm:prSet presAssocID="{3C7D4B0D-6660-4321-AFB6-E36F95272A47}" presName="parTxOnly" presStyleLbl="node1" presStyleIdx="2" presStyleCnt="8" custLinFactNeighborY="-18600">
        <dgm:presLayoutVars>
          <dgm:chMax val="0"/>
          <dgm:chPref val="0"/>
          <dgm:bulletEnabled val="1"/>
        </dgm:presLayoutVars>
      </dgm:prSet>
      <dgm:spPr/>
      <dgm:t>
        <a:bodyPr/>
        <a:lstStyle/>
        <a:p>
          <a:endParaRPr lang="en-AU"/>
        </a:p>
      </dgm:t>
    </dgm:pt>
    <dgm:pt modelId="{A6D06F47-409D-4CB6-8EC2-6BF566A8D14A}" type="pres">
      <dgm:prSet presAssocID="{6FE442A1-FD16-4834-81C8-5439D1283887}" presName="parTxOnlySpace" presStyleCnt="0"/>
      <dgm:spPr/>
    </dgm:pt>
    <dgm:pt modelId="{80D7A788-5442-4141-B1AA-EC23E182D957}" type="pres">
      <dgm:prSet presAssocID="{8375F3E0-46F0-4839-9F4D-322B84BB24E6}" presName="parTxOnly" presStyleLbl="node1" presStyleIdx="3" presStyleCnt="8" custScaleX="200305" custScaleY="197224" custLinFactNeighborX="-50446" custLinFactNeighborY="-14893">
        <dgm:presLayoutVars>
          <dgm:chMax val="0"/>
          <dgm:chPref val="0"/>
          <dgm:bulletEnabled val="1"/>
        </dgm:presLayoutVars>
      </dgm:prSet>
      <dgm:spPr/>
      <dgm:t>
        <a:bodyPr/>
        <a:lstStyle/>
        <a:p>
          <a:endParaRPr lang="en-AU"/>
        </a:p>
      </dgm:t>
    </dgm:pt>
    <dgm:pt modelId="{E3BA2AA3-5F00-4EBD-B246-CB52E7673934}" type="pres">
      <dgm:prSet presAssocID="{CB0A790D-279D-4D7F-A1B7-3D02025AA881}" presName="parTxOnlySpace" presStyleCnt="0"/>
      <dgm:spPr/>
    </dgm:pt>
    <dgm:pt modelId="{90A0C395-3988-474C-92F1-2DD6E1BDAB0F}" type="pres">
      <dgm:prSet presAssocID="{7D65FF2D-E0B8-410B-8392-65CB7C358DC4}" presName="parTxOnly" presStyleLbl="node1" presStyleIdx="4" presStyleCnt="8" custLinFactNeighborX="625" custLinFactNeighborY="-17138">
        <dgm:presLayoutVars>
          <dgm:chMax val="0"/>
          <dgm:chPref val="0"/>
          <dgm:bulletEnabled val="1"/>
        </dgm:presLayoutVars>
      </dgm:prSet>
      <dgm:spPr/>
      <dgm:t>
        <a:bodyPr/>
        <a:lstStyle/>
        <a:p>
          <a:endParaRPr lang="en-AU"/>
        </a:p>
      </dgm:t>
    </dgm:pt>
    <dgm:pt modelId="{7678F646-0C93-4396-8C1C-508614A54829}" type="pres">
      <dgm:prSet presAssocID="{6222001B-2ED7-4B0F-8AE4-1B8CA3A46E28}" presName="parTxOnlySpace" presStyleCnt="0"/>
      <dgm:spPr/>
    </dgm:pt>
    <dgm:pt modelId="{B26424C9-E7B8-44D6-B292-F54C8AFFF838}" type="pres">
      <dgm:prSet presAssocID="{BA18D897-2569-4A5F-A12F-85072D012B0F}" presName="parTxOnly" presStyleLbl="node1" presStyleIdx="5" presStyleCnt="8" custLinFactNeighborX="625" custLinFactNeighborY="-17138">
        <dgm:presLayoutVars>
          <dgm:chMax val="0"/>
          <dgm:chPref val="0"/>
          <dgm:bulletEnabled val="1"/>
        </dgm:presLayoutVars>
      </dgm:prSet>
      <dgm:spPr/>
      <dgm:t>
        <a:bodyPr/>
        <a:lstStyle/>
        <a:p>
          <a:endParaRPr lang="en-AU"/>
        </a:p>
      </dgm:t>
    </dgm:pt>
    <dgm:pt modelId="{9F54386B-9C58-49E4-A5B4-3F817322844C}" type="pres">
      <dgm:prSet presAssocID="{D0275449-8848-4D60-B839-D41C2B28941E}" presName="parTxOnlySpace" presStyleCnt="0"/>
      <dgm:spPr/>
    </dgm:pt>
    <dgm:pt modelId="{372A0707-C206-4125-913C-150A3501952D}" type="pres">
      <dgm:prSet presAssocID="{81397574-9060-4111-B041-AC361AA39DEE}" presName="parTxOnly" presStyleLbl="node1" presStyleIdx="6" presStyleCnt="8" custLinFactNeighborX="625" custLinFactNeighborY="-17138">
        <dgm:presLayoutVars>
          <dgm:chMax val="0"/>
          <dgm:chPref val="0"/>
          <dgm:bulletEnabled val="1"/>
        </dgm:presLayoutVars>
      </dgm:prSet>
      <dgm:spPr/>
      <dgm:t>
        <a:bodyPr/>
        <a:lstStyle/>
        <a:p>
          <a:endParaRPr lang="en-AU"/>
        </a:p>
      </dgm:t>
    </dgm:pt>
    <dgm:pt modelId="{573DBA9A-BC47-4CF8-9BC0-C95DDCD24A38}" type="pres">
      <dgm:prSet presAssocID="{05E63AD2-C047-40C2-B49F-02A5849A17CD}" presName="parTxOnlySpace" presStyleCnt="0"/>
      <dgm:spPr/>
    </dgm:pt>
    <dgm:pt modelId="{1956EF06-B7F2-4988-B170-CCFB1252D9EC}" type="pres">
      <dgm:prSet presAssocID="{D62C28C4-9520-4045-9C7B-51069030D9AF}" presName="parTxOnly" presStyleLbl="node1" presStyleIdx="7" presStyleCnt="8" custLinFactNeighborX="625" custLinFactNeighborY="-17138">
        <dgm:presLayoutVars>
          <dgm:chMax val="0"/>
          <dgm:chPref val="0"/>
          <dgm:bulletEnabled val="1"/>
        </dgm:presLayoutVars>
      </dgm:prSet>
      <dgm:spPr/>
      <dgm:t>
        <a:bodyPr/>
        <a:lstStyle/>
        <a:p>
          <a:endParaRPr lang="en-AU"/>
        </a:p>
      </dgm:t>
    </dgm:pt>
  </dgm:ptLst>
  <dgm:cxnLst>
    <dgm:cxn modelId="{3C279DFC-CBE7-4799-A92C-E88FECF79E59}" type="presOf" srcId="{D62C28C4-9520-4045-9C7B-51069030D9AF}" destId="{1956EF06-B7F2-4988-B170-CCFB1252D9EC}" srcOrd="0" destOrd="0" presId="urn:microsoft.com/office/officeart/2005/8/layout/chevron1"/>
    <dgm:cxn modelId="{77E0B77A-6675-4E5C-866B-B241F7BC9C49}" srcId="{34A1A343-FEBB-449A-A8D3-70B451069617}" destId="{84AB9A67-BC7D-4E5A-8498-EC5B390620C0}" srcOrd="1" destOrd="0" parTransId="{799605DA-6659-42E9-9C2C-EEBD0442B359}" sibTransId="{DA6E0066-D480-49B1-B3D4-08C69FA3E5B8}"/>
    <dgm:cxn modelId="{39184140-C5CF-4D0B-A6DC-46528684EEB6}" srcId="{34A1A343-FEBB-449A-A8D3-70B451069617}" destId="{D62C28C4-9520-4045-9C7B-51069030D9AF}" srcOrd="7" destOrd="0" parTransId="{13E9B9AC-AFFE-4CD9-B2CE-8668FF52217D}" sibTransId="{67E513B8-9C91-41DF-ACF8-E8150E5226B9}"/>
    <dgm:cxn modelId="{6E06D3D0-24EE-4A44-BE12-736160DAA45A}" type="presOf" srcId="{BA18D897-2569-4A5F-A12F-85072D012B0F}" destId="{B26424C9-E7B8-44D6-B292-F54C8AFFF838}" srcOrd="0" destOrd="0" presId="urn:microsoft.com/office/officeart/2005/8/layout/chevron1"/>
    <dgm:cxn modelId="{8A648F60-EF7D-46A1-9D3B-78C64DC85960}" type="presOf" srcId="{81397574-9060-4111-B041-AC361AA39DEE}" destId="{372A0707-C206-4125-913C-150A3501952D}" srcOrd="0" destOrd="0" presId="urn:microsoft.com/office/officeart/2005/8/layout/chevron1"/>
    <dgm:cxn modelId="{DE04020E-BF6C-4826-A51C-83A1D733AF2D}" type="presOf" srcId="{3C7D4B0D-6660-4321-AFB6-E36F95272A47}" destId="{28DD6C66-9E97-427D-BBEA-74A6FDD08EEF}" srcOrd="0" destOrd="0" presId="urn:microsoft.com/office/officeart/2005/8/layout/chevron1"/>
    <dgm:cxn modelId="{59D3F5F3-57F7-4532-9F8F-004F5E2D504D}" type="presOf" srcId="{84AB9A67-BC7D-4E5A-8498-EC5B390620C0}" destId="{BE47DD43-34D6-4BB8-8E85-8B9317DB3B01}" srcOrd="0" destOrd="0" presId="urn:microsoft.com/office/officeart/2005/8/layout/chevron1"/>
    <dgm:cxn modelId="{F7A4AE87-DFF6-4EAE-B337-D40C3C583235}" srcId="{34A1A343-FEBB-449A-A8D3-70B451069617}" destId="{3C7D4B0D-6660-4321-AFB6-E36F95272A47}" srcOrd="2" destOrd="0" parTransId="{3D09E5B2-E0F8-4B11-9289-90B51C2356C0}" sibTransId="{6FE442A1-FD16-4834-81C8-5439D1283887}"/>
    <dgm:cxn modelId="{2EB37014-06B2-4B24-B1C2-9DC6FCEF244F}" type="presOf" srcId="{7D65FF2D-E0B8-410B-8392-65CB7C358DC4}" destId="{90A0C395-3988-474C-92F1-2DD6E1BDAB0F}" srcOrd="0" destOrd="0" presId="urn:microsoft.com/office/officeart/2005/8/layout/chevron1"/>
    <dgm:cxn modelId="{7E3047FB-71EF-4E28-A5B9-9D4A76D7216C}" srcId="{34A1A343-FEBB-449A-A8D3-70B451069617}" destId="{7D65FF2D-E0B8-410B-8392-65CB7C358DC4}" srcOrd="4" destOrd="0" parTransId="{D957CBB4-21F9-443D-9DCF-ED9F25413796}" sibTransId="{6222001B-2ED7-4B0F-8AE4-1B8CA3A46E28}"/>
    <dgm:cxn modelId="{BADE6081-2B57-409D-B6A4-6AE32FF4328A}" type="presOf" srcId="{8375F3E0-46F0-4839-9F4D-322B84BB24E6}" destId="{80D7A788-5442-4141-B1AA-EC23E182D957}" srcOrd="0" destOrd="0" presId="urn:microsoft.com/office/officeart/2005/8/layout/chevron1"/>
    <dgm:cxn modelId="{F94E824F-7CAF-4178-993C-0FE48AAC8E42}" type="presOf" srcId="{34A1A343-FEBB-449A-A8D3-70B451069617}" destId="{1FDC6512-C7D4-4110-BEF3-A0CAB12F8445}" srcOrd="0" destOrd="0" presId="urn:microsoft.com/office/officeart/2005/8/layout/chevron1"/>
    <dgm:cxn modelId="{40914133-A6F7-4109-AFE4-B994CE518361}" srcId="{34A1A343-FEBB-449A-A8D3-70B451069617}" destId="{81397574-9060-4111-B041-AC361AA39DEE}" srcOrd="6" destOrd="0" parTransId="{167C0DC0-C795-44C8-8AAE-04C999FBB7B6}" sibTransId="{05E63AD2-C047-40C2-B49F-02A5849A17CD}"/>
    <dgm:cxn modelId="{46A52633-A488-423B-9602-91C563DFF598}" srcId="{34A1A343-FEBB-449A-A8D3-70B451069617}" destId="{BA18D897-2569-4A5F-A12F-85072D012B0F}" srcOrd="5" destOrd="0" parTransId="{3C1ECD8F-C536-46AA-ADF1-E710A2BA2ED6}" sibTransId="{D0275449-8848-4D60-B839-D41C2B28941E}"/>
    <dgm:cxn modelId="{2CAF4E66-1EAF-4529-8335-77F3AA91A25B}" srcId="{34A1A343-FEBB-449A-A8D3-70B451069617}" destId="{5D3162A9-4156-4314-AC96-23482FE76DF1}" srcOrd="0" destOrd="0" parTransId="{76B093EA-6EDD-4698-9DE0-847744483BC7}" sibTransId="{11F3AB01-3BAF-461A-B392-E50B49C5B246}"/>
    <dgm:cxn modelId="{6B3A3478-BE5B-48A4-B954-0E21A91E5264}" srcId="{34A1A343-FEBB-449A-A8D3-70B451069617}" destId="{8375F3E0-46F0-4839-9F4D-322B84BB24E6}" srcOrd="3" destOrd="0" parTransId="{A348CDAB-53CA-4C3E-8BEC-714200D71D3D}" sibTransId="{CB0A790D-279D-4D7F-A1B7-3D02025AA881}"/>
    <dgm:cxn modelId="{5906E440-8807-479E-BB2D-49E920BBC7AC}" type="presOf" srcId="{5D3162A9-4156-4314-AC96-23482FE76DF1}" destId="{694B1432-2B83-4456-BD41-8016077A515A}" srcOrd="0" destOrd="0" presId="urn:microsoft.com/office/officeart/2005/8/layout/chevron1"/>
    <dgm:cxn modelId="{902ABE17-C759-4671-8CEB-730A6783B41A}" type="presParOf" srcId="{1FDC6512-C7D4-4110-BEF3-A0CAB12F8445}" destId="{694B1432-2B83-4456-BD41-8016077A515A}" srcOrd="0" destOrd="0" presId="urn:microsoft.com/office/officeart/2005/8/layout/chevron1"/>
    <dgm:cxn modelId="{7656DB62-627E-4D3B-9569-6C1595E6C209}" type="presParOf" srcId="{1FDC6512-C7D4-4110-BEF3-A0CAB12F8445}" destId="{A8500963-B6A5-44E3-AA9B-49CE6BC83D81}" srcOrd="1" destOrd="0" presId="urn:microsoft.com/office/officeart/2005/8/layout/chevron1"/>
    <dgm:cxn modelId="{A3C00EDA-64F8-43FE-B943-DAE0BCBAEF26}" type="presParOf" srcId="{1FDC6512-C7D4-4110-BEF3-A0CAB12F8445}" destId="{BE47DD43-34D6-4BB8-8E85-8B9317DB3B01}" srcOrd="2" destOrd="0" presId="urn:microsoft.com/office/officeart/2005/8/layout/chevron1"/>
    <dgm:cxn modelId="{56FA051A-337C-467F-AF24-6497CCC9ABFB}" type="presParOf" srcId="{1FDC6512-C7D4-4110-BEF3-A0CAB12F8445}" destId="{2A624379-61C7-4579-B487-A563CF4B28A7}" srcOrd="3" destOrd="0" presId="urn:microsoft.com/office/officeart/2005/8/layout/chevron1"/>
    <dgm:cxn modelId="{9DB6EDFC-8E22-4EF1-B918-F683AB30D1E8}" type="presParOf" srcId="{1FDC6512-C7D4-4110-BEF3-A0CAB12F8445}" destId="{28DD6C66-9E97-427D-BBEA-74A6FDD08EEF}" srcOrd="4" destOrd="0" presId="urn:microsoft.com/office/officeart/2005/8/layout/chevron1"/>
    <dgm:cxn modelId="{C08F661B-8423-4230-B4FE-7324D8012745}" type="presParOf" srcId="{1FDC6512-C7D4-4110-BEF3-A0CAB12F8445}" destId="{A6D06F47-409D-4CB6-8EC2-6BF566A8D14A}" srcOrd="5" destOrd="0" presId="urn:microsoft.com/office/officeart/2005/8/layout/chevron1"/>
    <dgm:cxn modelId="{6D0E2254-4FD4-407F-8772-43086F1D6C42}" type="presParOf" srcId="{1FDC6512-C7D4-4110-BEF3-A0CAB12F8445}" destId="{80D7A788-5442-4141-B1AA-EC23E182D957}" srcOrd="6" destOrd="0" presId="urn:microsoft.com/office/officeart/2005/8/layout/chevron1"/>
    <dgm:cxn modelId="{3CE4F5C4-60BA-4A03-9249-26CAB13611B7}" type="presParOf" srcId="{1FDC6512-C7D4-4110-BEF3-A0CAB12F8445}" destId="{E3BA2AA3-5F00-4EBD-B246-CB52E7673934}" srcOrd="7" destOrd="0" presId="urn:microsoft.com/office/officeart/2005/8/layout/chevron1"/>
    <dgm:cxn modelId="{A02A3D6C-59D5-4FDB-926D-E2D32FEC03A4}" type="presParOf" srcId="{1FDC6512-C7D4-4110-BEF3-A0CAB12F8445}" destId="{90A0C395-3988-474C-92F1-2DD6E1BDAB0F}" srcOrd="8" destOrd="0" presId="urn:microsoft.com/office/officeart/2005/8/layout/chevron1"/>
    <dgm:cxn modelId="{FCE900C7-93B7-4823-B921-F91C1FBA441C}" type="presParOf" srcId="{1FDC6512-C7D4-4110-BEF3-A0CAB12F8445}" destId="{7678F646-0C93-4396-8C1C-508614A54829}" srcOrd="9" destOrd="0" presId="urn:microsoft.com/office/officeart/2005/8/layout/chevron1"/>
    <dgm:cxn modelId="{957D3309-A9F4-47FE-BE86-5A0A7D426AE1}" type="presParOf" srcId="{1FDC6512-C7D4-4110-BEF3-A0CAB12F8445}" destId="{B26424C9-E7B8-44D6-B292-F54C8AFFF838}" srcOrd="10" destOrd="0" presId="urn:microsoft.com/office/officeart/2005/8/layout/chevron1"/>
    <dgm:cxn modelId="{0DEA9D27-EA4F-4218-89BD-1D8AD2E3A924}" type="presParOf" srcId="{1FDC6512-C7D4-4110-BEF3-A0CAB12F8445}" destId="{9F54386B-9C58-49E4-A5B4-3F817322844C}" srcOrd="11" destOrd="0" presId="urn:microsoft.com/office/officeart/2005/8/layout/chevron1"/>
    <dgm:cxn modelId="{AA083D68-7DAF-4330-A5F8-3CB5E72CA27C}" type="presParOf" srcId="{1FDC6512-C7D4-4110-BEF3-A0CAB12F8445}" destId="{372A0707-C206-4125-913C-150A3501952D}" srcOrd="12" destOrd="0" presId="urn:microsoft.com/office/officeart/2005/8/layout/chevron1"/>
    <dgm:cxn modelId="{BFBF8727-CB25-4B63-ADB9-41EFC74919CA}" type="presParOf" srcId="{1FDC6512-C7D4-4110-BEF3-A0CAB12F8445}" destId="{573DBA9A-BC47-4CF8-9BC0-C95DDCD24A38}" srcOrd="13" destOrd="0" presId="urn:microsoft.com/office/officeart/2005/8/layout/chevron1"/>
    <dgm:cxn modelId="{17763967-4B39-4A8C-AC77-BDA48C886030}" type="presParOf" srcId="{1FDC6512-C7D4-4110-BEF3-A0CAB12F8445}" destId="{1956EF06-B7F2-4988-B170-CCFB1252D9EC}" srcOrd="14"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B1432-2B83-4456-BD41-8016077A515A}">
      <dsp:nvSpPr>
        <dsp:cNvPr id="0" name=""/>
        <dsp:cNvSpPr/>
      </dsp:nvSpPr>
      <dsp:spPr>
        <a:xfrm>
          <a:off x="4546" y="0"/>
          <a:ext cx="1756309" cy="533400"/>
        </a:xfrm>
        <a:prstGeom prst="chevron">
          <a:avLst/>
        </a:prstGeom>
        <a:solidFill>
          <a:schemeClr val="accent3">
            <a:lumMod val="50000"/>
          </a:schemeClr>
        </a:solidFill>
        <a:ln>
          <a:solidFill>
            <a:schemeClr val="accent3">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b="1" i="1" kern="1200"/>
            <a:t>Part A Context: Framing the question</a:t>
          </a:r>
        </a:p>
      </dsp:txBody>
      <dsp:txXfrm>
        <a:off x="271246" y="0"/>
        <a:ext cx="1222909" cy="533400"/>
      </dsp:txXfrm>
    </dsp:sp>
    <dsp:sp modelId="{B26424C9-E7B8-44D6-B292-F54C8AFFF838}">
      <dsp:nvSpPr>
        <dsp:cNvPr id="0" name=""/>
        <dsp:cNvSpPr/>
      </dsp:nvSpPr>
      <dsp:spPr>
        <a:xfrm>
          <a:off x="1617803" y="58271"/>
          <a:ext cx="1468473" cy="396674"/>
        </a:xfrm>
        <a:prstGeom prst="chevron">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accent5">
                  <a:lumMod val="75000"/>
                </a:schemeClr>
              </a:solidFill>
            </a:rPr>
            <a:t>Part A Context: Puprose of IECA</a:t>
          </a:r>
        </a:p>
      </dsp:txBody>
      <dsp:txXfrm>
        <a:off x="1816140" y="58271"/>
        <a:ext cx="1071799" cy="396674"/>
      </dsp:txXfrm>
    </dsp:sp>
    <dsp:sp modelId="{372A0707-C206-4125-913C-150A3501952D}">
      <dsp:nvSpPr>
        <dsp:cNvPr id="0" name=""/>
        <dsp:cNvSpPr/>
      </dsp:nvSpPr>
      <dsp:spPr>
        <a:xfrm>
          <a:off x="2928569" y="58271"/>
          <a:ext cx="1468473" cy="396674"/>
        </a:xfrm>
        <a:prstGeom prst="chevron">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accent5">
                  <a:lumMod val="75000"/>
                </a:schemeClr>
              </a:solidFill>
            </a:rPr>
            <a:t>Part A Context: Groundwork</a:t>
          </a:r>
        </a:p>
      </dsp:txBody>
      <dsp:txXfrm>
        <a:off x="3126906" y="58271"/>
        <a:ext cx="1071799" cy="396674"/>
      </dsp:txXfrm>
    </dsp:sp>
    <dsp:sp modelId="{1956EF06-B7F2-4988-B170-CCFB1252D9EC}">
      <dsp:nvSpPr>
        <dsp:cNvPr id="0" name=""/>
        <dsp:cNvSpPr/>
      </dsp:nvSpPr>
      <dsp:spPr>
        <a:xfrm>
          <a:off x="4259972" y="58271"/>
          <a:ext cx="1468473" cy="396674"/>
        </a:xfrm>
        <a:prstGeom prst="chevron">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accent5">
                  <a:lumMod val="75000"/>
                </a:schemeClr>
              </a:solidFill>
            </a:rPr>
            <a:t>Part A Context: Outputs</a:t>
          </a:r>
        </a:p>
      </dsp:txBody>
      <dsp:txXfrm>
        <a:off x="4458309" y="58271"/>
        <a:ext cx="1071799" cy="39667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B1432-2B83-4456-BD41-8016077A515A}">
      <dsp:nvSpPr>
        <dsp:cNvPr id="0" name=""/>
        <dsp:cNvSpPr/>
      </dsp:nvSpPr>
      <dsp:spPr>
        <a:xfrm>
          <a:off x="1858" y="188136"/>
          <a:ext cx="642230" cy="256892"/>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1</a:t>
          </a:r>
        </a:p>
      </dsp:txBody>
      <dsp:txXfrm>
        <a:off x="130304" y="188136"/>
        <a:ext cx="385338" cy="256892"/>
      </dsp:txXfrm>
    </dsp:sp>
    <dsp:sp modelId="{BE47DD43-34D6-4BB8-8E85-8B9317DB3B01}">
      <dsp:nvSpPr>
        <dsp:cNvPr id="0" name=""/>
        <dsp:cNvSpPr/>
      </dsp:nvSpPr>
      <dsp:spPr>
        <a:xfrm>
          <a:off x="579464" y="184380"/>
          <a:ext cx="642230" cy="256892"/>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2</a:t>
          </a:r>
        </a:p>
      </dsp:txBody>
      <dsp:txXfrm>
        <a:off x="707910" y="184380"/>
        <a:ext cx="385338" cy="256892"/>
      </dsp:txXfrm>
    </dsp:sp>
    <dsp:sp modelId="{28DD6C66-9E97-427D-BBEA-74A6FDD08EEF}">
      <dsp:nvSpPr>
        <dsp:cNvPr id="0" name=""/>
        <dsp:cNvSpPr/>
      </dsp:nvSpPr>
      <dsp:spPr>
        <a:xfrm>
          <a:off x="1157471" y="184380"/>
          <a:ext cx="642230" cy="256892"/>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3</a:t>
          </a:r>
        </a:p>
      </dsp:txBody>
      <dsp:txXfrm>
        <a:off x="1285917" y="184380"/>
        <a:ext cx="385338" cy="256892"/>
      </dsp:txXfrm>
    </dsp:sp>
    <dsp:sp modelId="{80D7A788-5442-4141-B1AA-EC23E182D957}">
      <dsp:nvSpPr>
        <dsp:cNvPr id="0" name=""/>
        <dsp:cNvSpPr/>
      </dsp:nvSpPr>
      <dsp:spPr>
        <a:xfrm>
          <a:off x="2205764" y="32608"/>
          <a:ext cx="1615876" cy="547210"/>
        </a:xfrm>
        <a:prstGeom prst="chevron">
          <a:avLst/>
        </a:prstGeom>
        <a:solidFill>
          <a:schemeClr val="accent2">
            <a:lumMod val="50000"/>
          </a:schemeClr>
        </a:solidFill>
        <a:ln>
          <a:solidFill>
            <a:schemeClr val="accent2">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b="1" kern="1200"/>
            <a:t>Step 5: Design assessment and implementation</a:t>
          </a:r>
        </a:p>
      </dsp:txBody>
      <dsp:txXfrm>
        <a:off x="2479369" y="32608"/>
        <a:ext cx="1068666" cy="547210"/>
      </dsp:txXfrm>
    </dsp:sp>
    <dsp:sp modelId="{90A0C395-3988-474C-92F1-2DD6E1BDAB0F}">
      <dsp:nvSpPr>
        <dsp:cNvPr id="0" name=""/>
        <dsp:cNvSpPr/>
      </dsp:nvSpPr>
      <dsp:spPr>
        <a:xfrm>
          <a:off x="1731701" y="188136"/>
          <a:ext cx="642230" cy="256892"/>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4</a:t>
          </a:r>
        </a:p>
      </dsp:txBody>
      <dsp:txXfrm>
        <a:off x="1860147" y="188136"/>
        <a:ext cx="385338" cy="256892"/>
      </dsp:txXfrm>
    </dsp:sp>
    <dsp:sp modelId="{B26424C9-E7B8-44D6-B292-F54C8AFFF838}">
      <dsp:nvSpPr>
        <dsp:cNvPr id="0" name=""/>
        <dsp:cNvSpPr/>
      </dsp:nvSpPr>
      <dsp:spPr>
        <a:xfrm>
          <a:off x="3827892" y="188136"/>
          <a:ext cx="642230" cy="256892"/>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6</a:t>
          </a:r>
        </a:p>
      </dsp:txBody>
      <dsp:txXfrm>
        <a:off x="3956338" y="188136"/>
        <a:ext cx="385338" cy="256892"/>
      </dsp:txXfrm>
    </dsp:sp>
    <dsp:sp modelId="{372A0707-C206-4125-913C-150A3501952D}">
      <dsp:nvSpPr>
        <dsp:cNvPr id="0" name=""/>
        <dsp:cNvSpPr/>
      </dsp:nvSpPr>
      <dsp:spPr>
        <a:xfrm>
          <a:off x="4443547" y="188136"/>
          <a:ext cx="708488" cy="256892"/>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7</a:t>
          </a:r>
        </a:p>
      </dsp:txBody>
      <dsp:txXfrm>
        <a:off x="4571993" y="188136"/>
        <a:ext cx="451596" cy="256892"/>
      </dsp:txXfrm>
    </dsp:sp>
    <dsp:sp modelId="{1956EF06-B7F2-4988-B170-CCFB1252D9EC}">
      <dsp:nvSpPr>
        <dsp:cNvPr id="0" name=""/>
        <dsp:cNvSpPr/>
      </dsp:nvSpPr>
      <dsp:spPr>
        <a:xfrm>
          <a:off x="5087813" y="188136"/>
          <a:ext cx="642230" cy="256892"/>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8</a:t>
          </a:r>
        </a:p>
      </dsp:txBody>
      <dsp:txXfrm>
        <a:off x="5216259" y="188136"/>
        <a:ext cx="385338" cy="25689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B1432-2B83-4456-BD41-8016077A515A}">
      <dsp:nvSpPr>
        <dsp:cNvPr id="0" name=""/>
        <dsp:cNvSpPr/>
      </dsp:nvSpPr>
      <dsp:spPr>
        <a:xfrm>
          <a:off x="1781" y="188512"/>
          <a:ext cx="640830" cy="256332"/>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1</a:t>
          </a:r>
        </a:p>
      </dsp:txBody>
      <dsp:txXfrm>
        <a:off x="129947" y="188512"/>
        <a:ext cx="384498" cy="256332"/>
      </dsp:txXfrm>
    </dsp:sp>
    <dsp:sp modelId="{BE47DD43-34D6-4BB8-8E85-8B9317DB3B01}">
      <dsp:nvSpPr>
        <dsp:cNvPr id="0" name=""/>
        <dsp:cNvSpPr/>
      </dsp:nvSpPr>
      <dsp:spPr>
        <a:xfrm>
          <a:off x="578129" y="184764"/>
          <a:ext cx="640830" cy="256332"/>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2</a:t>
          </a:r>
        </a:p>
      </dsp:txBody>
      <dsp:txXfrm>
        <a:off x="706295" y="184764"/>
        <a:ext cx="384498" cy="256332"/>
      </dsp:txXfrm>
    </dsp:sp>
    <dsp:sp modelId="{28DD6C66-9E97-427D-BBEA-74A6FDD08EEF}">
      <dsp:nvSpPr>
        <dsp:cNvPr id="0" name=""/>
        <dsp:cNvSpPr/>
      </dsp:nvSpPr>
      <dsp:spPr>
        <a:xfrm>
          <a:off x="1154877" y="184764"/>
          <a:ext cx="640830" cy="256332"/>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3</a:t>
          </a:r>
        </a:p>
      </dsp:txBody>
      <dsp:txXfrm>
        <a:off x="1283043" y="184764"/>
        <a:ext cx="384498" cy="256332"/>
      </dsp:txXfrm>
    </dsp:sp>
    <dsp:sp modelId="{80D7A788-5442-4141-B1AA-EC23E182D957}">
      <dsp:nvSpPr>
        <dsp:cNvPr id="0" name=""/>
        <dsp:cNvSpPr/>
      </dsp:nvSpPr>
      <dsp:spPr>
        <a:xfrm>
          <a:off x="2860506" y="79077"/>
          <a:ext cx="1616322" cy="477944"/>
        </a:xfrm>
        <a:prstGeom prst="chevron">
          <a:avLst/>
        </a:prstGeom>
        <a:solidFill>
          <a:schemeClr val="accent2">
            <a:lumMod val="50000"/>
          </a:schemeClr>
        </a:solidFill>
        <a:ln>
          <a:solidFill>
            <a:schemeClr val="accent2">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b="1" kern="1200"/>
            <a:t>Step 6: Analyse and Aggregate</a:t>
          </a:r>
        </a:p>
      </dsp:txBody>
      <dsp:txXfrm>
        <a:off x="3099478" y="79077"/>
        <a:ext cx="1138378" cy="477944"/>
      </dsp:txXfrm>
    </dsp:sp>
    <dsp:sp modelId="{90A0C395-3988-474C-92F1-2DD6E1BDAB0F}">
      <dsp:nvSpPr>
        <dsp:cNvPr id="0" name=""/>
        <dsp:cNvSpPr/>
      </dsp:nvSpPr>
      <dsp:spPr>
        <a:xfrm>
          <a:off x="1766127" y="188512"/>
          <a:ext cx="640830" cy="256332"/>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4</a:t>
          </a:r>
        </a:p>
      </dsp:txBody>
      <dsp:txXfrm>
        <a:off x="1894293" y="188512"/>
        <a:ext cx="384498" cy="256332"/>
      </dsp:txXfrm>
    </dsp:sp>
    <dsp:sp modelId="{B26424C9-E7B8-44D6-B292-F54C8AFFF838}">
      <dsp:nvSpPr>
        <dsp:cNvPr id="0" name=""/>
        <dsp:cNvSpPr/>
      </dsp:nvSpPr>
      <dsp:spPr>
        <a:xfrm>
          <a:off x="2357184" y="197276"/>
          <a:ext cx="640830" cy="256332"/>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5</a:t>
          </a:r>
        </a:p>
      </dsp:txBody>
      <dsp:txXfrm>
        <a:off x="2485350" y="197276"/>
        <a:ext cx="384498" cy="256332"/>
      </dsp:txXfrm>
    </dsp:sp>
    <dsp:sp modelId="{372A0707-C206-4125-913C-150A3501952D}">
      <dsp:nvSpPr>
        <dsp:cNvPr id="0" name=""/>
        <dsp:cNvSpPr/>
      </dsp:nvSpPr>
      <dsp:spPr>
        <a:xfrm>
          <a:off x="4437760" y="188512"/>
          <a:ext cx="715609" cy="256332"/>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7</a:t>
          </a:r>
        </a:p>
      </dsp:txBody>
      <dsp:txXfrm>
        <a:off x="4565926" y="188512"/>
        <a:ext cx="459277" cy="256332"/>
      </dsp:txXfrm>
    </dsp:sp>
    <dsp:sp modelId="{1956EF06-B7F2-4988-B170-CCFB1252D9EC}">
      <dsp:nvSpPr>
        <dsp:cNvPr id="0" name=""/>
        <dsp:cNvSpPr/>
      </dsp:nvSpPr>
      <dsp:spPr>
        <a:xfrm>
          <a:off x="5089287" y="188512"/>
          <a:ext cx="640830" cy="256332"/>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8</a:t>
          </a:r>
        </a:p>
      </dsp:txBody>
      <dsp:txXfrm>
        <a:off x="5217453" y="188512"/>
        <a:ext cx="384498" cy="25633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B1432-2B83-4456-BD41-8016077A515A}">
      <dsp:nvSpPr>
        <dsp:cNvPr id="0" name=""/>
        <dsp:cNvSpPr/>
      </dsp:nvSpPr>
      <dsp:spPr>
        <a:xfrm>
          <a:off x="1809" y="183229"/>
          <a:ext cx="660501" cy="264200"/>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1</a:t>
          </a:r>
        </a:p>
      </dsp:txBody>
      <dsp:txXfrm>
        <a:off x="133909" y="183229"/>
        <a:ext cx="396301" cy="264200"/>
      </dsp:txXfrm>
    </dsp:sp>
    <dsp:sp modelId="{BE47DD43-34D6-4BB8-8E85-8B9317DB3B01}">
      <dsp:nvSpPr>
        <dsp:cNvPr id="0" name=""/>
        <dsp:cNvSpPr/>
      </dsp:nvSpPr>
      <dsp:spPr>
        <a:xfrm>
          <a:off x="595848" y="179366"/>
          <a:ext cx="660501" cy="264200"/>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2</a:t>
          </a:r>
        </a:p>
      </dsp:txBody>
      <dsp:txXfrm>
        <a:off x="727948" y="179366"/>
        <a:ext cx="396301" cy="264200"/>
      </dsp:txXfrm>
    </dsp:sp>
    <dsp:sp modelId="{28DD6C66-9E97-427D-BBEA-74A6FDD08EEF}">
      <dsp:nvSpPr>
        <dsp:cNvPr id="0" name=""/>
        <dsp:cNvSpPr/>
      </dsp:nvSpPr>
      <dsp:spPr>
        <a:xfrm>
          <a:off x="1190299" y="179366"/>
          <a:ext cx="660501" cy="264200"/>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3</a:t>
          </a:r>
        </a:p>
      </dsp:txBody>
      <dsp:txXfrm>
        <a:off x="1322399" y="179366"/>
        <a:ext cx="396301" cy="264200"/>
      </dsp:txXfrm>
    </dsp:sp>
    <dsp:sp modelId="{80D7A788-5442-4141-B1AA-EC23E182D957}">
      <dsp:nvSpPr>
        <dsp:cNvPr id="0" name=""/>
        <dsp:cNvSpPr/>
      </dsp:nvSpPr>
      <dsp:spPr>
        <a:xfrm>
          <a:off x="3514247" y="86245"/>
          <a:ext cx="1580024" cy="456615"/>
        </a:xfrm>
        <a:prstGeom prst="chevron">
          <a:avLst/>
        </a:prstGeom>
        <a:solidFill>
          <a:schemeClr val="accent2">
            <a:lumMod val="50000"/>
          </a:schemeClr>
        </a:solidFill>
        <a:ln>
          <a:solidFill>
            <a:schemeClr val="accent2">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b="1" kern="1200"/>
            <a:t>Step 7: Harmonise and Integrate</a:t>
          </a:r>
        </a:p>
      </dsp:txBody>
      <dsp:txXfrm>
        <a:off x="3742555" y="86245"/>
        <a:ext cx="1123409" cy="456615"/>
      </dsp:txXfrm>
    </dsp:sp>
    <dsp:sp modelId="{90A0C395-3988-474C-92F1-2DD6E1BDAB0F}">
      <dsp:nvSpPr>
        <dsp:cNvPr id="0" name=""/>
        <dsp:cNvSpPr/>
      </dsp:nvSpPr>
      <dsp:spPr>
        <a:xfrm>
          <a:off x="1786968" y="183229"/>
          <a:ext cx="660501" cy="264200"/>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4</a:t>
          </a:r>
        </a:p>
      </dsp:txBody>
      <dsp:txXfrm>
        <a:off x="1919068" y="183229"/>
        <a:ext cx="396301" cy="264200"/>
      </dsp:txXfrm>
    </dsp:sp>
    <dsp:sp modelId="{B26424C9-E7B8-44D6-B292-F54C8AFFF838}">
      <dsp:nvSpPr>
        <dsp:cNvPr id="0" name=""/>
        <dsp:cNvSpPr/>
      </dsp:nvSpPr>
      <dsp:spPr>
        <a:xfrm>
          <a:off x="2376899" y="192262"/>
          <a:ext cx="660501" cy="264200"/>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5</a:t>
          </a:r>
        </a:p>
      </dsp:txBody>
      <dsp:txXfrm>
        <a:off x="2508999" y="192262"/>
        <a:ext cx="396301" cy="264200"/>
      </dsp:txXfrm>
    </dsp:sp>
    <dsp:sp modelId="{372A0707-C206-4125-913C-150A3501952D}">
      <dsp:nvSpPr>
        <dsp:cNvPr id="0" name=""/>
        <dsp:cNvSpPr/>
      </dsp:nvSpPr>
      <dsp:spPr>
        <a:xfrm>
          <a:off x="2948765" y="196780"/>
          <a:ext cx="660501" cy="264200"/>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6</a:t>
          </a:r>
        </a:p>
      </dsp:txBody>
      <dsp:txXfrm>
        <a:off x="3080865" y="196780"/>
        <a:ext cx="396301" cy="264200"/>
      </dsp:txXfrm>
    </dsp:sp>
    <dsp:sp modelId="{1956EF06-B7F2-4988-B170-CCFB1252D9EC}">
      <dsp:nvSpPr>
        <dsp:cNvPr id="0" name=""/>
        <dsp:cNvSpPr/>
      </dsp:nvSpPr>
      <dsp:spPr>
        <a:xfrm>
          <a:off x="5082492" y="183229"/>
          <a:ext cx="660501" cy="264200"/>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8</a:t>
          </a:r>
        </a:p>
      </dsp:txBody>
      <dsp:txXfrm>
        <a:off x="5214592" y="183229"/>
        <a:ext cx="396301" cy="26420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B1432-2B83-4456-BD41-8016077A515A}">
      <dsp:nvSpPr>
        <dsp:cNvPr id="0" name=""/>
        <dsp:cNvSpPr/>
      </dsp:nvSpPr>
      <dsp:spPr>
        <a:xfrm>
          <a:off x="1755" y="160175"/>
          <a:ext cx="674411" cy="269764"/>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1</a:t>
          </a:r>
        </a:p>
      </dsp:txBody>
      <dsp:txXfrm>
        <a:off x="136637" y="160175"/>
        <a:ext cx="404647" cy="269764"/>
      </dsp:txXfrm>
    </dsp:sp>
    <dsp:sp modelId="{BE47DD43-34D6-4BB8-8E85-8B9317DB3B01}">
      <dsp:nvSpPr>
        <dsp:cNvPr id="0" name=""/>
        <dsp:cNvSpPr/>
      </dsp:nvSpPr>
      <dsp:spPr>
        <a:xfrm>
          <a:off x="608304" y="156231"/>
          <a:ext cx="674411" cy="269764"/>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2</a:t>
          </a:r>
        </a:p>
      </dsp:txBody>
      <dsp:txXfrm>
        <a:off x="743186" y="156231"/>
        <a:ext cx="404647" cy="269764"/>
      </dsp:txXfrm>
    </dsp:sp>
    <dsp:sp modelId="{28DD6C66-9E97-427D-BBEA-74A6FDD08EEF}">
      <dsp:nvSpPr>
        <dsp:cNvPr id="0" name=""/>
        <dsp:cNvSpPr/>
      </dsp:nvSpPr>
      <dsp:spPr>
        <a:xfrm>
          <a:off x="1215274" y="156231"/>
          <a:ext cx="674411" cy="269764"/>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3</a:t>
          </a:r>
        </a:p>
      </dsp:txBody>
      <dsp:txXfrm>
        <a:off x="1350156" y="156231"/>
        <a:ext cx="404647" cy="269764"/>
      </dsp:txXfrm>
    </dsp:sp>
    <dsp:sp modelId="{80D7A788-5442-4141-B1AA-EC23E182D957}">
      <dsp:nvSpPr>
        <dsp:cNvPr id="0" name=""/>
        <dsp:cNvSpPr/>
      </dsp:nvSpPr>
      <dsp:spPr>
        <a:xfrm>
          <a:off x="4218881" y="79110"/>
          <a:ext cx="1479638" cy="448923"/>
        </a:xfrm>
        <a:prstGeom prst="chevron">
          <a:avLst/>
        </a:prstGeom>
        <a:solidFill>
          <a:schemeClr val="accent2">
            <a:lumMod val="50000"/>
          </a:schemeClr>
        </a:solidFill>
        <a:ln>
          <a:solidFill>
            <a:schemeClr val="accent2">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b="1" kern="1200"/>
            <a:t>Step 8: Develop  Report Card</a:t>
          </a:r>
        </a:p>
      </dsp:txBody>
      <dsp:txXfrm>
        <a:off x="4443343" y="79110"/>
        <a:ext cx="1030715" cy="448923"/>
      </dsp:txXfrm>
    </dsp:sp>
    <dsp:sp modelId="{90A0C395-3988-474C-92F1-2DD6E1BDAB0F}">
      <dsp:nvSpPr>
        <dsp:cNvPr id="0" name=""/>
        <dsp:cNvSpPr/>
      </dsp:nvSpPr>
      <dsp:spPr>
        <a:xfrm>
          <a:off x="1861239" y="160175"/>
          <a:ext cx="674411" cy="269764"/>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4</a:t>
          </a:r>
        </a:p>
      </dsp:txBody>
      <dsp:txXfrm>
        <a:off x="1996121" y="160175"/>
        <a:ext cx="404647" cy="269764"/>
      </dsp:txXfrm>
    </dsp:sp>
    <dsp:sp modelId="{B26424C9-E7B8-44D6-B292-F54C8AFFF838}">
      <dsp:nvSpPr>
        <dsp:cNvPr id="0" name=""/>
        <dsp:cNvSpPr/>
      </dsp:nvSpPr>
      <dsp:spPr>
        <a:xfrm>
          <a:off x="2502227" y="169399"/>
          <a:ext cx="674411" cy="269764"/>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5</a:t>
          </a:r>
        </a:p>
      </dsp:txBody>
      <dsp:txXfrm>
        <a:off x="2637109" y="169399"/>
        <a:ext cx="404647" cy="269764"/>
      </dsp:txXfrm>
    </dsp:sp>
    <dsp:sp modelId="{372A0707-C206-4125-913C-150A3501952D}">
      <dsp:nvSpPr>
        <dsp:cNvPr id="0" name=""/>
        <dsp:cNvSpPr/>
      </dsp:nvSpPr>
      <dsp:spPr>
        <a:xfrm>
          <a:off x="3099074" y="174012"/>
          <a:ext cx="674411" cy="269764"/>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6</a:t>
          </a:r>
        </a:p>
      </dsp:txBody>
      <dsp:txXfrm>
        <a:off x="3233956" y="174012"/>
        <a:ext cx="404647" cy="269764"/>
      </dsp:txXfrm>
    </dsp:sp>
    <dsp:sp modelId="{1956EF06-B7F2-4988-B170-CCFB1252D9EC}">
      <dsp:nvSpPr>
        <dsp:cNvPr id="0" name=""/>
        <dsp:cNvSpPr/>
      </dsp:nvSpPr>
      <dsp:spPr>
        <a:xfrm>
          <a:off x="3694748" y="187012"/>
          <a:ext cx="674411" cy="269764"/>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7</a:t>
          </a:r>
        </a:p>
      </dsp:txBody>
      <dsp:txXfrm>
        <a:off x="3829630" y="187012"/>
        <a:ext cx="404647" cy="2697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B1432-2B83-4456-BD41-8016077A515A}">
      <dsp:nvSpPr>
        <dsp:cNvPr id="0" name=""/>
        <dsp:cNvSpPr/>
      </dsp:nvSpPr>
      <dsp:spPr>
        <a:xfrm>
          <a:off x="1417287" y="0"/>
          <a:ext cx="1707801" cy="533400"/>
        </a:xfrm>
        <a:prstGeom prst="chevron">
          <a:avLst/>
        </a:prstGeom>
        <a:solidFill>
          <a:schemeClr val="accent3">
            <a:lumMod val="50000"/>
          </a:schemeClr>
        </a:solidFill>
        <a:ln>
          <a:solidFill>
            <a:schemeClr val="accent3">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b="1" i="1" kern="1200"/>
            <a:t>Part A Context: Purpose of IECA</a:t>
          </a:r>
        </a:p>
      </dsp:txBody>
      <dsp:txXfrm>
        <a:off x="1683987" y="0"/>
        <a:ext cx="1174401" cy="533400"/>
      </dsp:txXfrm>
    </dsp:sp>
    <dsp:sp modelId="{B26424C9-E7B8-44D6-B292-F54C8AFFF838}">
      <dsp:nvSpPr>
        <dsp:cNvPr id="0" name=""/>
        <dsp:cNvSpPr/>
      </dsp:nvSpPr>
      <dsp:spPr>
        <a:xfrm>
          <a:off x="0" y="49306"/>
          <a:ext cx="1592626" cy="396674"/>
        </a:xfrm>
        <a:prstGeom prst="chevron">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accent5">
                  <a:lumMod val="75000"/>
                </a:schemeClr>
              </a:solidFill>
            </a:rPr>
            <a:t>Part A Context: Framing the question</a:t>
          </a:r>
        </a:p>
      </dsp:txBody>
      <dsp:txXfrm>
        <a:off x="198337" y="49306"/>
        <a:ext cx="1195952" cy="396674"/>
      </dsp:txXfrm>
    </dsp:sp>
    <dsp:sp modelId="{372A0707-C206-4125-913C-150A3501952D}">
      <dsp:nvSpPr>
        <dsp:cNvPr id="0" name=""/>
        <dsp:cNvSpPr/>
      </dsp:nvSpPr>
      <dsp:spPr>
        <a:xfrm>
          <a:off x="3009146" y="58271"/>
          <a:ext cx="1427916" cy="396674"/>
        </a:xfrm>
        <a:prstGeom prst="chevron">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accent5">
                  <a:lumMod val="75000"/>
                </a:schemeClr>
              </a:solidFill>
            </a:rPr>
            <a:t>Part A Context: Groundwork</a:t>
          </a:r>
        </a:p>
      </dsp:txBody>
      <dsp:txXfrm>
        <a:off x="3207483" y="58271"/>
        <a:ext cx="1031242" cy="396674"/>
      </dsp:txXfrm>
    </dsp:sp>
    <dsp:sp modelId="{1956EF06-B7F2-4988-B170-CCFB1252D9EC}">
      <dsp:nvSpPr>
        <dsp:cNvPr id="0" name=""/>
        <dsp:cNvSpPr/>
      </dsp:nvSpPr>
      <dsp:spPr>
        <a:xfrm>
          <a:off x="4300530" y="58271"/>
          <a:ext cx="1427916" cy="396674"/>
        </a:xfrm>
        <a:prstGeom prst="chevron">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accent5">
                  <a:lumMod val="75000"/>
                </a:schemeClr>
              </a:solidFill>
            </a:rPr>
            <a:t>Part A Context: Outputs</a:t>
          </a:r>
        </a:p>
      </dsp:txBody>
      <dsp:txXfrm>
        <a:off x="4498867" y="58271"/>
        <a:ext cx="1031242" cy="3966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B1432-2B83-4456-BD41-8016077A515A}">
      <dsp:nvSpPr>
        <dsp:cNvPr id="0" name=""/>
        <dsp:cNvSpPr/>
      </dsp:nvSpPr>
      <dsp:spPr>
        <a:xfrm>
          <a:off x="2755858" y="0"/>
          <a:ext cx="1685596" cy="540913"/>
        </a:xfrm>
        <a:prstGeom prst="chevron">
          <a:avLst/>
        </a:prstGeom>
        <a:solidFill>
          <a:schemeClr val="accent3">
            <a:lumMod val="50000"/>
          </a:schemeClr>
        </a:solidFill>
        <a:ln>
          <a:solidFill>
            <a:schemeClr val="accent3">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b="1" i="1" kern="1200"/>
            <a:t>Part A Context: Goundwork</a:t>
          </a:r>
        </a:p>
      </dsp:txBody>
      <dsp:txXfrm>
        <a:off x="3026315" y="0"/>
        <a:ext cx="1144683" cy="540913"/>
      </dsp:txXfrm>
    </dsp:sp>
    <dsp:sp modelId="{B26424C9-E7B8-44D6-B292-F54C8AFFF838}">
      <dsp:nvSpPr>
        <dsp:cNvPr id="0" name=""/>
        <dsp:cNvSpPr/>
      </dsp:nvSpPr>
      <dsp:spPr>
        <a:xfrm>
          <a:off x="0" y="50001"/>
          <a:ext cx="1658480" cy="402261"/>
        </a:xfrm>
        <a:prstGeom prst="chevron">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accent5">
                  <a:lumMod val="75000"/>
                </a:schemeClr>
              </a:solidFill>
            </a:rPr>
            <a:t>Part A Context: Framing the question</a:t>
          </a:r>
        </a:p>
      </dsp:txBody>
      <dsp:txXfrm>
        <a:off x="201131" y="50001"/>
        <a:ext cx="1256219" cy="402261"/>
      </dsp:txXfrm>
    </dsp:sp>
    <dsp:sp modelId="{372A0707-C206-4125-913C-150A3501952D}">
      <dsp:nvSpPr>
        <dsp:cNvPr id="0" name=""/>
        <dsp:cNvSpPr/>
      </dsp:nvSpPr>
      <dsp:spPr>
        <a:xfrm>
          <a:off x="1525312" y="59092"/>
          <a:ext cx="1409350" cy="402261"/>
        </a:xfrm>
        <a:prstGeom prst="chevron">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accent5">
                  <a:lumMod val="75000"/>
                </a:schemeClr>
              </a:solidFill>
            </a:rPr>
            <a:t>Part A Context: Purpose of IECA</a:t>
          </a:r>
        </a:p>
      </dsp:txBody>
      <dsp:txXfrm>
        <a:off x="1726443" y="59092"/>
        <a:ext cx="1007089" cy="402261"/>
      </dsp:txXfrm>
    </dsp:sp>
    <dsp:sp modelId="{1956EF06-B7F2-4988-B170-CCFB1252D9EC}">
      <dsp:nvSpPr>
        <dsp:cNvPr id="0" name=""/>
        <dsp:cNvSpPr/>
      </dsp:nvSpPr>
      <dsp:spPr>
        <a:xfrm>
          <a:off x="4334627" y="56344"/>
          <a:ext cx="1409350" cy="402261"/>
        </a:xfrm>
        <a:prstGeom prst="chevron">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accent5">
                  <a:lumMod val="75000"/>
                </a:schemeClr>
              </a:solidFill>
            </a:rPr>
            <a:t>Part A Context: Outputs</a:t>
          </a:r>
        </a:p>
      </dsp:txBody>
      <dsp:txXfrm>
        <a:off x="4535758" y="56344"/>
        <a:ext cx="1007089" cy="4022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B1432-2B83-4456-BD41-8016077A515A}">
      <dsp:nvSpPr>
        <dsp:cNvPr id="0" name=""/>
        <dsp:cNvSpPr/>
      </dsp:nvSpPr>
      <dsp:spPr>
        <a:xfrm>
          <a:off x="4117962" y="0"/>
          <a:ext cx="1593560" cy="540913"/>
        </a:xfrm>
        <a:prstGeom prst="chevron">
          <a:avLst/>
        </a:prstGeom>
        <a:solidFill>
          <a:schemeClr val="accent3">
            <a:lumMod val="50000"/>
          </a:schemeClr>
        </a:solidFill>
        <a:ln>
          <a:solidFill>
            <a:schemeClr val="accent3">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b="1" i="1" kern="1200"/>
            <a:t>Part A Context: Outputs</a:t>
          </a:r>
        </a:p>
      </dsp:txBody>
      <dsp:txXfrm>
        <a:off x="4388419" y="0"/>
        <a:ext cx="1052647" cy="540913"/>
      </dsp:txXfrm>
    </dsp:sp>
    <dsp:sp modelId="{B26424C9-E7B8-44D6-B292-F54C8AFFF838}">
      <dsp:nvSpPr>
        <dsp:cNvPr id="0" name=""/>
        <dsp:cNvSpPr/>
      </dsp:nvSpPr>
      <dsp:spPr>
        <a:xfrm>
          <a:off x="0" y="50001"/>
          <a:ext cx="1729443" cy="402261"/>
        </a:xfrm>
        <a:prstGeom prst="chevron">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accent5">
                  <a:lumMod val="75000"/>
                </a:schemeClr>
              </a:solidFill>
            </a:rPr>
            <a:t>Part A Context: Framing the question</a:t>
          </a:r>
        </a:p>
      </dsp:txBody>
      <dsp:txXfrm>
        <a:off x="201131" y="50001"/>
        <a:ext cx="1327182" cy="402261"/>
      </dsp:txXfrm>
    </dsp:sp>
    <dsp:sp modelId="{372A0707-C206-4125-913C-150A3501952D}">
      <dsp:nvSpPr>
        <dsp:cNvPr id="0" name=""/>
        <dsp:cNvSpPr/>
      </dsp:nvSpPr>
      <dsp:spPr>
        <a:xfrm>
          <a:off x="1617995" y="59092"/>
          <a:ext cx="1421971" cy="402261"/>
        </a:xfrm>
        <a:prstGeom prst="chevron">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accent5">
                  <a:lumMod val="75000"/>
                </a:schemeClr>
              </a:solidFill>
            </a:rPr>
            <a:t>Part A Context: Purpose of IECA</a:t>
          </a:r>
        </a:p>
      </dsp:txBody>
      <dsp:txXfrm>
        <a:off x="1819126" y="59092"/>
        <a:ext cx="1019710" cy="402261"/>
      </dsp:txXfrm>
    </dsp:sp>
    <dsp:sp modelId="{1956EF06-B7F2-4988-B170-CCFB1252D9EC}">
      <dsp:nvSpPr>
        <dsp:cNvPr id="0" name=""/>
        <dsp:cNvSpPr/>
      </dsp:nvSpPr>
      <dsp:spPr>
        <a:xfrm>
          <a:off x="2906286" y="56344"/>
          <a:ext cx="1421971" cy="402261"/>
        </a:xfrm>
        <a:prstGeom prst="chevron">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accent5">
                  <a:lumMod val="75000"/>
                </a:schemeClr>
              </a:solidFill>
            </a:rPr>
            <a:t>Part A Context: Groundwork</a:t>
          </a:r>
        </a:p>
      </dsp:txBody>
      <dsp:txXfrm>
        <a:off x="3107417" y="56344"/>
        <a:ext cx="1019710" cy="40226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6BA988-A646-4660-9E17-F03A9F60EC90}">
      <dsp:nvSpPr>
        <dsp:cNvPr id="0" name=""/>
        <dsp:cNvSpPr/>
      </dsp:nvSpPr>
      <dsp:spPr>
        <a:xfrm>
          <a:off x="2127248" y="1785"/>
          <a:ext cx="1231903"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IECA Themes for grouping values</a:t>
          </a:r>
        </a:p>
      </dsp:txBody>
      <dsp:txXfrm>
        <a:off x="2138952" y="13489"/>
        <a:ext cx="1208495" cy="376195"/>
      </dsp:txXfrm>
    </dsp:sp>
    <dsp:sp modelId="{01111E40-A1A4-4470-B48B-81F8C7F3C0B0}">
      <dsp:nvSpPr>
        <dsp:cNvPr id="0" name=""/>
        <dsp:cNvSpPr/>
      </dsp:nvSpPr>
      <dsp:spPr>
        <a:xfrm>
          <a:off x="795132" y="401389"/>
          <a:ext cx="1948067" cy="159841"/>
        </a:xfrm>
        <a:custGeom>
          <a:avLst/>
          <a:gdLst/>
          <a:ahLst/>
          <a:cxnLst/>
          <a:rect l="0" t="0" r="0" b="0"/>
          <a:pathLst>
            <a:path>
              <a:moveTo>
                <a:pt x="1948067" y="0"/>
              </a:moveTo>
              <a:lnTo>
                <a:pt x="1948067" y="79920"/>
              </a:lnTo>
              <a:lnTo>
                <a:pt x="0" y="79920"/>
              </a:lnTo>
              <a:lnTo>
                <a:pt x="0" y="1598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960B8A-7905-4FEF-B125-906DC34F31A2}">
      <dsp:nvSpPr>
        <dsp:cNvPr id="0" name=""/>
        <dsp:cNvSpPr/>
      </dsp:nvSpPr>
      <dsp:spPr>
        <a:xfrm>
          <a:off x="495430" y="56123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Hydrology</a:t>
          </a:r>
        </a:p>
      </dsp:txBody>
      <dsp:txXfrm>
        <a:off x="507134" y="572934"/>
        <a:ext cx="575997" cy="376195"/>
      </dsp:txXfrm>
    </dsp:sp>
    <dsp:sp modelId="{3A59DF8F-2542-4A66-8E18-DBDFCEAE2D12}">
      <dsp:nvSpPr>
        <dsp:cNvPr id="0" name=""/>
        <dsp:cNvSpPr/>
      </dsp:nvSpPr>
      <dsp:spPr>
        <a:xfrm>
          <a:off x="749412" y="960834"/>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2AFD64-E197-46ED-9536-FD7E6EC492C4}">
      <dsp:nvSpPr>
        <dsp:cNvPr id="0" name=""/>
        <dsp:cNvSpPr/>
      </dsp:nvSpPr>
      <dsp:spPr>
        <a:xfrm>
          <a:off x="495430" y="1120675"/>
          <a:ext cx="599405" cy="39960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Surface water</a:t>
          </a:r>
        </a:p>
      </dsp:txBody>
      <dsp:txXfrm>
        <a:off x="507134" y="1132379"/>
        <a:ext cx="575997" cy="376195"/>
      </dsp:txXfrm>
    </dsp:sp>
    <dsp:sp modelId="{0BF8AA2F-BBB6-4D79-847F-E3B3D416EDCD}">
      <dsp:nvSpPr>
        <dsp:cNvPr id="0" name=""/>
        <dsp:cNvSpPr/>
      </dsp:nvSpPr>
      <dsp:spPr>
        <a:xfrm>
          <a:off x="749412" y="1520279"/>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6BC397-0448-4403-8653-DBF904B4748B}">
      <dsp:nvSpPr>
        <dsp:cNvPr id="0" name=""/>
        <dsp:cNvSpPr/>
      </dsp:nvSpPr>
      <dsp:spPr>
        <a:xfrm>
          <a:off x="495430" y="1680120"/>
          <a:ext cx="599405" cy="39960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Groundwater</a:t>
          </a:r>
        </a:p>
      </dsp:txBody>
      <dsp:txXfrm>
        <a:off x="507134" y="1691824"/>
        <a:ext cx="575997" cy="376195"/>
      </dsp:txXfrm>
    </dsp:sp>
    <dsp:sp modelId="{E4E7F2EA-5BD7-462A-B659-24A211709326}">
      <dsp:nvSpPr>
        <dsp:cNvPr id="0" name=""/>
        <dsp:cNvSpPr/>
      </dsp:nvSpPr>
      <dsp:spPr>
        <a:xfrm>
          <a:off x="1574359" y="401389"/>
          <a:ext cx="1168840" cy="159841"/>
        </a:xfrm>
        <a:custGeom>
          <a:avLst/>
          <a:gdLst/>
          <a:ahLst/>
          <a:cxnLst/>
          <a:rect l="0" t="0" r="0" b="0"/>
          <a:pathLst>
            <a:path>
              <a:moveTo>
                <a:pt x="1168840" y="0"/>
              </a:moveTo>
              <a:lnTo>
                <a:pt x="1168840" y="79920"/>
              </a:lnTo>
              <a:lnTo>
                <a:pt x="0" y="79920"/>
              </a:lnTo>
              <a:lnTo>
                <a:pt x="0" y="1598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C808E7-0822-46EE-8A6E-6CB069F894A9}">
      <dsp:nvSpPr>
        <dsp:cNvPr id="0" name=""/>
        <dsp:cNvSpPr/>
      </dsp:nvSpPr>
      <dsp:spPr>
        <a:xfrm>
          <a:off x="1274657" y="56123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Water quality</a:t>
          </a:r>
        </a:p>
      </dsp:txBody>
      <dsp:txXfrm>
        <a:off x="1286361" y="572934"/>
        <a:ext cx="575997" cy="376195"/>
      </dsp:txXfrm>
    </dsp:sp>
    <dsp:sp modelId="{743C05BF-7441-40E7-9654-5A318622DFD4}">
      <dsp:nvSpPr>
        <dsp:cNvPr id="0" name=""/>
        <dsp:cNvSpPr/>
      </dsp:nvSpPr>
      <dsp:spPr>
        <a:xfrm>
          <a:off x="1528639" y="960834"/>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3196A5-AAA5-4F96-BD6B-ED69EEFF47D9}">
      <dsp:nvSpPr>
        <dsp:cNvPr id="0" name=""/>
        <dsp:cNvSpPr/>
      </dsp:nvSpPr>
      <dsp:spPr>
        <a:xfrm>
          <a:off x="1274657" y="1120675"/>
          <a:ext cx="599405" cy="39960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Physical</a:t>
          </a:r>
        </a:p>
      </dsp:txBody>
      <dsp:txXfrm>
        <a:off x="1286361" y="1132379"/>
        <a:ext cx="575997" cy="376195"/>
      </dsp:txXfrm>
    </dsp:sp>
    <dsp:sp modelId="{AD728BDA-C8D3-4FBE-9DCD-44A93983F636}">
      <dsp:nvSpPr>
        <dsp:cNvPr id="0" name=""/>
        <dsp:cNvSpPr/>
      </dsp:nvSpPr>
      <dsp:spPr>
        <a:xfrm>
          <a:off x="1528639" y="1520279"/>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E5C405-1B6E-45CE-9BE4-314A3DF821B0}">
      <dsp:nvSpPr>
        <dsp:cNvPr id="0" name=""/>
        <dsp:cNvSpPr/>
      </dsp:nvSpPr>
      <dsp:spPr>
        <a:xfrm>
          <a:off x="1274657" y="1680120"/>
          <a:ext cx="599405" cy="39960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Chemical</a:t>
          </a:r>
        </a:p>
      </dsp:txBody>
      <dsp:txXfrm>
        <a:off x="1286361" y="1691824"/>
        <a:ext cx="575997" cy="376195"/>
      </dsp:txXfrm>
    </dsp:sp>
    <dsp:sp modelId="{AF6B22C5-532D-44EA-A4E1-5FEF2EC01F5D}">
      <dsp:nvSpPr>
        <dsp:cNvPr id="0" name=""/>
        <dsp:cNvSpPr/>
      </dsp:nvSpPr>
      <dsp:spPr>
        <a:xfrm>
          <a:off x="2353586" y="401389"/>
          <a:ext cx="389613" cy="159841"/>
        </a:xfrm>
        <a:custGeom>
          <a:avLst/>
          <a:gdLst/>
          <a:ahLst/>
          <a:cxnLst/>
          <a:rect l="0" t="0" r="0" b="0"/>
          <a:pathLst>
            <a:path>
              <a:moveTo>
                <a:pt x="389613" y="0"/>
              </a:moveTo>
              <a:lnTo>
                <a:pt x="389613" y="79920"/>
              </a:lnTo>
              <a:lnTo>
                <a:pt x="0" y="79920"/>
              </a:lnTo>
              <a:lnTo>
                <a:pt x="0" y="1598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EAB6ED-FADB-424C-AEFD-0550A6156DDC}">
      <dsp:nvSpPr>
        <dsp:cNvPr id="0" name=""/>
        <dsp:cNvSpPr/>
      </dsp:nvSpPr>
      <dsp:spPr>
        <a:xfrm>
          <a:off x="2053883" y="56123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Structural Integrity</a:t>
          </a:r>
        </a:p>
      </dsp:txBody>
      <dsp:txXfrm>
        <a:off x="2065587" y="572934"/>
        <a:ext cx="575997" cy="376195"/>
      </dsp:txXfrm>
    </dsp:sp>
    <dsp:sp modelId="{2099C3BA-C22C-4015-BA3E-94822C7912BF}">
      <dsp:nvSpPr>
        <dsp:cNvPr id="0" name=""/>
        <dsp:cNvSpPr/>
      </dsp:nvSpPr>
      <dsp:spPr>
        <a:xfrm>
          <a:off x="2307866" y="960834"/>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375315-21AE-4AAB-938C-7A0974DF9780}">
      <dsp:nvSpPr>
        <dsp:cNvPr id="0" name=""/>
        <dsp:cNvSpPr/>
      </dsp:nvSpPr>
      <dsp:spPr>
        <a:xfrm>
          <a:off x="2053883" y="1120675"/>
          <a:ext cx="599405" cy="39960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Ecosystem extent</a:t>
          </a:r>
        </a:p>
      </dsp:txBody>
      <dsp:txXfrm>
        <a:off x="2065587" y="1132379"/>
        <a:ext cx="575997" cy="376195"/>
      </dsp:txXfrm>
    </dsp:sp>
    <dsp:sp modelId="{C941EBFC-94F2-4353-85F2-DA791AB65EE4}">
      <dsp:nvSpPr>
        <dsp:cNvPr id="0" name=""/>
        <dsp:cNvSpPr/>
      </dsp:nvSpPr>
      <dsp:spPr>
        <a:xfrm>
          <a:off x="2307866" y="1520279"/>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A1F71C-2959-49DD-A430-B823EDA222A8}">
      <dsp:nvSpPr>
        <dsp:cNvPr id="0" name=""/>
        <dsp:cNvSpPr/>
      </dsp:nvSpPr>
      <dsp:spPr>
        <a:xfrm>
          <a:off x="2053883" y="1680120"/>
          <a:ext cx="599405" cy="39960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Physical form</a:t>
          </a:r>
        </a:p>
      </dsp:txBody>
      <dsp:txXfrm>
        <a:off x="2065587" y="1691824"/>
        <a:ext cx="575997" cy="376195"/>
      </dsp:txXfrm>
    </dsp:sp>
    <dsp:sp modelId="{7DCD18FB-B51B-4838-B70C-E6B687755440}">
      <dsp:nvSpPr>
        <dsp:cNvPr id="0" name=""/>
        <dsp:cNvSpPr/>
      </dsp:nvSpPr>
      <dsp:spPr>
        <a:xfrm>
          <a:off x="2307866" y="2079724"/>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B75839-F955-43DF-98E0-E1A2641851AE}">
      <dsp:nvSpPr>
        <dsp:cNvPr id="0" name=""/>
        <dsp:cNvSpPr/>
      </dsp:nvSpPr>
      <dsp:spPr>
        <a:xfrm>
          <a:off x="2053883" y="2239565"/>
          <a:ext cx="599405" cy="39960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Fringing zone</a:t>
          </a:r>
        </a:p>
      </dsp:txBody>
      <dsp:txXfrm>
        <a:off x="2065587" y="2251269"/>
        <a:ext cx="575997" cy="376195"/>
      </dsp:txXfrm>
    </dsp:sp>
    <dsp:sp modelId="{261F41B6-1FEA-40DC-AED7-29D8BE6DCDB9}">
      <dsp:nvSpPr>
        <dsp:cNvPr id="0" name=""/>
        <dsp:cNvSpPr/>
      </dsp:nvSpPr>
      <dsp:spPr>
        <a:xfrm>
          <a:off x="2307866" y="2639169"/>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BBAB1D-B7CC-4C70-95CC-820A2C0AE5A1}">
      <dsp:nvSpPr>
        <dsp:cNvPr id="0" name=""/>
        <dsp:cNvSpPr/>
      </dsp:nvSpPr>
      <dsp:spPr>
        <a:xfrm>
          <a:off x="2053883" y="2799010"/>
          <a:ext cx="599405" cy="39960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Soils</a:t>
          </a:r>
        </a:p>
      </dsp:txBody>
      <dsp:txXfrm>
        <a:off x="2065587" y="2810714"/>
        <a:ext cx="575997" cy="376195"/>
      </dsp:txXfrm>
    </dsp:sp>
    <dsp:sp modelId="{8BE48B4E-1A8E-4032-9CA4-D0ED2C12C05C}">
      <dsp:nvSpPr>
        <dsp:cNvPr id="0" name=""/>
        <dsp:cNvSpPr/>
      </dsp:nvSpPr>
      <dsp:spPr>
        <a:xfrm>
          <a:off x="2743200" y="401389"/>
          <a:ext cx="389613" cy="159841"/>
        </a:xfrm>
        <a:custGeom>
          <a:avLst/>
          <a:gdLst/>
          <a:ahLst/>
          <a:cxnLst/>
          <a:rect l="0" t="0" r="0" b="0"/>
          <a:pathLst>
            <a:path>
              <a:moveTo>
                <a:pt x="0" y="0"/>
              </a:moveTo>
              <a:lnTo>
                <a:pt x="0" y="79920"/>
              </a:lnTo>
              <a:lnTo>
                <a:pt x="389613" y="79920"/>
              </a:lnTo>
              <a:lnTo>
                <a:pt x="389613" y="1598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514297-764F-4440-86DF-5F2AE29E3CD1}">
      <dsp:nvSpPr>
        <dsp:cNvPr id="0" name=""/>
        <dsp:cNvSpPr/>
      </dsp:nvSpPr>
      <dsp:spPr>
        <a:xfrm>
          <a:off x="2833110" y="56123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Aquatic Ecosytem Connectivity</a:t>
          </a:r>
        </a:p>
      </dsp:txBody>
      <dsp:txXfrm>
        <a:off x="2844814" y="572934"/>
        <a:ext cx="575997" cy="376195"/>
      </dsp:txXfrm>
    </dsp:sp>
    <dsp:sp modelId="{6DEDE5ED-C83B-48B1-A721-F1464AFB9B6D}">
      <dsp:nvSpPr>
        <dsp:cNvPr id="0" name=""/>
        <dsp:cNvSpPr/>
      </dsp:nvSpPr>
      <dsp:spPr>
        <a:xfrm>
          <a:off x="3087093" y="960834"/>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EFF750-6110-4DB9-84CF-06DCFDF68EA8}">
      <dsp:nvSpPr>
        <dsp:cNvPr id="0" name=""/>
        <dsp:cNvSpPr/>
      </dsp:nvSpPr>
      <dsp:spPr>
        <a:xfrm>
          <a:off x="2833110" y="1120675"/>
          <a:ext cx="599405" cy="39960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Ecological connectivity</a:t>
          </a:r>
        </a:p>
      </dsp:txBody>
      <dsp:txXfrm>
        <a:off x="2844814" y="1132379"/>
        <a:ext cx="575997" cy="376195"/>
      </dsp:txXfrm>
    </dsp:sp>
    <dsp:sp modelId="{55958652-73AD-4E7C-A491-FDDDC712F70B}">
      <dsp:nvSpPr>
        <dsp:cNvPr id="0" name=""/>
        <dsp:cNvSpPr/>
      </dsp:nvSpPr>
      <dsp:spPr>
        <a:xfrm>
          <a:off x="3087093" y="1520279"/>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1D5960-2EA2-4051-89A9-28840E37F36E}">
      <dsp:nvSpPr>
        <dsp:cNvPr id="0" name=""/>
        <dsp:cNvSpPr/>
      </dsp:nvSpPr>
      <dsp:spPr>
        <a:xfrm>
          <a:off x="2833110" y="1680120"/>
          <a:ext cx="599405" cy="39960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Hydrological connectivity</a:t>
          </a:r>
        </a:p>
      </dsp:txBody>
      <dsp:txXfrm>
        <a:off x="2844814" y="1691824"/>
        <a:ext cx="575997" cy="376195"/>
      </dsp:txXfrm>
    </dsp:sp>
    <dsp:sp modelId="{BA5725ED-70F0-4BD8-8EBA-9A7D3F13DC90}">
      <dsp:nvSpPr>
        <dsp:cNvPr id="0" name=""/>
        <dsp:cNvSpPr/>
      </dsp:nvSpPr>
      <dsp:spPr>
        <a:xfrm>
          <a:off x="2743200" y="401389"/>
          <a:ext cx="1168840" cy="159841"/>
        </a:xfrm>
        <a:custGeom>
          <a:avLst/>
          <a:gdLst/>
          <a:ahLst/>
          <a:cxnLst/>
          <a:rect l="0" t="0" r="0" b="0"/>
          <a:pathLst>
            <a:path>
              <a:moveTo>
                <a:pt x="0" y="0"/>
              </a:moveTo>
              <a:lnTo>
                <a:pt x="0" y="79920"/>
              </a:lnTo>
              <a:lnTo>
                <a:pt x="1168840" y="79920"/>
              </a:lnTo>
              <a:lnTo>
                <a:pt x="1168840" y="1598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6CCCB0-3D10-4F72-A8F9-E70A0C8B8ECE}">
      <dsp:nvSpPr>
        <dsp:cNvPr id="0" name=""/>
        <dsp:cNvSpPr/>
      </dsp:nvSpPr>
      <dsp:spPr>
        <a:xfrm>
          <a:off x="3612337" y="56123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Biodiversity</a:t>
          </a:r>
        </a:p>
      </dsp:txBody>
      <dsp:txXfrm>
        <a:off x="3624041" y="572934"/>
        <a:ext cx="575997" cy="376195"/>
      </dsp:txXfrm>
    </dsp:sp>
    <dsp:sp modelId="{B50ABD23-6E4A-4D37-85C6-BC81DF74045A}">
      <dsp:nvSpPr>
        <dsp:cNvPr id="0" name=""/>
        <dsp:cNvSpPr/>
      </dsp:nvSpPr>
      <dsp:spPr>
        <a:xfrm>
          <a:off x="3866320" y="960834"/>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CBA5EA-8E68-4176-861F-5D78B8BFE50A}">
      <dsp:nvSpPr>
        <dsp:cNvPr id="0" name=""/>
        <dsp:cNvSpPr/>
      </dsp:nvSpPr>
      <dsp:spPr>
        <a:xfrm>
          <a:off x="3612337" y="1120675"/>
          <a:ext cx="599405" cy="39960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Aquatic biota</a:t>
          </a:r>
        </a:p>
      </dsp:txBody>
      <dsp:txXfrm>
        <a:off x="3624041" y="1132379"/>
        <a:ext cx="575997" cy="376195"/>
      </dsp:txXfrm>
    </dsp:sp>
    <dsp:sp modelId="{288BFF9E-8CC9-4982-A7D1-FF2E99BFCD5A}">
      <dsp:nvSpPr>
        <dsp:cNvPr id="0" name=""/>
        <dsp:cNvSpPr/>
      </dsp:nvSpPr>
      <dsp:spPr>
        <a:xfrm>
          <a:off x="3866320" y="1520279"/>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E199D6-5377-4142-9B91-ED445303890E}">
      <dsp:nvSpPr>
        <dsp:cNvPr id="0" name=""/>
        <dsp:cNvSpPr/>
      </dsp:nvSpPr>
      <dsp:spPr>
        <a:xfrm>
          <a:off x="3612337" y="1680120"/>
          <a:ext cx="599405" cy="39960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Ecosystem diversity</a:t>
          </a:r>
        </a:p>
      </dsp:txBody>
      <dsp:txXfrm>
        <a:off x="3624041" y="1691824"/>
        <a:ext cx="575997" cy="376195"/>
      </dsp:txXfrm>
    </dsp:sp>
    <dsp:sp modelId="{4F111C7D-860C-4D0D-B9D5-4667DEA01D12}">
      <dsp:nvSpPr>
        <dsp:cNvPr id="0" name=""/>
        <dsp:cNvSpPr/>
      </dsp:nvSpPr>
      <dsp:spPr>
        <a:xfrm>
          <a:off x="2743200" y="401389"/>
          <a:ext cx="1948067" cy="159841"/>
        </a:xfrm>
        <a:custGeom>
          <a:avLst/>
          <a:gdLst/>
          <a:ahLst/>
          <a:cxnLst/>
          <a:rect l="0" t="0" r="0" b="0"/>
          <a:pathLst>
            <a:path>
              <a:moveTo>
                <a:pt x="0" y="0"/>
              </a:moveTo>
              <a:lnTo>
                <a:pt x="0" y="79920"/>
              </a:lnTo>
              <a:lnTo>
                <a:pt x="1948067" y="79920"/>
              </a:lnTo>
              <a:lnTo>
                <a:pt x="1948067" y="1598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9825A8-423F-4E84-BB7B-53F5783B86ED}">
      <dsp:nvSpPr>
        <dsp:cNvPr id="0" name=""/>
        <dsp:cNvSpPr/>
      </dsp:nvSpPr>
      <dsp:spPr>
        <a:xfrm>
          <a:off x="4391564" y="56123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Services</a:t>
          </a:r>
        </a:p>
      </dsp:txBody>
      <dsp:txXfrm>
        <a:off x="4403268" y="572934"/>
        <a:ext cx="575997" cy="376195"/>
      </dsp:txXfrm>
    </dsp:sp>
    <dsp:sp modelId="{4DC08C8C-00EC-40B5-A946-83484CB872CA}">
      <dsp:nvSpPr>
        <dsp:cNvPr id="0" name=""/>
        <dsp:cNvSpPr/>
      </dsp:nvSpPr>
      <dsp:spPr>
        <a:xfrm>
          <a:off x="4645547" y="960834"/>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F09E16-7084-490A-A90F-DBFF5577D864}">
      <dsp:nvSpPr>
        <dsp:cNvPr id="0" name=""/>
        <dsp:cNvSpPr/>
      </dsp:nvSpPr>
      <dsp:spPr>
        <a:xfrm>
          <a:off x="4391564" y="1120675"/>
          <a:ext cx="599405" cy="39960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Regulating</a:t>
          </a:r>
        </a:p>
      </dsp:txBody>
      <dsp:txXfrm>
        <a:off x="4403268" y="1132379"/>
        <a:ext cx="575997" cy="376195"/>
      </dsp:txXfrm>
    </dsp:sp>
    <dsp:sp modelId="{DABEC337-609D-4CF8-8633-A7919225F620}">
      <dsp:nvSpPr>
        <dsp:cNvPr id="0" name=""/>
        <dsp:cNvSpPr/>
      </dsp:nvSpPr>
      <dsp:spPr>
        <a:xfrm>
          <a:off x="4645547" y="1520279"/>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7038B1-6E56-4CD7-AB21-C3ADB4155548}">
      <dsp:nvSpPr>
        <dsp:cNvPr id="0" name=""/>
        <dsp:cNvSpPr/>
      </dsp:nvSpPr>
      <dsp:spPr>
        <a:xfrm>
          <a:off x="4391564" y="1680120"/>
          <a:ext cx="599405" cy="39960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Provisioning</a:t>
          </a:r>
        </a:p>
      </dsp:txBody>
      <dsp:txXfrm>
        <a:off x="4403268" y="1691824"/>
        <a:ext cx="575997" cy="376195"/>
      </dsp:txXfrm>
    </dsp:sp>
    <dsp:sp modelId="{6D3F4CCC-A3C9-4AF0-B4B3-0797B4F8F754}">
      <dsp:nvSpPr>
        <dsp:cNvPr id="0" name=""/>
        <dsp:cNvSpPr/>
      </dsp:nvSpPr>
      <dsp:spPr>
        <a:xfrm>
          <a:off x="4645547" y="2079724"/>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E43939-B28A-4AD3-9668-0C347C79B26B}">
      <dsp:nvSpPr>
        <dsp:cNvPr id="0" name=""/>
        <dsp:cNvSpPr/>
      </dsp:nvSpPr>
      <dsp:spPr>
        <a:xfrm>
          <a:off x="4391564" y="2239565"/>
          <a:ext cx="599405" cy="399603"/>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Cultural</a:t>
          </a:r>
        </a:p>
      </dsp:txBody>
      <dsp:txXfrm>
        <a:off x="4403268" y="2251269"/>
        <a:ext cx="575997" cy="3761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B1432-2B83-4456-BD41-8016077A515A}">
      <dsp:nvSpPr>
        <dsp:cNvPr id="0" name=""/>
        <dsp:cNvSpPr/>
      </dsp:nvSpPr>
      <dsp:spPr>
        <a:xfrm>
          <a:off x="2054" y="33831"/>
          <a:ext cx="1350445" cy="465956"/>
        </a:xfrm>
        <a:prstGeom prst="chevron">
          <a:avLst/>
        </a:prstGeom>
        <a:solidFill>
          <a:schemeClr val="accent2">
            <a:lumMod val="50000"/>
          </a:schemeClr>
        </a:solidFill>
        <a:ln>
          <a:solidFill>
            <a:schemeClr val="accent2">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b="1" i="1" kern="1200"/>
            <a:t>Step 1: Idnetify and prioritise values</a:t>
          </a:r>
        </a:p>
      </dsp:txBody>
      <dsp:txXfrm>
        <a:off x="235032" y="33831"/>
        <a:ext cx="884489" cy="465956"/>
      </dsp:txXfrm>
    </dsp:sp>
    <dsp:sp modelId="{856CB68D-1F08-4D89-BEDB-F12ACE91F717}">
      <dsp:nvSpPr>
        <dsp:cNvPr id="0" name=""/>
        <dsp:cNvSpPr/>
      </dsp:nvSpPr>
      <dsp:spPr>
        <a:xfrm>
          <a:off x="1331482" y="100396"/>
          <a:ext cx="694287" cy="277715"/>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2</a:t>
          </a:r>
        </a:p>
      </dsp:txBody>
      <dsp:txXfrm>
        <a:off x="1470340" y="100396"/>
        <a:ext cx="416572" cy="277715"/>
      </dsp:txXfrm>
    </dsp:sp>
    <dsp:sp modelId="{C44F9971-22F4-4E5D-B3F5-F88B9C9DF7A8}">
      <dsp:nvSpPr>
        <dsp:cNvPr id="0" name=""/>
        <dsp:cNvSpPr/>
      </dsp:nvSpPr>
      <dsp:spPr>
        <a:xfrm>
          <a:off x="1956341" y="100396"/>
          <a:ext cx="694287" cy="277715"/>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3</a:t>
          </a:r>
        </a:p>
      </dsp:txBody>
      <dsp:txXfrm>
        <a:off x="2095199" y="100396"/>
        <a:ext cx="416572" cy="277715"/>
      </dsp:txXfrm>
    </dsp:sp>
    <dsp:sp modelId="{80D7A788-5442-4141-B1AA-EC23E182D957}">
      <dsp:nvSpPr>
        <dsp:cNvPr id="0" name=""/>
        <dsp:cNvSpPr/>
      </dsp:nvSpPr>
      <dsp:spPr>
        <a:xfrm>
          <a:off x="2581200" y="100396"/>
          <a:ext cx="694287" cy="277715"/>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4</a:t>
          </a:r>
        </a:p>
      </dsp:txBody>
      <dsp:txXfrm>
        <a:off x="2720058" y="100396"/>
        <a:ext cx="416572" cy="277715"/>
      </dsp:txXfrm>
    </dsp:sp>
    <dsp:sp modelId="{90A0C395-3988-474C-92F1-2DD6E1BDAB0F}">
      <dsp:nvSpPr>
        <dsp:cNvPr id="0" name=""/>
        <dsp:cNvSpPr/>
      </dsp:nvSpPr>
      <dsp:spPr>
        <a:xfrm>
          <a:off x="3206059" y="100396"/>
          <a:ext cx="694287" cy="277715"/>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5</a:t>
          </a:r>
        </a:p>
      </dsp:txBody>
      <dsp:txXfrm>
        <a:off x="3344917" y="100396"/>
        <a:ext cx="416572" cy="277715"/>
      </dsp:txXfrm>
    </dsp:sp>
    <dsp:sp modelId="{B26424C9-E7B8-44D6-B292-F54C8AFFF838}">
      <dsp:nvSpPr>
        <dsp:cNvPr id="0" name=""/>
        <dsp:cNvSpPr/>
      </dsp:nvSpPr>
      <dsp:spPr>
        <a:xfrm>
          <a:off x="3830918" y="100396"/>
          <a:ext cx="694287" cy="277715"/>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6</a:t>
          </a:r>
        </a:p>
      </dsp:txBody>
      <dsp:txXfrm>
        <a:off x="3969776" y="100396"/>
        <a:ext cx="416572" cy="277715"/>
      </dsp:txXfrm>
    </dsp:sp>
    <dsp:sp modelId="{372A0707-C206-4125-913C-150A3501952D}">
      <dsp:nvSpPr>
        <dsp:cNvPr id="0" name=""/>
        <dsp:cNvSpPr/>
      </dsp:nvSpPr>
      <dsp:spPr>
        <a:xfrm>
          <a:off x="4431572" y="100396"/>
          <a:ext cx="694287" cy="277715"/>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7</a:t>
          </a:r>
        </a:p>
      </dsp:txBody>
      <dsp:txXfrm>
        <a:off x="4570430" y="100396"/>
        <a:ext cx="416572" cy="277715"/>
      </dsp:txXfrm>
    </dsp:sp>
    <dsp:sp modelId="{1956EF06-B7F2-4988-B170-CCFB1252D9EC}">
      <dsp:nvSpPr>
        <dsp:cNvPr id="0" name=""/>
        <dsp:cNvSpPr/>
      </dsp:nvSpPr>
      <dsp:spPr>
        <a:xfrm>
          <a:off x="5033412" y="100396"/>
          <a:ext cx="694287" cy="277715"/>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8</a:t>
          </a:r>
        </a:p>
      </dsp:txBody>
      <dsp:txXfrm>
        <a:off x="5172270" y="100396"/>
        <a:ext cx="416572" cy="27771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B1432-2B83-4456-BD41-8016077A515A}">
      <dsp:nvSpPr>
        <dsp:cNvPr id="0" name=""/>
        <dsp:cNvSpPr/>
      </dsp:nvSpPr>
      <dsp:spPr>
        <a:xfrm>
          <a:off x="1923" y="87616"/>
          <a:ext cx="696944" cy="278777"/>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1</a:t>
          </a:r>
        </a:p>
      </dsp:txBody>
      <dsp:txXfrm>
        <a:off x="141312" y="87616"/>
        <a:ext cx="418167" cy="278777"/>
      </dsp:txXfrm>
    </dsp:sp>
    <dsp:sp modelId="{856CB68D-1F08-4D89-BEDB-F12ACE91F717}">
      <dsp:nvSpPr>
        <dsp:cNvPr id="0" name=""/>
        <dsp:cNvSpPr/>
      </dsp:nvSpPr>
      <dsp:spPr>
        <a:xfrm>
          <a:off x="611632" y="23974"/>
          <a:ext cx="1332822" cy="440145"/>
        </a:xfrm>
        <a:prstGeom prst="chevron">
          <a:avLst/>
        </a:prstGeom>
        <a:solidFill>
          <a:schemeClr val="accent2">
            <a:lumMod val="50000"/>
          </a:schemeClr>
        </a:solidFill>
        <a:ln>
          <a:solidFill>
            <a:schemeClr val="accent2">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b="1" kern="1200"/>
            <a:t>Step 2: Identify and prioritise threats</a:t>
          </a:r>
        </a:p>
      </dsp:txBody>
      <dsp:txXfrm>
        <a:off x="831705" y="23974"/>
        <a:ext cx="892677" cy="440145"/>
      </dsp:txXfrm>
    </dsp:sp>
    <dsp:sp modelId="{C44F9971-22F4-4E5D-B3F5-F88B9C9DF7A8}">
      <dsp:nvSpPr>
        <dsp:cNvPr id="0" name=""/>
        <dsp:cNvSpPr/>
      </dsp:nvSpPr>
      <dsp:spPr>
        <a:xfrm>
          <a:off x="1892300" y="87616"/>
          <a:ext cx="696944" cy="278777"/>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3</a:t>
          </a:r>
        </a:p>
      </dsp:txBody>
      <dsp:txXfrm>
        <a:off x="2031689" y="87616"/>
        <a:ext cx="418167" cy="278777"/>
      </dsp:txXfrm>
    </dsp:sp>
    <dsp:sp modelId="{80D7A788-5442-4141-B1AA-EC23E182D957}">
      <dsp:nvSpPr>
        <dsp:cNvPr id="0" name=""/>
        <dsp:cNvSpPr/>
      </dsp:nvSpPr>
      <dsp:spPr>
        <a:xfrm>
          <a:off x="2519550" y="87616"/>
          <a:ext cx="696944" cy="278777"/>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4</a:t>
          </a:r>
        </a:p>
      </dsp:txBody>
      <dsp:txXfrm>
        <a:off x="2658939" y="87616"/>
        <a:ext cx="418167" cy="278777"/>
      </dsp:txXfrm>
    </dsp:sp>
    <dsp:sp modelId="{90A0C395-3988-474C-92F1-2DD6E1BDAB0F}">
      <dsp:nvSpPr>
        <dsp:cNvPr id="0" name=""/>
        <dsp:cNvSpPr/>
      </dsp:nvSpPr>
      <dsp:spPr>
        <a:xfrm>
          <a:off x="3146800" y="87616"/>
          <a:ext cx="696944" cy="278777"/>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5</a:t>
          </a:r>
        </a:p>
      </dsp:txBody>
      <dsp:txXfrm>
        <a:off x="3286189" y="87616"/>
        <a:ext cx="418167" cy="278777"/>
      </dsp:txXfrm>
    </dsp:sp>
    <dsp:sp modelId="{B26424C9-E7B8-44D6-B292-F54C8AFFF838}">
      <dsp:nvSpPr>
        <dsp:cNvPr id="0" name=""/>
        <dsp:cNvSpPr/>
      </dsp:nvSpPr>
      <dsp:spPr>
        <a:xfrm>
          <a:off x="3774050" y="87616"/>
          <a:ext cx="696944" cy="278777"/>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6</a:t>
          </a:r>
        </a:p>
      </dsp:txBody>
      <dsp:txXfrm>
        <a:off x="3913439" y="87616"/>
        <a:ext cx="418167" cy="278777"/>
      </dsp:txXfrm>
    </dsp:sp>
    <dsp:sp modelId="{372A0707-C206-4125-913C-150A3501952D}">
      <dsp:nvSpPr>
        <dsp:cNvPr id="0" name=""/>
        <dsp:cNvSpPr/>
      </dsp:nvSpPr>
      <dsp:spPr>
        <a:xfrm>
          <a:off x="4401299" y="87616"/>
          <a:ext cx="696944" cy="278777"/>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7</a:t>
          </a:r>
        </a:p>
      </dsp:txBody>
      <dsp:txXfrm>
        <a:off x="4540688" y="87616"/>
        <a:ext cx="418167" cy="278777"/>
      </dsp:txXfrm>
    </dsp:sp>
    <dsp:sp modelId="{1956EF06-B7F2-4988-B170-CCFB1252D9EC}">
      <dsp:nvSpPr>
        <dsp:cNvPr id="0" name=""/>
        <dsp:cNvSpPr/>
      </dsp:nvSpPr>
      <dsp:spPr>
        <a:xfrm>
          <a:off x="5028549" y="87616"/>
          <a:ext cx="696944" cy="278777"/>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8</a:t>
          </a:r>
        </a:p>
      </dsp:txBody>
      <dsp:txXfrm>
        <a:off x="5167938" y="87616"/>
        <a:ext cx="418167" cy="27877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B1432-2B83-4456-BD41-8016077A515A}">
      <dsp:nvSpPr>
        <dsp:cNvPr id="0" name=""/>
        <dsp:cNvSpPr/>
      </dsp:nvSpPr>
      <dsp:spPr>
        <a:xfrm>
          <a:off x="1034" y="87616"/>
          <a:ext cx="696944" cy="278777"/>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1</a:t>
          </a:r>
        </a:p>
      </dsp:txBody>
      <dsp:txXfrm>
        <a:off x="140423" y="87616"/>
        <a:ext cx="418167" cy="278777"/>
      </dsp:txXfrm>
    </dsp:sp>
    <dsp:sp modelId="{BE47DD43-34D6-4BB8-8E85-8B9317DB3B01}">
      <dsp:nvSpPr>
        <dsp:cNvPr id="0" name=""/>
        <dsp:cNvSpPr/>
      </dsp:nvSpPr>
      <dsp:spPr>
        <a:xfrm>
          <a:off x="627849" y="83540"/>
          <a:ext cx="696944" cy="278777"/>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2</a:t>
          </a:r>
        </a:p>
      </dsp:txBody>
      <dsp:txXfrm>
        <a:off x="767238" y="83540"/>
        <a:ext cx="418167" cy="278777"/>
      </dsp:txXfrm>
    </dsp:sp>
    <dsp:sp modelId="{C44F9971-22F4-4E5D-B3F5-F88B9C9DF7A8}">
      <dsp:nvSpPr>
        <dsp:cNvPr id="0" name=""/>
        <dsp:cNvSpPr/>
      </dsp:nvSpPr>
      <dsp:spPr>
        <a:xfrm>
          <a:off x="1204019" y="0"/>
          <a:ext cx="1334599" cy="488337"/>
        </a:xfrm>
        <a:prstGeom prst="chevron">
          <a:avLst/>
        </a:prstGeom>
        <a:solidFill>
          <a:schemeClr val="accent2">
            <a:lumMod val="50000"/>
          </a:schemeClr>
        </a:solidFill>
        <a:ln>
          <a:solidFill>
            <a:schemeClr val="accent2">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b="1" kern="1200"/>
            <a:t>Step 3: Develop KEQs</a:t>
          </a:r>
        </a:p>
      </dsp:txBody>
      <dsp:txXfrm>
        <a:off x="1448188" y="0"/>
        <a:ext cx="846262" cy="488337"/>
      </dsp:txXfrm>
    </dsp:sp>
    <dsp:sp modelId="{80D7A788-5442-4141-B1AA-EC23E182D957}">
      <dsp:nvSpPr>
        <dsp:cNvPr id="0" name=""/>
        <dsp:cNvSpPr/>
      </dsp:nvSpPr>
      <dsp:spPr>
        <a:xfrm>
          <a:off x="2520439" y="87616"/>
          <a:ext cx="696944" cy="278777"/>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4</a:t>
          </a:r>
        </a:p>
      </dsp:txBody>
      <dsp:txXfrm>
        <a:off x="2659828" y="87616"/>
        <a:ext cx="418167" cy="278777"/>
      </dsp:txXfrm>
    </dsp:sp>
    <dsp:sp modelId="{90A0C395-3988-474C-92F1-2DD6E1BDAB0F}">
      <dsp:nvSpPr>
        <dsp:cNvPr id="0" name=""/>
        <dsp:cNvSpPr/>
      </dsp:nvSpPr>
      <dsp:spPr>
        <a:xfrm>
          <a:off x="3147688" y="87616"/>
          <a:ext cx="696944" cy="278777"/>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5</a:t>
          </a:r>
        </a:p>
      </dsp:txBody>
      <dsp:txXfrm>
        <a:off x="3287077" y="87616"/>
        <a:ext cx="418167" cy="278777"/>
      </dsp:txXfrm>
    </dsp:sp>
    <dsp:sp modelId="{B26424C9-E7B8-44D6-B292-F54C8AFFF838}">
      <dsp:nvSpPr>
        <dsp:cNvPr id="0" name=""/>
        <dsp:cNvSpPr/>
      </dsp:nvSpPr>
      <dsp:spPr>
        <a:xfrm>
          <a:off x="3774938" y="87616"/>
          <a:ext cx="696944" cy="278777"/>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6</a:t>
          </a:r>
        </a:p>
      </dsp:txBody>
      <dsp:txXfrm>
        <a:off x="3914327" y="87616"/>
        <a:ext cx="418167" cy="278777"/>
      </dsp:txXfrm>
    </dsp:sp>
    <dsp:sp modelId="{372A0707-C206-4125-913C-150A3501952D}">
      <dsp:nvSpPr>
        <dsp:cNvPr id="0" name=""/>
        <dsp:cNvSpPr/>
      </dsp:nvSpPr>
      <dsp:spPr>
        <a:xfrm>
          <a:off x="4402188" y="87616"/>
          <a:ext cx="696944" cy="278777"/>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7</a:t>
          </a:r>
        </a:p>
      </dsp:txBody>
      <dsp:txXfrm>
        <a:off x="4541577" y="87616"/>
        <a:ext cx="418167" cy="278777"/>
      </dsp:txXfrm>
    </dsp:sp>
    <dsp:sp modelId="{1956EF06-B7F2-4988-B170-CCFB1252D9EC}">
      <dsp:nvSpPr>
        <dsp:cNvPr id="0" name=""/>
        <dsp:cNvSpPr/>
      </dsp:nvSpPr>
      <dsp:spPr>
        <a:xfrm>
          <a:off x="5029438" y="87616"/>
          <a:ext cx="696944" cy="278777"/>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8</a:t>
          </a:r>
        </a:p>
      </dsp:txBody>
      <dsp:txXfrm>
        <a:off x="5168827" y="87616"/>
        <a:ext cx="418167" cy="27877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B1432-2B83-4456-BD41-8016077A515A}">
      <dsp:nvSpPr>
        <dsp:cNvPr id="0" name=""/>
        <dsp:cNvSpPr/>
      </dsp:nvSpPr>
      <dsp:spPr>
        <a:xfrm>
          <a:off x="2247" y="181800"/>
          <a:ext cx="689802" cy="275921"/>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1</a:t>
          </a:r>
        </a:p>
      </dsp:txBody>
      <dsp:txXfrm>
        <a:off x="140208" y="181800"/>
        <a:ext cx="413881" cy="275921"/>
      </dsp:txXfrm>
    </dsp:sp>
    <dsp:sp modelId="{BE47DD43-34D6-4BB8-8E85-8B9317DB3B01}">
      <dsp:nvSpPr>
        <dsp:cNvPr id="0" name=""/>
        <dsp:cNvSpPr/>
      </dsp:nvSpPr>
      <dsp:spPr>
        <a:xfrm>
          <a:off x="622638" y="177766"/>
          <a:ext cx="689802" cy="275921"/>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2</a:t>
          </a:r>
        </a:p>
      </dsp:txBody>
      <dsp:txXfrm>
        <a:off x="760599" y="177766"/>
        <a:ext cx="413881" cy="275921"/>
      </dsp:txXfrm>
    </dsp:sp>
    <dsp:sp modelId="{28DD6C66-9E97-427D-BBEA-74A6FDD08EEF}">
      <dsp:nvSpPr>
        <dsp:cNvPr id="0" name=""/>
        <dsp:cNvSpPr/>
      </dsp:nvSpPr>
      <dsp:spPr>
        <a:xfrm>
          <a:off x="1243461" y="177766"/>
          <a:ext cx="689802" cy="275921"/>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3</a:t>
          </a:r>
        </a:p>
      </dsp:txBody>
      <dsp:txXfrm>
        <a:off x="1381422" y="177766"/>
        <a:ext cx="413881" cy="275921"/>
      </dsp:txXfrm>
    </dsp:sp>
    <dsp:sp modelId="{80D7A788-5442-4141-B1AA-EC23E182D957}">
      <dsp:nvSpPr>
        <dsp:cNvPr id="0" name=""/>
        <dsp:cNvSpPr/>
      </dsp:nvSpPr>
      <dsp:spPr>
        <a:xfrm>
          <a:off x="1829485" y="53863"/>
          <a:ext cx="1381709" cy="544182"/>
        </a:xfrm>
        <a:prstGeom prst="chevron">
          <a:avLst/>
        </a:prstGeom>
        <a:solidFill>
          <a:schemeClr val="accent2">
            <a:lumMod val="50000"/>
          </a:schemeClr>
        </a:solidFill>
        <a:ln>
          <a:solidFill>
            <a:schemeClr val="accent2">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b="1" kern="1200"/>
            <a:t>Step 4: Identify and prioritise indicators</a:t>
          </a:r>
        </a:p>
      </dsp:txBody>
      <dsp:txXfrm>
        <a:off x="2101576" y="53863"/>
        <a:ext cx="837527" cy="544182"/>
      </dsp:txXfrm>
    </dsp:sp>
    <dsp:sp modelId="{90A0C395-3988-474C-92F1-2DD6E1BDAB0F}">
      <dsp:nvSpPr>
        <dsp:cNvPr id="0" name=""/>
        <dsp:cNvSpPr/>
      </dsp:nvSpPr>
      <dsp:spPr>
        <a:xfrm>
          <a:off x="3177443" y="181800"/>
          <a:ext cx="689802" cy="275921"/>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5</a:t>
          </a:r>
        </a:p>
      </dsp:txBody>
      <dsp:txXfrm>
        <a:off x="3315404" y="181800"/>
        <a:ext cx="413881" cy="275921"/>
      </dsp:txXfrm>
    </dsp:sp>
    <dsp:sp modelId="{B26424C9-E7B8-44D6-B292-F54C8AFFF838}">
      <dsp:nvSpPr>
        <dsp:cNvPr id="0" name=""/>
        <dsp:cNvSpPr/>
      </dsp:nvSpPr>
      <dsp:spPr>
        <a:xfrm>
          <a:off x="3798266" y="181800"/>
          <a:ext cx="689802" cy="275921"/>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6</a:t>
          </a:r>
        </a:p>
      </dsp:txBody>
      <dsp:txXfrm>
        <a:off x="3936227" y="181800"/>
        <a:ext cx="413881" cy="275921"/>
      </dsp:txXfrm>
    </dsp:sp>
    <dsp:sp modelId="{372A0707-C206-4125-913C-150A3501952D}">
      <dsp:nvSpPr>
        <dsp:cNvPr id="0" name=""/>
        <dsp:cNvSpPr/>
      </dsp:nvSpPr>
      <dsp:spPr>
        <a:xfrm>
          <a:off x="4419088" y="181800"/>
          <a:ext cx="689802" cy="275921"/>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7</a:t>
          </a:r>
        </a:p>
      </dsp:txBody>
      <dsp:txXfrm>
        <a:off x="4557049" y="181800"/>
        <a:ext cx="413881" cy="275921"/>
      </dsp:txXfrm>
    </dsp:sp>
    <dsp:sp modelId="{1956EF06-B7F2-4988-B170-CCFB1252D9EC}">
      <dsp:nvSpPr>
        <dsp:cNvPr id="0" name=""/>
        <dsp:cNvSpPr/>
      </dsp:nvSpPr>
      <dsp:spPr>
        <a:xfrm>
          <a:off x="5039911" y="181800"/>
          <a:ext cx="689802" cy="275921"/>
        </a:xfrm>
        <a:prstGeom prst="chevron">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solidFill>
                <a:schemeClr val="tx2">
                  <a:lumMod val="50000"/>
                </a:schemeClr>
              </a:solidFill>
            </a:rPr>
            <a:t>Step 8</a:t>
          </a:r>
        </a:p>
      </dsp:txBody>
      <dsp:txXfrm>
        <a:off x="5177872" y="181800"/>
        <a:ext cx="413881" cy="27592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59A83-07FA-472A-9C2A-27AE70093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C24ABD50.dotm</Template>
  <TotalTime>10</TotalTime>
  <Pages>123</Pages>
  <Words>52647</Words>
  <Characters>300088</Characters>
  <Application>Microsoft Office Word</Application>
  <DocSecurity>4</DocSecurity>
  <Lines>2500</Lines>
  <Paragraphs>704</Paragraphs>
  <ScaleCrop>false</ScaleCrop>
  <HeadingPairs>
    <vt:vector size="2" baseType="variant">
      <vt:variant>
        <vt:lpstr>Title</vt:lpstr>
      </vt:variant>
      <vt:variant>
        <vt:i4>1</vt:i4>
      </vt:variant>
    </vt:vector>
  </HeadingPairs>
  <TitlesOfParts>
    <vt:vector size="1" baseType="lpstr">
      <vt:lpstr>Integrated Ecosystem Condition Assessment Framework: Guidance Manual</vt:lpstr>
    </vt:vector>
  </TitlesOfParts>
  <Company>Hewlett-Packard Company</Company>
  <LinksUpToDate>false</LinksUpToDate>
  <CharactersWithSpaces>352031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Ecosystem Condition Assessment Framework: Guidance Manual</dc:title>
  <dc:creator>Department of the Environment and Energy</dc:creator>
  <cp:lastModifiedBy>Durack, Bec</cp:lastModifiedBy>
  <cp:revision>2</cp:revision>
  <cp:lastPrinted>2017-06-07T06:30:00Z</cp:lastPrinted>
  <dcterms:created xsi:type="dcterms:W3CDTF">2018-02-22T03:52:00Z</dcterms:created>
  <dcterms:modified xsi:type="dcterms:W3CDTF">2018-02-22T03:52:00Z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id="FGLaMsRb"/&gt;&lt;style id="http://www.zotero.org/styles/canadian-journal-of-fisheries-and-aquatic-sciences" hasBibliography="1" bibliographyStyleHasBeenSet="1"/&gt;&lt;prefs&gt;&lt;pref name="fieldType" value=</vt:lpwstr>
  </property>
  <property fmtid="{D5CDD505-2E9C-101B-9397-08002B2CF9AE}" pid="3" name="ZOTERO_PREF_2">
    <vt:lpwstr>"Field"/&gt;&lt;pref name="storeReferences" value="true"/&gt;&lt;pref name="automaticJournalAbbreviations" value=""/&gt;&lt;pref name="noteType" value=""/&gt;&lt;/prefs&gt;&lt;/data&gt;</vt:lpwstr>
  </property>
</Properties>
</file>