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B805" w14:textId="3B360B27" w:rsidR="0015138C" w:rsidRDefault="0015138C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AEI reporting requirements for khapra beetle sea container treatments</w:t>
      </w:r>
    </w:p>
    <w:p w14:paraId="2356B308" w14:textId="7CE6623D" w:rsidR="0015138C" w:rsidRDefault="00ED574F">
      <w:r>
        <w:t>The</w:t>
      </w:r>
      <w:r w:rsidR="00183566">
        <w:t xml:space="preserve"> khapra beetle urgent actions introduces mandatory offshore treatment conditions for target risk </w:t>
      </w:r>
      <w:r w:rsidR="003D7B77">
        <w:t xml:space="preserve">sea </w:t>
      </w:r>
      <w:r w:rsidR="00183566">
        <w:t xml:space="preserve">containers. See what this means for AEI reporting requirements below. </w:t>
      </w:r>
    </w:p>
    <w:p w14:paraId="74672FB4" w14:textId="4AD9A031" w:rsidR="00183566" w:rsidRDefault="00183566">
      <w:r>
        <w:t>Khapra beetle target risk containers include FCL/FCX* containers where…</w:t>
      </w:r>
    </w:p>
    <w:p w14:paraId="19E35DDB" w14:textId="33549E2F" w:rsidR="00183566" w:rsidRDefault="0040150C" w:rsidP="000C3A26">
      <w:pPr>
        <w:pStyle w:val="ListParagraph"/>
        <w:numPr>
          <w:ilvl w:val="0"/>
          <w:numId w:val="2"/>
        </w:numPr>
      </w:pPr>
      <w:hyperlink r:id="rId10" w:anchor="list-of-highrisk-plant-products" w:history="1">
        <w:r w:rsidR="000C3A26" w:rsidRPr="0040150C">
          <w:rPr>
            <w:rStyle w:val="Hyperlink"/>
          </w:rPr>
          <w:t>High-risk plant products</w:t>
        </w:r>
      </w:hyperlink>
      <w:r w:rsidR="000C3A26">
        <w:t xml:space="preserve"> are packed into the sea container in a </w:t>
      </w:r>
      <w:hyperlink r:id="rId11" w:anchor="list-of-khapra-beetle-target-risk-countries" w:history="1">
        <w:r w:rsidR="000C3A26" w:rsidRPr="0040150C">
          <w:rPr>
            <w:rStyle w:val="Hyperlink"/>
          </w:rPr>
          <w:t>khapra beetle target risk country</w:t>
        </w:r>
      </w:hyperlink>
      <w:r w:rsidR="00ED574F">
        <w:t>.</w:t>
      </w:r>
    </w:p>
    <w:p w14:paraId="3B991E08" w14:textId="547FE6BC" w:rsidR="00ED6CF1" w:rsidRDefault="000C3A26" w:rsidP="00C25C78">
      <w:pPr>
        <w:pStyle w:val="ListParagraph"/>
        <w:numPr>
          <w:ilvl w:val="0"/>
          <w:numId w:val="2"/>
        </w:numPr>
      </w:pPr>
      <w:r>
        <w:t xml:space="preserve">Other goods are packed into the sea container in a </w:t>
      </w:r>
      <w:r w:rsidRPr="0040150C">
        <w:t>khapra beetle target risk country</w:t>
      </w:r>
      <w:r>
        <w:t xml:space="preserve"> and destined to a </w:t>
      </w:r>
      <w:hyperlink r:id="rId12" w:anchor="measures-for-sea-containers-unpacked-in-a-rural-khapra-risk-postcode" w:history="1">
        <w:r w:rsidR="00A26836" w:rsidRPr="0040150C">
          <w:rPr>
            <w:rStyle w:val="Hyperlink"/>
          </w:rPr>
          <w:t xml:space="preserve">rural </w:t>
        </w:r>
        <w:r w:rsidR="00ED574F" w:rsidRPr="0040150C">
          <w:rPr>
            <w:rStyle w:val="Hyperlink"/>
          </w:rPr>
          <w:t>khapra risk area</w:t>
        </w:r>
      </w:hyperlink>
      <w:r w:rsidR="00ED574F">
        <w:t xml:space="preserve"> of</w:t>
      </w:r>
      <w:r>
        <w:t xml:space="preserve"> Australia</w:t>
      </w:r>
      <w:r w:rsidR="00ED574F">
        <w:t>.</w:t>
      </w:r>
    </w:p>
    <w:p w14:paraId="1C3F99BC" w14:textId="3D06F455" w:rsidR="000C3A26" w:rsidRPr="00ED574F" w:rsidRDefault="000C3A26" w:rsidP="000C3A26">
      <w:pPr>
        <w:rPr>
          <w:i/>
          <w:iCs/>
        </w:rPr>
      </w:pPr>
      <w:r w:rsidRPr="00ED574F">
        <w:rPr>
          <w:i/>
          <w:iCs/>
        </w:rPr>
        <w:t xml:space="preserve">*ISO tanks, reefers, flat racks, LCL/FAK and containers that will be shipped as empty containers are excluded from the measures. </w:t>
      </w:r>
    </w:p>
    <w:p w14:paraId="4ED84462" w14:textId="37C6E799" w:rsidR="000C3A26" w:rsidRPr="002631CD" w:rsidRDefault="000C3A26" w:rsidP="000C3A26">
      <w:pPr>
        <w:rPr>
          <w:b/>
          <w:bCs/>
          <w:sz w:val="26"/>
          <w:szCs w:val="26"/>
        </w:rPr>
      </w:pPr>
      <w:r w:rsidRPr="002631CD">
        <w:rPr>
          <w:b/>
          <w:bCs/>
          <w:sz w:val="26"/>
          <w:szCs w:val="26"/>
        </w:rPr>
        <w:t>Offshore treatment options</w:t>
      </w:r>
    </w:p>
    <w:p w14:paraId="64AFA468" w14:textId="03F7C4CB" w:rsidR="000C3A26" w:rsidRDefault="00DA2792" w:rsidP="000C3A26">
      <w:r>
        <w:t xml:space="preserve">Important: the target of the khapra beetle treatments is the sea container and not the goods being imported within the container. </w:t>
      </w:r>
    </w:p>
    <w:p w14:paraId="53454BA7" w14:textId="3A23E913" w:rsidR="00DA2792" w:rsidRPr="002631CD" w:rsidRDefault="00DA2792" w:rsidP="000C3A26">
      <w:pPr>
        <w:rPr>
          <w:b/>
          <w:bCs/>
        </w:rPr>
      </w:pPr>
      <w:r w:rsidRPr="002631CD">
        <w:rPr>
          <w:b/>
          <w:bCs/>
        </w:rPr>
        <w:t>Methyl bromide fumigation</w:t>
      </w:r>
    </w:p>
    <w:p w14:paraId="0EB15499" w14:textId="5B3E1C35" w:rsidR="00DA2792" w:rsidRDefault="00DA2792" w:rsidP="000C3A26">
      <w:r>
        <w:t xml:space="preserve">Container must be fumigated at an </w:t>
      </w:r>
      <w:hyperlink r:id="rId13" w:anchor="methyl-bromide-fumigation_2" w:history="1">
        <w:r w:rsidRPr="0040150C">
          <w:rPr>
            <w:rStyle w:val="Hyperlink"/>
          </w:rPr>
          <w:t xml:space="preserve">approved </w:t>
        </w:r>
        <w:r w:rsidR="00507E4D" w:rsidRPr="0040150C">
          <w:rPr>
            <w:rStyle w:val="Hyperlink"/>
          </w:rPr>
          <w:t>treatment rate</w:t>
        </w:r>
      </w:hyperlink>
      <w:r w:rsidR="00414FF7">
        <w:t xml:space="preserve">. Treatment can be conducted prior to or after loading the goods. </w:t>
      </w:r>
    </w:p>
    <w:p w14:paraId="7E546FF9" w14:textId="6756230D" w:rsidR="00414FF7" w:rsidRPr="004C4212" w:rsidRDefault="00414FF7" w:rsidP="000C3A26">
      <w:pPr>
        <w:rPr>
          <w:b/>
          <w:bCs/>
        </w:rPr>
      </w:pPr>
      <w:r w:rsidRPr="004C4212">
        <w:rPr>
          <w:b/>
          <w:bCs/>
        </w:rPr>
        <w:t>Heat treatment</w:t>
      </w:r>
    </w:p>
    <w:p w14:paraId="6E8BA906" w14:textId="56DBC7B5" w:rsidR="00414FF7" w:rsidRDefault="00414FF7" w:rsidP="000C3A26">
      <w:r>
        <w:t>Container must be heat treated to at least 60</w:t>
      </w:r>
      <w:r w:rsidRPr="004C4212">
        <w:rPr>
          <w:vertAlign w:val="superscript"/>
        </w:rPr>
        <w:t>o</w:t>
      </w:r>
      <w:r>
        <w:t>C</w:t>
      </w:r>
      <w:r w:rsidR="00E44B7E">
        <w:t xml:space="preserve"> </w:t>
      </w:r>
      <w:r>
        <w:t xml:space="preserve">for a minimum of three hours. Treatment must be conducted prior to loading the goods. </w:t>
      </w:r>
    </w:p>
    <w:p w14:paraId="3AACD4AC" w14:textId="70FF2197" w:rsidR="004C4212" w:rsidRPr="004C4212" w:rsidRDefault="004C4212" w:rsidP="000C3A26">
      <w:pPr>
        <w:rPr>
          <w:b/>
          <w:bCs/>
        </w:rPr>
      </w:pPr>
      <w:r w:rsidRPr="004C4212">
        <w:rPr>
          <w:b/>
          <w:bCs/>
        </w:rPr>
        <w:t>Insecticide spray</w:t>
      </w:r>
    </w:p>
    <w:p w14:paraId="06B897D8" w14:textId="230512BB" w:rsidR="004C4212" w:rsidRDefault="004C4212" w:rsidP="000C3A26">
      <w:r>
        <w:t xml:space="preserve">Container must be sprayed with a formulated insecticide product containing the active constituent deltamethrin. Treatment must be conducted prior to loading goods. </w:t>
      </w:r>
    </w:p>
    <w:p w14:paraId="14AC4F53" w14:textId="59ABC4EB" w:rsidR="00935214" w:rsidRPr="00935214" w:rsidRDefault="00935214" w:rsidP="000C3A26">
      <w:pPr>
        <w:rPr>
          <w:b/>
          <w:bCs/>
          <w:sz w:val="26"/>
          <w:szCs w:val="26"/>
        </w:rPr>
      </w:pPr>
      <w:r w:rsidRPr="00935214">
        <w:rPr>
          <w:b/>
          <w:bCs/>
          <w:sz w:val="26"/>
          <w:szCs w:val="26"/>
        </w:rPr>
        <w:t>Treatment certificates</w:t>
      </w:r>
    </w:p>
    <w:p w14:paraId="2DAE5A7E" w14:textId="52E715B6" w:rsidR="00935214" w:rsidRDefault="00935214" w:rsidP="000C3A26">
      <w:r>
        <w:t>If the treatment used was…</w:t>
      </w:r>
    </w:p>
    <w:p w14:paraId="0638C7F7" w14:textId="1EFF30AA" w:rsidR="00935214" w:rsidRDefault="00935214" w:rsidP="00935214">
      <w:pPr>
        <w:pStyle w:val="ListParagraph"/>
        <w:numPr>
          <w:ilvl w:val="0"/>
          <w:numId w:val="3"/>
        </w:numPr>
      </w:pPr>
      <w:r>
        <w:t xml:space="preserve">Heat or insecticide spray, the treatment certificate must only cover </w:t>
      </w:r>
      <w:r w:rsidR="00B41701">
        <w:t>the container treatment. If the goods also require treatment, a separate treatment certificate must be presented.</w:t>
      </w:r>
    </w:p>
    <w:p w14:paraId="3EFAB091" w14:textId="12CD3F4D" w:rsidR="00B41701" w:rsidRDefault="00B41701" w:rsidP="00935214">
      <w:pPr>
        <w:pStyle w:val="ListParagraph"/>
        <w:numPr>
          <w:ilvl w:val="0"/>
          <w:numId w:val="3"/>
        </w:numPr>
      </w:pPr>
      <w:r>
        <w:t xml:space="preserve">Methyl bromide, the treatment certificate can cover both the container and the goods treatment, provided that it meets the </w:t>
      </w:r>
      <w:hyperlink r:id="rId14" w:anchor="treatment-certification" w:history="1">
        <w:r w:rsidRPr="0040150C">
          <w:rPr>
            <w:rStyle w:val="Hyperlink"/>
          </w:rPr>
          <w:t>minimum requirements</w:t>
        </w:r>
      </w:hyperlink>
      <w:r>
        <w:t xml:space="preserve"> for both. </w:t>
      </w:r>
    </w:p>
    <w:p w14:paraId="6E5E025F" w14:textId="3C59C36B" w:rsidR="00B41701" w:rsidRDefault="00B41701" w:rsidP="00B41701">
      <w:r>
        <w:t xml:space="preserve">Important: the container </w:t>
      </w:r>
      <w:r w:rsidR="00913413">
        <w:t>risk/treatment certificate must be assessed before the commodity risk is assessed. Use the</w:t>
      </w:r>
      <w:hyperlink r:id="rId15" w:history="1">
        <w:r w:rsidR="00913413" w:rsidRPr="00381379">
          <w:rPr>
            <w:rStyle w:val="Hyperlink"/>
          </w:rPr>
          <w:t xml:space="preserve"> BICON case: Khapra beetle sea container measures</w:t>
        </w:r>
      </w:hyperlink>
      <w:r w:rsidR="00913413">
        <w:t xml:space="preserve"> for further guidance. </w:t>
      </w:r>
    </w:p>
    <w:p w14:paraId="4558238C" w14:textId="77777777" w:rsidR="00B445DE" w:rsidRDefault="00B445DE" w:rsidP="00B41701">
      <w:pPr>
        <w:rPr>
          <w:b/>
          <w:bCs/>
          <w:sz w:val="26"/>
          <w:szCs w:val="26"/>
        </w:rPr>
      </w:pPr>
    </w:p>
    <w:p w14:paraId="7F8CF52F" w14:textId="77777777" w:rsidR="003D7B77" w:rsidRDefault="003D7B77" w:rsidP="00B41701">
      <w:pPr>
        <w:rPr>
          <w:b/>
          <w:bCs/>
          <w:sz w:val="26"/>
          <w:szCs w:val="26"/>
        </w:rPr>
      </w:pPr>
    </w:p>
    <w:p w14:paraId="6A6F8A0E" w14:textId="77777777" w:rsidR="003D7B77" w:rsidRDefault="003D7B77" w:rsidP="00B41701">
      <w:pPr>
        <w:rPr>
          <w:b/>
          <w:bCs/>
          <w:sz w:val="26"/>
          <w:szCs w:val="26"/>
        </w:rPr>
      </w:pPr>
    </w:p>
    <w:p w14:paraId="46BBB7B5" w14:textId="61589A3C" w:rsidR="00BB6117" w:rsidRPr="00BB6117" w:rsidRDefault="00BB6117" w:rsidP="00B41701">
      <w:pPr>
        <w:rPr>
          <w:b/>
          <w:bCs/>
          <w:sz w:val="26"/>
          <w:szCs w:val="26"/>
        </w:rPr>
      </w:pPr>
      <w:r w:rsidRPr="00BB6117">
        <w:rPr>
          <w:b/>
          <w:bCs/>
          <w:sz w:val="26"/>
          <w:szCs w:val="26"/>
        </w:rPr>
        <w:lastRenderedPageBreak/>
        <w:t>Permitted treatment providers</w:t>
      </w:r>
    </w:p>
    <w:p w14:paraId="5D840C2D" w14:textId="5A205A1A" w:rsidR="00BB6117" w:rsidRDefault="00BB6117" w:rsidP="00B41701">
      <w:r>
        <w:t>The urgency of the khapra beetle measures means that we will initially accept treatment certificates from both:</w:t>
      </w:r>
    </w:p>
    <w:p w14:paraId="262D7D0D" w14:textId="661CA652" w:rsidR="00BB6117" w:rsidRDefault="00BB6117" w:rsidP="00BB6117">
      <w:pPr>
        <w:pStyle w:val="ListParagraph"/>
        <w:numPr>
          <w:ilvl w:val="0"/>
          <w:numId w:val="4"/>
        </w:numPr>
      </w:pPr>
      <w:r>
        <w:t>Treatment providers that are registered under one of our existing schemes</w:t>
      </w:r>
      <w:r w:rsidR="00D3723E">
        <w:t xml:space="preserve"> and on the </w:t>
      </w:r>
      <w:hyperlink r:id="rId16" w:history="1">
        <w:r w:rsidR="00D3723E" w:rsidRPr="00D3723E">
          <w:rPr>
            <w:rStyle w:val="Hyperlink"/>
          </w:rPr>
          <w:t>List of treatment providers</w:t>
        </w:r>
      </w:hyperlink>
      <w:r>
        <w:t xml:space="preserve">, including </w:t>
      </w:r>
      <w:r w:rsidR="00E878D1">
        <w:t>the Australian Fumigation Accreditation Scheme (AFAS) and the Offshore Brown Marmorated Stink Bug (BMSB) Scheme</w:t>
      </w:r>
      <w:r w:rsidR="00D3723E">
        <w:t>.</w:t>
      </w:r>
    </w:p>
    <w:p w14:paraId="2FF30738" w14:textId="47EB6B08" w:rsidR="00E878D1" w:rsidRDefault="0165BC9F" w:rsidP="00BB6117">
      <w:pPr>
        <w:pStyle w:val="ListParagraph"/>
        <w:numPr>
          <w:ilvl w:val="0"/>
          <w:numId w:val="4"/>
        </w:numPr>
      </w:pPr>
      <w:r>
        <w:t xml:space="preserve">Treatment providers that are not registered with the department. </w:t>
      </w:r>
    </w:p>
    <w:p w14:paraId="3522DD15" w14:textId="748C3B00" w:rsidR="001476CB" w:rsidRDefault="37F15A13" w:rsidP="7ECBCF77">
      <w:pPr>
        <w:rPr>
          <w:rFonts w:eastAsiaTheme="minorEastAsia"/>
        </w:rPr>
      </w:pPr>
      <w:r w:rsidRPr="7ECBCF77">
        <w:rPr>
          <w:rFonts w:eastAsiaTheme="minorEastAsia"/>
        </w:rPr>
        <w:t xml:space="preserve">Note: treatments will not be accepted from treatment providers listed as suspended, under review or withdrawn on the </w:t>
      </w:r>
      <w:hyperlink r:id="rId17" w:history="1">
        <w:r w:rsidRPr="001476CB">
          <w:rPr>
            <w:rStyle w:val="Hyperlink"/>
            <w:rFonts w:eastAsiaTheme="minorEastAsia"/>
          </w:rPr>
          <w:t>List of treatment providers</w:t>
        </w:r>
      </w:hyperlink>
      <w:r w:rsidRPr="7ECBCF77">
        <w:rPr>
          <w:rFonts w:eastAsiaTheme="minorEastAsia"/>
        </w:rPr>
        <w:t>. Treatments will not be accepted from unregistered treatment providers listed as under review or unacceptable.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E878D1" w14:paraId="6BB4DA25" w14:textId="77777777" w:rsidTr="7ECBCF77">
        <w:tc>
          <w:tcPr>
            <w:tcW w:w="2972" w:type="dxa"/>
            <w:shd w:val="clear" w:color="auto" w:fill="000000" w:themeFill="text1"/>
          </w:tcPr>
          <w:p w14:paraId="19873B4B" w14:textId="4B874D8F" w:rsidR="00E878D1" w:rsidRDefault="006973D9" w:rsidP="00E878D1">
            <w:r>
              <w:t>Treatment type</w:t>
            </w:r>
          </w:p>
        </w:tc>
        <w:tc>
          <w:tcPr>
            <w:tcW w:w="6378" w:type="dxa"/>
            <w:shd w:val="clear" w:color="auto" w:fill="000000" w:themeFill="text1"/>
          </w:tcPr>
          <w:p w14:paraId="73FA7DB1" w14:textId="6B9F8735" w:rsidR="00E878D1" w:rsidRDefault="006973D9" w:rsidP="00E878D1">
            <w:r>
              <w:t>Permitted treatment providers</w:t>
            </w:r>
          </w:p>
        </w:tc>
      </w:tr>
      <w:tr w:rsidR="00E878D1" w14:paraId="6FC01AFB" w14:textId="77777777" w:rsidTr="7ECBCF77">
        <w:tc>
          <w:tcPr>
            <w:tcW w:w="2972" w:type="dxa"/>
          </w:tcPr>
          <w:p w14:paraId="1421BE8C" w14:textId="52D6334D" w:rsidR="00E878D1" w:rsidRDefault="006973D9" w:rsidP="00E878D1">
            <w:r>
              <w:t>Methyl bromide</w:t>
            </w:r>
          </w:p>
        </w:tc>
        <w:tc>
          <w:tcPr>
            <w:tcW w:w="6378" w:type="dxa"/>
          </w:tcPr>
          <w:p w14:paraId="630F59BF" w14:textId="66B46FCF" w:rsidR="006973D9" w:rsidRDefault="5A58380A" w:rsidP="7801B764">
            <w:pPr>
              <w:rPr>
                <w:rFonts w:ascii="Calibri" w:eastAsia="Calibri" w:hAnsi="Calibri" w:cs="Calibri"/>
              </w:rPr>
            </w:pPr>
            <w:r w:rsidRPr="7801B764">
              <w:rPr>
                <w:rFonts w:ascii="Calibri" w:eastAsia="Calibri" w:hAnsi="Calibri" w:cs="Calibri"/>
              </w:rPr>
              <w:t>If treated in:</w:t>
            </w:r>
          </w:p>
          <w:p w14:paraId="15CD9CCC" w14:textId="32C4A16E" w:rsidR="006973D9" w:rsidRDefault="6C2A7787" w:rsidP="7ECBCF77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t xml:space="preserve">an </w:t>
            </w:r>
            <w:hyperlink r:id="rId18" w:history="1">
              <w:r w:rsidRPr="004C6916">
                <w:rPr>
                  <w:rStyle w:val="Hyperlink"/>
                </w:rPr>
                <w:t>AFAS country</w:t>
              </w:r>
            </w:hyperlink>
            <w:r>
              <w:t>, a</w:t>
            </w:r>
            <w:r w:rsidDel="003B2EDF">
              <w:t xml:space="preserve"> </w:t>
            </w:r>
            <w:r>
              <w:t>treatment provider</w:t>
            </w:r>
            <w:r w:rsidR="7911452B">
              <w:t xml:space="preserve"> listed as approved on the </w:t>
            </w:r>
            <w:hyperlink r:id="rId19" w:history="1">
              <w:r w:rsidR="7911452B" w:rsidRPr="001476CB">
                <w:rPr>
                  <w:rStyle w:val="Hyperlink"/>
                </w:rPr>
                <w:t>List of treatment providers</w:t>
              </w:r>
            </w:hyperlink>
            <w:r>
              <w:t xml:space="preserve"> must be used, unless a phytosanitary certificate is also provided.</w:t>
            </w:r>
          </w:p>
          <w:p w14:paraId="6D97B322" w14:textId="5B3F42DA" w:rsidR="006973D9" w:rsidRDefault="6C2A7787" w:rsidP="7ECBCF77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t xml:space="preserve">a non-AFAS country, either a registered treatment provider or a </w:t>
            </w:r>
            <w:r w:rsidR="6ED2740A">
              <w:t>un</w:t>
            </w:r>
            <w:r>
              <w:t>registered treatment provider can be used.</w:t>
            </w:r>
          </w:p>
        </w:tc>
      </w:tr>
      <w:tr w:rsidR="00E878D1" w14:paraId="5AFF60A8" w14:textId="77777777" w:rsidTr="7ECBCF77">
        <w:tc>
          <w:tcPr>
            <w:tcW w:w="2972" w:type="dxa"/>
          </w:tcPr>
          <w:p w14:paraId="37D8044C" w14:textId="2B1539B9" w:rsidR="00E878D1" w:rsidRDefault="006973D9" w:rsidP="00E878D1">
            <w:r>
              <w:t>Heat treatment</w:t>
            </w:r>
          </w:p>
        </w:tc>
        <w:tc>
          <w:tcPr>
            <w:tcW w:w="6378" w:type="dxa"/>
          </w:tcPr>
          <w:p w14:paraId="7529ADD9" w14:textId="24F487E1" w:rsidR="00E878D1" w:rsidRDefault="006973D9" w:rsidP="00E878D1">
            <w:r>
              <w:t>In all countries</w:t>
            </w:r>
            <w:r w:rsidR="00147433">
              <w:t>, either a</w:t>
            </w:r>
            <w:r w:rsidR="4EA600CE">
              <w:t xml:space="preserve"> </w:t>
            </w:r>
            <w:r w:rsidR="00147433">
              <w:t xml:space="preserve">registered treatment provider or a </w:t>
            </w:r>
            <w:r w:rsidR="001476CB">
              <w:t>un</w:t>
            </w:r>
            <w:r w:rsidR="00147433">
              <w:t xml:space="preserve">registered treatment provider can be used. </w:t>
            </w:r>
          </w:p>
        </w:tc>
      </w:tr>
      <w:tr w:rsidR="00E878D1" w14:paraId="5C07E4A7" w14:textId="77777777" w:rsidTr="7ECBCF77">
        <w:tc>
          <w:tcPr>
            <w:tcW w:w="2972" w:type="dxa"/>
          </w:tcPr>
          <w:p w14:paraId="122BEC91" w14:textId="109543FC" w:rsidR="00E878D1" w:rsidRDefault="00147433" w:rsidP="00E878D1">
            <w:r>
              <w:t>Insecticide spray</w:t>
            </w:r>
          </w:p>
        </w:tc>
        <w:tc>
          <w:tcPr>
            <w:tcW w:w="6378" w:type="dxa"/>
          </w:tcPr>
          <w:p w14:paraId="3A1F40DB" w14:textId="540D7EAE" w:rsidR="00E878D1" w:rsidRDefault="00BC0DBE" w:rsidP="00E878D1">
            <w:r>
              <w:t xml:space="preserve">In all countries, either a registered treatment provider or a </w:t>
            </w:r>
            <w:r w:rsidR="001476CB">
              <w:t>un</w:t>
            </w:r>
            <w:r>
              <w:t xml:space="preserve">registered treatment provider can be used. </w:t>
            </w:r>
          </w:p>
        </w:tc>
      </w:tr>
    </w:tbl>
    <w:p w14:paraId="4BD30CC7" w14:textId="0A32ADC8" w:rsidR="00BC0DBE" w:rsidRDefault="00BC0DBE" w:rsidP="00E878D1">
      <w:r>
        <w:t>Important: We strongly encourage using registered treatment providers where possible. In the longer term, using a registered treatment provider will become mandatory.</w:t>
      </w:r>
    </w:p>
    <w:p w14:paraId="55417FA9" w14:textId="0DFAAA7A" w:rsidR="00BC0DBE" w:rsidRPr="00AF44EB" w:rsidRDefault="00AF44EB" w:rsidP="00E878D1">
      <w:pPr>
        <w:rPr>
          <w:b/>
          <w:bCs/>
          <w:sz w:val="26"/>
          <w:szCs w:val="26"/>
        </w:rPr>
      </w:pPr>
      <w:r w:rsidRPr="00AF44EB">
        <w:rPr>
          <w:b/>
          <w:bCs/>
          <w:sz w:val="26"/>
          <w:szCs w:val="26"/>
        </w:rPr>
        <w:t>AEI reporting requirements</w:t>
      </w:r>
    </w:p>
    <w:p w14:paraId="4444623D" w14:textId="6CB749B4" w:rsidR="00517713" w:rsidRDefault="00517713" w:rsidP="00E878D1">
      <w:r>
        <w:t>For assurance purposes, brokers are required to enter an AEI number for all treatment certificates covering khapra beetle target risk containers. See below table for detail.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517713" w14:paraId="3DDDF72A" w14:textId="77777777" w:rsidTr="00517713">
        <w:tc>
          <w:tcPr>
            <w:tcW w:w="1838" w:type="dxa"/>
            <w:shd w:val="clear" w:color="auto" w:fill="000000" w:themeFill="text1"/>
          </w:tcPr>
          <w:p w14:paraId="018FCC25" w14:textId="19547C8D" w:rsidR="00517713" w:rsidRPr="00517713" w:rsidRDefault="00517713" w:rsidP="00E878D1">
            <w:pPr>
              <w:rPr>
                <w:b/>
                <w:bCs/>
              </w:rPr>
            </w:pPr>
            <w:r w:rsidRPr="00517713">
              <w:rPr>
                <w:b/>
                <w:bCs/>
              </w:rPr>
              <w:t>Step</w:t>
            </w:r>
          </w:p>
        </w:tc>
        <w:tc>
          <w:tcPr>
            <w:tcW w:w="7512" w:type="dxa"/>
            <w:shd w:val="clear" w:color="auto" w:fill="000000" w:themeFill="text1"/>
          </w:tcPr>
          <w:p w14:paraId="04975D2B" w14:textId="1812A82F" w:rsidR="00517713" w:rsidRPr="00517713" w:rsidRDefault="00517713" w:rsidP="00E878D1">
            <w:pPr>
              <w:rPr>
                <w:b/>
                <w:bCs/>
              </w:rPr>
            </w:pPr>
            <w:r w:rsidRPr="00517713">
              <w:rPr>
                <w:b/>
                <w:bCs/>
              </w:rPr>
              <w:t>Action</w:t>
            </w:r>
          </w:p>
        </w:tc>
      </w:tr>
      <w:tr w:rsidR="00517713" w14:paraId="7F88502E" w14:textId="77777777" w:rsidTr="00517713">
        <w:tc>
          <w:tcPr>
            <w:tcW w:w="1838" w:type="dxa"/>
          </w:tcPr>
          <w:p w14:paraId="075FE29B" w14:textId="77777777" w:rsidR="00517713" w:rsidRDefault="00517713" w:rsidP="00517713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7512" w:type="dxa"/>
          </w:tcPr>
          <w:p w14:paraId="4FFAA542" w14:textId="1EC12858" w:rsidR="00517713" w:rsidRDefault="00517713" w:rsidP="00E878D1">
            <w:r>
              <w:t>Was the treatment certificate issued by a registered treatment provider (i.e. their A</w:t>
            </w:r>
            <w:r w:rsidR="00101225">
              <w:t>EI</w:t>
            </w:r>
            <w:r>
              <w:t xml:space="preserve"> number is listed on </w:t>
            </w:r>
            <w:r w:rsidR="006E5152">
              <w:t>the treatment certificate)?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68"/>
              <w:gridCol w:w="2868"/>
            </w:tblGrid>
            <w:tr w:rsidR="006E5152" w14:paraId="47D5F4A8" w14:textId="77777777" w:rsidTr="006E5152">
              <w:trPr>
                <w:trHeight w:val="272"/>
              </w:trPr>
              <w:tc>
                <w:tcPr>
                  <w:tcW w:w="2868" w:type="dxa"/>
                  <w:shd w:val="clear" w:color="auto" w:fill="000000" w:themeFill="text1"/>
                </w:tcPr>
                <w:p w14:paraId="736DA3D3" w14:textId="122D1F1C" w:rsidR="006E5152" w:rsidRPr="006E5152" w:rsidRDefault="006E5152" w:rsidP="00E878D1">
                  <w:pPr>
                    <w:rPr>
                      <w:b/>
                      <w:bCs/>
                    </w:rPr>
                  </w:pPr>
                  <w:r w:rsidRPr="006E5152">
                    <w:rPr>
                      <w:b/>
                      <w:bCs/>
                    </w:rPr>
                    <w:t>If…</w:t>
                  </w:r>
                </w:p>
              </w:tc>
              <w:tc>
                <w:tcPr>
                  <w:tcW w:w="2868" w:type="dxa"/>
                  <w:shd w:val="clear" w:color="auto" w:fill="000000" w:themeFill="text1"/>
                </w:tcPr>
                <w:p w14:paraId="5032CC57" w14:textId="7E5650CF" w:rsidR="006E5152" w:rsidRPr="006E5152" w:rsidRDefault="006E5152" w:rsidP="00E878D1">
                  <w:pPr>
                    <w:rPr>
                      <w:b/>
                      <w:bCs/>
                    </w:rPr>
                  </w:pPr>
                  <w:r w:rsidRPr="006E5152">
                    <w:rPr>
                      <w:b/>
                      <w:bCs/>
                    </w:rPr>
                    <w:t>Then…</w:t>
                  </w:r>
                </w:p>
              </w:tc>
            </w:tr>
            <w:tr w:rsidR="006E5152" w14:paraId="74F52BB3" w14:textId="77777777" w:rsidTr="006E5152">
              <w:trPr>
                <w:trHeight w:val="258"/>
              </w:trPr>
              <w:tc>
                <w:tcPr>
                  <w:tcW w:w="2868" w:type="dxa"/>
                </w:tcPr>
                <w:p w14:paraId="76179CB5" w14:textId="5249D3F8" w:rsidR="006E5152" w:rsidRDefault="006E5152" w:rsidP="00E878D1">
                  <w:r>
                    <w:t>yes</w:t>
                  </w:r>
                </w:p>
              </w:tc>
              <w:tc>
                <w:tcPr>
                  <w:tcW w:w="2868" w:type="dxa"/>
                </w:tcPr>
                <w:p w14:paraId="02E3B721" w14:textId="3A38E3F2" w:rsidR="006E5152" w:rsidRDefault="00081F71" w:rsidP="00E878D1">
                  <w:r>
                    <w:t>Select the treatment provider’s AEI number from the reference file in the ICS* or 3</w:t>
                  </w:r>
                  <w:r w:rsidRPr="00081F71">
                    <w:rPr>
                      <w:vertAlign w:val="superscript"/>
                    </w:rPr>
                    <w:t>rd</w:t>
                  </w:r>
                  <w:r>
                    <w:t xml:space="preserve"> part</w:t>
                  </w:r>
                  <w:r w:rsidR="008E28B6">
                    <w:t>y software.</w:t>
                  </w:r>
                </w:p>
              </w:tc>
            </w:tr>
            <w:tr w:rsidR="006E5152" w14:paraId="68952C94" w14:textId="77777777" w:rsidTr="006E5152">
              <w:trPr>
                <w:trHeight w:val="258"/>
              </w:trPr>
              <w:tc>
                <w:tcPr>
                  <w:tcW w:w="2868" w:type="dxa"/>
                </w:tcPr>
                <w:p w14:paraId="7C9A7381" w14:textId="0FA1243E" w:rsidR="006E5152" w:rsidRDefault="006E5152" w:rsidP="00E878D1">
                  <w:r>
                    <w:t>no</w:t>
                  </w:r>
                </w:p>
              </w:tc>
              <w:tc>
                <w:tcPr>
                  <w:tcW w:w="2868" w:type="dxa"/>
                </w:tcPr>
                <w:p w14:paraId="4C4E07FC" w14:textId="5F34C2B5" w:rsidR="006E5152" w:rsidRDefault="00DD3C4F" w:rsidP="00DD3C4F">
                  <w:r>
                    <w:t>Continue to next step.</w:t>
                  </w:r>
                </w:p>
              </w:tc>
            </w:tr>
          </w:tbl>
          <w:p w14:paraId="04850E75" w14:textId="0BAB9187" w:rsidR="006E5152" w:rsidRDefault="006E5152" w:rsidP="00E878D1"/>
        </w:tc>
      </w:tr>
      <w:tr w:rsidR="00517713" w14:paraId="5AA22860" w14:textId="77777777" w:rsidTr="00517713">
        <w:tc>
          <w:tcPr>
            <w:tcW w:w="1838" w:type="dxa"/>
          </w:tcPr>
          <w:p w14:paraId="2B78DEF6" w14:textId="77777777" w:rsidR="00517713" w:rsidRDefault="00517713" w:rsidP="00517713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7512" w:type="dxa"/>
          </w:tcPr>
          <w:p w14:paraId="6856157A" w14:textId="24C1BF0A" w:rsidR="00517713" w:rsidRDefault="00DD3C4F" w:rsidP="00E878D1">
            <w:r>
              <w:t>Is the treatment provider listed as unacceptable</w:t>
            </w:r>
            <w:r w:rsidR="00DA7B37">
              <w:t xml:space="preserve"> or under review</w:t>
            </w:r>
            <w:r>
              <w:t xml:space="preserve"> on the </w:t>
            </w:r>
            <w:r w:rsidR="00DA7B37">
              <w:t xml:space="preserve">unregistered treatment provider list on the </w:t>
            </w:r>
            <w:hyperlink r:id="rId20" w:history="1">
              <w:r w:rsidRPr="00DA7B37">
                <w:rPr>
                  <w:rStyle w:val="Hyperlink"/>
                </w:rPr>
                <w:t>of</w:t>
              </w:r>
              <w:r w:rsidR="0030620E" w:rsidRPr="00DA7B37">
                <w:rPr>
                  <w:rStyle w:val="Hyperlink"/>
                </w:rPr>
                <w:t>fshore treatment providers</w:t>
              </w:r>
            </w:hyperlink>
            <w:r w:rsidR="0030620E">
              <w:t xml:space="preserve"> </w:t>
            </w:r>
            <w:r w:rsidR="00DA7B37">
              <w:t>website</w:t>
            </w:r>
            <w:r w:rsidR="0030620E">
              <w:t xml:space="preserve">?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68"/>
              <w:gridCol w:w="2868"/>
            </w:tblGrid>
            <w:tr w:rsidR="0030620E" w14:paraId="00F9C169" w14:textId="77777777" w:rsidTr="0069725F">
              <w:trPr>
                <w:trHeight w:val="272"/>
              </w:trPr>
              <w:tc>
                <w:tcPr>
                  <w:tcW w:w="2868" w:type="dxa"/>
                  <w:shd w:val="clear" w:color="auto" w:fill="000000" w:themeFill="text1"/>
                </w:tcPr>
                <w:p w14:paraId="6043DF04" w14:textId="77777777" w:rsidR="0030620E" w:rsidRPr="006E5152" w:rsidRDefault="0030620E" w:rsidP="0030620E">
                  <w:pPr>
                    <w:rPr>
                      <w:b/>
                      <w:bCs/>
                    </w:rPr>
                  </w:pPr>
                  <w:r w:rsidRPr="006E5152">
                    <w:rPr>
                      <w:b/>
                      <w:bCs/>
                    </w:rPr>
                    <w:t>If…</w:t>
                  </w:r>
                </w:p>
              </w:tc>
              <w:tc>
                <w:tcPr>
                  <w:tcW w:w="2868" w:type="dxa"/>
                  <w:shd w:val="clear" w:color="auto" w:fill="000000" w:themeFill="text1"/>
                </w:tcPr>
                <w:p w14:paraId="26CF7CF6" w14:textId="77777777" w:rsidR="0030620E" w:rsidRPr="006E5152" w:rsidRDefault="0030620E" w:rsidP="0030620E">
                  <w:pPr>
                    <w:rPr>
                      <w:b/>
                      <w:bCs/>
                    </w:rPr>
                  </w:pPr>
                  <w:r w:rsidRPr="006E5152">
                    <w:rPr>
                      <w:b/>
                      <w:bCs/>
                    </w:rPr>
                    <w:t>Then…</w:t>
                  </w:r>
                </w:p>
              </w:tc>
            </w:tr>
            <w:tr w:rsidR="0030620E" w14:paraId="0D16FA46" w14:textId="77777777" w:rsidTr="0069725F">
              <w:trPr>
                <w:trHeight w:val="258"/>
              </w:trPr>
              <w:tc>
                <w:tcPr>
                  <w:tcW w:w="2868" w:type="dxa"/>
                </w:tcPr>
                <w:p w14:paraId="087D9D09" w14:textId="77777777" w:rsidR="0030620E" w:rsidRDefault="0030620E" w:rsidP="0030620E">
                  <w:r>
                    <w:lastRenderedPageBreak/>
                    <w:t>yes</w:t>
                  </w:r>
                </w:p>
              </w:tc>
              <w:tc>
                <w:tcPr>
                  <w:tcW w:w="2868" w:type="dxa"/>
                </w:tcPr>
                <w:p w14:paraId="55FE051D" w14:textId="0FE49604" w:rsidR="0030620E" w:rsidRDefault="00D24EB5" w:rsidP="0030620E">
                  <w:r>
                    <w:t xml:space="preserve">Select the AEI assigned to the unacceptable </w:t>
                  </w:r>
                  <w:r w:rsidR="57238E57">
                    <w:t>or under review</w:t>
                  </w:r>
                  <w:r>
                    <w:t xml:space="preserve"> treatment provider in the ICS</w:t>
                  </w:r>
                  <w:r w:rsidR="00491E1F">
                    <w:t>* or 3</w:t>
                  </w:r>
                  <w:r w:rsidR="00491E1F" w:rsidRPr="00491E1F">
                    <w:rPr>
                      <w:vertAlign w:val="superscript"/>
                    </w:rPr>
                    <w:t>rd</w:t>
                  </w:r>
                  <w:r w:rsidR="00491E1F">
                    <w:t xml:space="preserve"> party software. The </w:t>
                  </w:r>
                  <w:r w:rsidR="00164F08">
                    <w:t xml:space="preserve">entry will be referred to the department for assessment and the container/s (and goods within the container/s) will be directed for onshore treatment if permitted. </w:t>
                  </w:r>
                </w:p>
              </w:tc>
            </w:tr>
            <w:tr w:rsidR="0030620E" w14:paraId="528806E5" w14:textId="77777777" w:rsidTr="0069725F">
              <w:trPr>
                <w:trHeight w:val="258"/>
              </w:trPr>
              <w:tc>
                <w:tcPr>
                  <w:tcW w:w="2868" w:type="dxa"/>
                </w:tcPr>
                <w:p w14:paraId="458C0B39" w14:textId="77777777" w:rsidR="0030620E" w:rsidRDefault="0030620E" w:rsidP="0030620E">
                  <w:r>
                    <w:t>no</w:t>
                  </w:r>
                </w:p>
              </w:tc>
              <w:tc>
                <w:tcPr>
                  <w:tcW w:w="2868" w:type="dxa"/>
                </w:tcPr>
                <w:p w14:paraId="2897619A" w14:textId="2141034D" w:rsidR="0030620E" w:rsidRDefault="00164F08" w:rsidP="0030620E">
                  <w:r>
                    <w:t xml:space="preserve">Select the relevant generic AEI code for </w:t>
                  </w:r>
                  <w:r w:rsidR="00C801C5">
                    <w:t xml:space="preserve">the treatment type </w:t>
                  </w:r>
                  <w:r w:rsidR="00057037">
                    <w:t>in the ICS* or 3</w:t>
                  </w:r>
                  <w:r w:rsidR="00057037" w:rsidRPr="00057037">
                    <w:rPr>
                      <w:vertAlign w:val="superscript"/>
                    </w:rPr>
                    <w:t>rd</w:t>
                  </w:r>
                  <w:r w:rsidR="00057037">
                    <w:t xml:space="preserve"> party software.</w:t>
                  </w:r>
                </w:p>
              </w:tc>
            </w:tr>
          </w:tbl>
          <w:p w14:paraId="570E4CB9" w14:textId="6CDCA941" w:rsidR="0030620E" w:rsidRDefault="0030620E" w:rsidP="00E878D1"/>
        </w:tc>
      </w:tr>
    </w:tbl>
    <w:p w14:paraId="4E9373BA" w14:textId="5D22963B" w:rsidR="00517713" w:rsidRDefault="00517713" w:rsidP="00E878D1"/>
    <w:p w14:paraId="12EA3C63" w14:textId="11D2EBB9" w:rsidR="00057037" w:rsidRDefault="00057037" w:rsidP="00057037">
      <w:r>
        <w:t xml:space="preserve">*There is a temporary technical issue with ICS software that prevents brokers who use the Custom Connect Facilities (CCF) to interface ICS for FID </w:t>
      </w:r>
      <w:r w:rsidR="00D812DB">
        <w:t>lodgment</w:t>
      </w:r>
      <w:r>
        <w:t xml:space="preserve"> from viewing all available </w:t>
      </w:r>
      <w:r w:rsidR="00D812DB">
        <w:t>AEIs. If you use this software and cannot locate an AEI number:</w:t>
      </w:r>
    </w:p>
    <w:p w14:paraId="21EED5CC" w14:textId="71BE2B76" w:rsidR="00D812DB" w:rsidRDefault="001A0995" w:rsidP="00D812DB">
      <w:pPr>
        <w:pStyle w:val="ListParagraph"/>
        <w:numPr>
          <w:ilvl w:val="0"/>
          <w:numId w:val="7"/>
        </w:numPr>
      </w:pPr>
      <w:r>
        <w:t>Refer the entry to us using BCOM</w:t>
      </w:r>
    </w:p>
    <w:p w14:paraId="279636B2" w14:textId="09E93DCA" w:rsidR="001A0995" w:rsidRDefault="001A0995" w:rsidP="00D812DB">
      <w:pPr>
        <w:pStyle w:val="ListParagraph"/>
        <w:numPr>
          <w:ilvl w:val="0"/>
          <w:numId w:val="7"/>
        </w:numPr>
      </w:pPr>
      <w:r>
        <w:t>Note the referral reason when lodging documentation in COLS.</w:t>
      </w:r>
    </w:p>
    <w:p w14:paraId="53F423E1" w14:textId="2EDAE3F9" w:rsidR="001A0995" w:rsidRDefault="001A0995" w:rsidP="001A0995">
      <w:r>
        <w:t>This issue does not affect brokers using 3</w:t>
      </w:r>
      <w:r w:rsidRPr="001A0995">
        <w:rPr>
          <w:vertAlign w:val="superscript"/>
        </w:rPr>
        <w:t>rd</w:t>
      </w:r>
      <w:r>
        <w:t xml:space="preserve"> party software. </w:t>
      </w:r>
    </w:p>
    <w:p w14:paraId="6EB9EF5C" w14:textId="7C19EA88" w:rsidR="00F040FF" w:rsidRDefault="00F040FF" w:rsidP="001A0995"/>
    <w:p w14:paraId="0947658F" w14:textId="4AF131FE" w:rsidR="00F040FF" w:rsidRDefault="00F040FF" w:rsidP="001A0995">
      <w:r>
        <w:t xml:space="preserve">Website: </w:t>
      </w:r>
      <w:hyperlink r:id="rId21" w:history="1">
        <w:r w:rsidRPr="00B84F97">
          <w:rPr>
            <w:rStyle w:val="Hyperlink"/>
          </w:rPr>
          <w:t>a</w:t>
        </w:r>
        <w:r w:rsidR="00B84F97" w:rsidRPr="00B84F97">
          <w:rPr>
            <w:rStyle w:val="Hyperlink"/>
          </w:rPr>
          <w:t>griculture</w:t>
        </w:r>
        <w:r w:rsidRPr="00B84F97">
          <w:rPr>
            <w:rStyle w:val="Hyperlink"/>
          </w:rPr>
          <w:t>.gov.au/khapra-</w:t>
        </w:r>
        <w:r w:rsidR="00B84F97" w:rsidRPr="00B84F97">
          <w:rPr>
            <w:rStyle w:val="Hyperlink"/>
          </w:rPr>
          <w:t>urgent-actions</w:t>
        </w:r>
      </w:hyperlink>
    </w:p>
    <w:p w14:paraId="149F50AD" w14:textId="67A47650" w:rsidR="00F040FF" w:rsidRDefault="00F040FF" w:rsidP="001A0995">
      <w:r>
        <w:t xml:space="preserve">Facebook: Australian Biosecurity </w:t>
      </w:r>
    </w:p>
    <w:p w14:paraId="2B5BB7D3" w14:textId="3D7DE4A6" w:rsidR="00F040FF" w:rsidRDefault="00F040FF" w:rsidP="001A0995">
      <w:r>
        <w:t xml:space="preserve">Contact: </w:t>
      </w:r>
      <w:hyperlink r:id="rId22" w:history="1">
        <w:r w:rsidRPr="00341BD8">
          <w:rPr>
            <w:rStyle w:val="Hyperlink"/>
          </w:rPr>
          <w:t>imports@agriculture.gov.au</w:t>
        </w:r>
      </w:hyperlink>
    </w:p>
    <w:p w14:paraId="4D1C42A1" w14:textId="77777777" w:rsidR="00F040FF" w:rsidRDefault="00F040FF" w:rsidP="001A0995"/>
    <w:p w14:paraId="2DD89543" w14:textId="77777777" w:rsidR="00057037" w:rsidRPr="0015138C" w:rsidRDefault="00057037" w:rsidP="00057037"/>
    <w:sectPr w:rsidR="00057037" w:rsidRPr="0015138C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FD62" w14:textId="77777777" w:rsidR="000C3FD7" w:rsidRDefault="000C3FD7" w:rsidP="0015138C">
      <w:pPr>
        <w:spacing w:after="0" w:line="240" w:lineRule="auto"/>
      </w:pPr>
      <w:r>
        <w:separator/>
      </w:r>
    </w:p>
  </w:endnote>
  <w:endnote w:type="continuationSeparator" w:id="0">
    <w:p w14:paraId="586A5100" w14:textId="77777777" w:rsidR="000C3FD7" w:rsidRDefault="000C3FD7" w:rsidP="0015138C">
      <w:pPr>
        <w:spacing w:after="0" w:line="240" w:lineRule="auto"/>
      </w:pPr>
      <w:r>
        <w:continuationSeparator/>
      </w:r>
    </w:p>
  </w:endnote>
  <w:endnote w:type="continuationNotice" w:id="1">
    <w:p w14:paraId="33D803CA" w14:textId="77777777" w:rsidR="000C3FD7" w:rsidRDefault="000C3F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4B702" w14:textId="77777777" w:rsidR="000C3FD7" w:rsidRDefault="000C3FD7" w:rsidP="0015138C">
      <w:pPr>
        <w:spacing w:after="0" w:line="240" w:lineRule="auto"/>
      </w:pPr>
      <w:r>
        <w:separator/>
      </w:r>
    </w:p>
  </w:footnote>
  <w:footnote w:type="continuationSeparator" w:id="0">
    <w:p w14:paraId="0E489666" w14:textId="77777777" w:rsidR="000C3FD7" w:rsidRDefault="000C3FD7" w:rsidP="0015138C">
      <w:pPr>
        <w:spacing w:after="0" w:line="240" w:lineRule="auto"/>
      </w:pPr>
      <w:r>
        <w:continuationSeparator/>
      </w:r>
    </w:p>
  </w:footnote>
  <w:footnote w:type="continuationNotice" w:id="1">
    <w:p w14:paraId="51811B52" w14:textId="77777777" w:rsidR="000C3FD7" w:rsidRDefault="000C3F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58F1" w14:textId="76A3CA2C" w:rsidR="0015138C" w:rsidRDefault="7801B764">
    <w:pPr>
      <w:pStyle w:val="Header"/>
    </w:pPr>
    <w:r>
      <w:rPr>
        <w:noProof/>
      </w:rPr>
      <w:drawing>
        <wp:inline distT="0" distB="0" distL="0" distR="0" wp14:anchorId="27114347" wp14:editId="274893B7">
          <wp:extent cx="1814899" cy="447675"/>
          <wp:effectExtent l="0" t="0" r="0" b="0"/>
          <wp:docPr id="1" name="Picture 1" descr="Logos and style guides | Australian Government Department of Foreign  Affairs and 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899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8FE6DC" w14:textId="77777777" w:rsidR="0015138C" w:rsidRDefault="001513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26FCA"/>
    <w:multiLevelType w:val="hybridMultilevel"/>
    <w:tmpl w:val="CD1094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5B21EA"/>
    <w:multiLevelType w:val="hybridMultilevel"/>
    <w:tmpl w:val="7E10A8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7D2907"/>
    <w:multiLevelType w:val="hybridMultilevel"/>
    <w:tmpl w:val="40CE91C6"/>
    <w:lvl w:ilvl="0" w:tplc="D00265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9EF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241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07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E0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D6E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5C3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E7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26A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1547B"/>
    <w:multiLevelType w:val="hybridMultilevel"/>
    <w:tmpl w:val="88ACC5A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8B4A8E"/>
    <w:multiLevelType w:val="hybridMultilevel"/>
    <w:tmpl w:val="C4D6D2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AE6674"/>
    <w:multiLevelType w:val="hybridMultilevel"/>
    <w:tmpl w:val="804677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803587"/>
    <w:multiLevelType w:val="hybridMultilevel"/>
    <w:tmpl w:val="81E80B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479604">
    <w:abstractNumId w:val="2"/>
  </w:num>
  <w:num w:numId="2" w16cid:durableId="181406734">
    <w:abstractNumId w:val="3"/>
  </w:num>
  <w:num w:numId="3" w16cid:durableId="1021467503">
    <w:abstractNumId w:val="1"/>
  </w:num>
  <w:num w:numId="4" w16cid:durableId="570310782">
    <w:abstractNumId w:val="0"/>
  </w:num>
  <w:num w:numId="5" w16cid:durableId="819543904">
    <w:abstractNumId w:val="5"/>
  </w:num>
  <w:num w:numId="6" w16cid:durableId="1675766469">
    <w:abstractNumId w:val="6"/>
  </w:num>
  <w:num w:numId="7" w16cid:durableId="1674844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3A79DF"/>
    <w:rsid w:val="00057037"/>
    <w:rsid w:val="00081F71"/>
    <w:rsid w:val="000C3A26"/>
    <w:rsid w:val="000C3FD7"/>
    <w:rsid w:val="00101225"/>
    <w:rsid w:val="0010522E"/>
    <w:rsid w:val="00147433"/>
    <w:rsid w:val="001476CB"/>
    <w:rsid w:val="0015138C"/>
    <w:rsid w:val="00164F08"/>
    <w:rsid w:val="00176E17"/>
    <w:rsid w:val="00183566"/>
    <w:rsid w:val="00190A3C"/>
    <w:rsid w:val="001A0995"/>
    <w:rsid w:val="001C2A5A"/>
    <w:rsid w:val="00255F09"/>
    <w:rsid w:val="002631CD"/>
    <w:rsid w:val="002B6266"/>
    <w:rsid w:val="0030620E"/>
    <w:rsid w:val="0030646F"/>
    <w:rsid w:val="00333E60"/>
    <w:rsid w:val="00381379"/>
    <w:rsid w:val="003B2EDF"/>
    <w:rsid w:val="003D7B77"/>
    <w:rsid w:val="0040150C"/>
    <w:rsid w:val="00414FF7"/>
    <w:rsid w:val="00467B12"/>
    <w:rsid w:val="00491E1F"/>
    <w:rsid w:val="00493DA2"/>
    <w:rsid w:val="004C4212"/>
    <w:rsid w:val="004C6916"/>
    <w:rsid w:val="00507E4D"/>
    <w:rsid w:val="00517713"/>
    <w:rsid w:val="005A480C"/>
    <w:rsid w:val="0061470A"/>
    <w:rsid w:val="006935FB"/>
    <w:rsid w:val="0069712B"/>
    <w:rsid w:val="006973D9"/>
    <w:rsid w:val="006E4584"/>
    <w:rsid w:val="006E5152"/>
    <w:rsid w:val="0071179D"/>
    <w:rsid w:val="008A1D61"/>
    <w:rsid w:val="008E28B6"/>
    <w:rsid w:val="00913413"/>
    <w:rsid w:val="00931A5E"/>
    <w:rsid w:val="00935214"/>
    <w:rsid w:val="009804A4"/>
    <w:rsid w:val="009E3040"/>
    <w:rsid w:val="00A26836"/>
    <w:rsid w:val="00A5454F"/>
    <w:rsid w:val="00A63B43"/>
    <w:rsid w:val="00A82926"/>
    <w:rsid w:val="00AC2D1A"/>
    <w:rsid w:val="00AF44EB"/>
    <w:rsid w:val="00B41701"/>
    <w:rsid w:val="00B445DE"/>
    <w:rsid w:val="00B77A46"/>
    <w:rsid w:val="00B84F97"/>
    <w:rsid w:val="00B90EDF"/>
    <w:rsid w:val="00BB1AD1"/>
    <w:rsid w:val="00BB6117"/>
    <w:rsid w:val="00BC0DBE"/>
    <w:rsid w:val="00C021E6"/>
    <w:rsid w:val="00C801C5"/>
    <w:rsid w:val="00D24EB5"/>
    <w:rsid w:val="00D3723E"/>
    <w:rsid w:val="00D66DFC"/>
    <w:rsid w:val="00D672C6"/>
    <w:rsid w:val="00D812DB"/>
    <w:rsid w:val="00DA2792"/>
    <w:rsid w:val="00DA7B37"/>
    <w:rsid w:val="00DD3C4F"/>
    <w:rsid w:val="00E44B7E"/>
    <w:rsid w:val="00E81F37"/>
    <w:rsid w:val="00E878D1"/>
    <w:rsid w:val="00ED574F"/>
    <w:rsid w:val="00ED6CF1"/>
    <w:rsid w:val="00EE5C31"/>
    <w:rsid w:val="00EF16FC"/>
    <w:rsid w:val="00F040FF"/>
    <w:rsid w:val="0165BC9F"/>
    <w:rsid w:val="0E4C2D2D"/>
    <w:rsid w:val="0FE7FD8E"/>
    <w:rsid w:val="175EB2B7"/>
    <w:rsid w:val="1F795CDF"/>
    <w:rsid w:val="293A79DF"/>
    <w:rsid w:val="2A7F9E34"/>
    <w:rsid w:val="2D546182"/>
    <w:rsid w:val="2F40B6BC"/>
    <w:rsid w:val="37F15A13"/>
    <w:rsid w:val="3899A836"/>
    <w:rsid w:val="39C053E2"/>
    <w:rsid w:val="3F9270AB"/>
    <w:rsid w:val="4CE30D03"/>
    <w:rsid w:val="4EA600CE"/>
    <w:rsid w:val="503DF292"/>
    <w:rsid w:val="50F0C418"/>
    <w:rsid w:val="57238E57"/>
    <w:rsid w:val="5A08C14D"/>
    <w:rsid w:val="5A58380A"/>
    <w:rsid w:val="61CE4E11"/>
    <w:rsid w:val="66A2897D"/>
    <w:rsid w:val="6794A7A2"/>
    <w:rsid w:val="6C2A7787"/>
    <w:rsid w:val="6ED2740A"/>
    <w:rsid w:val="7801B764"/>
    <w:rsid w:val="7911452B"/>
    <w:rsid w:val="7ECBCF77"/>
    <w:rsid w:val="7FC9E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79DF"/>
  <w15:chartTrackingRefBased/>
  <w15:docId w15:val="{0C846FD1-037A-4767-9839-2FAA93C3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38C"/>
  </w:style>
  <w:style w:type="paragraph" w:styleId="Footer">
    <w:name w:val="footer"/>
    <w:basedOn w:val="Normal"/>
    <w:link w:val="FooterChar"/>
    <w:uiPriority w:val="99"/>
    <w:unhideWhenUsed/>
    <w:rsid w:val="00151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38C"/>
  </w:style>
  <w:style w:type="paragraph" w:styleId="ListParagraph">
    <w:name w:val="List Paragraph"/>
    <w:basedOn w:val="Normal"/>
    <w:uiPriority w:val="34"/>
    <w:qFormat/>
    <w:rsid w:val="000C3A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E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E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87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B1AD1"/>
    <w:rPr>
      <w:color w:val="954F72" w:themeColor="followedHyperlink"/>
      <w:u w:val="single"/>
    </w:rPr>
  </w:style>
  <w:style w:type="character" w:customStyle="1" w:styleId="jsgrdq">
    <w:name w:val="jsgrdq"/>
    <w:basedOn w:val="DefaultParagraphFont"/>
    <w:rsid w:val="0061470A"/>
  </w:style>
  <w:style w:type="character" w:customStyle="1" w:styleId="normaltextrun">
    <w:name w:val="normaltextrun"/>
    <w:basedOn w:val="DefaultParagraphFont"/>
    <w:rsid w:val="00ED6CF1"/>
  </w:style>
  <w:style w:type="paragraph" w:styleId="Revision">
    <w:name w:val="Revision"/>
    <w:hidden/>
    <w:uiPriority w:val="99"/>
    <w:semiHidden/>
    <w:rsid w:val="006971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griculture.gov.au/biosecurity-trade/pests-diseases-weeds/plant/khapra-beetle/sea-container-measures" TargetMode="External"/><Relationship Id="rId18" Type="http://schemas.openxmlformats.org/officeDocument/2006/relationships/hyperlink" Target="https://www.agriculture.gov.au/biosecurity-trade/import/before/prepare/treatment-outside-australia/afa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griculture.gov.au/biosecurity-trade/pests-diseases-weeds/plant/khapra-beetle/urgent-action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griculture.gov.au/biosecurity-trade/pests-diseases-weeds/plant/khapra-beetle/sea-container-measures" TargetMode="External"/><Relationship Id="rId17" Type="http://schemas.openxmlformats.org/officeDocument/2006/relationships/hyperlink" Target="https://www.agriculture.gov.au/biosecurity-trade/import/before/prepare/treatment-outside-australia/offshore-treatment-provider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griculture.gov.au/biosecurity-trade/import/before/prepare/treatment-outside-australia/offshore-treatment-providers" TargetMode="External"/><Relationship Id="rId20" Type="http://schemas.openxmlformats.org/officeDocument/2006/relationships/hyperlink" Target="https://www.agriculture.gov.au/biosecurity-trade/import/before/prepare/treatment-outside-australia/offshore-treatment-provider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griculture.gov.au/biosecurity-trade/pests-diseases-weeds/plant/khapra-beetle/urgent-actions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bicon.agriculture.gov.au/BiconWeb4.0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agriculture.gov.au/biosecurity-trade/pests-diseases-weeds/plant/khapra-beetle/plant-products" TargetMode="External"/><Relationship Id="rId19" Type="http://schemas.openxmlformats.org/officeDocument/2006/relationships/hyperlink" Target="https://www.agriculture.gov.au/biosecurity-trade/import/before/prepare/treatment-outside-australia/offshore-treatment-provid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griculture.gov.au/biosecurity-trade/pests-diseases-weeds/plant/khapra-beetle/sea-container-measures" TargetMode="External"/><Relationship Id="rId22" Type="http://schemas.openxmlformats.org/officeDocument/2006/relationships/hyperlink" Target="mailto:imports@agriculture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85A5CE-A551-4B07-B3B1-28EFAEF8A61B}"/>
</file>

<file path=customXml/itemProps2.xml><?xml version="1.0" encoding="utf-8"?>
<ds:datastoreItem xmlns:ds="http://schemas.openxmlformats.org/officeDocument/2006/customXml" ds:itemID="{C5F9F02D-2ED5-41A7-A3BA-DB314D6BE19E}">
  <ds:schemaRefs>
    <ds:schemaRef ds:uri="http://schemas.microsoft.com/office/2006/metadata/properties"/>
    <ds:schemaRef ds:uri="http://schemas.microsoft.com/office/infopath/2007/PartnerControls"/>
    <ds:schemaRef ds:uri="762d8928-0daf-4069-9c35-589ded0002d7"/>
    <ds:schemaRef ds:uri="81c01dc6-2c49-4730-b140-874c95cac377"/>
  </ds:schemaRefs>
</ds:datastoreItem>
</file>

<file path=customXml/itemProps3.xml><?xml version="1.0" encoding="utf-8"?>
<ds:datastoreItem xmlns:ds="http://schemas.openxmlformats.org/officeDocument/2006/customXml" ds:itemID="{76E99D9E-60C4-40E6-B3B7-8D9A3E80DB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1004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AEI reporting requirements for khapra beetle sea container treatments</dc:title>
  <dc:subject/>
  <dc:creator>Department of Agriculture, Water and the Environment</dc:creator>
  <cp:keywords/>
  <dc:description/>
  <cp:lastModifiedBy>McAlpine, Alex</cp:lastModifiedBy>
  <cp:revision>15</cp:revision>
  <dcterms:created xsi:type="dcterms:W3CDTF">2021-11-14T22:37:00Z</dcterms:created>
  <dcterms:modified xsi:type="dcterms:W3CDTF">2023-07-18T22:56:00Z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0x010100C07E633937122D4C982576F433DC022C</vt:lpwstr>
  </property>
  <property fmtid="{D5CDD505-2E9C-101B-9397-08002B2CF9AE}" pid="3" name="MediaServiceImageTags">
    <vt:lpwstr/>
  </property>
</Properties>
</file>