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BF0176E" w14:textId="47288037" w:rsidR="00905F94" w:rsidRPr="00282B44" w:rsidRDefault="00282B44" w:rsidP="007C38B8">
      <w:pPr>
        <w:pStyle w:val="Heading1"/>
      </w:pPr>
      <w:r w:rsidRPr="00282B44">
        <w:t xml:space="preserve">CBC </w:t>
      </w:r>
      <w:r w:rsidRPr="007C38B8">
        <w:t>s</w:t>
      </w:r>
      <w:r w:rsidR="00C82593" w:rsidRPr="007C38B8">
        <w:t>ession</w:t>
      </w:r>
      <w:r w:rsidR="00C82593">
        <w:t xml:space="preserve"> 20</w:t>
      </w:r>
      <w:r w:rsidR="00A256E5">
        <w:t>-2</w:t>
      </w:r>
      <w:r w:rsidR="00C82593">
        <w:t>1</w:t>
      </w:r>
      <w:r w:rsidR="00A256E5">
        <w:t>/01</w:t>
      </w:r>
    </w:p>
    <w:p w14:paraId="54BFBB5D" w14:textId="77777777" w:rsidR="00282B44" w:rsidRPr="00282B44" w:rsidRDefault="00282B44" w:rsidP="007C38B8">
      <w:pPr>
        <w:pStyle w:val="Heading1"/>
      </w:pPr>
      <w:r w:rsidRPr="00282B44">
        <w:t>AEPCOMM EXPANSION – 4 AUGUST 2020</w:t>
      </w:r>
    </w:p>
    <w:p w14:paraId="5A83C7E9" w14:textId="42C2714A" w:rsidR="00282B44" w:rsidRDefault="00E438EF" w:rsidP="007C38B8">
      <w:pPr>
        <w:pStyle w:val="Heading1"/>
      </w:pPr>
      <w:r>
        <w:t>Q&amp;A</w:t>
      </w:r>
    </w:p>
    <w:p w14:paraId="0C99096B" w14:textId="77777777" w:rsidR="009C105A" w:rsidRDefault="009C105A" w:rsidP="009C105A">
      <w:pPr>
        <w:jc w:val="center"/>
        <w:rPr>
          <w:b/>
          <w:lang w:eastAsia="ja-JP"/>
        </w:rPr>
      </w:pPr>
    </w:p>
    <w:tbl>
      <w:tblPr>
        <w:tblStyle w:val="PlainTable1"/>
        <w:tblW w:w="0" w:type="auto"/>
        <w:tblLook w:val="04A0" w:firstRow="1" w:lastRow="0" w:firstColumn="1" w:lastColumn="0" w:noHBand="0" w:noVBand="1"/>
      </w:tblPr>
      <w:tblGrid>
        <w:gridCol w:w="534"/>
        <w:gridCol w:w="4252"/>
        <w:gridCol w:w="4230"/>
      </w:tblGrid>
      <w:tr w:rsidR="001B0C15" w14:paraId="1D8799FE" w14:textId="77777777" w:rsidTr="001012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000000" w:themeFill="text1"/>
          </w:tcPr>
          <w:p w14:paraId="5FF3CCFD" w14:textId="77777777" w:rsidR="001B0C15" w:rsidRPr="00DA6654" w:rsidRDefault="001B0C15" w:rsidP="001B0C15">
            <w:pPr>
              <w:pStyle w:val="ListParagraph"/>
              <w:ind w:left="360"/>
              <w:rPr>
                <w:b w:val="0"/>
                <w:color w:val="FFFFFF" w:themeColor="background1"/>
                <w:lang w:eastAsia="ja-JP"/>
              </w:rPr>
            </w:pPr>
          </w:p>
        </w:tc>
        <w:tc>
          <w:tcPr>
            <w:tcW w:w="4252" w:type="dxa"/>
            <w:shd w:val="clear" w:color="auto" w:fill="000000" w:themeFill="text1"/>
          </w:tcPr>
          <w:p w14:paraId="270BEF43" w14:textId="358C998C" w:rsidR="001B0C15" w:rsidRPr="00DA6654" w:rsidRDefault="00DA6654" w:rsidP="007C38B8">
            <w:pPr>
              <w:pStyle w:val="Tableheader"/>
              <w:cnfStyle w:val="100000000000" w:firstRow="1" w:lastRow="0" w:firstColumn="0" w:lastColumn="0" w:oddVBand="0" w:evenVBand="0" w:oddHBand="0" w:evenHBand="0" w:firstRowFirstColumn="0" w:firstRowLastColumn="0" w:lastRowFirstColumn="0" w:lastRowLastColumn="0"/>
            </w:pPr>
            <w:r w:rsidRPr="00DA6654">
              <w:t>Question</w:t>
            </w:r>
          </w:p>
        </w:tc>
        <w:tc>
          <w:tcPr>
            <w:tcW w:w="4230" w:type="dxa"/>
            <w:shd w:val="clear" w:color="auto" w:fill="000000" w:themeFill="text1"/>
          </w:tcPr>
          <w:p w14:paraId="0FE69FA8" w14:textId="6DEB5B16" w:rsidR="001B0C15" w:rsidRPr="00DA6654" w:rsidRDefault="00DA6654" w:rsidP="007C38B8">
            <w:pPr>
              <w:pStyle w:val="Tableheader"/>
              <w:cnfStyle w:val="100000000000" w:firstRow="1" w:lastRow="0" w:firstColumn="0" w:lastColumn="0" w:oddVBand="0" w:evenVBand="0" w:oddHBand="0" w:evenHBand="0" w:firstRowFirstColumn="0" w:firstRowLastColumn="0" w:lastRowFirstColumn="0" w:lastRowLastColumn="0"/>
            </w:pPr>
            <w:r w:rsidRPr="00DA6654">
              <w:t>Answer</w:t>
            </w:r>
          </w:p>
        </w:tc>
      </w:tr>
      <w:tr w:rsidR="00DA6654" w14:paraId="3DCAB6B1"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0B8EB1D" w14:textId="77777777" w:rsidR="00DA6654" w:rsidRPr="00DA6654" w:rsidRDefault="00DA6654" w:rsidP="00DA6654">
            <w:pPr>
              <w:pStyle w:val="ListParagraph"/>
              <w:numPr>
                <w:ilvl w:val="0"/>
                <w:numId w:val="30"/>
              </w:numPr>
              <w:rPr>
                <w:lang w:eastAsia="ja-JP"/>
              </w:rPr>
            </w:pPr>
            <w:bookmarkStart w:id="0" w:name="_GoBack"/>
          </w:p>
        </w:tc>
        <w:tc>
          <w:tcPr>
            <w:tcW w:w="4252" w:type="dxa"/>
          </w:tcPr>
          <w:p w14:paraId="0F850884" w14:textId="77777777"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Maybe off-topic for current AEPCOMM but related to future AEPCOMM, are there any future plans for industry members to undertake inspections or other activities as trusted operators as opposed to booking a DAWE officer per shipment?</w:t>
            </w:r>
          </w:p>
          <w:p w14:paraId="56E6945A" w14:textId="7DA458EF" w:rsidR="00C73E66" w:rsidRDefault="00C73E66"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(Answered live)</w:t>
            </w:r>
          </w:p>
        </w:tc>
        <w:tc>
          <w:tcPr>
            <w:tcW w:w="4230" w:type="dxa"/>
          </w:tcPr>
          <w:p w14:paraId="3372995D" w14:textId="77777777" w:rsidR="00EA463C" w:rsidRDefault="00EA463C" w:rsidP="00C73E66">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Live Answer:</w:t>
            </w:r>
          </w:p>
          <w:p w14:paraId="4B63392E" w14:textId="77777777" w:rsidR="00C80E3C" w:rsidRDefault="003E5363" w:rsidP="00C73E66">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T</w:t>
            </w:r>
            <w:r w:rsidRPr="003E5363">
              <w:rPr>
                <w:lang w:eastAsia="ja-JP"/>
              </w:rPr>
              <w:t>here are plans within the broader approved arrangements for those type</w:t>
            </w:r>
            <w:r>
              <w:rPr>
                <w:lang w:eastAsia="ja-JP"/>
              </w:rPr>
              <w:t>s</w:t>
            </w:r>
            <w:r w:rsidRPr="003E5363">
              <w:rPr>
                <w:lang w:eastAsia="ja-JP"/>
              </w:rPr>
              <w:t xml:space="preserve"> of activities. We can take a question offline, and refer to our approved arrangements section for a full response.</w:t>
            </w:r>
          </w:p>
          <w:p w14:paraId="6B544F4C" w14:textId="77777777" w:rsidR="000A7D73" w:rsidRDefault="000A7D73" w:rsidP="000A7D73">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Advice from Approved Arrangements Section:</w:t>
            </w:r>
          </w:p>
          <w:p w14:paraId="66D61403" w14:textId="6C5811CD" w:rsidR="000A7D73" w:rsidRDefault="00EA463C" w:rsidP="00EA463C">
            <w:pPr>
              <w:cnfStyle w:val="000000100000" w:firstRow="0" w:lastRow="0" w:firstColumn="0" w:lastColumn="0" w:oddVBand="0" w:evenVBand="0" w:oddHBand="1" w:evenHBand="0" w:firstRowFirstColumn="0" w:firstRowLastColumn="0" w:lastRowFirstColumn="0" w:lastRowLastColumn="0"/>
              <w:rPr>
                <w:lang w:eastAsia="ja-JP"/>
              </w:rPr>
            </w:pPr>
            <w:r w:rsidRPr="00EA463C">
              <w:rPr>
                <w:lang w:eastAsia="ja-JP"/>
              </w:rPr>
              <w:t>The department has broadened the activities covered under biosecurity Approved Arrangements in recent years and will continue to consider new opportunities</w:t>
            </w:r>
            <w:r w:rsidR="00FD40DD">
              <w:rPr>
                <w:lang w:eastAsia="ja-JP"/>
              </w:rPr>
              <w:t>. Currently,</w:t>
            </w:r>
            <w:r w:rsidRPr="00EA463C">
              <w:rPr>
                <w:lang w:eastAsia="ja-JP"/>
              </w:rPr>
              <w:t xml:space="preserve"> there are no plans to broaden </w:t>
            </w:r>
            <w:r w:rsidR="00FD40DD">
              <w:rPr>
                <w:lang w:eastAsia="ja-JP"/>
              </w:rPr>
              <w:t>these</w:t>
            </w:r>
            <w:r w:rsidR="00FD40DD" w:rsidRPr="00EA463C">
              <w:rPr>
                <w:lang w:eastAsia="ja-JP"/>
              </w:rPr>
              <w:t xml:space="preserve"> </w:t>
            </w:r>
            <w:r w:rsidRPr="00EA463C">
              <w:rPr>
                <w:lang w:eastAsia="ja-JP"/>
              </w:rPr>
              <w:t>arrangements to include inspection activities.</w:t>
            </w:r>
          </w:p>
        </w:tc>
      </w:tr>
      <w:bookmarkEnd w:id="0"/>
      <w:tr w:rsidR="00DA6654" w14:paraId="66C3E671"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614C1F91" w14:textId="4E726225" w:rsidR="00DA6654" w:rsidRPr="00DA6654" w:rsidRDefault="00DA6654" w:rsidP="00DA6654">
            <w:pPr>
              <w:pStyle w:val="ListParagraph"/>
              <w:numPr>
                <w:ilvl w:val="0"/>
                <w:numId w:val="30"/>
              </w:numPr>
              <w:rPr>
                <w:lang w:eastAsia="ja-JP"/>
              </w:rPr>
            </w:pPr>
          </w:p>
        </w:tc>
        <w:tc>
          <w:tcPr>
            <w:tcW w:w="4252" w:type="dxa"/>
          </w:tcPr>
          <w:p w14:paraId="0605001B" w14:textId="5900D358"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 xml:space="preserve">Does the expansion in to Fertiliser Products expand into Gypsum and those Products not classified within 3102 </w:t>
            </w:r>
            <w:r w:rsidR="00C73E66">
              <w:rPr>
                <w:lang w:eastAsia="ja-JP"/>
              </w:rPr>
              <w:t>–</w:t>
            </w:r>
            <w:r w:rsidRPr="00725E11">
              <w:rPr>
                <w:lang w:eastAsia="ja-JP"/>
              </w:rPr>
              <w:t xml:space="preserve"> 3105</w:t>
            </w:r>
          </w:p>
          <w:p w14:paraId="24CF8AF4" w14:textId="7291B8AC" w:rsidR="00C73E66" w:rsidRDefault="00C73E66" w:rsidP="00C73E6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(Answered live)</w:t>
            </w:r>
          </w:p>
        </w:tc>
        <w:tc>
          <w:tcPr>
            <w:tcW w:w="4230" w:type="dxa"/>
          </w:tcPr>
          <w:p w14:paraId="491286A3" w14:textId="5CAD642C" w:rsidR="00DA6654" w:rsidRDefault="00C80E3C" w:rsidP="00C80E3C">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At </w:t>
            </w:r>
            <w:r w:rsidRPr="00C80E3C">
              <w:rPr>
                <w:lang w:eastAsia="ja-JP"/>
              </w:rPr>
              <w:t>this stage, no</w:t>
            </w:r>
            <w:r>
              <w:rPr>
                <w:lang w:eastAsia="ja-JP"/>
              </w:rPr>
              <w:t>. I</w:t>
            </w:r>
            <w:r w:rsidRPr="00C80E3C">
              <w:rPr>
                <w:lang w:eastAsia="ja-JP"/>
              </w:rPr>
              <w:t>t is only including the tar</w:t>
            </w:r>
            <w:r>
              <w:rPr>
                <w:lang w:eastAsia="ja-JP"/>
              </w:rPr>
              <w:t>iff chapters, which are indicated</w:t>
            </w:r>
            <w:r w:rsidRPr="00C80E3C">
              <w:rPr>
                <w:lang w:eastAsia="ja-JP"/>
              </w:rPr>
              <w:t xml:space="preserve"> on the webpage. But we're always looking for opportunities to expand and we can look into that at a later date if there's </w:t>
            </w:r>
            <w:r>
              <w:rPr>
                <w:lang w:eastAsia="ja-JP"/>
              </w:rPr>
              <w:t xml:space="preserve">a </w:t>
            </w:r>
            <w:r w:rsidRPr="00C80E3C">
              <w:rPr>
                <w:lang w:eastAsia="ja-JP"/>
              </w:rPr>
              <w:t xml:space="preserve">need to. </w:t>
            </w:r>
            <w:r w:rsidR="00821F18">
              <w:rPr>
                <w:lang w:eastAsia="ja-JP"/>
              </w:rPr>
              <w:t xml:space="preserve"> </w:t>
            </w:r>
          </w:p>
        </w:tc>
      </w:tr>
      <w:tr w:rsidR="00DA6654" w14:paraId="0EDCDD56"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3831B47" w14:textId="5BDDDCD9" w:rsidR="00DA6654" w:rsidRPr="00DA6654" w:rsidRDefault="00DA6654" w:rsidP="00DA6654">
            <w:pPr>
              <w:pStyle w:val="ListParagraph"/>
              <w:numPr>
                <w:ilvl w:val="0"/>
                <w:numId w:val="30"/>
              </w:numPr>
              <w:rPr>
                <w:lang w:eastAsia="ja-JP"/>
              </w:rPr>
            </w:pPr>
          </w:p>
        </w:tc>
        <w:tc>
          <w:tcPr>
            <w:tcW w:w="4252" w:type="dxa"/>
          </w:tcPr>
          <w:p w14:paraId="0A6F9CDC" w14:textId="77777777"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Could you please verify once more. The Newly added tariffs for Highly processed wooden articles was it 92 or should it be 94?</w:t>
            </w:r>
          </w:p>
          <w:p w14:paraId="046C64FB" w14:textId="26A62E0E" w:rsidR="00C73E66" w:rsidRDefault="00C73E66" w:rsidP="00C73E66">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(Answered live)</w:t>
            </w:r>
          </w:p>
        </w:tc>
        <w:tc>
          <w:tcPr>
            <w:tcW w:w="4230" w:type="dxa"/>
          </w:tcPr>
          <w:p w14:paraId="4D6AA230" w14:textId="6C76420E" w:rsidR="00A97E5E" w:rsidRDefault="00EE2879" w:rsidP="00EE2879">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Yes, c</w:t>
            </w:r>
            <w:r w:rsidR="00A97E5E">
              <w:rPr>
                <w:lang w:eastAsia="ja-JP"/>
              </w:rPr>
              <w:t>onfirming the tariff chapter is 92.</w:t>
            </w:r>
          </w:p>
        </w:tc>
      </w:tr>
      <w:tr w:rsidR="00DA6654" w14:paraId="2388F87F"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70B8F8EB" w14:textId="49ABD195" w:rsidR="00DA6654" w:rsidRPr="00DA6654" w:rsidRDefault="00DA6654" w:rsidP="00DA6654">
            <w:pPr>
              <w:pStyle w:val="ListParagraph"/>
              <w:numPr>
                <w:ilvl w:val="0"/>
                <w:numId w:val="30"/>
              </w:numPr>
              <w:rPr>
                <w:lang w:eastAsia="ja-JP"/>
              </w:rPr>
            </w:pPr>
          </w:p>
        </w:tc>
        <w:tc>
          <w:tcPr>
            <w:tcW w:w="4252" w:type="dxa"/>
          </w:tcPr>
          <w:p w14:paraId="7DD5AD7D" w14:textId="77777777"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What happens if I forget to enter an ACC code for the Permitted plant fibres commodity group?</w:t>
            </w:r>
          </w:p>
          <w:p w14:paraId="4A23F42C" w14:textId="09AFD3EC" w:rsidR="00C73E66" w:rsidRDefault="00C73E66" w:rsidP="00DA665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(Answered live)</w:t>
            </w:r>
          </w:p>
        </w:tc>
        <w:tc>
          <w:tcPr>
            <w:tcW w:w="4230" w:type="dxa"/>
          </w:tcPr>
          <w:p w14:paraId="605B2435" w14:textId="64EAD240" w:rsidR="00B42413" w:rsidRDefault="00A97E5E">
            <w:pPr>
              <w:cnfStyle w:val="000000000000" w:firstRow="0" w:lastRow="0" w:firstColumn="0" w:lastColumn="0" w:oddVBand="0" w:evenVBand="0" w:oddHBand="0" w:evenHBand="0" w:firstRowFirstColumn="0" w:firstRowLastColumn="0" w:lastRowFirstColumn="0" w:lastRowLastColumn="0"/>
              <w:rPr>
                <w:lang w:eastAsia="ja-JP"/>
              </w:rPr>
            </w:pPr>
            <w:r w:rsidRPr="00A97E5E">
              <w:rPr>
                <w:lang w:eastAsia="ja-JP"/>
              </w:rPr>
              <w:t>If you don't enter the ACC code, then the AEP system will generate an AEP processin</w:t>
            </w:r>
            <w:r>
              <w:rPr>
                <w:lang w:eastAsia="ja-JP"/>
              </w:rPr>
              <w:t>g error, which means it won't lodged successfully</w:t>
            </w:r>
            <w:r w:rsidRPr="00A97E5E">
              <w:rPr>
                <w:lang w:eastAsia="ja-JP"/>
              </w:rPr>
              <w:t xml:space="preserve"> through AEP and you'll need to </w:t>
            </w:r>
            <w:r>
              <w:rPr>
                <w:lang w:eastAsia="ja-JP"/>
              </w:rPr>
              <w:t xml:space="preserve">lodge the documents </w:t>
            </w:r>
            <w:r w:rsidRPr="00A97E5E">
              <w:rPr>
                <w:lang w:eastAsia="ja-JP"/>
              </w:rPr>
              <w:t>through COLS</w:t>
            </w:r>
            <w:r>
              <w:rPr>
                <w:lang w:eastAsia="ja-JP"/>
              </w:rPr>
              <w:t xml:space="preserve">. </w:t>
            </w:r>
            <w:r w:rsidRPr="00A97E5E">
              <w:rPr>
                <w:lang w:eastAsia="ja-JP"/>
              </w:rPr>
              <w:t>So it is very important that when assessing permitted plant fibres, you enter that ACC code as directed in BICON.</w:t>
            </w:r>
            <w:r>
              <w:rPr>
                <w:lang w:eastAsia="ja-JP"/>
              </w:rPr>
              <w:t xml:space="preserve"> </w:t>
            </w:r>
          </w:p>
        </w:tc>
      </w:tr>
      <w:tr w:rsidR="00DA6654" w14:paraId="54FA8BCE"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A12A3F2" w14:textId="77777777" w:rsidR="00DA6654" w:rsidRPr="00DA6654" w:rsidRDefault="00DA6654" w:rsidP="00DA6654">
            <w:pPr>
              <w:pStyle w:val="ListParagraph"/>
              <w:numPr>
                <w:ilvl w:val="0"/>
                <w:numId w:val="30"/>
              </w:numPr>
              <w:rPr>
                <w:lang w:eastAsia="ja-JP"/>
              </w:rPr>
            </w:pPr>
          </w:p>
        </w:tc>
        <w:tc>
          <w:tcPr>
            <w:tcW w:w="4252" w:type="dxa"/>
          </w:tcPr>
          <w:p w14:paraId="11B51E66" w14:textId="77777777"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Why aren’t products containing permitted plant fibres available now?</w:t>
            </w:r>
          </w:p>
          <w:p w14:paraId="6C5BEB38" w14:textId="77777777" w:rsidR="00C73E66" w:rsidRDefault="00C73E66" w:rsidP="00C73E66">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(Answered live)</w:t>
            </w:r>
          </w:p>
          <w:p w14:paraId="58B1E18C" w14:textId="53AF86E3" w:rsidR="00C73E66" w:rsidRDefault="00C73E66" w:rsidP="00DA6654">
            <w:pPr>
              <w:cnfStyle w:val="000000100000" w:firstRow="0" w:lastRow="0" w:firstColumn="0" w:lastColumn="0" w:oddVBand="0" w:evenVBand="0" w:oddHBand="1" w:evenHBand="0" w:firstRowFirstColumn="0" w:firstRowLastColumn="0" w:lastRowFirstColumn="0" w:lastRowLastColumn="0"/>
              <w:rPr>
                <w:lang w:eastAsia="ja-JP"/>
              </w:rPr>
            </w:pPr>
          </w:p>
        </w:tc>
        <w:tc>
          <w:tcPr>
            <w:tcW w:w="4230" w:type="dxa"/>
          </w:tcPr>
          <w:p w14:paraId="3B26A7A7" w14:textId="7E49026F" w:rsidR="00C62517" w:rsidRDefault="00C62517" w:rsidP="00C62517">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That is </w:t>
            </w:r>
            <w:r w:rsidRPr="00C62517">
              <w:rPr>
                <w:lang w:eastAsia="ja-JP"/>
              </w:rPr>
              <w:t>due</w:t>
            </w:r>
            <w:r>
              <w:rPr>
                <w:lang w:eastAsia="ja-JP"/>
              </w:rPr>
              <w:t xml:space="preserve"> to our P</w:t>
            </w:r>
            <w:r w:rsidRPr="00C62517">
              <w:rPr>
                <w:lang w:eastAsia="ja-JP"/>
              </w:rPr>
              <w:t>lant import operations</w:t>
            </w:r>
            <w:r>
              <w:rPr>
                <w:lang w:eastAsia="ja-JP"/>
              </w:rPr>
              <w:t xml:space="preserve"> program currently updating the </w:t>
            </w:r>
            <w:r w:rsidRPr="00C62517">
              <w:rPr>
                <w:lang w:eastAsia="ja-JP"/>
              </w:rPr>
              <w:t>BICON case</w:t>
            </w:r>
            <w:r>
              <w:rPr>
                <w:lang w:eastAsia="ja-JP"/>
              </w:rPr>
              <w:t xml:space="preserve"> to provide more detail </w:t>
            </w:r>
            <w:r w:rsidRPr="00C62517">
              <w:rPr>
                <w:lang w:eastAsia="ja-JP"/>
              </w:rPr>
              <w:t>around</w:t>
            </w:r>
            <w:r>
              <w:rPr>
                <w:lang w:eastAsia="ja-JP"/>
              </w:rPr>
              <w:t xml:space="preserve"> what is considered</w:t>
            </w:r>
            <w:r w:rsidRPr="00C62517">
              <w:rPr>
                <w:lang w:eastAsia="ja-JP"/>
              </w:rPr>
              <w:t xml:space="preserve"> highly processed</w:t>
            </w:r>
            <w:r>
              <w:rPr>
                <w:lang w:eastAsia="ja-JP"/>
              </w:rPr>
              <w:t xml:space="preserve"> so that there is </w:t>
            </w:r>
            <w:r w:rsidRPr="00C62517">
              <w:rPr>
                <w:lang w:eastAsia="ja-JP"/>
              </w:rPr>
              <w:t>no confusion</w:t>
            </w:r>
            <w:r>
              <w:rPr>
                <w:lang w:eastAsia="ja-JP"/>
              </w:rPr>
              <w:t>.</w:t>
            </w:r>
            <w:r w:rsidRPr="00C62517">
              <w:rPr>
                <w:lang w:eastAsia="ja-JP"/>
              </w:rPr>
              <w:t xml:space="preserve"> </w:t>
            </w:r>
            <w:r>
              <w:rPr>
                <w:lang w:eastAsia="ja-JP"/>
              </w:rPr>
              <w:t>The</w:t>
            </w:r>
            <w:r w:rsidRPr="00C62517">
              <w:rPr>
                <w:lang w:eastAsia="ja-JP"/>
              </w:rPr>
              <w:t xml:space="preserve"> update is bei</w:t>
            </w:r>
            <w:r>
              <w:rPr>
                <w:lang w:eastAsia="ja-JP"/>
              </w:rPr>
              <w:t xml:space="preserve">ng </w:t>
            </w:r>
            <w:r>
              <w:rPr>
                <w:lang w:eastAsia="ja-JP"/>
              </w:rPr>
              <w:lastRenderedPageBreak/>
              <w:t>progressed at the moment and we are</w:t>
            </w:r>
            <w:r w:rsidRPr="00C62517">
              <w:rPr>
                <w:lang w:eastAsia="ja-JP"/>
              </w:rPr>
              <w:t xml:space="preserve"> expecting it to go through fairly soon. Once</w:t>
            </w:r>
            <w:r>
              <w:rPr>
                <w:lang w:eastAsia="ja-JP"/>
              </w:rPr>
              <w:t xml:space="preserve"> BICON is updated, we will </w:t>
            </w:r>
            <w:r w:rsidRPr="00C62517">
              <w:rPr>
                <w:lang w:eastAsia="ja-JP"/>
              </w:rPr>
              <w:t>send ou</w:t>
            </w:r>
            <w:r>
              <w:rPr>
                <w:lang w:eastAsia="ja-JP"/>
              </w:rPr>
              <w:t>t an industry advice notice to let everyone know the group is available to be lodged through AEPCOMM.</w:t>
            </w:r>
          </w:p>
        </w:tc>
      </w:tr>
      <w:tr w:rsidR="00DA6654" w14:paraId="08814890"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69DB511C" w14:textId="2D2B3632" w:rsidR="00DA6654" w:rsidRPr="00DA6654" w:rsidRDefault="00DA6654" w:rsidP="00DA6654">
            <w:pPr>
              <w:pStyle w:val="ListParagraph"/>
              <w:numPr>
                <w:ilvl w:val="0"/>
                <w:numId w:val="30"/>
              </w:numPr>
              <w:rPr>
                <w:lang w:eastAsia="ja-JP"/>
              </w:rPr>
            </w:pPr>
          </w:p>
        </w:tc>
        <w:tc>
          <w:tcPr>
            <w:tcW w:w="4252" w:type="dxa"/>
          </w:tcPr>
          <w:p w14:paraId="4AC4DF4E" w14:textId="3735A276"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Will the ACC code now be required for lodgement of all commodities under the AEPCOMM?</w:t>
            </w:r>
          </w:p>
        </w:tc>
        <w:tc>
          <w:tcPr>
            <w:tcW w:w="4230" w:type="dxa"/>
          </w:tcPr>
          <w:p w14:paraId="7DB79FFB" w14:textId="4900888F" w:rsidR="00DA6654" w:rsidRDefault="004B127A" w:rsidP="00A153D7">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No. An ACC code is requi</w:t>
            </w:r>
            <w:r w:rsidR="00D55EA8">
              <w:rPr>
                <w:lang w:eastAsia="ja-JP"/>
              </w:rPr>
              <w:t xml:space="preserve">red </w:t>
            </w:r>
            <w:r>
              <w:rPr>
                <w:lang w:eastAsia="ja-JP"/>
              </w:rPr>
              <w:t>to indicate commodities that fall under a broad</w:t>
            </w:r>
            <w:r w:rsidR="00487EC0">
              <w:rPr>
                <w:lang w:eastAsia="ja-JP"/>
              </w:rPr>
              <w:t xml:space="preserve"> tariff classification</w:t>
            </w:r>
            <w:r w:rsidR="00A153D7">
              <w:rPr>
                <w:lang w:eastAsia="ja-JP"/>
              </w:rPr>
              <w:t xml:space="preserve"> or when specific outcomes are required.</w:t>
            </w:r>
            <w:r>
              <w:rPr>
                <w:lang w:eastAsia="ja-JP"/>
              </w:rPr>
              <w:t xml:space="preserve"> The BICON onshore outcomes will stipulate when an ACC code is required.</w:t>
            </w:r>
          </w:p>
        </w:tc>
      </w:tr>
      <w:tr w:rsidR="00DA6654" w14:paraId="7F153EF1"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2D1CE0C" w14:textId="77777777" w:rsidR="00DA6654" w:rsidRPr="00DA6654" w:rsidRDefault="00DA6654" w:rsidP="00DA6654">
            <w:pPr>
              <w:pStyle w:val="ListParagraph"/>
              <w:numPr>
                <w:ilvl w:val="0"/>
                <w:numId w:val="30"/>
              </w:numPr>
              <w:rPr>
                <w:lang w:eastAsia="ja-JP"/>
              </w:rPr>
            </w:pPr>
          </w:p>
        </w:tc>
        <w:tc>
          <w:tcPr>
            <w:tcW w:w="4252" w:type="dxa"/>
          </w:tcPr>
          <w:p w14:paraId="1D5BBE14" w14:textId="77777777"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What happens if I make a mistake or forget to enter an ACC code to indicate the risk level rating for the fertiliser?</w:t>
            </w:r>
          </w:p>
          <w:p w14:paraId="6397CD1F" w14:textId="77777777" w:rsidR="00C73E66" w:rsidRDefault="00C73E66" w:rsidP="00C73E66">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(Answered live)</w:t>
            </w:r>
          </w:p>
          <w:p w14:paraId="62C970D6" w14:textId="1FA666D4" w:rsidR="00C73E66" w:rsidRDefault="00C73E66" w:rsidP="00DA6654">
            <w:pPr>
              <w:cnfStyle w:val="000000100000" w:firstRow="0" w:lastRow="0" w:firstColumn="0" w:lastColumn="0" w:oddVBand="0" w:evenVBand="0" w:oddHBand="1" w:evenHBand="0" w:firstRowFirstColumn="0" w:firstRowLastColumn="0" w:lastRowFirstColumn="0" w:lastRowLastColumn="0"/>
              <w:rPr>
                <w:lang w:eastAsia="ja-JP"/>
              </w:rPr>
            </w:pPr>
          </w:p>
        </w:tc>
        <w:tc>
          <w:tcPr>
            <w:tcW w:w="4230" w:type="dxa"/>
          </w:tcPr>
          <w:p w14:paraId="64FAA83E" w14:textId="635B593C" w:rsidR="00040D24" w:rsidRDefault="00040D24" w:rsidP="00040D2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The </w:t>
            </w:r>
            <w:r w:rsidRPr="00040D24">
              <w:rPr>
                <w:lang w:eastAsia="ja-JP"/>
              </w:rPr>
              <w:t xml:space="preserve">system will generate </w:t>
            </w:r>
            <w:r>
              <w:rPr>
                <w:lang w:eastAsia="ja-JP"/>
              </w:rPr>
              <w:t xml:space="preserve">an </w:t>
            </w:r>
            <w:r w:rsidRPr="00040D24">
              <w:rPr>
                <w:lang w:eastAsia="ja-JP"/>
              </w:rPr>
              <w:t xml:space="preserve">outcome </w:t>
            </w:r>
            <w:r>
              <w:rPr>
                <w:lang w:eastAsia="ja-JP"/>
              </w:rPr>
              <w:t xml:space="preserve">fertiliser </w:t>
            </w:r>
            <w:r w:rsidRPr="00040D24">
              <w:rPr>
                <w:lang w:eastAsia="ja-JP"/>
              </w:rPr>
              <w:t>risk level 3</w:t>
            </w:r>
            <w:r>
              <w:rPr>
                <w:lang w:eastAsia="ja-JP"/>
              </w:rPr>
              <w:t xml:space="preserve"> (</w:t>
            </w:r>
            <w:r w:rsidRPr="00040D24">
              <w:rPr>
                <w:lang w:eastAsia="ja-JP"/>
              </w:rPr>
              <w:t>which is a higher level of intervention to what is required for risk level 1 and 2</w:t>
            </w:r>
            <w:r>
              <w:rPr>
                <w:lang w:eastAsia="ja-JP"/>
              </w:rPr>
              <w:t>).Therefore</w:t>
            </w:r>
            <w:r w:rsidRPr="00040D24">
              <w:rPr>
                <w:lang w:eastAsia="ja-JP"/>
              </w:rPr>
              <w:t xml:space="preserve"> it is very important that you indicate that ri</w:t>
            </w:r>
            <w:r>
              <w:rPr>
                <w:lang w:eastAsia="ja-JP"/>
              </w:rPr>
              <w:t>sk level rating by applying the correct ACC code.</w:t>
            </w:r>
          </w:p>
        </w:tc>
      </w:tr>
      <w:tr w:rsidR="00DA6654" w14:paraId="6CB30E24"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5DC3D544" w14:textId="77777777" w:rsidR="00DA6654" w:rsidRPr="00DA6654" w:rsidRDefault="00DA6654" w:rsidP="00DA6654">
            <w:pPr>
              <w:pStyle w:val="ListParagraph"/>
              <w:numPr>
                <w:ilvl w:val="0"/>
                <w:numId w:val="30"/>
              </w:numPr>
              <w:rPr>
                <w:lang w:eastAsia="ja-JP"/>
              </w:rPr>
            </w:pPr>
          </w:p>
        </w:tc>
        <w:tc>
          <w:tcPr>
            <w:tcW w:w="4252" w:type="dxa"/>
          </w:tcPr>
          <w:p w14:paraId="51A4FF85" w14:textId="77777777"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Is there an ACC code for risk level 3 fertiliser?</w:t>
            </w:r>
          </w:p>
          <w:p w14:paraId="7ADA3384" w14:textId="7E277E76" w:rsidR="00C73E66" w:rsidRDefault="00C73E66" w:rsidP="00C73E6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(Answered live)</w:t>
            </w:r>
          </w:p>
        </w:tc>
        <w:tc>
          <w:tcPr>
            <w:tcW w:w="4230" w:type="dxa"/>
          </w:tcPr>
          <w:p w14:paraId="1FF748DD" w14:textId="3CA28631" w:rsidR="00173B24" w:rsidRDefault="00173B24" w:rsidP="00173B2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No. As discussed there is no ACC code required for fertiliser categorised as risk level 3.</w:t>
            </w:r>
          </w:p>
        </w:tc>
      </w:tr>
      <w:tr w:rsidR="00DA6654" w14:paraId="49A06B4D"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088D0ED" w14:textId="77777777" w:rsidR="00DA6654" w:rsidRPr="00DA6654" w:rsidRDefault="00DA6654" w:rsidP="00DA6654">
            <w:pPr>
              <w:pStyle w:val="ListParagraph"/>
              <w:numPr>
                <w:ilvl w:val="0"/>
                <w:numId w:val="30"/>
              </w:numPr>
              <w:rPr>
                <w:lang w:eastAsia="ja-JP"/>
              </w:rPr>
            </w:pPr>
          </w:p>
        </w:tc>
        <w:tc>
          <w:tcPr>
            <w:tcW w:w="4252" w:type="dxa"/>
          </w:tcPr>
          <w:p w14:paraId="2C325C56" w14:textId="07D21C7D" w:rsidR="00DA6654" w:rsidRDefault="007F753B"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T</w:t>
            </w:r>
            <w:r w:rsidR="00DA6654" w:rsidRPr="00725E11">
              <w:rPr>
                <w:lang w:eastAsia="ja-JP"/>
              </w:rPr>
              <w:t xml:space="preserve">here is a </w:t>
            </w:r>
            <w:r w:rsidR="006B0F79" w:rsidRPr="00725E11">
              <w:rPr>
                <w:lang w:eastAsia="ja-JP"/>
              </w:rPr>
              <w:t>21-day</w:t>
            </w:r>
            <w:r w:rsidR="00DA6654" w:rsidRPr="00725E11">
              <w:rPr>
                <w:lang w:eastAsia="ja-JP"/>
              </w:rPr>
              <w:t xml:space="preserve"> export condition after treatment for dried willow and wicker which I think was not mentioned.</w:t>
            </w:r>
          </w:p>
        </w:tc>
        <w:tc>
          <w:tcPr>
            <w:tcW w:w="4230" w:type="dxa"/>
          </w:tcPr>
          <w:p w14:paraId="230D2064" w14:textId="3D75D394" w:rsidR="00DA6654" w:rsidRDefault="00093768"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Yes. Documentation provided for clearance of a commodity must comply with the requirements stipulated in the relevant BICON case.</w:t>
            </w:r>
          </w:p>
        </w:tc>
      </w:tr>
      <w:tr w:rsidR="00DA6654" w14:paraId="2DD8B50A"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3E707F3C" w14:textId="77777777" w:rsidR="00DA6654" w:rsidRPr="00DA6654" w:rsidRDefault="00DA6654" w:rsidP="00DA6654">
            <w:pPr>
              <w:pStyle w:val="ListParagraph"/>
              <w:numPr>
                <w:ilvl w:val="0"/>
                <w:numId w:val="30"/>
              </w:numPr>
              <w:rPr>
                <w:lang w:eastAsia="ja-JP"/>
              </w:rPr>
            </w:pPr>
          </w:p>
        </w:tc>
        <w:tc>
          <w:tcPr>
            <w:tcW w:w="4252" w:type="dxa"/>
          </w:tcPr>
          <w:p w14:paraId="2A41540C" w14:textId="7E1ECC49"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My question has now been answered, only for risk level 1 &amp; 2.  Thanks</w:t>
            </w:r>
          </w:p>
        </w:tc>
        <w:tc>
          <w:tcPr>
            <w:tcW w:w="4230" w:type="dxa"/>
          </w:tcPr>
          <w:p w14:paraId="2742197E" w14:textId="628C7879" w:rsidR="00DA6654" w:rsidRDefault="008A2334" w:rsidP="00DA665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An ACC code is required for fertilisers classified as risk level 1 and risk level 2. Fertilisers classified as risk level 3 does not require an ACC code.</w:t>
            </w:r>
          </w:p>
        </w:tc>
      </w:tr>
      <w:tr w:rsidR="00DA6654" w14:paraId="2E17AC20"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4336B15" w14:textId="77777777" w:rsidR="00DA6654" w:rsidRPr="00DA6654" w:rsidRDefault="00DA6654" w:rsidP="00DA6654">
            <w:pPr>
              <w:pStyle w:val="ListParagraph"/>
              <w:numPr>
                <w:ilvl w:val="0"/>
                <w:numId w:val="30"/>
              </w:numPr>
              <w:rPr>
                <w:lang w:eastAsia="ja-JP"/>
              </w:rPr>
            </w:pPr>
          </w:p>
        </w:tc>
        <w:tc>
          <w:tcPr>
            <w:tcW w:w="4252" w:type="dxa"/>
          </w:tcPr>
          <w:p w14:paraId="4C2B682E" w14:textId="77777777"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 xml:space="preserve">What if the importer assures me that the fertiliser is risk level 1 or 2 but I don’t have documentary evidence in the form of a certificate or a man </w:t>
            </w:r>
            <w:proofErr w:type="spellStart"/>
            <w:r w:rsidRPr="00725E11">
              <w:rPr>
                <w:lang w:eastAsia="ja-JP"/>
              </w:rPr>
              <w:t>dec</w:t>
            </w:r>
            <w:proofErr w:type="spellEnd"/>
            <w:r w:rsidRPr="00725E11">
              <w:rPr>
                <w:lang w:eastAsia="ja-JP"/>
              </w:rPr>
              <w:t>?</w:t>
            </w:r>
          </w:p>
          <w:p w14:paraId="38489B88" w14:textId="77777777" w:rsidR="00C73E66" w:rsidRDefault="00C73E66" w:rsidP="00C73E66">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(Answered live)</w:t>
            </w:r>
          </w:p>
          <w:p w14:paraId="6DA6184C" w14:textId="7E8FFCC2" w:rsidR="00C73E66" w:rsidRDefault="00C73E66" w:rsidP="00DA6654">
            <w:pPr>
              <w:cnfStyle w:val="000000100000" w:firstRow="0" w:lastRow="0" w:firstColumn="0" w:lastColumn="0" w:oddVBand="0" w:evenVBand="0" w:oddHBand="1" w:evenHBand="0" w:firstRowFirstColumn="0" w:firstRowLastColumn="0" w:lastRowFirstColumn="0" w:lastRowLastColumn="0"/>
              <w:rPr>
                <w:lang w:eastAsia="ja-JP"/>
              </w:rPr>
            </w:pPr>
          </w:p>
        </w:tc>
        <w:tc>
          <w:tcPr>
            <w:tcW w:w="4230" w:type="dxa"/>
          </w:tcPr>
          <w:p w14:paraId="17FF0962" w14:textId="4278B706" w:rsidR="003046BE" w:rsidRDefault="003046BE" w:rsidP="003046BE">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In that case, you are required to </w:t>
            </w:r>
            <w:r w:rsidRPr="003046BE">
              <w:rPr>
                <w:lang w:eastAsia="ja-JP"/>
              </w:rPr>
              <w:t xml:space="preserve">lodge the documents to the department for assessment. </w:t>
            </w:r>
            <w:r>
              <w:rPr>
                <w:lang w:eastAsia="ja-JP"/>
              </w:rPr>
              <w:t>D</w:t>
            </w:r>
            <w:r w:rsidRPr="003046BE">
              <w:rPr>
                <w:lang w:eastAsia="ja-JP"/>
              </w:rPr>
              <w:t>ocumentary evidence</w:t>
            </w:r>
            <w:r>
              <w:rPr>
                <w:lang w:eastAsia="ja-JP"/>
              </w:rPr>
              <w:t xml:space="preserve"> via a certificate, or as statement</w:t>
            </w:r>
            <w:r w:rsidRPr="003046BE">
              <w:rPr>
                <w:lang w:eastAsia="ja-JP"/>
              </w:rPr>
              <w:t xml:space="preserve"> on the manufacturer's declaration is req</w:t>
            </w:r>
            <w:r>
              <w:rPr>
                <w:lang w:eastAsia="ja-JP"/>
              </w:rPr>
              <w:t>uired in order to determine the</w:t>
            </w:r>
            <w:r w:rsidRPr="003046BE">
              <w:rPr>
                <w:lang w:eastAsia="ja-JP"/>
              </w:rPr>
              <w:t xml:space="preserve"> risk level</w:t>
            </w:r>
            <w:r>
              <w:rPr>
                <w:lang w:eastAsia="ja-JP"/>
              </w:rPr>
              <w:t>. If the</w:t>
            </w:r>
            <w:r w:rsidRPr="003046BE">
              <w:rPr>
                <w:lang w:eastAsia="ja-JP"/>
              </w:rPr>
              <w:t xml:space="preserve"> consignment is selected for </w:t>
            </w:r>
            <w:r>
              <w:rPr>
                <w:lang w:eastAsia="ja-JP"/>
              </w:rPr>
              <w:t xml:space="preserve">document assessment </w:t>
            </w:r>
            <w:r w:rsidRPr="003046BE">
              <w:rPr>
                <w:lang w:eastAsia="ja-JP"/>
              </w:rPr>
              <w:t>verification</w:t>
            </w:r>
            <w:r>
              <w:rPr>
                <w:lang w:eastAsia="ja-JP"/>
              </w:rPr>
              <w:t xml:space="preserve"> you are required to present evidence, if no evidence is presented this will be </w:t>
            </w:r>
            <w:r w:rsidRPr="003046BE">
              <w:rPr>
                <w:lang w:eastAsia="ja-JP"/>
              </w:rPr>
              <w:t>considered</w:t>
            </w:r>
            <w:r>
              <w:rPr>
                <w:lang w:eastAsia="ja-JP"/>
              </w:rPr>
              <w:t xml:space="preserve"> noncompliance.</w:t>
            </w:r>
          </w:p>
        </w:tc>
      </w:tr>
      <w:tr w:rsidR="00DA6654" w14:paraId="62880EF0"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5E9DD58D" w14:textId="77777777" w:rsidR="00DA6654" w:rsidRPr="00DA6654" w:rsidRDefault="00DA6654" w:rsidP="00DA6654">
            <w:pPr>
              <w:pStyle w:val="ListParagraph"/>
              <w:numPr>
                <w:ilvl w:val="0"/>
                <w:numId w:val="30"/>
              </w:numPr>
              <w:rPr>
                <w:lang w:eastAsia="ja-JP"/>
              </w:rPr>
            </w:pPr>
          </w:p>
        </w:tc>
        <w:tc>
          <w:tcPr>
            <w:tcW w:w="4252" w:type="dxa"/>
          </w:tcPr>
          <w:p w14:paraId="54837CAF" w14:textId="77777777"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Will the ASG team be undertaking this training as there is little consistency in</w:t>
            </w:r>
            <w:r w:rsidR="007C1C11">
              <w:rPr>
                <w:lang w:eastAsia="ja-JP"/>
              </w:rPr>
              <w:t xml:space="preserve"> their interpretations?  </w:t>
            </w:r>
          </w:p>
          <w:p w14:paraId="5D3311F4" w14:textId="3664BD21" w:rsidR="00C73E66" w:rsidRDefault="00C73E66" w:rsidP="00C73E66">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(Answered live)</w:t>
            </w:r>
          </w:p>
        </w:tc>
        <w:tc>
          <w:tcPr>
            <w:tcW w:w="4230" w:type="dxa"/>
          </w:tcPr>
          <w:p w14:paraId="0B449EAD" w14:textId="129D99E2" w:rsidR="0000680D" w:rsidRDefault="0000680D" w:rsidP="0000680D">
            <w:pPr>
              <w:cnfStyle w:val="000000000000" w:firstRow="0" w:lastRow="0" w:firstColumn="0" w:lastColumn="0" w:oddVBand="0" w:evenVBand="0" w:oddHBand="0" w:evenHBand="0" w:firstRowFirstColumn="0" w:firstRowLastColumn="0" w:lastRowFirstColumn="0" w:lastRowLastColumn="0"/>
              <w:rPr>
                <w:lang w:eastAsia="ja-JP"/>
              </w:rPr>
            </w:pPr>
            <w:r w:rsidRPr="0000680D">
              <w:rPr>
                <w:lang w:eastAsia="ja-JP"/>
              </w:rPr>
              <w:t>Yes. All these tutorial</w:t>
            </w:r>
            <w:r>
              <w:rPr>
                <w:lang w:eastAsia="ja-JP"/>
              </w:rPr>
              <w:t>s will be made available for our staff as well and they will</w:t>
            </w:r>
            <w:r w:rsidRPr="0000680D">
              <w:rPr>
                <w:lang w:eastAsia="ja-JP"/>
              </w:rPr>
              <w:t xml:space="preserve"> perform their assessments in accordance with BICON</w:t>
            </w:r>
            <w:r>
              <w:rPr>
                <w:lang w:eastAsia="ja-JP"/>
              </w:rPr>
              <w:t>,</w:t>
            </w:r>
            <w:r w:rsidRPr="0000680D">
              <w:rPr>
                <w:lang w:eastAsia="ja-JP"/>
              </w:rPr>
              <w:t xml:space="preserve"> as is required for industry participants.</w:t>
            </w:r>
          </w:p>
        </w:tc>
      </w:tr>
      <w:tr w:rsidR="00DA6654" w14:paraId="1D773A8B"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07439D7" w14:textId="77777777" w:rsidR="00DA6654" w:rsidRPr="00DA6654" w:rsidRDefault="00DA6654" w:rsidP="00DA6654">
            <w:pPr>
              <w:pStyle w:val="ListParagraph"/>
              <w:numPr>
                <w:ilvl w:val="0"/>
                <w:numId w:val="30"/>
              </w:numPr>
              <w:rPr>
                <w:lang w:eastAsia="ja-JP"/>
              </w:rPr>
            </w:pPr>
          </w:p>
        </w:tc>
        <w:tc>
          <w:tcPr>
            <w:tcW w:w="4252" w:type="dxa"/>
          </w:tcPr>
          <w:p w14:paraId="18B200F4" w14:textId="09797EAC" w:rsidR="00DA6654" w:rsidRDefault="00DA6654" w:rsidP="00EF1E37">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Where ASG make errors what should we do to escalate the error so they are further trained/corrected</w:t>
            </w:r>
            <w:r w:rsidR="00EF1E37">
              <w:rPr>
                <w:lang w:eastAsia="ja-JP"/>
              </w:rPr>
              <w:t>.</w:t>
            </w:r>
          </w:p>
        </w:tc>
        <w:tc>
          <w:tcPr>
            <w:tcW w:w="4230" w:type="dxa"/>
          </w:tcPr>
          <w:p w14:paraId="1479ABCD" w14:textId="2DE39927" w:rsidR="00EF1E37" w:rsidRDefault="00EF1E37"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If you believe that an AEP lodgement has been processed incorrectly by the department you can request a re-assessment through the COLS system.</w:t>
            </w:r>
          </w:p>
          <w:p w14:paraId="7FDB5C77" w14:textId="0835D6AF" w:rsidR="00DA6654" w:rsidRDefault="00EF1E37"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If you believe the issue was not resolved please contact the AEP support team through </w:t>
            </w:r>
            <w:hyperlink r:id="rId8" w:history="1">
              <w:r w:rsidRPr="00AB7555">
                <w:rPr>
                  <w:rStyle w:val="Hyperlink"/>
                  <w:lang w:eastAsia="ja-JP"/>
                </w:rPr>
                <w:t>aepsupport@awe.gov.au</w:t>
              </w:r>
            </w:hyperlink>
            <w:r>
              <w:rPr>
                <w:lang w:eastAsia="ja-JP"/>
              </w:rPr>
              <w:t xml:space="preserve">. </w:t>
            </w:r>
          </w:p>
        </w:tc>
      </w:tr>
      <w:tr w:rsidR="00DA6654" w14:paraId="75F6D201"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1DB66935" w14:textId="1AC0A21B" w:rsidR="00DA6654" w:rsidRPr="00DA6654" w:rsidRDefault="00DA6654" w:rsidP="00DA6654">
            <w:pPr>
              <w:pStyle w:val="ListParagraph"/>
              <w:numPr>
                <w:ilvl w:val="0"/>
                <w:numId w:val="30"/>
              </w:numPr>
              <w:rPr>
                <w:lang w:eastAsia="ja-JP"/>
              </w:rPr>
            </w:pPr>
          </w:p>
        </w:tc>
        <w:tc>
          <w:tcPr>
            <w:tcW w:w="4252" w:type="dxa"/>
          </w:tcPr>
          <w:p w14:paraId="020D9CF9" w14:textId="16663B99"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CAT 1 level Accredited suppliers are not listed for Brokers to access - Importers can ask suppli</w:t>
            </w:r>
            <w:r>
              <w:rPr>
                <w:lang w:eastAsia="ja-JP"/>
              </w:rPr>
              <w:t>ers but suppliers will not prov</w:t>
            </w:r>
            <w:r w:rsidRPr="00725E11">
              <w:rPr>
                <w:lang w:eastAsia="ja-JP"/>
              </w:rPr>
              <w:t>ide written evidence. Can Brokers have access to CAT level suppliers via BICON</w:t>
            </w:r>
          </w:p>
        </w:tc>
        <w:tc>
          <w:tcPr>
            <w:tcW w:w="4230" w:type="dxa"/>
          </w:tcPr>
          <w:p w14:paraId="5F4BB1F4" w14:textId="35241F1B" w:rsidR="00DA6654" w:rsidRDefault="00E32974" w:rsidP="00E46B28">
            <w:pPr>
              <w:cnfStyle w:val="000000000000" w:firstRow="0" w:lastRow="0" w:firstColumn="0" w:lastColumn="0" w:oddVBand="0" w:evenVBand="0" w:oddHBand="0" w:evenHBand="0" w:firstRowFirstColumn="0" w:firstRowLastColumn="0" w:lastRowFirstColumn="0" w:lastRowLastColumn="0"/>
              <w:rPr>
                <w:lang w:eastAsia="ja-JP"/>
              </w:rPr>
            </w:pPr>
            <w:r w:rsidRPr="00F87DDD">
              <w:rPr>
                <w:lang w:eastAsia="ja-JP"/>
              </w:rPr>
              <w:t>At this stage evidence of fertiliser risk level must be obtained from the supplier</w:t>
            </w:r>
            <w:r w:rsidR="00312EFF" w:rsidRPr="00F87DDD">
              <w:rPr>
                <w:lang w:eastAsia="ja-JP"/>
              </w:rPr>
              <w:t>/manufacturer</w:t>
            </w:r>
            <w:r w:rsidR="00E46B28" w:rsidRPr="00F87DDD">
              <w:rPr>
                <w:lang w:eastAsia="ja-JP"/>
              </w:rPr>
              <w:t xml:space="preserve"> as this type of information is identified as Commercial in confidence.</w:t>
            </w:r>
            <w:r>
              <w:rPr>
                <w:lang w:eastAsia="ja-JP"/>
              </w:rPr>
              <w:t xml:space="preserve"> </w:t>
            </w:r>
          </w:p>
        </w:tc>
      </w:tr>
      <w:tr w:rsidR="00DA6654" w14:paraId="2FB2AD16"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592B17B1" w14:textId="77777777" w:rsidR="00DA6654" w:rsidRPr="00DA6654" w:rsidRDefault="00DA6654" w:rsidP="00DA6654">
            <w:pPr>
              <w:pStyle w:val="ListParagraph"/>
              <w:numPr>
                <w:ilvl w:val="0"/>
                <w:numId w:val="30"/>
              </w:numPr>
              <w:rPr>
                <w:lang w:eastAsia="ja-JP"/>
              </w:rPr>
            </w:pPr>
          </w:p>
        </w:tc>
        <w:tc>
          <w:tcPr>
            <w:tcW w:w="4252" w:type="dxa"/>
          </w:tcPr>
          <w:p w14:paraId="18E36494" w14:textId="45351FC4"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What happens when a HS, CP AQIS Question and/or AEPCOMM code BICON case is being updated and we have a consignment that has met the previously listed BICON &amp; AEPCOMM requirements, however the goods arrive while BICON AEPCOMM is on hold and or the previous requirements are now no longer valid as they have been updated - however the importer met the requirements before the goods left origin &amp; AWE change them while in transit?</w:t>
            </w:r>
          </w:p>
        </w:tc>
        <w:tc>
          <w:tcPr>
            <w:tcW w:w="4230" w:type="dxa"/>
          </w:tcPr>
          <w:p w14:paraId="03B2A73E" w14:textId="6BBA6795" w:rsidR="00312EFF" w:rsidRDefault="00312EFF" w:rsidP="00312EFF">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The department will consider this issue on a case by case basis</w:t>
            </w:r>
            <w:r w:rsidR="00376B64">
              <w:rPr>
                <w:lang w:eastAsia="ja-JP"/>
              </w:rPr>
              <w:t>. It is crucial that accredited persons adhere to conditions of the approved arrangement and keep records of a consignment’s documentation for evidence of their assessment at the time.</w:t>
            </w:r>
          </w:p>
          <w:p w14:paraId="6696511D" w14:textId="475BAD5A" w:rsidR="00376B64" w:rsidRDefault="00376B64" w:rsidP="00376B6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BICON has a ‘history’ repository that records all changes to the relevant cases that can be accessed to determine compliance.</w:t>
            </w:r>
          </w:p>
        </w:tc>
      </w:tr>
      <w:tr w:rsidR="00DA6654" w14:paraId="271DD4C3"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4BE62BF5" w14:textId="77C6AEEA" w:rsidR="00DA6654" w:rsidRPr="00DA6654" w:rsidRDefault="00DA6654" w:rsidP="00DA6654">
            <w:pPr>
              <w:pStyle w:val="ListParagraph"/>
              <w:numPr>
                <w:ilvl w:val="0"/>
                <w:numId w:val="30"/>
              </w:numPr>
              <w:rPr>
                <w:lang w:eastAsia="ja-JP"/>
              </w:rPr>
            </w:pPr>
          </w:p>
        </w:tc>
        <w:tc>
          <w:tcPr>
            <w:tcW w:w="4252" w:type="dxa"/>
          </w:tcPr>
          <w:p w14:paraId="08DAAD96" w14:textId="485B46E7" w:rsidR="00DA6654" w:rsidRDefault="00DA6654" w:rsidP="00650F37">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Under existing AEPCOMM new motor vehicle parts (BMSB season), some specific classifications/origins (High risk)</w:t>
            </w:r>
            <w:r w:rsidR="00650F37">
              <w:rPr>
                <w:lang w:eastAsia="ja-JP"/>
              </w:rPr>
              <w:t xml:space="preserve"> </w:t>
            </w:r>
            <w:r w:rsidRPr="00725E11">
              <w:rPr>
                <w:lang w:eastAsia="ja-JP"/>
              </w:rPr>
              <w:t>are approved, but I can have up to 960 entry lines and 15x40' containers every fortnight - why does the system approve those AEP lines (and gives me a direction for treatment - MB), other lines restricts (Low risk/ class not subject to AEP- rubber goods etc.) as not AEPCOMM approved - present docs to DAWE and 3rd direct</w:t>
            </w:r>
            <w:r w:rsidR="001639D1">
              <w:rPr>
                <w:lang w:eastAsia="ja-JP"/>
              </w:rPr>
              <w:t xml:space="preserve">ion to submit ALL docs via COLS? </w:t>
            </w:r>
            <w:r w:rsidRPr="00725E11">
              <w:rPr>
                <w:lang w:eastAsia="ja-JP"/>
              </w:rPr>
              <w:t>Surely the system can be set up to detect that the 1 direction is sufficient</w:t>
            </w:r>
          </w:p>
        </w:tc>
        <w:tc>
          <w:tcPr>
            <w:tcW w:w="4230" w:type="dxa"/>
          </w:tcPr>
          <w:p w14:paraId="6717F7E1" w14:textId="77777777" w:rsidR="002B5A74" w:rsidRPr="002B5A74" w:rsidRDefault="002B5A74" w:rsidP="002B5A74">
            <w:pPr>
              <w:pStyle w:val="CommentText"/>
              <w:cnfStyle w:val="000000000000" w:firstRow="0" w:lastRow="0" w:firstColumn="0" w:lastColumn="0" w:oddVBand="0" w:evenVBand="0" w:oddHBand="0" w:evenHBand="0" w:firstRowFirstColumn="0" w:firstRowLastColumn="0" w:lastRowFirstColumn="0" w:lastRowLastColumn="0"/>
              <w:rPr>
                <w:sz w:val="22"/>
                <w:szCs w:val="22"/>
                <w:lang w:eastAsia="ja-JP"/>
              </w:rPr>
            </w:pPr>
            <w:r w:rsidRPr="002B5A74">
              <w:rPr>
                <w:sz w:val="22"/>
                <w:szCs w:val="22"/>
                <w:lang w:eastAsia="ja-JP"/>
              </w:rPr>
              <w:t>The system cannot be set up to provide a ‘blanket’ treatment direction for example, as it needs to consider the individual biosecurity risk associated with each product line that is subject to biosecurity control.</w:t>
            </w:r>
          </w:p>
          <w:p w14:paraId="1D8D5CB0" w14:textId="41FE3304" w:rsidR="002B5A74" w:rsidRPr="002B5A74" w:rsidRDefault="002B5A74" w:rsidP="002B5A74">
            <w:pPr>
              <w:pStyle w:val="CommentText"/>
              <w:cnfStyle w:val="000000000000" w:firstRow="0" w:lastRow="0" w:firstColumn="0" w:lastColumn="0" w:oddVBand="0" w:evenVBand="0" w:oddHBand="0" w:evenHBand="0" w:firstRowFirstColumn="0" w:firstRowLastColumn="0" w:lastRowFirstColumn="0" w:lastRowLastColumn="0"/>
              <w:rPr>
                <w:sz w:val="22"/>
                <w:szCs w:val="22"/>
              </w:rPr>
            </w:pPr>
            <w:r w:rsidRPr="002B5A74">
              <w:rPr>
                <w:sz w:val="22"/>
                <w:szCs w:val="22"/>
              </w:rPr>
              <w:t>All BMSB ‘target high risk goods’ tariffs are in scope for AEPCOMM however, if there are lines not subject to BMSB on the same entry which have active Biosecurity profiles and the tariff is not in scope for AEPCOMM, then the system will refer the line for assessment.</w:t>
            </w:r>
          </w:p>
          <w:p w14:paraId="48420099" w14:textId="68143FEF" w:rsidR="003C211D" w:rsidRPr="002B5A74" w:rsidRDefault="002B5A74" w:rsidP="002B5A74">
            <w:pPr>
              <w:pStyle w:val="CommentText"/>
              <w:cnfStyle w:val="000000000000" w:firstRow="0" w:lastRow="0" w:firstColumn="0" w:lastColumn="0" w:oddVBand="0" w:evenVBand="0" w:oddHBand="0" w:evenHBand="0" w:firstRowFirstColumn="0" w:firstRowLastColumn="0" w:lastRowFirstColumn="0" w:lastRowLastColumn="0"/>
              <w:rPr>
                <w:sz w:val="22"/>
                <w:szCs w:val="22"/>
              </w:rPr>
            </w:pPr>
            <w:r w:rsidRPr="002B5A74">
              <w:rPr>
                <w:sz w:val="22"/>
                <w:szCs w:val="22"/>
              </w:rPr>
              <w:t xml:space="preserve">If there are any concerns with a particular lodgement where you think all lines should have processed through AEP then please email: </w:t>
            </w:r>
            <w:hyperlink r:id="rId9" w:history="1">
              <w:r w:rsidRPr="002B5A74">
                <w:rPr>
                  <w:rStyle w:val="Hyperlink"/>
                  <w:sz w:val="22"/>
                  <w:szCs w:val="22"/>
                </w:rPr>
                <w:t>aepsupport@awe.gov.au</w:t>
              </w:r>
            </w:hyperlink>
            <w:r w:rsidRPr="002B5A74">
              <w:rPr>
                <w:rStyle w:val="Hyperlink"/>
                <w:sz w:val="22"/>
                <w:szCs w:val="22"/>
              </w:rPr>
              <w:t xml:space="preserve"> </w:t>
            </w:r>
            <w:r w:rsidRPr="002B5A74">
              <w:rPr>
                <w:sz w:val="22"/>
                <w:szCs w:val="22"/>
              </w:rPr>
              <w:t>for advice.</w:t>
            </w:r>
          </w:p>
        </w:tc>
      </w:tr>
      <w:tr w:rsidR="00DA6654" w14:paraId="6F4CDD49"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F9B19E5" w14:textId="77777777" w:rsidR="00DA6654" w:rsidRPr="00DA6654" w:rsidRDefault="00DA6654" w:rsidP="00DA6654">
            <w:pPr>
              <w:pStyle w:val="ListParagraph"/>
              <w:numPr>
                <w:ilvl w:val="0"/>
                <w:numId w:val="30"/>
              </w:numPr>
              <w:rPr>
                <w:lang w:eastAsia="ja-JP"/>
              </w:rPr>
            </w:pPr>
          </w:p>
        </w:tc>
        <w:tc>
          <w:tcPr>
            <w:tcW w:w="4252" w:type="dxa"/>
          </w:tcPr>
          <w:p w14:paraId="6A36518C" w14:textId="10416669" w:rsidR="00DA6654" w:rsidRPr="00F87DDD"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F87DDD">
              <w:rPr>
                <w:lang w:eastAsia="ja-JP"/>
              </w:rPr>
              <w:t xml:space="preserve">How do we get a </w:t>
            </w:r>
            <w:r w:rsidR="00D04232" w:rsidRPr="00F87DDD">
              <w:rPr>
                <w:lang w:eastAsia="ja-JP"/>
              </w:rPr>
              <w:t xml:space="preserve">fertiliser </w:t>
            </w:r>
            <w:r w:rsidRPr="00F87DDD">
              <w:rPr>
                <w:lang w:eastAsia="ja-JP"/>
              </w:rPr>
              <w:t>supplier certified?</w:t>
            </w:r>
          </w:p>
        </w:tc>
        <w:tc>
          <w:tcPr>
            <w:tcW w:w="4230" w:type="dxa"/>
          </w:tcPr>
          <w:p w14:paraId="40E36956" w14:textId="2AAE4DD8" w:rsidR="00D04232" w:rsidRDefault="00D04232" w:rsidP="00D04232">
            <w:pPr>
              <w:cnfStyle w:val="000000100000" w:firstRow="0" w:lastRow="0" w:firstColumn="0" w:lastColumn="0" w:oddVBand="0" w:evenVBand="0" w:oddHBand="1" w:evenHBand="0" w:firstRowFirstColumn="0" w:firstRowLastColumn="0" w:lastRowFirstColumn="0" w:lastRowLastColumn="0"/>
              <w:rPr>
                <w:lang w:eastAsia="ja-JP"/>
              </w:rPr>
            </w:pPr>
            <w:r w:rsidRPr="00F87DDD">
              <w:rPr>
                <w:lang w:eastAsia="ja-JP"/>
              </w:rPr>
              <w:t xml:space="preserve">Please refer all your queries in regards to supply chain classification to </w:t>
            </w:r>
            <w:hyperlink r:id="rId10" w:history="1">
              <w:r w:rsidRPr="00F87DDD">
                <w:rPr>
                  <w:rStyle w:val="Hyperlink"/>
                  <w:lang w:eastAsia="ja-JP"/>
                </w:rPr>
                <w:t>airandseacargo@awe.gov.au</w:t>
              </w:r>
            </w:hyperlink>
            <w:r w:rsidRPr="00F87DDD">
              <w:rPr>
                <w:lang w:eastAsia="ja-JP"/>
              </w:rPr>
              <w:t>.</w:t>
            </w:r>
            <w:r>
              <w:rPr>
                <w:lang w:eastAsia="ja-JP"/>
              </w:rPr>
              <w:t xml:space="preserve"> </w:t>
            </w:r>
          </w:p>
        </w:tc>
      </w:tr>
      <w:tr w:rsidR="00DA6654" w14:paraId="00065D8B"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5D754974" w14:textId="77777777" w:rsidR="00DA6654" w:rsidRPr="00DA6654" w:rsidRDefault="00DA6654" w:rsidP="00DA6654">
            <w:pPr>
              <w:pStyle w:val="ListParagraph"/>
              <w:numPr>
                <w:ilvl w:val="0"/>
                <w:numId w:val="30"/>
              </w:numPr>
              <w:rPr>
                <w:lang w:eastAsia="ja-JP"/>
              </w:rPr>
            </w:pPr>
          </w:p>
        </w:tc>
        <w:tc>
          <w:tcPr>
            <w:tcW w:w="4252" w:type="dxa"/>
          </w:tcPr>
          <w:p w14:paraId="668930E1" w14:textId="46ECD1E2" w:rsidR="00DA6654" w:rsidRPr="00F87DDD" w:rsidRDefault="00DA6654" w:rsidP="00E948D7">
            <w:pPr>
              <w:cnfStyle w:val="000000000000" w:firstRow="0" w:lastRow="0" w:firstColumn="0" w:lastColumn="0" w:oddVBand="0" w:evenVBand="0" w:oddHBand="0" w:evenHBand="0" w:firstRowFirstColumn="0" w:firstRowLastColumn="0" w:lastRowFirstColumn="0" w:lastRowLastColumn="0"/>
              <w:rPr>
                <w:lang w:eastAsia="ja-JP"/>
              </w:rPr>
            </w:pPr>
            <w:r w:rsidRPr="00F87DDD">
              <w:rPr>
                <w:lang w:eastAsia="ja-JP"/>
              </w:rPr>
              <w:t>Does each</w:t>
            </w:r>
            <w:r w:rsidR="00E948D7" w:rsidRPr="00F87DDD">
              <w:rPr>
                <w:lang w:eastAsia="ja-JP"/>
              </w:rPr>
              <w:t xml:space="preserve"> fertiliser </w:t>
            </w:r>
            <w:r w:rsidRPr="00F87DDD">
              <w:rPr>
                <w:lang w:eastAsia="ja-JP"/>
              </w:rPr>
              <w:t>sh</w:t>
            </w:r>
            <w:r w:rsidR="00B715C0" w:rsidRPr="00F87DDD">
              <w:rPr>
                <w:lang w:eastAsia="ja-JP"/>
              </w:rPr>
              <w:t>ipment have to be assessed for r</w:t>
            </w:r>
            <w:r w:rsidRPr="00F87DDD">
              <w:rPr>
                <w:lang w:eastAsia="ja-JP"/>
              </w:rPr>
              <w:t xml:space="preserve">isk by </w:t>
            </w:r>
            <w:r w:rsidR="00B715C0" w:rsidRPr="00F87DDD">
              <w:rPr>
                <w:lang w:eastAsia="ja-JP"/>
              </w:rPr>
              <w:t>department?</w:t>
            </w:r>
          </w:p>
        </w:tc>
        <w:tc>
          <w:tcPr>
            <w:tcW w:w="4230" w:type="dxa"/>
          </w:tcPr>
          <w:p w14:paraId="38250A3B" w14:textId="57060E00" w:rsidR="00DA6654" w:rsidRDefault="00F87DDD" w:rsidP="00DA6654">
            <w:pPr>
              <w:cnfStyle w:val="000000000000" w:firstRow="0" w:lastRow="0" w:firstColumn="0" w:lastColumn="0" w:oddVBand="0" w:evenVBand="0" w:oddHBand="0" w:evenHBand="0" w:firstRowFirstColumn="0" w:firstRowLastColumn="0" w:lastRowFirstColumn="0" w:lastRowLastColumn="0"/>
              <w:rPr>
                <w:lang w:eastAsia="ja-JP"/>
              </w:rPr>
            </w:pPr>
            <w:r w:rsidRPr="00F87DDD">
              <w:rPr>
                <w:lang w:eastAsia="ja-JP"/>
              </w:rPr>
              <w:t>No</w:t>
            </w:r>
            <w:r w:rsidR="00767AEC">
              <w:rPr>
                <w:lang w:eastAsia="ja-JP"/>
              </w:rPr>
              <w:t>.</w:t>
            </w:r>
            <w:r w:rsidRPr="00F87DDD">
              <w:rPr>
                <w:lang w:eastAsia="ja-JP"/>
              </w:rPr>
              <w:t xml:space="preserve"> </w:t>
            </w:r>
            <w:r w:rsidR="00767AEC">
              <w:rPr>
                <w:lang w:eastAsia="ja-JP"/>
              </w:rPr>
              <w:t>I</w:t>
            </w:r>
            <w:r w:rsidRPr="00F87DDD">
              <w:rPr>
                <w:lang w:eastAsia="ja-JP"/>
              </w:rPr>
              <w:t>f the supply chain has not been audited by the department and assigned a risk level category, it will be treated as high risk (Level 3) consignment.  The consequence of a Level 3 rating is a high level of department intervention at the border, i.e. increased inspection.</w:t>
            </w:r>
          </w:p>
        </w:tc>
      </w:tr>
      <w:tr w:rsidR="00DA6654" w14:paraId="75E48566"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63FECB6B" w14:textId="77777777" w:rsidR="00DA6654" w:rsidRPr="00DA6654" w:rsidRDefault="00DA6654" w:rsidP="00DA6654">
            <w:pPr>
              <w:pStyle w:val="ListParagraph"/>
              <w:numPr>
                <w:ilvl w:val="0"/>
                <w:numId w:val="30"/>
              </w:numPr>
              <w:rPr>
                <w:lang w:eastAsia="ja-JP"/>
              </w:rPr>
            </w:pPr>
          </w:p>
        </w:tc>
        <w:tc>
          <w:tcPr>
            <w:tcW w:w="4252" w:type="dxa"/>
          </w:tcPr>
          <w:p w14:paraId="0F3F4463" w14:textId="100ABDB1"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AEP was previously only available for boats where they were discharging to the wharf. I cannot see</w:t>
            </w:r>
            <w:r>
              <w:rPr>
                <w:lang w:eastAsia="ja-JP"/>
              </w:rPr>
              <w:t xml:space="preserve"> any mention of this in item 1 </w:t>
            </w:r>
            <w:r w:rsidRPr="00725E11">
              <w:rPr>
                <w:lang w:eastAsia="ja-JP"/>
              </w:rPr>
              <w:t>page one of the Approved commodities and related</w:t>
            </w:r>
            <w:r w:rsidRPr="00725E11">
              <w:rPr>
                <w:lang w:eastAsia="ja-JP"/>
              </w:rPr>
              <w:br/>
              <w:t>information for class 19.2 AEPCOMM</w:t>
            </w:r>
            <w:r w:rsidRPr="00725E11">
              <w:rPr>
                <w:lang w:eastAsia="ja-JP"/>
              </w:rPr>
              <w:br/>
              <w:t>approved arrangement document. Does this mean I can lodge boats that will discharge direct to water via AEP?</w:t>
            </w:r>
          </w:p>
        </w:tc>
        <w:tc>
          <w:tcPr>
            <w:tcW w:w="4230" w:type="dxa"/>
          </w:tcPr>
          <w:p w14:paraId="5EE93D1C" w14:textId="77777777" w:rsidR="00DA6654" w:rsidRDefault="00BA5F4E"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The scope for the Boats commodity group remains the same and waterside discharge is still out of scope of the approved arrangement.</w:t>
            </w:r>
          </w:p>
          <w:p w14:paraId="092F47DC" w14:textId="0EB63B7E" w:rsidR="00BA5F4E" w:rsidRDefault="00BA5F4E"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The AEPCOMM section of the BICON onshore outcomes includes a note stating: ‘Request for waterside discharge of break bulk vessels must be submitted through Cargo Online Lodgement System (COLS) for assessment.’</w:t>
            </w:r>
          </w:p>
        </w:tc>
      </w:tr>
      <w:tr w:rsidR="00DA6654" w14:paraId="7C2B3F2F"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0C8F8BEF" w14:textId="77777777" w:rsidR="00DA6654" w:rsidRPr="00DA6654" w:rsidRDefault="00DA6654" w:rsidP="00DA6654">
            <w:pPr>
              <w:pStyle w:val="ListParagraph"/>
              <w:numPr>
                <w:ilvl w:val="0"/>
                <w:numId w:val="30"/>
              </w:numPr>
              <w:rPr>
                <w:lang w:eastAsia="ja-JP"/>
              </w:rPr>
            </w:pPr>
          </w:p>
        </w:tc>
        <w:tc>
          <w:tcPr>
            <w:tcW w:w="4252" w:type="dxa"/>
          </w:tcPr>
          <w:p w14:paraId="64ED56C9" w14:textId="268E1355"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If at the time of lodgement the details of codes are not appropriately lodged, will the system clear it if the entry is amended to process these codes?</w:t>
            </w:r>
          </w:p>
        </w:tc>
        <w:tc>
          <w:tcPr>
            <w:tcW w:w="4230" w:type="dxa"/>
          </w:tcPr>
          <w:p w14:paraId="77EFDCB1" w14:textId="25959356" w:rsidR="002B5A74" w:rsidRDefault="001012EB" w:rsidP="002B5A7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w:t>
            </w:r>
            <w:r w:rsidR="002B5A74">
              <w:rPr>
                <w:lang w:eastAsia="ja-JP"/>
              </w:rPr>
              <w:t xml:space="preserve">f you </w:t>
            </w:r>
            <w:r>
              <w:rPr>
                <w:lang w:eastAsia="ja-JP"/>
              </w:rPr>
              <w:t>are required</w:t>
            </w:r>
            <w:r w:rsidR="002B5A74">
              <w:rPr>
                <w:lang w:eastAsia="ja-JP"/>
              </w:rPr>
              <w:t xml:space="preserve"> to amend </w:t>
            </w:r>
            <w:r>
              <w:rPr>
                <w:lang w:eastAsia="ja-JP"/>
              </w:rPr>
              <w:t xml:space="preserve">an import declaration that has previously processed successfully through AEPCOMM and </w:t>
            </w:r>
            <w:r w:rsidR="002B5A74">
              <w:rPr>
                <w:lang w:eastAsia="ja-JP"/>
              </w:rPr>
              <w:t xml:space="preserve">the amendment(s) is deemed as “major” a hold will be placed on the entry in the ICS. </w:t>
            </w:r>
          </w:p>
          <w:p w14:paraId="00273BBC" w14:textId="47F2755A" w:rsidR="00DA6654" w:rsidRDefault="002B5A74" w:rsidP="002B5A7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In these circumstances, you will need to contact the department to find out if a reassessment is required via COLS.</w:t>
            </w:r>
          </w:p>
        </w:tc>
      </w:tr>
      <w:tr w:rsidR="00DA6654" w14:paraId="21E93277"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8A0E9CB" w14:textId="77777777" w:rsidR="00DA6654" w:rsidRPr="00DA6654" w:rsidRDefault="00DA6654" w:rsidP="00DA6654">
            <w:pPr>
              <w:pStyle w:val="ListParagraph"/>
              <w:numPr>
                <w:ilvl w:val="0"/>
                <w:numId w:val="30"/>
              </w:numPr>
              <w:rPr>
                <w:lang w:eastAsia="ja-JP"/>
              </w:rPr>
            </w:pPr>
          </w:p>
        </w:tc>
        <w:tc>
          <w:tcPr>
            <w:tcW w:w="4252" w:type="dxa"/>
          </w:tcPr>
          <w:p w14:paraId="58FBAB63" w14:textId="77777777"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Can I use AEPCOMM if I have a product containing gum as one of the ingredients (that is, if the product contains other ingredients as well)?</w:t>
            </w:r>
          </w:p>
          <w:p w14:paraId="2223EE81" w14:textId="5242CD08" w:rsidR="002C4E0D" w:rsidRDefault="002C4E0D" w:rsidP="002C4E0D">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(Answered live)</w:t>
            </w:r>
          </w:p>
        </w:tc>
        <w:tc>
          <w:tcPr>
            <w:tcW w:w="4230" w:type="dxa"/>
          </w:tcPr>
          <w:p w14:paraId="57819976" w14:textId="4966CC9D" w:rsidR="00DA6654" w:rsidRDefault="00CF73A6" w:rsidP="00CF73A6">
            <w:pPr>
              <w:cnfStyle w:val="000000100000" w:firstRow="0" w:lastRow="0" w:firstColumn="0" w:lastColumn="0" w:oddVBand="0" w:evenVBand="0" w:oddHBand="1" w:evenHBand="0" w:firstRowFirstColumn="0" w:firstRowLastColumn="0" w:lastRowFirstColumn="0" w:lastRowLastColumn="0"/>
              <w:rPr>
                <w:lang w:eastAsia="ja-JP"/>
              </w:rPr>
            </w:pPr>
            <w:r w:rsidRPr="002B5A74">
              <w:rPr>
                <w:lang w:eastAsia="ja-JP"/>
              </w:rPr>
              <w:t xml:space="preserve">The answer to that question is, no. </w:t>
            </w:r>
            <w:r w:rsidR="002A663B" w:rsidRPr="002B5A74">
              <w:rPr>
                <w:lang w:eastAsia="ja-JP"/>
              </w:rPr>
              <w:t>Generally,</w:t>
            </w:r>
            <w:r w:rsidR="00412844" w:rsidRPr="002B5A74">
              <w:rPr>
                <w:lang w:eastAsia="ja-JP"/>
              </w:rPr>
              <w:t xml:space="preserve"> it</w:t>
            </w:r>
            <w:r w:rsidRPr="002B5A74">
              <w:rPr>
                <w:lang w:eastAsia="ja-JP"/>
              </w:rPr>
              <w:t xml:space="preserve"> will have to be a bulk product containing and classified under the tariffs which are in scope for gum products to be used on AEPCOMM</w:t>
            </w:r>
            <w:r w:rsidR="002B5A74" w:rsidRPr="002B5A74">
              <w:rPr>
                <w:lang w:eastAsia="ja-JP"/>
              </w:rPr>
              <w:t>. O</w:t>
            </w:r>
            <w:r w:rsidRPr="002B5A74">
              <w:rPr>
                <w:lang w:eastAsia="ja-JP"/>
              </w:rPr>
              <w:t>therwise it'll be considered out of scope.</w:t>
            </w:r>
          </w:p>
        </w:tc>
      </w:tr>
      <w:tr w:rsidR="00DA6654" w14:paraId="28B2004E"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00B73FAF" w14:textId="77777777" w:rsidR="00DA6654" w:rsidRPr="00DA6654" w:rsidRDefault="00DA6654" w:rsidP="00DA6654">
            <w:pPr>
              <w:pStyle w:val="ListParagraph"/>
              <w:numPr>
                <w:ilvl w:val="0"/>
                <w:numId w:val="30"/>
              </w:numPr>
              <w:rPr>
                <w:lang w:eastAsia="ja-JP"/>
              </w:rPr>
            </w:pPr>
          </w:p>
        </w:tc>
        <w:tc>
          <w:tcPr>
            <w:tcW w:w="4252" w:type="dxa"/>
          </w:tcPr>
          <w:p w14:paraId="5ED7ED91" w14:textId="77777777"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Does a product have to be on the BICON list to be able to lodge it through AEPCOMM? What if I can’t find it on the list but I know it’s highly processed?</w:t>
            </w:r>
          </w:p>
          <w:p w14:paraId="0A41B69B" w14:textId="50522E49" w:rsidR="002C4E0D" w:rsidRDefault="002C4E0D" w:rsidP="002C4E0D">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(Answered live)</w:t>
            </w:r>
          </w:p>
        </w:tc>
        <w:tc>
          <w:tcPr>
            <w:tcW w:w="4230" w:type="dxa"/>
          </w:tcPr>
          <w:p w14:paraId="160714B4" w14:textId="6A66C605" w:rsidR="00DA6654" w:rsidRDefault="00CF73A6" w:rsidP="00454FFD">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Assuming the question relates</w:t>
            </w:r>
            <w:r w:rsidRPr="00CF73A6">
              <w:rPr>
                <w:lang w:eastAsia="ja-JP"/>
              </w:rPr>
              <w:t xml:space="preserve"> to highly processed</w:t>
            </w:r>
            <w:r>
              <w:rPr>
                <w:lang w:eastAsia="ja-JP"/>
              </w:rPr>
              <w:t xml:space="preserve"> chemicals and substances, the answer is yes. You need to be able to determine the product is </w:t>
            </w:r>
            <w:r w:rsidRPr="00CF73A6">
              <w:rPr>
                <w:lang w:eastAsia="ja-JP"/>
              </w:rPr>
              <w:t>listed in BICON for you to be ab</w:t>
            </w:r>
            <w:r>
              <w:rPr>
                <w:lang w:eastAsia="ja-JP"/>
              </w:rPr>
              <w:t xml:space="preserve">le to lodge it on AEPCOMM. It is </w:t>
            </w:r>
            <w:r w:rsidRPr="00CF73A6">
              <w:rPr>
                <w:lang w:eastAsia="ja-JP"/>
              </w:rPr>
              <w:t xml:space="preserve">important that you have the documentary evidence to support </w:t>
            </w:r>
            <w:r w:rsidR="00454FFD">
              <w:rPr>
                <w:lang w:eastAsia="ja-JP"/>
              </w:rPr>
              <w:t>y</w:t>
            </w:r>
            <w:r>
              <w:rPr>
                <w:lang w:eastAsia="ja-JP"/>
              </w:rPr>
              <w:t>our decision.</w:t>
            </w:r>
            <w:r w:rsidRPr="00CF73A6">
              <w:rPr>
                <w:lang w:eastAsia="ja-JP"/>
              </w:rPr>
              <w:t xml:space="preserve"> </w:t>
            </w:r>
            <w:r>
              <w:rPr>
                <w:lang w:eastAsia="ja-JP"/>
              </w:rPr>
              <w:t>W</w:t>
            </w:r>
            <w:r w:rsidR="00454FFD">
              <w:rPr>
                <w:lang w:eastAsia="ja-JP"/>
              </w:rPr>
              <w:t>h</w:t>
            </w:r>
            <w:r>
              <w:rPr>
                <w:lang w:eastAsia="ja-JP"/>
              </w:rPr>
              <w:t xml:space="preserve">ere the lodgement is </w:t>
            </w:r>
            <w:r w:rsidRPr="00CF73A6">
              <w:rPr>
                <w:lang w:eastAsia="ja-JP"/>
              </w:rPr>
              <w:t xml:space="preserve">subject to verification, you will be required to provide </w:t>
            </w:r>
            <w:r>
              <w:rPr>
                <w:lang w:eastAsia="ja-JP"/>
              </w:rPr>
              <w:t>evidence to support</w:t>
            </w:r>
            <w:r w:rsidRPr="00CF73A6">
              <w:rPr>
                <w:lang w:eastAsia="ja-JP"/>
              </w:rPr>
              <w:t xml:space="preserve"> that the product </w:t>
            </w:r>
            <w:r w:rsidR="00454FFD">
              <w:rPr>
                <w:lang w:eastAsia="ja-JP"/>
              </w:rPr>
              <w:t>classified as a highly process substance.</w:t>
            </w:r>
          </w:p>
        </w:tc>
      </w:tr>
      <w:tr w:rsidR="00DA6654" w14:paraId="3C36E9B5"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1985173E" w14:textId="77777777" w:rsidR="00DA6654" w:rsidRPr="00DA6654" w:rsidRDefault="00DA6654" w:rsidP="00DA6654">
            <w:pPr>
              <w:pStyle w:val="ListParagraph"/>
              <w:numPr>
                <w:ilvl w:val="0"/>
                <w:numId w:val="30"/>
              </w:numPr>
              <w:rPr>
                <w:lang w:eastAsia="ja-JP"/>
              </w:rPr>
            </w:pPr>
          </w:p>
        </w:tc>
        <w:tc>
          <w:tcPr>
            <w:tcW w:w="4252" w:type="dxa"/>
          </w:tcPr>
          <w:p w14:paraId="0814C829" w14:textId="77777777"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 xml:space="preserve">Is it possible to make an amendment to an AEP entry after it has been submitted and a direction issued? Or will the amendment </w:t>
            </w:r>
            <w:r w:rsidRPr="00725E11">
              <w:rPr>
                <w:lang w:eastAsia="ja-JP"/>
              </w:rPr>
              <w:lastRenderedPageBreak/>
              <w:t>trigger document assessment with the department?</w:t>
            </w:r>
          </w:p>
          <w:p w14:paraId="4FC26BAE" w14:textId="2410D8CA" w:rsidR="002C4E0D" w:rsidRDefault="002C4E0D" w:rsidP="002C4E0D">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(Answered live)</w:t>
            </w:r>
          </w:p>
        </w:tc>
        <w:tc>
          <w:tcPr>
            <w:tcW w:w="4230" w:type="dxa"/>
          </w:tcPr>
          <w:p w14:paraId="70A9C6A7" w14:textId="30E1C901" w:rsidR="00DA6654" w:rsidRDefault="00B614B0" w:rsidP="00B614B0">
            <w:pPr>
              <w:cnfStyle w:val="000000100000" w:firstRow="0" w:lastRow="0" w:firstColumn="0" w:lastColumn="0" w:oddVBand="0" w:evenVBand="0" w:oddHBand="1" w:evenHBand="0" w:firstRowFirstColumn="0" w:firstRowLastColumn="0" w:lastRowFirstColumn="0" w:lastRowLastColumn="0"/>
              <w:rPr>
                <w:lang w:eastAsia="ja-JP"/>
              </w:rPr>
            </w:pPr>
            <w:r w:rsidRPr="00B614B0">
              <w:rPr>
                <w:lang w:eastAsia="ja-JP"/>
              </w:rPr>
              <w:lastRenderedPageBreak/>
              <w:t>At this point in time, any amendments whic</w:t>
            </w:r>
            <w:r>
              <w:rPr>
                <w:lang w:eastAsia="ja-JP"/>
              </w:rPr>
              <w:t xml:space="preserve">h are the major will trigger the system to request that documents are presented to the department for </w:t>
            </w:r>
            <w:r>
              <w:rPr>
                <w:lang w:eastAsia="ja-JP"/>
              </w:rPr>
              <w:lastRenderedPageBreak/>
              <w:t>assessment. T</w:t>
            </w:r>
            <w:r w:rsidRPr="00B614B0">
              <w:rPr>
                <w:lang w:eastAsia="ja-JP"/>
              </w:rPr>
              <w:t>here are some amendments which are considered minor and the system will handle those. We recently made a change to the AEP system where vessel changes were downgraded to a minor. They no longer cause the entry to have that major amendment associated with it and present doc</w:t>
            </w:r>
            <w:r>
              <w:rPr>
                <w:lang w:eastAsia="ja-JP"/>
              </w:rPr>
              <w:t>ument</w:t>
            </w:r>
            <w:r w:rsidRPr="00B614B0">
              <w:rPr>
                <w:lang w:eastAsia="ja-JP"/>
              </w:rPr>
              <w:t>s. So we are always looking to make those type</w:t>
            </w:r>
            <w:r>
              <w:rPr>
                <w:lang w:eastAsia="ja-JP"/>
              </w:rPr>
              <w:t>s</w:t>
            </w:r>
            <w:r w:rsidRPr="00B614B0">
              <w:rPr>
                <w:lang w:eastAsia="ja-JP"/>
              </w:rPr>
              <w:t xml:space="preserve"> of improvements, but any major amendment will trigger a presentation of documents.</w:t>
            </w:r>
          </w:p>
        </w:tc>
      </w:tr>
      <w:tr w:rsidR="00DA6654" w14:paraId="2B7D6187"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2DF6CB8B" w14:textId="24D880B8" w:rsidR="00DA6654" w:rsidRPr="00DA6654" w:rsidRDefault="00DA6654" w:rsidP="00DA6654">
            <w:pPr>
              <w:pStyle w:val="ListParagraph"/>
              <w:numPr>
                <w:ilvl w:val="0"/>
                <w:numId w:val="30"/>
              </w:numPr>
              <w:rPr>
                <w:lang w:eastAsia="ja-JP"/>
              </w:rPr>
            </w:pPr>
          </w:p>
        </w:tc>
        <w:tc>
          <w:tcPr>
            <w:tcW w:w="4252" w:type="dxa"/>
          </w:tcPr>
          <w:p w14:paraId="47E044D4" w14:textId="77777777"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Will there be a</w:t>
            </w:r>
            <w:r w:rsidR="00906C02">
              <w:rPr>
                <w:lang w:eastAsia="ja-JP"/>
              </w:rPr>
              <w:t>ny service charges</w:t>
            </w:r>
            <w:r>
              <w:rPr>
                <w:lang w:eastAsia="ja-JP"/>
              </w:rPr>
              <w:t xml:space="preserve"> for AEPCOMM </w:t>
            </w:r>
            <w:r w:rsidRPr="00725E11">
              <w:rPr>
                <w:lang w:eastAsia="ja-JP"/>
              </w:rPr>
              <w:t>entries that go REL upon entry?</w:t>
            </w:r>
          </w:p>
          <w:p w14:paraId="21B0941B" w14:textId="580C22A0" w:rsidR="002C4E0D" w:rsidRDefault="002C4E0D" w:rsidP="002C4E0D">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(Answered live)</w:t>
            </w:r>
          </w:p>
        </w:tc>
        <w:tc>
          <w:tcPr>
            <w:tcW w:w="4230" w:type="dxa"/>
          </w:tcPr>
          <w:p w14:paraId="0E2E9100" w14:textId="096745B9" w:rsidR="00DA6654" w:rsidRDefault="007538B0" w:rsidP="007538B0">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Yes, a</w:t>
            </w:r>
            <w:r w:rsidRPr="007538B0">
              <w:rPr>
                <w:lang w:eastAsia="ja-JP"/>
              </w:rPr>
              <w:t>ll AEPCOMM</w:t>
            </w:r>
            <w:r w:rsidR="004E6B7D">
              <w:rPr>
                <w:lang w:eastAsia="ja-JP"/>
              </w:rPr>
              <w:t xml:space="preserve"> lodgements are subject to </w:t>
            </w:r>
            <w:r>
              <w:rPr>
                <w:lang w:eastAsia="ja-JP"/>
              </w:rPr>
              <w:t xml:space="preserve">an </w:t>
            </w:r>
            <w:r w:rsidRPr="007538B0">
              <w:rPr>
                <w:lang w:eastAsia="ja-JP"/>
              </w:rPr>
              <w:t xml:space="preserve">$18 </w:t>
            </w:r>
            <w:r w:rsidR="002A663B">
              <w:rPr>
                <w:lang w:eastAsia="ja-JP"/>
              </w:rPr>
              <w:t xml:space="preserve">Approved arrangement </w:t>
            </w:r>
            <w:r w:rsidRPr="007538B0">
              <w:rPr>
                <w:lang w:eastAsia="ja-JP"/>
              </w:rPr>
              <w:t xml:space="preserve">AEPCOMM charge. </w:t>
            </w:r>
          </w:p>
        </w:tc>
      </w:tr>
      <w:tr w:rsidR="00DA6654" w14:paraId="3885EA1B"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2028F33D" w14:textId="77777777" w:rsidR="00DA6654" w:rsidRPr="00DA6654" w:rsidRDefault="00DA6654" w:rsidP="00DA6654">
            <w:pPr>
              <w:pStyle w:val="ListParagraph"/>
              <w:numPr>
                <w:ilvl w:val="0"/>
                <w:numId w:val="30"/>
              </w:numPr>
              <w:rPr>
                <w:lang w:eastAsia="ja-JP"/>
              </w:rPr>
            </w:pPr>
          </w:p>
        </w:tc>
        <w:tc>
          <w:tcPr>
            <w:tcW w:w="4252" w:type="dxa"/>
          </w:tcPr>
          <w:p w14:paraId="2C8CEF9E" w14:textId="7758DC4F" w:rsidR="00DA6654" w:rsidRDefault="00473BCE"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Is </w:t>
            </w:r>
            <w:proofErr w:type="spellStart"/>
            <w:r>
              <w:rPr>
                <w:lang w:eastAsia="ja-JP"/>
              </w:rPr>
              <w:t>Sulfur</w:t>
            </w:r>
            <w:proofErr w:type="spellEnd"/>
            <w:r>
              <w:rPr>
                <w:lang w:eastAsia="ja-JP"/>
              </w:rPr>
              <w:t xml:space="preserve"> the same as S</w:t>
            </w:r>
            <w:r w:rsidR="00DA6654" w:rsidRPr="00725E11">
              <w:rPr>
                <w:lang w:eastAsia="ja-JP"/>
              </w:rPr>
              <w:t>ulphur?</w:t>
            </w:r>
          </w:p>
        </w:tc>
        <w:tc>
          <w:tcPr>
            <w:tcW w:w="4230" w:type="dxa"/>
          </w:tcPr>
          <w:p w14:paraId="35D14662" w14:textId="1C4C5CF6" w:rsidR="00DA6654" w:rsidRDefault="00473BCE"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Yes, different spelling.</w:t>
            </w:r>
          </w:p>
        </w:tc>
      </w:tr>
      <w:tr w:rsidR="00DA6654" w14:paraId="0D2E94B8"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7DCD685C" w14:textId="77777777" w:rsidR="00DA6654" w:rsidRPr="00DA6654" w:rsidRDefault="00DA6654" w:rsidP="00DA6654">
            <w:pPr>
              <w:pStyle w:val="ListParagraph"/>
              <w:numPr>
                <w:ilvl w:val="0"/>
                <w:numId w:val="30"/>
              </w:numPr>
              <w:rPr>
                <w:lang w:eastAsia="ja-JP"/>
              </w:rPr>
            </w:pPr>
          </w:p>
        </w:tc>
        <w:tc>
          <w:tcPr>
            <w:tcW w:w="4252" w:type="dxa"/>
          </w:tcPr>
          <w:p w14:paraId="0472D2BF" w14:textId="01F859AB" w:rsidR="00DA6654" w:rsidRDefault="00840600" w:rsidP="00DA665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Will the d</w:t>
            </w:r>
            <w:r w:rsidR="00DA6654" w:rsidRPr="00725E11">
              <w:rPr>
                <w:lang w:eastAsia="ja-JP"/>
              </w:rPr>
              <w:t>epartment be looking at including AEPCOMM when the end use in animal feed and the importer can include an import permit number?</w:t>
            </w:r>
          </w:p>
        </w:tc>
        <w:tc>
          <w:tcPr>
            <w:tcW w:w="4230" w:type="dxa"/>
          </w:tcPr>
          <w:p w14:paraId="440BA10F" w14:textId="269D9BB2" w:rsidR="00DA6654" w:rsidRDefault="000735F3" w:rsidP="00280328">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At this stage</w:t>
            </w:r>
            <w:r w:rsidR="00586D94">
              <w:rPr>
                <w:lang w:eastAsia="ja-JP"/>
              </w:rPr>
              <w:t xml:space="preserve"> there are no plans</w:t>
            </w:r>
            <w:r>
              <w:rPr>
                <w:lang w:eastAsia="ja-JP"/>
              </w:rPr>
              <w:t xml:space="preserve"> </w:t>
            </w:r>
            <w:r w:rsidR="00586D94">
              <w:rPr>
                <w:lang w:eastAsia="ja-JP"/>
              </w:rPr>
              <w:t xml:space="preserve">for </w:t>
            </w:r>
            <w:r w:rsidR="00280328">
              <w:rPr>
                <w:lang w:eastAsia="ja-JP"/>
              </w:rPr>
              <w:t xml:space="preserve">commodities </w:t>
            </w:r>
            <w:r w:rsidR="00586D94">
              <w:rPr>
                <w:lang w:eastAsia="ja-JP"/>
              </w:rPr>
              <w:t>requiring an import permit to be included on</w:t>
            </w:r>
            <w:r w:rsidR="00280328">
              <w:rPr>
                <w:lang w:eastAsia="ja-JP"/>
              </w:rPr>
              <w:t xml:space="preserve"> AEPCOMM</w:t>
            </w:r>
            <w:r w:rsidR="00586D94">
              <w:rPr>
                <w:lang w:eastAsia="ja-JP"/>
              </w:rPr>
              <w:t xml:space="preserve"> however, this feedback will be noted for future consideration.</w:t>
            </w:r>
            <w:r w:rsidR="00280328">
              <w:rPr>
                <w:lang w:eastAsia="ja-JP"/>
              </w:rPr>
              <w:t xml:space="preserve"> </w:t>
            </w:r>
          </w:p>
        </w:tc>
      </w:tr>
      <w:tr w:rsidR="00DA6654" w14:paraId="47C3F27A"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7020CBC0" w14:textId="77777777" w:rsidR="00DA6654" w:rsidRPr="00DA6654" w:rsidRDefault="00DA6654" w:rsidP="00DA6654">
            <w:pPr>
              <w:pStyle w:val="ListParagraph"/>
              <w:numPr>
                <w:ilvl w:val="0"/>
                <w:numId w:val="30"/>
              </w:numPr>
              <w:rPr>
                <w:lang w:eastAsia="ja-JP"/>
              </w:rPr>
            </w:pPr>
          </w:p>
        </w:tc>
        <w:tc>
          <w:tcPr>
            <w:tcW w:w="4252" w:type="dxa"/>
          </w:tcPr>
          <w:p w14:paraId="0F3B66CA" w14:textId="78F900A5" w:rsidR="00DA6654" w:rsidRDefault="000B20B5" w:rsidP="000B20B5">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Will the Highly processed and manufactured wooden articles </w:t>
            </w:r>
            <w:r w:rsidR="00DA6654" w:rsidRPr="00725E11">
              <w:rPr>
                <w:lang w:eastAsia="ja-JP"/>
              </w:rPr>
              <w:t xml:space="preserve">be expanded to </w:t>
            </w:r>
            <w:r>
              <w:rPr>
                <w:lang w:eastAsia="ja-JP"/>
              </w:rPr>
              <w:t>include all wooden articles/p</w:t>
            </w:r>
            <w:r w:rsidR="00DA6654" w:rsidRPr="00725E11">
              <w:rPr>
                <w:lang w:eastAsia="ja-JP"/>
              </w:rPr>
              <w:t>roducts</w:t>
            </w:r>
            <w:r>
              <w:rPr>
                <w:lang w:eastAsia="ja-JP"/>
              </w:rPr>
              <w:t xml:space="preserve"> on the highly processed wooden articles list</w:t>
            </w:r>
            <w:r w:rsidR="00DA6654" w:rsidRPr="00725E11">
              <w:rPr>
                <w:lang w:eastAsia="ja-JP"/>
              </w:rPr>
              <w:t>?</w:t>
            </w:r>
          </w:p>
        </w:tc>
        <w:tc>
          <w:tcPr>
            <w:tcW w:w="4230" w:type="dxa"/>
          </w:tcPr>
          <w:p w14:paraId="74E31C5C" w14:textId="01795FFB" w:rsidR="00DA6654" w:rsidRDefault="007A6D3D"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Yes, the department will consider the wooden articles list in BICON in the next AEPCOMM expansion.</w:t>
            </w:r>
          </w:p>
        </w:tc>
      </w:tr>
      <w:tr w:rsidR="00DA6654" w14:paraId="2B87491A"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6062C003" w14:textId="77777777" w:rsidR="00DA6654" w:rsidRPr="00DA6654" w:rsidRDefault="00DA6654" w:rsidP="00DA6654">
            <w:pPr>
              <w:pStyle w:val="ListParagraph"/>
              <w:numPr>
                <w:ilvl w:val="0"/>
                <w:numId w:val="30"/>
              </w:numPr>
              <w:rPr>
                <w:lang w:eastAsia="ja-JP"/>
              </w:rPr>
            </w:pPr>
          </w:p>
        </w:tc>
        <w:tc>
          <w:tcPr>
            <w:tcW w:w="4252" w:type="dxa"/>
          </w:tcPr>
          <w:p w14:paraId="433A124E" w14:textId="131192CA"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F87DDD">
              <w:rPr>
                <w:lang w:eastAsia="ja-JP"/>
              </w:rPr>
              <w:t>Will there be any updates to COLS to allow AEP Directions to be re-issued?</w:t>
            </w:r>
          </w:p>
        </w:tc>
        <w:tc>
          <w:tcPr>
            <w:tcW w:w="4230" w:type="dxa"/>
          </w:tcPr>
          <w:p w14:paraId="25DD07F7" w14:textId="2AC885CB" w:rsidR="002B5A74" w:rsidRDefault="002B5A74" w:rsidP="00DA665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If you require a direction re-issue for entries processed via AEPCOMM, you can use the COLS functionality by selecting “Make an enquiry”. An existing LRN is not required to use this option.</w:t>
            </w:r>
          </w:p>
        </w:tc>
      </w:tr>
      <w:tr w:rsidR="00DA6654" w14:paraId="18A6C14B"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DD7F529" w14:textId="77777777" w:rsidR="00DA6654" w:rsidRPr="00DA6654" w:rsidRDefault="00DA6654" w:rsidP="00DA6654">
            <w:pPr>
              <w:pStyle w:val="ListParagraph"/>
              <w:numPr>
                <w:ilvl w:val="0"/>
                <w:numId w:val="30"/>
              </w:numPr>
              <w:rPr>
                <w:lang w:eastAsia="ja-JP"/>
              </w:rPr>
            </w:pPr>
          </w:p>
        </w:tc>
        <w:tc>
          <w:tcPr>
            <w:tcW w:w="4252" w:type="dxa"/>
          </w:tcPr>
          <w:p w14:paraId="648DB981" w14:textId="77777777"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How do I know what format to enter the New Zealand certificate number?</w:t>
            </w:r>
          </w:p>
          <w:p w14:paraId="000C3108" w14:textId="5D86E883" w:rsidR="002C4E0D" w:rsidRDefault="002C4E0D" w:rsidP="002C4E0D">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(Answered live)</w:t>
            </w:r>
          </w:p>
        </w:tc>
        <w:tc>
          <w:tcPr>
            <w:tcW w:w="4230" w:type="dxa"/>
          </w:tcPr>
          <w:p w14:paraId="6EC1B76D" w14:textId="5978ED61" w:rsidR="00DA6654" w:rsidRDefault="00917526" w:rsidP="008D0641">
            <w:pPr>
              <w:cnfStyle w:val="000000100000" w:firstRow="0" w:lastRow="0" w:firstColumn="0" w:lastColumn="0" w:oddVBand="0" w:evenVBand="0" w:oddHBand="1" w:evenHBand="0" w:firstRowFirstColumn="0" w:firstRowLastColumn="0" w:lastRowFirstColumn="0" w:lastRowLastColumn="0"/>
              <w:rPr>
                <w:lang w:eastAsia="ja-JP"/>
              </w:rPr>
            </w:pPr>
            <w:r w:rsidRPr="00917526">
              <w:rPr>
                <w:lang w:eastAsia="ja-JP"/>
              </w:rPr>
              <w:t xml:space="preserve">Both NZ phytosanitary and NZ sanitary certificates have a certificate number format similar to NZL2019/ABCD/123456. More information about this, including a Help Card, is available at </w:t>
            </w:r>
            <w:hyperlink r:id="rId11" w:history="1">
              <w:r w:rsidRPr="00917526">
                <w:rPr>
                  <w:rStyle w:val="Hyperlink"/>
                  <w:lang w:eastAsia="ja-JP"/>
                </w:rPr>
                <w:t>www.agriculture.gov.au/ecertimports</w:t>
              </w:r>
            </w:hyperlink>
            <w:r w:rsidRPr="00917526">
              <w:rPr>
                <w:lang w:eastAsia="ja-JP"/>
              </w:rPr>
              <w:t xml:space="preserve">. </w:t>
            </w:r>
          </w:p>
        </w:tc>
      </w:tr>
      <w:tr w:rsidR="00DA6654" w14:paraId="716DB983"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096DA0EA" w14:textId="77777777" w:rsidR="00DA6654" w:rsidRPr="00DA6654" w:rsidRDefault="00DA6654" w:rsidP="00DA6654">
            <w:pPr>
              <w:pStyle w:val="ListParagraph"/>
              <w:numPr>
                <w:ilvl w:val="0"/>
                <w:numId w:val="30"/>
              </w:numPr>
              <w:rPr>
                <w:lang w:eastAsia="ja-JP"/>
              </w:rPr>
            </w:pPr>
          </w:p>
        </w:tc>
        <w:tc>
          <w:tcPr>
            <w:tcW w:w="4252" w:type="dxa"/>
          </w:tcPr>
          <w:p w14:paraId="69713858" w14:textId="77777777" w:rsidR="00DA665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725E11">
              <w:rPr>
                <w:lang w:eastAsia="ja-JP"/>
              </w:rPr>
              <w:t>Will AEPCOMM be updated to include break bulk unfinished timber out of NZ?</w:t>
            </w:r>
          </w:p>
          <w:p w14:paraId="505222B3" w14:textId="7DB4C002" w:rsidR="002C4E0D" w:rsidRDefault="002C4E0D" w:rsidP="002C4E0D">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(Answered live)</w:t>
            </w:r>
          </w:p>
        </w:tc>
        <w:tc>
          <w:tcPr>
            <w:tcW w:w="4230" w:type="dxa"/>
          </w:tcPr>
          <w:p w14:paraId="7A0A1FAA" w14:textId="591A6482" w:rsidR="00DA6654" w:rsidRDefault="00D5327E" w:rsidP="00D5327E">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 xml:space="preserve">Yes, break bulk is available </w:t>
            </w:r>
            <w:r w:rsidRPr="00D5327E">
              <w:rPr>
                <w:lang w:eastAsia="ja-JP"/>
              </w:rPr>
              <w:t xml:space="preserve">through AEPCOMM </w:t>
            </w:r>
            <w:r>
              <w:rPr>
                <w:lang w:eastAsia="ja-JP"/>
              </w:rPr>
              <w:t xml:space="preserve">for pathways that were already in scope of the arrangement. </w:t>
            </w:r>
          </w:p>
        </w:tc>
      </w:tr>
      <w:tr w:rsidR="00DA6654" w14:paraId="6646FCD6"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4BC3B830" w14:textId="77777777" w:rsidR="00DA6654" w:rsidRPr="00DA6654" w:rsidRDefault="00DA6654" w:rsidP="00DA6654">
            <w:pPr>
              <w:pStyle w:val="ListParagraph"/>
              <w:numPr>
                <w:ilvl w:val="0"/>
                <w:numId w:val="30"/>
              </w:numPr>
              <w:rPr>
                <w:lang w:eastAsia="ja-JP"/>
              </w:rPr>
            </w:pPr>
          </w:p>
        </w:tc>
        <w:tc>
          <w:tcPr>
            <w:tcW w:w="4252" w:type="dxa"/>
          </w:tcPr>
          <w:p w14:paraId="1972C111" w14:textId="50AFC46F" w:rsidR="00DA6654" w:rsidRPr="00455533" w:rsidRDefault="00DA6654" w:rsidP="00DA6654">
            <w:pPr>
              <w:cnfStyle w:val="000000100000" w:firstRow="0" w:lastRow="0" w:firstColumn="0" w:lastColumn="0" w:oddVBand="0" w:evenVBand="0" w:oddHBand="1" w:evenHBand="0" w:firstRowFirstColumn="0" w:firstRowLastColumn="0" w:lastRowFirstColumn="0" w:lastRowLastColumn="0"/>
              <w:rPr>
                <w:highlight w:val="yellow"/>
                <w:lang w:eastAsia="ja-JP"/>
              </w:rPr>
            </w:pPr>
            <w:r w:rsidRPr="00246A6A">
              <w:rPr>
                <w:lang w:eastAsia="ja-JP"/>
              </w:rPr>
              <w:t>How can we confirm the eCe</w:t>
            </w:r>
            <w:r w:rsidR="003072EE" w:rsidRPr="00246A6A">
              <w:rPr>
                <w:lang w:eastAsia="ja-JP"/>
              </w:rPr>
              <w:t>rt applies if we cannot see it b</w:t>
            </w:r>
            <w:r w:rsidRPr="00246A6A">
              <w:rPr>
                <w:lang w:eastAsia="ja-JP"/>
              </w:rPr>
              <w:t xml:space="preserve">ut we are held </w:t>
            </w:r>
            <w:r w:rsidR="003072EE" w:rsidRPr="00246A6A">
              <w:rPr>
                <w:lang w:eastAsia="ja-JP"/>
              </w:rPr>
              <w:t>liable?</w:t>
            </w:r>
          </w:p>
        </w:tc>
        <w:tc>
          <w:tcPr>
            <w:tcW w:w="4230" w:type="dxa"/>
          </w:tcPr>
          <w:p w14:paraId="3B59ED4E" w14:textId="5A824F31" w:rsidR="00246A6A" w:rsidRPr="00246A6A" w:rsidRDefault="00246A6A" w:rsidP="00246A6A">
            <w:pPr>
              <w:cnfStyle w:val="000000100000" w:firstRow="0" w:lastRow="0" w:firstColumn="0" w:lastColumn="0" w:oddVBand="0" w:evenVBand="0" w:oddHBand="1" w:evenHBand="0" w:firstRowFirstColumn="0" w:firstRowLastColumn="0" w:lastRowFirstColumn="0" w:lastRowLastColumn="0"/>
              <w:rPr>
                <w:lang w:eastAsia="ja-JP"/>
              </w:rPr>
            </w:pPr>
            <w:r w:rsidRPr="00246A6A">
              <w:rPr>
                <w:lang w:eastAsia="ja-JP"/>
              </w:rPr>
              <w:t xml:space="preserve">If a phytosanitary or sanitary certificate from New Zealand is required according to BICON import conditions, then an eCert is available. The NZ exporter will be notified of the certificate number once it has been issued and will provide this to you with </w:t>
            </w:r>
            <w:r w:rsidRPr="00246A6A">
              <w:rPr>
                <w:lang w:eastAsia="ja-JP"/>
              </w:rPr>
              <w:lastRenderedPageBreak/>
              <w:t xml:space="preserve">other import documentation. This certificate number must be </w:t>
            </w:r>
            <w:r>
              <w:rPr>
                <w:lang w:eastAsia="ja-JP"/>
              </w:rPr>
              <w:t>provided</w:t>
            </w:r>
            <w:r w:rsidRPr="00246A6A">
              <w:rPr>
                <w:lang w:eastAsia="ja-JP"/>
              </w:rPr>
              <w:t xml:space="preserve"> for relevant lodgements. </w:t>
            </w:r>
          </w:p>
          <w:p w14:paraId="03F1AA99" w14:textId="43DD7336" w:rsidR="00246A6A" w:rsidRPr="00246A6A" w:rsidRDefault="00246A6A" w:rsidP="00246A6A">
            <w:pPr>
              <w:cnfStyle w:val="000000100000" w:firstRow="0" w:lastRow="0" w:firstColumn="0" w:lastColumn="0" w:oddVBand="0" w:evenVBand="0" w:oddHBand="1" w:evenHBand="0" w:firstRowFirstColumn="0" w:firstRowLastColumn="0" w:lastRowFirstColumn="0" w:lastRowLastColumn="0"/>
              <w:rPr>
                <w:lang w:eastAsia="ja-JP"/>
              </w:rPr>
            </w:pPr>
            <w:r w:rsidRPr="00246A6A">
              <w:rPr>
                <w:lang w:eastAsia="ja-JP"/>
              </w:rPr>
              <w:t xml:space="preserve">For entries lodged to the department, the NZ exporter will provide you with the certificate number which </w:t>
            </w:r>
            <w:r>
              <w:rPr>
                <w:lang w:eastAsia="ja-JP"/>
              </w:rPr>
              <w:t>must</w:t>
            </w:r>
            <w:r w:rsidRPr="00246A6A">
              <w:rPr>
                <w:lang w:eastAsia="ja-JP"/>
              </w:rPr>
              <w:t xml:space="preserve"> be entered into the ICS/third party software. A copy phytosanitary certificate or extract sanitary certificate can be provided by the NZ exporter if request</w:t>
            </w:r>
            <w:r>
              <w:rPr>
                <w:lang w:eastAsia="ja-JP"/>
              </w:rPr>
              <w:t>ed</w:t>
            </w:r>
            <w:r w:rsidRPr="00246A6A">
              <w:rPr>
                <w:lang w:eastAsia="ja-JP"/>
              </w:rPr>
              <w:t xml:space="preserve">, however </w:t>
            </w:r>
            <w:r>
              <w:rPr>
                <w:lang w:eastAsia="ja-JP"/>
              </w:rPr>
              <w:t xml:space="preserve">this </w:t>
            </w:r>
            <w:r w:rsidRPr="00246A6A">
              <w:rPr>
                <w:lang w:eastAsia="ja-JP"/>
              </w:rPr>
              <w:t xml:space="preserve">is not required as the eCert will be used for import clearance by departmental staff. </w:t>
            </w:r>
          </w:p>
          <w:p w14:paraId="626560FF" w14:textId="2199B636" w:rsidR="00DA6654" w:rsidRDefault="00246A6A" w:rsidP="00246A6A">
            <w:pPr>
              <w:cnfStyle w:val="000000100000" w:firstRow="0" w:lastRow="0" w:firstColumn="0" w:lastColumn="0" w:oddVBand="0" w:evenVBand="0" w:oddHBand="1" w:evenHBand="0" w:firstRowFirstColumn="0" w:firstRowLastColumn="0" w:lastRowFirstColumn="0" w:lastRowLastColumn="0"/>
              <w:rPr>
                <w:lang w:eastAsia="ja-JP"/>
              </w:rPr>
            </w:pPr>
            <w:r w:rsidRPr="00246A6A">
              <w:rPr>
                <w:lang w:eastAsia="ja-JP"/>
              </w:rPr>
              <w:t>For entries processed under AEPCOMM, a copy phytosanitary certificate or extract sanitary certificate is able to be provided by the NZ exporter. Accredited persons must ensure they obtain this documentation prior to conducting assessments and lodgements under AEPCOMM.</w:t>
            </w:r>
          </w:p>
        </w:tc>
      </w:tr>
      <w:tr w:rsidR="00DA6654" w14:paraId="4E2CEF70"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30483829" w14:textId="77777777" w:rsidR="00DA6654" w:rsidRPr="00DA6654" w:rsidRDefault="00DA6654" w:rsidP="00DA6654">
            <w:pPr>
              <w:pStyle w:val="ListParagraph"/>
              <w:numPr>
                <w:ilvl w:val="0"/>
                <w:numId w:val="30"/>
              </w:numPr>
              <w:rPr>
                <w:lang w:eastAsia="ja-JP"/>
              </w:rPr>
            </w:pPr>
          </w:p>
        </w:tc>
        <w:tc>
          <w:tcPr>
            <w:tcW w:w="4252" w:type="dxa"/>
          </w:tcPr>
          <w:p w14:paraId="4C5E94A7" w14:textId="527D9E16" w:rsidR="00DA6654" w:rsidRPr="00455533" w:rsidRDefault="00DA6654" w:rsidP="00DA6654">
            <w:pPr>
              <w:cnfStyle w:val="000000000000" w:firstRow="0" w:lastRow="0" w:firstColumn="0" w:lastColumn="0" w:oddVBand="0" w:evenVBand="0" w:oddHBand="0" w:evenHBand="0" w:firstRowFirstColumn="0" w:firstRowLastColumn="0" w:lastRowFirstColumn="0" w:lastRowLastColumn="0"/>
              <w:rPr>
                <w:highlight w:val="yellow"/>
                <w:lang w:eastAsia="ja-JP"/>
              </w:rPr>
            </w:pPr>
            <w:r w:rsidRPr="00246A6A">
              <w:rPr>
                <w:lang w:eastAsia="ja-JP"/>
              </w:rPr>
              <w:t>What constitutes documentary evidence for Phyto Cert or Sanitary Cert?</w:t>
            </w:r>
          </w:p>
        </w:tc>
        <w:tc>
          <w:tcPr>
            <w:tcW w:w="4230" w:type="dxa"/>
          </w:tcPr>
          <w:p w14:paraId="4C7F0062" w14:textId="526290F2" w:rsidR="000C3C61" w:rsidRDefault="005212B8" w:rsidP="00DA6654">
            <w:pPr>
              <w:cnfStyle w:val="000000000000" w:firstRow="0" w:lastRow="0" w:firstColumn="0" w:lastColumn="0" w:oddVBand="0" w:evenVBand="0" w:oddHBand="0" w:evenHBand="0" w:firstRowFirstColumn="0" w:firstRowLastColumn="0" w:lastRowFirstColumn="0" w:lastRowLastColumn="0"/>
              <w:rPr>
                <w:lang w:eastAsia="ja-JP"/>
              </w:rPr>
            </w:pPr>
            <w:r w:rsidRPr="005212B8">
              <w:rPr>
                <w:lang w:eastAsia="ja-JP"/>
              </w:rPr>
              <w:t xml:space="preserve">NZ exporters </w:t>
            </w:r>
            <w:r w:rsidR="000C3C61">
              <w:rPr>
                <w:lang w:eastAsia="ja-JP"/>
              </w:rPr>
              <w:t>can</w:t>
            </w:r>
            <w:r w:rsidRPr="005212B8">
              <w:rPr>
                <w:lang w:eastAsia="ja-JP"/>
              </w:rPr>
              <w:t xml:space="preserve"> provide a copy of the phytosanitary certificate or extract of the sanitary certificate that will be used for the clearance of goods lodged under Automatic entry processing for commodities (AEPCOMM). </w:t>
            </w:r>
          </w:p>
          <w:p w14:paraId="6379AE9F" w14:textId="17BCAEF8" w:rsidR="005212B8" w:rsidRDefault="005212B8" w:rsidP="00DA6654">
            <w:pPr>
              <w:cnfStyle w:val="000000000000" w:firstRow="0" w:lastRow="0" w:firstColumn="0" w:lastColumn="0" w:oddVBand="0" w:evenVBand="0" w:oddHBand="0" w:evenHBand="0" w:firstRowFirstColumn="0" w:firstRowLastColumn="0" w:lastRowFirstColumn="0" w:lastRowLastColumn="0"/>
              <w:rPr>
                <w:lang w:eastAsia="ja-JP"/>
              </w:rPr>
            </w:pPr>
            <w:r w:rsidRPr="005212B8">
              <w:rPr>
                <w:lang w:eastAsia="ja-JP"/>
              </w:rPr>
              <w:t>Accredited persons utilising AEPCOMM must ensure they obtain this documentation prior to conducting assessments and lodgement under AEPCOMM. An example of this copy/extract is available in the Help Card on our website</w:t>
            </w:r>
            <w:r w:rsidR="000C3C61">
              <w:rPr>
                <w:lang w:eastAsia="ja-JP"/>
              </w:rPr>
              <w:t>:</w:t>
            </w:r>
            <w:r w:rsidRPr="005212B8">
              <w:rPr>
                <w:lang w:eastAsia="ja-JP"/>
              </w:rPr>
              <w:t xml:space="preserve"> </w:t>
            </w:r>
            <w:hyperlink r:id="rId12" w:history="1">
              <w:r w:rsidRPr="00D15738">
                <w:rPr>
                  <w:rStyle w:val="Hyperlink"/>
                  <w:lang w:eastAsia="ja-JP"/>
                </w:rPr>
                <w:t>www.agriculture.gov.au/ecertimports.</w:t>
              </w:r>
            </w:hyperlink>
          </w:p>
        </w:tc>
      </w:tr>
      <w:tr w:rsidR="00DA6654" w14:paraId="121EBD04"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0EB72642" w14:textId="77777777" w:rsidR="00DA6654" w:rsidRPr="00DA6654" w:rsidRDefault="00DA6654" w:rsidP="00DA6654">
            <w:pPr>
              <w:pStyle w:val="ListParagraph"/>
              <w:numPr>
                <w:ilvl w:val="0"/>
                <w:numId w:val="30"/>
              </w:numPr>
              <w:rPr>
                <w:lang w:eastAsia="ja-JP"/>
              </w:rPr>
            </w:pPr>
          </w:p>
        </w:tc>
        <w:tc>
          <w:tcPr>
            <w:tcW w:w="4252" w:type="dxa"/>
          </w:tcPr>
          <w:p w14:paraId="7438C1F8" w14:textId="641A5FEF"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Has BICON website been updated to reflect all the recent changes</w:t>
            </w:r>
          </w:p>
        </w:tc>
        <w:tc>
          <w:tcPr>
            <w:tcW w:w="4230" w:type="dxa"/>
          </w:tcPr>
          <w:p w14:paraId="407636BD" w14:textId="0283BEBB" w:rsidR="00DA6654" w:rsidRDefault="00B959BF" w:rsidP="00DA6654">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Yes, all electronic systems were updated on 31 July 2020.</w:t>
            </w:r>
          </w:p>
        </w:tc>
      </w:tr>
      <w:tr w:rsidR="00DA6654" w14:paraId="54D2CB9A"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6CB757E1" w14:textId="77777777" w:rsidR="00DA6654" w:rsidRPr="00DA6654" w:rsidRDefault="00DA6654" w:rsidP="00DA6654">
            <w:pPr>
              <w:pStyle w:val="ListParagraph"/>
              <w:numPr>
                <w:ilvl w:val="0"/>
                <w:numId w:val="30"/>
              </w:numPr>
              <w:rPr>
                <w:lang w:eastAsia="ja-JP"/>
              </w:rPr>
            </w:pPr>
          </w:p>
        </w:tc>
        <w:tc>
          <w:tcPr>
            <w:tcW w:w="4252" w:type="dxa"/>
          </w:tcPr>
          <w:p w14:paraId="4045F973" w14:textId="497CB5F3" w:rsidR="00DA6654" w:rsidRDefault="007F753B" w:rsidP="00DA665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Do</w:t>
            </w:r>
            <w:r w:rsidR="00DA6654" w:rsidRPr="00725E11">
              <w:rPr>
                <w:lang w:eastAsia="ja-JP"/>
              </w:rPr>
              <w:t xml:space="preserve"> we have re-access to this video</w:t>
            </w:r>
          </w:p>
        </w:tc>
        <w:tc>
          <w:tcPr>
            <w:tcW w:w="4230" w:type="dxa"/>
          </w:tcPr>
          <w:p w14:paraId="577F970E" w14:textId="7D356199" w:rsidR="00DA6654" w:rsidRDefault="00AC4CD1" w:rsidP="00DA665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Yes. P</w:t>
            </w:r>
            <w:r w:rsidR="004C31C2">
              <w:rPr>
                <w:lang w:eastAsia="ja-JP"/>
              </w:rPr>
              <w:t xml:space="preserve">lease refer to our </w:t>
            </w:r>
            <w:hyperlink r:id="rId13" w:history="1">
              <w:r w:rsidR="004C31C2" w:rsidRPr="00AC4CD1">
                <w:rPr>
                  <w:rStyle w:val="Hyperlink"/>
                  <w:lang w:eastAsia="ja-JP"/>
                </w:rPr>
                <w:t>CBC activities</w:t>
              </w:r>
            </w:hyperlink>
            <w:r>
              <w:rPr>
                <w:lang w:eastAsia="ja-JP"/>
              </w:rPr>
              <w:t xml:space="preserve"> webpage to access the webinar and tutorials recordings.</w:t>
            </w:r>
          </w:p>
        </w:tc>
      </w:tr>
      <w:tr w:rsidR="00DA6654" w14:paraId="44091991" w14:textId="77777777" w:rsidTr="001012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186AF9A" w14:textId="77777777" w:rsidR="00DA6654" w:rsidRPr="00DA6654" w:rsidRDefault="00DA6654" w:rsidP="00DA6654">
            <w:pPr>
              <w:pStyle w:val="ListParagraph"/>
              <w:numPr>
                <w:ilvl w:val="0"/>
                <w:numId w:val="30"/>
              </w:numPr>
              <w:rPr>
                <w:lang w:eastAsia="ja-JP"/>
              </w:rPr>
            </w:pPr>
          </w:p>
        </w:tc>
        <w:tc>
          <w:tcPr>
            <w:tcW w:w="4252" w:type="dxa"/>
          </w:tcPr>
          <w:p w14:paraId="34AD946F" w14:textId="4A2A5669" w:rsidR="00DA6654" w:rsidRDefault="00DA6654" w:rsidP="00DA6654">
            <w:pPr>
              <w:cnfStyle w:val="000000100000" w:firstRow="0" w:lastRow="0" w:firstColumn="0" w:lastColumn="0" w:oddVBand="0" w:evenVBand="0" w:oddHBand="1" w:evenHBand="0" w:firstRowFirstColumn="0" w:firstRowLastColumn="0" w:lastRowFirstColumn="0" w:lastRowLastColumn="0"/>
              <w:rPr>
                <w:lang w:eastAsia="ja-JP"/>
              </w:rPr>
            </w:pPr>
            <w:r w:rsidRPr="00725E11">
              <w:rPr>
                <w:lang w:eastAsia="ja-JP"/>
              </w:rPr>
              <w:t xml:space="preserve">How do I check that my </w:t>
            </w:r>
            <w:r w:rsidR="00804D17" w:rsidRPr="00725E11">
              <w:rPr>
                <w:lang w:eastAsia="ja-JP"/>
              </w:rPr>
              <w:t>BICON</w:t>
            </w:r>
            <w:r w:rsidRPr="00725E11">
              <w:rPr>
                <w:lang w:eastAsia="ja-JP"/>
              </w:rPr>
              <w:t xml:space="preserve"> account has AEPCOMM access?</w:t>
            </w:r>
          </w:p>
        </w:tc>
        <w:tc>
          <w:tcPr>
            <w:tcW w:w="4230" w:type="dxa"/>
          </w:tcPr>
          <w:p w14:paraId="618306CB" w14:textId="51D75F8A" w:rsidR="00DA6654" w:rsidRDefault="00C62D18" w:rsidP="00C62D18">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When you log into your BICON account if your AEPCOMM access has already been set up you will be able to </w:t>
            </w:r>
            <w:r w:rsidR="00775790">
              <w:rPr>
                <w:lang w:eastAsia="ja-JP"/>
              </w:rPr>
              <w:t xml:space="preserve">view </w:t>
            </w:r>
            <w:r>
              <w:rPr>
                <w:lang w:eastAsia="ja-JP"/>
              </w:rPr>
              <w:t>AEPCOMM related information</w:t>
            </w:r>
            <w:r w:rsidR="00775790">
              <w:rPr>
                <w:lang w:eastAsia="ja-JP"/>
              </w:rPr>
              <w:t xml:space="preserve"> (such as AEPCOMM and ACC codes) </w:t>
            </w:r>
            <w:r>
              <w:rPr>
                <w:lang w:eastAsia="ja-JP"/>
              </w:rPr>
              <w:t xml:space="preserve">on </w:t>
            </w:r>
            <w:r w:rsidR="00775790">
              <w:rPr>
                <w:lang w:eastAsia="ja-JP"/>
              </w:rPr>
              <w:t>in-scope</w:t>
            </w:r>
            <w:r>
              <w:rPr>
                <w:lang w:eastAsia="ja-JP"/>
              </w:rPr>
              <w:t xml:space="preserve"> BICON pathways. </w:t>
            </w:r>
          </w:p>
          <w:p w14:paraId="793D8A7E" w14:textId="2FDF5769" w:rsidR="00C62D18" w:rsidRDefault="00C62D18" w:rsidP="00C62D18">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You can set up BICON AEPCOMM user access through </w:t>
            </w:r>
            <w:r w:rsidR="00775790">
              <w:rPr>
                <w:lang w:eastAsia="ja-JP"/>
              </w:rPr>
              <w:t xml:space="preserve">your employer’s Multiple </w:t>
            </w:r>
            <w:r w:rsidR="00775790">
              <w:rPr>
                <w:lang w:eastAsia="ja-JP"/>
              </w:rPr>
              <w:lastRenderedPageBreak/>
              <w:t>user account (if they are accredited to operate under a Class 19.2 approved arrangement).</w:t>
            </w:r>
            <w:r>
              <w:rPr>
                <w:lang w:eastAsia="ja-JP"/>
              </w:rPr>
              <w:t xml:space="preserve"> </w:t>
            </w:r>
          </w:p>
          <w:p w14:paraId="7146AFF1" w14:textId="77777777" w:rsidR="00C62D18" w:rsidRDefault="00C62D18" w:rsidP="00C62D18">
            <w:pPr>
              <w:cnfStyle w:val="000000100000" w:firstRow="0" w:lastRow="0" w:firstColumn="0" w:lastColumn="0" w:oddVBand="0" w:evenVBand="0" w:oddHBand="1" w:evenHBand="0" w:firstRowFirstColumn="0" w:firstRowLastColumn="0" w:lastRowFirstColumn="0" w:lastRowLastColumn="0"/>
              <w:rPr>
                <w:lang w:eastAsia="ja-JP"/>
              </w:rPr>
            </w:pPr>
            <w:r>
              <w:rPr>
                <w:lang w:eastAsia="ja-JP"/>
              </w:rPr>
              <w:t xml:space="preserve">Help cards to set up a multiple user account and AEPCOMM user access are available under the Account registration and maintenance heading of the BICON </w:t>
            </w:r>
            <w:hyperlink r:id="rId14" w:history="1">
              <w:r w:rsidRPr="00775790">
                <w:rPr>
                  <w:rStyle w:val="Hyperlink"/>
                  <w:lang w:eastAsia="ja-JP"/>
                </w:rPr>
                <w:t>Help</w:t>
              </w:r>
            </w:hyperlink>
            <w:r>
              <w:rPr>
                <w:lang w:eastAsia="ja-JP"/>
              </w:rPr>
              <w:t xml:space="preserve"> tab.</w:t>
            </w:r>
          </w:p>
          <w:p w14:paraId="0224421E" w14:textId="3C21A1BD" w:rsidR="00D4258D" w:rsidRDefault="00D4258D" w:rsidP="00C62D18">
            <w:pPr>
              <w:cnfStyle w:val="000000100000" w:firstRow="0" w:lastRow="0" w:firstColumn="0" w:lastColumn="0" w:oddVBand="0" w:evenVBand="0" w:oddHBand="1" w:evenHBand="0" w:firstRowFirstColumn="0" w:firstRowLastColumn="0" w:lastRowFirstColumn="0" w:lastRowLastColumn="0"/>
              <w:rPr>
                <w:lang w:eastAsia="ja-JP"/>
              </w:rPr>
            </w:pPr>
          </w:p>
        </w:tc>
      </w:tr>
      <w:tr w:rsidR="00DA6654" w14:paraId="2FC5EEE1" w14:textId="77777777" w:rsidTr="001012EB">
        <w:tc>
          <w:tcPr>
            <w:cnfStyle w:val="001000000000" w:firstRow="0" w:lastRow="0" w:firstColumn="1" w:lastColumn="0" w:oddVBand="0" w:evenVBand="0" w:oddHBand="0" w:evenHBand="0" w:firstRowFirstColumn="0" w:firstRowLastColumn="0" w:lastRowFirstColumn="0" w:lastRowLastColumn="0"/>
            <w:tcW w:w="534" w:type="dxa"/>
          </w:tcPr>
          <w:p w14:paraId="2E305E03" w14:textId="48F70DF1" w:rsidR="00DA6654" w:rsidRPr="00DA6654" w:rsidRDefault="00DA6654" w:rsidP="00DA6654">
            <w:pPr>
              <w:pStyle w:val="ListParagraph"/>
              <w:numPr>
                <w:ilvl w:val="0"/>
                <w:numId w:val="30"/>
              </w:numPr>
              <w:rPr>
                <w:lang w:eastAsia="ja-JP"/>
              </w:rPr>
            </w:pPr>
          </w:p>
        </w:tc>
        <w:tc>
          <w:tcPr>
            <w:tcW w:w="4252" w:type="dxa"/>
          </w:tcPr>
          <w:p w14:paraId="2C26B103" w14:textId="693014F0" w:rsidR="00DA6654" w:rsidRPr="002B5A74" w:rsidRDefault="00DA6654" w:rsidP="00DA6654">
            <w:pPr>
              <w:cnfStyle w:val="000000000000" w:firstRow="0" w:lastRow="0" w:firstColumn="0" w:lastColumn="0" w:oddVBand="0" w:evenVBand="0" w:oddHBand="0" w:evenHBand="0" w:firstRowFirstColumn="0" w:firstRowLastColumn="0" w:lastRowFirstColumn="0" w:lastRowLastColumn="0"/>
              <w:rPr>
                <w:lang w:eastAsia="ja-JP"/>
              </w:rPr>
            </w:pPr>
            <w:r w:rsidRPr="002B5A74">
              <w:rPr>
                <w:lang w:eastAsia="ja-JP"/>
              </w:rPr>
              <w:t xml:space="preserve">Thanks for the webinar, great content and very clearly communicated - looking forward to further information about trusted operator import inspections (or however it's </w:t>
            </w:r>
            <w:r w:rsidR="00804D17" w:rsidRPr="002B5A74">
              <w:rPr>
                <w:lang w:eastAsia="ja-JP"/>
              </w:rPr>
              <w:t>named!)</w:t>
            </w:r>
          </w:p>
        </w:tc>
        <w:tc>
          <w:tcPr>
            <w:tcW w:w="4230" w:type="dxa"/>
          </w:tcPr>
          <w:p w14:paraId="636188B2" w14:textId="766D74E4" w:rsidR="00DA6654" w:rsidRDefault="002B5A74" w:rsidP="00DA6654">
            <w:pPr>
              <w:cnfStyle w:val="000000000000" w:firstRow="0" w:lastRow="0" w:firstColumn="0" w:lastColumn="0" w:oddVBand="0" w:evenVBand="0" w:oddHBand="0" w:evenHBand="0" w:firstRowFirstColumn="0" w:firstRowLastColumn="0" w:lastRowFirstColumn="0" w:lastRowLastColumn="0"/>
              <w:rPr>
                <w:lang w:eastAsia="ja-JP"/>
              </w:rPr>
            </w:pPr>
            <w:r>
              <w:rPr>
                <w:lang w:eastAsia="ja-JP"/>
              </w:rPr>
              <w:t>We appreciate the feedback.</w:t>
            </w:r>
          </w:p>
        </w:tc>
      </w:tr>
    </w:tbl>
    <w:p w14:paraId="7E43B8E8" w14:textId="77777777" w:rsidR="009C105A" w:rsidRPr="009C105A" w:rsidRDefault="009C105A" w:rsidP="00B001AD">
      <w:pPr>
        <w:rPr>
          <w:lang w:eastAsia="ja-JP"/>
        </w:rPr>
      </w:pPr>
    </w:p>
    <w:sectPr w:rsidR="009C105A" w:rsidRPr="009C105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A1913" w14:textId="77777777" w:rsidR="001E0F4C" w:rsidRDefault="001E0F4C">
      <w:r>
        <w:separator/>
      </w:r>
    </w:p>
  </w:endnote>
  <w:endnote w:type="continuationSeparator" w:id="0">
    <w:p w14:paraId="6CFBFD44" w14:textId="77777777" w:rsidR="001E0F4C" w:rsidRDefault="001E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7C059B5F" w14:textId="49F15D7F" w:rsidR="00C6669A" w:rsidRDefault="00F16FFB" w:rsidP="00F16FFB">
        <w:pPr>
          <w:pStyle w:val="Footer"/>
          <w:jc w:val="right"/>
        </w:pPr>
        <w:r>
          <w:t>AEPCOMM Expansion</w:t>
        </w:r>
        <w:r>
          <w:ptab w:relativeTo="margin" w:alignment="center" w:leader="none"/>
        </w:r>
        <w:r>
          <w:t xml:space="preserve">CBC Activity 20-21/01 </w:t>
        </w:r>
        <w:r w:rsidR="00C94588">
          <w:t>Q&amp;A</w:t>
        </w:r>
        <w:r>
          <w:ptab w:relativeTo="margin" w:alignment="right" w:leader="none"/>
        </w:r>
        <w:r>
          <w:t>August 2020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9554A" w14:textId="77777777" w:rsidR="001E0F4C" w:rsidRDefault="001E0F4C">
      <w:r>
        <w:separator/>
      </w:r>
    </w:p>
  </w:footnote>
  <w:footnote w:type="continuationSeparator" w:id="0">
    <w:p w14:paraId="3CC3D75D" w14:textId="77777777" w:rsidR="001E0F4C" w:rsidRDefault="001E0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340"/>
      <w:docPartObj>
        <w:docPartGallery w:val="Page Numbers (Top of Page)"/>
        <w:docPartUnique/>
      </w:docPartObj>
    </w:sdtPr>
    <w:sdtEndPr/>
    <w:sdtContent>
      <w:p w14:paraId="2BF65A42" w14:textId="43D081DB" w:rsidR="00F16FFB" w:rsidRDefault="00F16FFB" w:rsidP="00F16FFB">
        <w:pPr>
          <w:pStyle w:val="Header"/>
        </w:pPr>
        <w:r>
          <w:rPr>
            <w:noProof/>
          </w:rPr>
          <w:drawing>
            <wp:inline distT="0" distB="0" distL="0" distR="0" wp14:anchorId="3935AB67" wp14:editId="24DB0A3B">
              <wp:extent cx="2121535" cy="633730"/>
              <wp:effectExtent l="0" t="0" r="0" b="0"/>
              <wp:docPr id="2" name="Picture 2" descr="Crest of the 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633730"/>
                      </a:xfrm>
                      <a:prstGeom prst="rect">
                        <a:avLst/>
                      </a:prstGeom>
                      <a:noFill/>
                    </pic:spPr>
                  </pic:pic>
                </a:graphicData>
              </a:graphic>
            </wp:inline>
          </w:drawing>
        </w:r>
      </w:p>
      <w:p w14:paraId="5A0D9B06" w14:textId="43D081DB" w:rsidR="00F16FFB" w:rsidRDefault="00F16FFB" w:rsidP="00F16FF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01E5D">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1E5D">
          <w:rPr>
            <w:b/>
            <w:bCs/>
            <w:noProof/>
          </w:rPr>
          <w:t>7</w:t>
        </w:r>
        <w:r>
          <w:rPr>
            <w:b/>
            <w:bCs/>
            <w:sz w:val="24"/>
            <w:szCs w:val="24"/>
          </w:rPr>
          <w:fldChar w:fldCharType="end"/>
        </w:r>
      </w:p>
    </w:sdtContent>
  </w:sdt>
  <w:p w14:paraId="63B8ABF1" w14:textId="1B6DB035" w:rsidR="00AE3CF8" w:rsidRDefault="00AE3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F8D6D9D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69481C"/>
    <w:multiLevelType w:val="hybridMultilevel"/>
    <w:tmpl w:val="2DE06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441254"/>
    <w:multiLevelType w:val="hybridMultilevel"/>
    <w:tmpl w:val="89CE46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455623"/>
    <w:multiLevelType w:val="hybridMultilevel"/>
    <w:tmpl w:val="8B2CA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32B6533"/>
    <w:multiLevelType w:val="hybridMultilevel"/>
    <w:tmpl w:val="53065F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F2425AB"/>
    <w:multiLevelType w:val="multilevel"/>
    <w:tmpl w:val="BC8603C0"/>
    <w:numStyleLink w:val="ListNumbers"/>
  </w:abstractNum>
  <w:abstractNum w:abstractNumId="14" w15:restartNumberingAfterBreak="0">
    <w:nsid w:val="32966F68"/>
    <w:multiLevelType w:val="hybridMultilevel"/>
    <w:tmpl w:val="5E0694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DD5C12"/>
    <w:multiLevelType w:val="multilevel"/>
    <w:tmpl w:val="20F2356A"/>
    <w:numStyleLink w:val="Appendix"/>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9207E3"/>
    <w:multiLevelType w:val="hybridMultilevel"/>
    <w:tmpl w:val="8F24DD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A45587"/>
    <w:multiLevelType w:val="hybridMultilevel"/>
    <w:tmpl w:val="D0C217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45C18F2"/>
    <w:multiLevelType w:val="hybridMultilevel"/>
    <w:tmpl w:val="5F70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88559E"/>
    <w:multiLevelType w:val="hybridMultilevel"/>
    <w:tmpl w:val="2556A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3" w15:restartNumberingAfterBreak="0">
    <w:nsid w:val="5D332797"/>
    <w:multiLevelType w:val="hybridMultilevel"/>
    <w:tmpl w:val="2DE06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B64A81"/>
    <w:multiLevelType w:val="hybridMultilevel"/>
    <w:tmpl w:val="BF9415E4"/>
    <w:lvl w:ilvl="0" w:tplc="D22A5484">
      <w:numFmt w:val="bullet"/>
      <w:lvlText w:val="-"/>
      <w:lvlJc w:val="left"/>
      <w:pPr>
        <w:ind w:left="785" w:hanging="360"/>
      </w:pPr>
      <w:rPr>
        <w:rFonts w:ascii="Cambria" w:eastAsia="Calibri" w:hAnsi="Cambria" w:cs="Times New Roman"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6" w15:restartNumberingAfterBreak="0">
    <w:nsid w:val="69A934FC"/>
    <w:multiLevelType w:val="hybridMultilevel"/>
    <w:tmpl w:val="3FFC12F8"/>
    <w:lvl w:ilvl="0" w:tplc="09C669FC">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5B2D02"/>
    <w:multiLevelType w:val="hybridMultilevel"/>
    <w:tmpl w:val="2DE06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5E7CED"/>
    <w:multiLevelType w:val="hybridMultilevel"/>
    <w:tmpl w:val="65D64D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16"/>
  </w:num>
  <w:num w:numId="3">
    <w:abstractNumId w:val="8"/>
  </w:num>
  <w:num w:numId="4">
    <w:abstractNumId w:val="9"/>
  </w:num>
  <w:num w:numId="5">
    <w:abstractNumId w:val="3"/>
  </w:num>
  <w:num w:numId="6">
    <w:abstractNumId w:val="12"/>
  </w:num>
  <w:num w:numId="7">
    <w:abstractNumId w:val="28"/>
  </w:num>
  <w:num w:numId="8">
    <w:abstractNumId w:val="13"/>
  </w:num>
  <w:num w:numId="9">
    <w:abstractNumId w:val="22"/>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4"/>
  </w:num>
  <w:num w:numId="14">
    <w:abstractNumId w:val="2"/>
  </w:num>
  <w:num w:numId="15">
    <w:abstractNumId w:val="1"/>
  </w:num>
  <w:num w:numId="16">
    <w:abstractNumId w:val="0"/>
  </w:num>
  <w:num w:numId="17">
    <w:abstractNumId w:val="4"/>
  </w:num>
  <w:num w:numId="18">
    <w:abstractNumId w:val="14"/>
  </w:num>
  <w:num w:numId="19">
    <w:abstractNumId w:val="29"/>
  </w:num>
  <w:num w:numId="20">
    <w:abstractNumId w:val="20"/>
  </w:num>
  <w:num w:numId="21">
    <w:abstractNumId w:val="23"/>
  </w:num>
  <w:num w:numId="22">
    <w:abstractNumId w:val="5"/>
  </w:num>
  <w:num w:numId="23">
    <w:abstractNumId w:val="25"/>
  </w:num>
  <w:num w:numId="24">
    <w:abstractNumId w:val="19"/>
  </w:num>
  <w:num w:numId="25">
    <w:abstractNumId w:val="27"/>
  </w:num>
  <w:num w:numId="26">
    <w:abstractNumId w:val="10"/>
  </w:num>
  <w:num w:numId="27">
    <w:abstractNumId w:val="18"/>
  </w:num>
  <w:num w:numId="28">
    <w:abstractNumId w:val="7"/>
  </w:num>
  <w:num w:numId="29">
    <w:abstractNumId w:val="17"/>
  </w:num>
  <w:num w:numId="30">
    <w:abstractNumId w:val="6"/>
  </w:num>
  <w:num w:numId="3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44"/>
    <w:rsid w:val="0000680D"/>
    <w:rsid w:val="00010266"/>
    <w:rsid w:val="00010AD6"/>
    <w:rsid w:val="00011D4F"/>
    <w:rsid w:val="00015621"/>
    <w:rsid w:val="00016293"/>
    <w:rsid w:val="000228F3"/>
    <w:rsid w:val="00026D7A"/>
    <w:rsid w:val="000358AB"/>
    <w:rsid w:val="00040485"/>
    <w:rsid w:val="00040D24"/>
    <w:rsid w:val="00042253"/>
    <w:rsid w:val="000440F2"/>
    <w:rsid w:val="000447C1"/>
    <w:rsid w:val="00044858"/>
    <w:rsid w:val="00052FED"/>
    <w:rsid w:val="0005656A"/>
    <w:rsid w:val="00057349"/>
    <w:rsid w:val="0006551E"/>
    <w:rsid w:val="00070A75"/>
    <w:rsid w:val="000735F3"/>
    <w:rsid w:val="00075E8F"/>
    <w:rsid w:val="00075E97"/>
    <w:rsid w:val="00077BE0"/>
    <w:rsid w:val="0008104B"/>
    <w:rsid w:val="000858EC"/>
    <w:rsid w:val="00087BB9"/>
    <w:rsid w:val="00093768"/>
    <w:rsid w:val="000945E8"/>
    <w:rsid w:val="00095595"/>
    <w:rsid w:val="0009570F"/>
    <w:rsid w:val="0009571F"/>
    <w:rsid w:val="000A0500"/>
    <w:rsid w:val="000A0BFD"/>
    <w:rsid w:val="000A74D7"/>
    <w:rsid w:val="000A7D73"/>
    <w:rsid w:val="000B20B5"/>
    <w:rsid w:val="000B7276"/>
    <w:rsid w:val="000C26A9"/>
    <w:rsid w:val="000C3497"/>
    <w:rsid w:val="000C3C61"/>
    <w:rsid w:val="000D54F0"/>
    <w:rsid w:val="000D6149"/>
    <w:rsid w:val="000F15F3"/>
    <w:rsid w:val="000F5C73"/>
    <w:rsid w:val="000F6795"/>
    <w:rsid w:val="000F6F9C"/>
    <w:rsid w:val="001012EB"/>
    <w:rsid w:val="00105B60"/>
    <w:rsid w:val="001405CD"/>
    <w:rsid w:val="00141CFE"/>
    <w:rsid w:val="00156911"/>
    <w:rsid w:val="00160C2B"/>
    <w:rsid w:val="00162E28"/>
    <w:rsid w:val="001639D1"/>
    <w:rsid w:val="00164111"/>
    <w:rsid w:val="00167F59"/>
    <w:rsid w:val="00171EA9"/>
    <w:rsid w:val="00173B24"/>
    <w:rsid w:val="00174D41"/>
    <w:rsid w:val="00180B64"/>
    <w:rsid w:val="00184557"/>
    <w:rsid w:val="001903EA"/>
    <w:rsid w:val="001962DD"/>
    <w:rsid w:val="001A1934"/>
    <w:rsid w:val="001A2C5E"/>
    <w:rsid w:val="001A7FB5"/>
    <w:rsid w:val="001B0A9D"/>
    <w:rsid w:val="001B0C15"/>
    <w:rsid w:val="001C00AF"/>
    <w:rsid w:val="001C513D"/>
    <w:rsid w:val="001D0CA0"/>
    <w:rsid w:val="001D1816"/>
    <w:rsid w:val="001D7C35"/>
    <w:rsid w:val="001E058C"/>
    <w:rsid w:val="001E0F4C"/>
    <w:rsid w:val="001F6412"/>
    <w:rsid w:val="00205999"/>
    <w:rsid w:val="00213CFF"/>
    <w:rsid w:val="00213F8A"/>
    <w:rsid w:val="002168FF"/>
    <w:rsid w:val="00221BF1"/>
    <w:rsid w:val="0023534C"/>
    <w:rsid w:val="00241282"/>
    <w:rsid w:val="00242DE7"/>
    <w:rsid w:val="00246261"/>
    <w:rsid w:val="00246A6A"/>
    <w:rsid w:val="00247B35"/>
    <w:rsid w:val="00250006"/>
    <w:rsid w:val="002608EC"/>
    <w:rsid w:val="0026557A"/>
    <w:rsid w:val="00270DD3"/>
    <w:rsid w:val="00271413"/>
    <w:rsid w:val="002738FF"/>
    <w:rsid w:val="00280328"/>
    <w:rsid w:val="00280E8E"/>
    <w:rsid w:val="0028161E"/>
    <w:rsid w:val="00282B44"/>
    <w:rsid w:val="0028303F"/>
    <w:rsid w:val="00286FEB"/>
    <w:rsid w:val="00295533"/>
    <w:rsid w:val="00296903"/>
    <w:rsid w:val="002A0679"/>
    <w:rsid w:val="002A085B"/>
    <w:rsid w:val="002A335A"/>
    <w:rsid w:val="002A35C1"/>
    <w:rsid w:val="002A4857"/>
    <w:rsid w:val="002A502C"/>
    <w:rsid w:val="002A6201"/>
    <w:rsid w:val="002A663B"/>
    <w:rsid w:val="002B5A74"/>
    <w:rsid w:val="002B71AA"/>
    <w:rsid w:val="002C4E0D"/>
    <w:rsid w:val="002D1AAF"/>
    <w:rsid w:val="00300FCC"/>
    <w:rsid w:val="003026AE"/>
    <w:rsid w:val="003030B5"/>
    <w:rsid w:val="003046BE"/>
    <w:rsid w:val="00304EC0"/>
    <w:rsid w:val="003072EE"/>
    <w:rsid w:val="003122A5"/>
    <w:rsid w:val="00312EFF"/>
    <w:rsid w:val="00314509"/>
    <w:rsid w:val="003151FA"/>
    <w:rsid w:val="003176B2"/>
    <w:rsid w:val="0031772D"/>
    <w:rsid w:val="00322876"/>
    <w:rsid w:val="00330237"/>
    <w:rsid w:val="003317FA"/>
    <w:rsid w:val="00356775"/>
    <w:rsid w:val="00367386"/>
    <w:rsid w:val="00375A20"/>
    <w:rsid w:val="00376B64"/>
    <w:rsid w:val="00385D1C"/>
    <w:rsid w:val="00390235"/>
    <w:rsid w:val="00392625"/>
    <w:rsid w:val="003B020F"/>
    <w:rsid w:val="003B1E5B"/>
    <w:rsid w:val="003B3D5F"/>
    <w:rsid w:val="003C1494"/>
    <w:rsid w:val="003C211D"/>
    <w:rsid w:val="003C307E"/>
    <w:rsid w:val="003C4564"/>
    <w:rsid w:val="003C4738"/>
    <w:rsid w:val="003C5872"/>
    <w:rsid w:val="003C6680"/>
    <w:rsid w:val="003E0DB3"/>
    <w:rsid w:val="003E130C"/>
    <w:rsid w:val="003E15BE"/>
    <w:rsid w:val="003E5363"/>
    <w:rsid w:val="003E5FDF"/>
    <w:rsid w:val="003F388B"/>
    <w:rsid w:val="003F39D5"/>
    <w:rsid w:val="00400813"/>
    <w:rsid w:val="0040269D"/>
    <w:rsid w:val="0041056F"/>
    <w:rsid w:val="00412844"/>
    <w:rsid w:val="004132CB"/>
    <w:rsid w:val="00424AC2"/>
    <w:rsid w:val="0043241B"/>
    <w:rsid w:val="00433585"/>
    <w:rsid w:val="00433EFC"/>
    <w:rsid w:val="0043603D"/>
    <w:rsid w:val="004370D9"/>
    <w:rsid w:val="0043749C"/>
    <w:rsid w:val="00441AB4"/>
    <w:rsid w:val="004435B5"/>
    <w:rsid w:val="00445FD1"/>
    <w:rsid w:val="0045365A"/>
    <w:rsid w:val="00454FFD"/>
    <w:rsid w:val="00455533"/>
    <w:rsid w:val="0045560A"/>
    <w:rsid w:val="00455EB4"/>
    <w:rsid w:val="00461807"/>
    <w:rsid w:val="00466350"/>
    <w:rsid w:val="00470C77"/>
    <w:rsid w:val="00473BCE"/>
    <w:rsid w:val="004848B0"/>
    <w:rsid w:val="00487EC0"/>
    <w:rsid w:val="00491040"/>
    <w:rsid w:val="00492127"/>
    <w:rsid w:val="00493CDF"/>
    <w:rsid w:val="004964B9"/>
    <w:rsid w:val="004A051D"/>
    <w:rsid w:val="004A0C5C"/>
    <w:rsid w:val="004A6132"/>
    <w:rsid w:val="004B127A"/>
    <w:rsid w:val="004C31C2"/>
    <w:rsid w:val="004C54C8"/>
    <w:rsid w:val="004C6138"/>
    <w:rsid w:val="004D0865"/>
    <w:rsid w:val="004D7C8A"/>
    <w:rsid w:val="004E27FB"/>
    <w:rsid w:val="004E2F39"/>
    <w:rsid w:val="004E4EAC"/>
    <w:rsid w:val="004E5716"/>
    <w:rsid w:val="004E6B7D"/>
    <w:rsid w:val="004F0302"/>
    <w:rsid w:val="004F30FD"/>
    <w:rsid w:val="004F5091"/>
    <w:rsid w:val="00500D54"/>
    <w:rsid w:val="00503BE4"/>
    <w:rsid w:val="005051C2"/>
    <w:rsid w:val="0050617D"/>
    <w:rsid w:val="00512382"/>
    <w:rsid w:val="00513C83"/>
    <w:rsid w:val="005176EE"/>
    <w:rsid w:val="005212B8"/>
    <w:rsid w:val="00522D4F"/>
    <w:rsid w:val="00524238"/>
    <w:rsid w:val="00530717"/>
    <w:rsid w:val="00530A27"/>
    <w:rsid w:val="00540EE8"/>
    <w:rsid w:val="00544950"/>
    <w:rsid w:val="00544A98"/>
    <w:rsid w:val="00545155"/>
    <w:rsid w:val="0054747E"/>
    <w:rsid w:val="0055041B"/>
    <w:rsid w:val="00551D84"/>
    <w:rsid w:val="00560307"/>
    <w:rsid w:val="0057118E"/>
    <w:rsid w:val="005862AD"/>
    <w:rsid w:val="00586D94"/>
    <w:rsid w:val="005938E0"/>
    <w:rsid w:val="00595D2D"/>
    <w:rsid w:val="005B1133"/>
    <w:rsid w:val="005B38C1"/>
    <w:rsid w:val="005B4F0D"/>
    <w:rsid w:val="005C05B5"/>
    <w:rsid w:val="005C0828"/>
    <w:rsid w:val="005C165C"/>
    <w:rsid w:val="005C6BF3"/>
    <w:rsid w:val="005D0029"/>
    <w:rsid w:val="005D62ED"/>
    <w:rsid w:val="005E3891"/>
    <w:rsid w:val="005E61E8"/>
    <w:rsid w:val="00600EEB"/>
    <w:rsid w:val="0060571B"/>
    <w:rsid w:val="0061424E"/>
    <w:rsid w:val="00615CA5"/>
    <w:rsid w:val="00626E31"/>
    <w:rsid w:val="00631B8B"/>
    <w:rsid w:val="00631C21"/>
    <w:rsid w:val="00634481"/>
    <w:rsid w:val="00650235"/>
    <w:rsid w:val="00650F37"/>
    <w:rsid w:val="00655ADA"/>
    <w:rsid w:val="00663288"/>
    <w:rsid w:val="00667354"/>
    <w:rsid w:val="00670A8C"/>
    <w:rsid w:val="00680FFA"/>
    <w:rsid w:val="00681D45"/>
    <w:rsid w:val="0068272B"/>
    <w:rsid w:val="00693C02"/>
    <w:rsid w:val="0069754F"/>
    <w:rsid w:val="006A1A73"/>
    <w:rsid w:val="006A2498"/>
    <w:rsid w:val="006B09B8"/>
    <w:rsid w:val="006B0F79"/>
    <w:rsid w:val="006B5353"/>
    <w:rsid w:val="006B6931"/>
    <w:rsid w:val="006B7FB7"/>
    <w:rsid w:val="006D7816"/>
    <w:rsid w:val="006E369B"/>
    <w:rsid w:val="00701E5D"/>
    <w:rsid w:val="00704485"/>
    <w:rsid w:val="00704733"/>
    <w:rsid w:val="00704F4E"/>
    <w:rsid w:val="00705F9F"/>
    <w:rsid w:val="007077B5"/>
    <w:rsid w:val="00712163"/>
    <w:rsid w:val="00721230"/>
    <w:rsid w:val="00723576"/>
    <w:rsid w:val="00725602"/>
    <w:rsid w:val="0072565C"/>
    <w:rsid w:val="00726538"/>
    <w:rsid w:val="00730F3A"/>
    <w:rsid w:val="0073187F"/>
    <w:rsid w:val="00731902"/>
    <w:rsid w:val="00740A85"/>
    <w:rsid w:val="00743309"/>
    <w:rsid w:val="007436BC"/>
    <w:rsid w:val="007538B0"/>
    <w:rsid w:val="00766985"/>
    <w:rsid w:val="00767AEC"/>
    <w:rsid w:val="0077011A"/>
    <w:rsid w:val="00772C51"/>
    <w:rsid w:val="00775790"/>
    <w:rsid w:val="00782C8A"/>
    <w:rsid w:val="0078660C"/>
    <w:rsid w:val="00794233"/>
    <w:rsid w:val="007A40AE"/>
    <w:rsid w:val="007A5631"/>
    <w:rsid w:val="007A6D3D"/>
    <w:rsid w:val="007B5398"/>
    <w:rsid w:val="007C1C11"/>
    <w:rsid w:val="007C38B8"/>
    <w:rsid w:val="007D5A73"/>
    <w:rsid w:val="007E634B"/>
    <w:rsid w:val="007E6666"/>
    <w:rsid w:val="007F0ECE"/>
    <w:rsid w:val="007F3249"/>
    <w:rsid w:val="007F4668"/>
    <w:rsid w:val="007F753B"/>
    <w:rsid w:val="00800110"/>
    <w:rsid w:val="00800766"/>
    <w:rsid w:val="00804D17"/>
    <w:rsid w:val="00805DD9"/>
    <w:rsid w:val="00810A85"/>
    <w:rsid w:val="00810CD6"/>
    <w:rsid w:val="00814CB1"/>
    <w:rsid w:val="00814E8A"/>
    <w:rsid w:val="00820AA3"/>
    <w:rsid w:val="00821F18"/>
    <w:rsid w:val="00822626"/>
    <w:rsid w:val="00823769"/>
    <w:rsid w:val="00825157"/>
    <w:rsid w:val="00836122"/>
    <w:rsid w:val="00837AC4"/>
    <w:rsid w:val="00840600"/>
    <w:rsid w:val="0084544F"/>
    <w:rsid w:val="00847D7E"/>
    <w:rsid w:val="00850910"/>
    <w:rsid w:val="00853002"/>
    <w:rsid w:val="0085651B"/>
    <w:rsid w:val="00865A97"/>
    <w:rsid w:val="00873298"/>
    <w:rsid w:val="00876D97"/>
    <w:rsid w:val="00880393"/>
    <w:rsid w:val="0088114F"/>
    <w:rsid w:val="00883369"/>
    <w:rsid w:val="0089735E"/>
    <w:rsid w:val="008A106D"/>
    <w:rsid w:val="008A2334"/>
    <w:rsid w:val="008B582F"/>
    <w:rsid w:val="008B7B71"/>
    <w:rsid w:val="008B7DAC"/>
    <w:rsid w:val="008D0641"/>
    <w:rsid w:val="008D135C"/>
    <w:rsid w:val="008D4CC7"/>
    <w:rsid w:val="008D6138"/>
    <w:rsid w:val="008E2956"/>
    <w:rsid w:val="008E431E"/>
    <w:rsid w:val="008E62A1"/>
    <w:rsid w:val="008E6A53"/>
    <w:rsid w:val="008E6DE3"/>
    <w:rsid w:val="008F49EE"/>
    <w:rsid w:val="0090456E"/>
    <w:rsid w:val="00905F94"/>
    <w:rsid w:val="0090657E"/>
    <w:rsid w:val="00906C02"/>
    <w:rsid w:val="009117D9"/>
    <w:rsid w:val="0091428F"/>
    <w:rsid w:val="00917526"/>
    <w:rsid w:val="00917613"/>
    <w:rsid w:val="00922014"/>
    <w:rsid w:val="0092348D"/>
    <w:rsid w:val="009234DD"/>
    <w:rsid w:val="00930BBF"/>
    <w:rsid w:val="00931923"/>
    <w:rsid w:val="00934BE1"/>
    <w:rsid w:val="009411D5"/>
    <w:rsid w:val="00941417"/>
    <w:rsid w:val="009434A2"/>
    <w:rsid w:val="0095184E"/>
    <w:rsid w:val="009525FA"/>
    <w:rsid w:val="00971BF3"/>
    <w:rsid w:val="00973CF2"/>
    <w:rsid w:val="009748C0"/>
    <w:rsid w:val="009811BF"/>
    <w:rsid w:val="0099027B"/>
    <w:rsid w:val="00994014"/>
    <w:rsid w:val="00996431"/>
    <w:rsid w:val="009A6D77"/>
    <w:rsid w:val="009A7D02"/>
    <w:rsid w:val="009B11FE"/>
    <w:rsid w:val="009B48D9"/>
    <w:rsid w:val="009B5794"/>
    <w:rsid w:val="009B76DF"/>
    <w:rsid w:val="009C014D"/>
    <w:rsid w:val="009C01EB"/>
    <w:rsid w:val="009C105A"/>
    <w:rsid w:val="009C2F71"/>
    <w:rsid w:val="009C7091"/>
    <w:rsid w:val="009D6817"/>
    <w:rsid w:val="009E1E49"/>
    <w:rsid w:val="009E31D3"/>
    <w:rsid w:val="009F07D3"/>
    <w:rsid w:val="00A0000F"/>
    <w:rsid w:val="00A04482"/>
    <w:rsid w:val="00A153D7"/>
    <w:rsid w:val="00A1583D"/>
    <w:rsid w:val="00A23BC0"/>
    <w:rsid w:val="00A256E5"/>
    <w:rsid w:val="00A33AF9"/>
    <w:rsid w:val="00A43EA2"/>
    <w:rsid w:val="00A478F2"/>
    <w:rsid w:val="00A510C2"/>
    <w:rsid w:val="00A63C62"/>
    <w:rsid w:val="00A656FA"/>
    <w:rsid w:val="00A71780"/>
    <w:rsid w:val="00A7361D"/>
    <w:rsid w:val="00A76BE2"/>
    <w:rsid w:val="00A85D9E"/>
    <w:rsid w:val="00A865E7"/>
    <w:rsid w:val="00A91A77"/>
    <w:rsid w:val="00A91F79"/>
    <w:rsid w:val="00A936D4"/>
    <w:rsid w:val="00A93A45"/>
    <w:rsid w:val="00A962DB"/>
    <w:rsid w:val="00A97E5E"/>
    <w:rsid w:val="00AA4B88"/>
    <w:rsid w:val="00AA5DFF"/>
    <w:rsid w:val="00AB1D7F"/>
    <w:rsid w:val="00AB203E"/>
    <w:rsid w:val="00AB5709"/>
    <w:rsid w:val="00AB681D"/>
    <w:rsid w:val="00AC0864"/>
    <w:rsid w:val="00AC32A4"/>
    <w:rsid w:val="00AC3B14"/>
    <w:rsid w:val="00AC4CD1"/>
    <w:rsid w:val="00AC5204"/>
    <w:rsid w:val="00AD645F"/>
    <w:rsid w:val="00AE0DF6"/>
    <w:rsid w:val="00AE3CED"/>
    <w:rsid w:val="00AE3CF8"/>
    <w:rsid w:val="00AE3FC4"/>
    <w:rsid w:val="00AE6E57"/>
    <w:rsid w:val="00AF2BA7"/>
    <w:rsid w:val="00AF66D1"/>
    <w:rsid w:val="00AF7D9F"/>
    <w:rsid w:val="00B001AD"/>
    <w:rsid w:val="00B0127C"/>
    <w:rsid w:val="00B014FA"/>
    <w:rsid w:val="00B040C4"/>
    <w:rsid w:val="00B045D6"/>
    <w:rsid w:val="00B05473"/>
    <w:rsid w:val="00B0707E"/>
    <w:rsid w:val="00B10775"/>
    <w:rsid w:val="00B12E61"/>
    <w:rsid w:val="00B21675"/>
    <w:rsid w:val="00B21F41"/>
    <w:rsid w:val="00B35B65"/>
    <w:rsid w:val="00B36D3D"/>
    <w:rsid w:val="00B42413"/>
    <w:rsid w:val="00B44307"/>
    <w:rsid w:val="00B5317D"/>
    <w:rsid w:val="00B53D29"/>
    <w:rsid w:val="00B57188"/>
    <w:rsid w:val="00B614B0"/>
    <w:rsid w:val="00B6694E"/>
    <w:rsid w:val="00B669FE"/>
    <w:rsid w:val="00B711E5"/>
    <w:rsid w:val="00B715C0"/>
    <w:rsid w:val="00B72F8B"/>
    <w:rsid w:val="00B877AB"/>
    <w:rsid w:val="00B94BDF"/>
    <w:rsid w:val="00B959BF"/>
    <w:rsid w:val="00BA5F4E"/>
    <w:rsid w:val="00BB1CDA"/>
    <w:rsid w:val="00BB2127"/>
    <w:rsid w:val="00BC51D6"/>
    <w:rsid w:val="00BD2732"/>
    <w:rsid w:val="00BD5921"/>
    <w:rsid w:val="00BD7624"/>
    <w:rsid w:val="00BE05AB"/>
    <w:rsid w:val="00BE153D"/>
    <w:rsid w:val="00BE358E"/>
    <w:rsid w:val="00BE55F4"/>
    <w:rsid w:val="00BE7EA8"/>
    <w:rsid w:val="00BF16A9"/>
    <w:rsid w:val="00BF4D13"/>
    <w:rsid w:val="00BF75A8"/>
    <w:rsid w:val="00C01D6D"/>
    <w:rsid w:val="00C03D02"/>
    <w:rsid w:val="00C056CF"/>
    <w:rsid w:val="00C05FF2"/>
    <w:rsid w:val="00C36341"/>
    <w:rsid w:val="00C62517"/>
    <w:rsid w:val="00C62D18"/>
    <w:rsid w:val="00C6669A"/>
    <w:rsid w:val="00C66BBE"/>
    <w:rsid w:val="00C6750E"/>
    <w:rsid w:val="00C70B90"/>
    <w:rsid w:val="00C70F2E"/>
    <w:rsid w:val="00C73E66"/>
    <w:rsid w:val="00C753CB"/>
    <w:rsid w:val="00C75574"/>
    <w:rsid w:val="00C758A1"/>
    <w:rsid w:val="00C769EE"/>
    <w:rsid w:val="00C77697"/>
    <w:rsid w:val="00C80E3C"/>
    <w:rsid w:val="00C82593"/>
    <w:rsid w:val="00C844DA"/>
    <w:rsid w:val="00C91824"/>
    <w:rsid w:val="00C93B54"/>
    <w:rsid w:val="00C94588"/>
    <w:rsid w:val="00CA1743"/>
    <w:rsid w:val="00CA4116"/>
    <w:rsid w:val="00CA43F5"/>
    <w:rsid w:val="00CA7B63"/>
    <w:rsid w:val="00CB602C"/>
    <w:rsid w:val="00CB70A8"/>
    <w:rsid w:val="00CB7913"/>
    <w:rsid w:val="00CC161D"/>
    <w:rsid w:val="00CD10BE"/>
    <w:rsid w:val="00CE1768"/>
    <w:rsid w:val="00CE234E"/>
    <w:rsid w:val="00CE7CA8"/>
    <w:rsid w:val="00CF73A6"/>
    <w:rsid w:val="00D027A9"/>
    <w:rsid w:val="00D04232"/>
    <w:rsid w:val="00D0594D"/>
    <w:rsid w:val="00D14015"/>
    <w:rsid w:val="00D15738"/>
    <w:rsid w:val="00D200AD"/>
    <w:rsid w:val="00D217C6"/>
    <w:rsid w:val="00D22A59"/>
    <w:rsid w:val="00D2419F"/>
    <w:rsid w:val="00D258AB"/>
    <w:rsid w:val="00D30FF9"/>
    <w:rsid w:val="00D4258D"/>
    <w:rsid w:val="00D44D35"/>
    <w:rsid w:val="00D44F98"/>
    <w:rsid w:val="00D46B0B"/>
    <w:rsid w:val="00D5327E"/>
    <w:rsid w:val="00D53600"/>
    <w:rsid w:val="00D55EA8"/>
    <w:rsid w:val="00D63D19"/>
    <w:rsid w:val="00D6597B"/>
    <w:rsid w:val="00D702F7"/>
    <w:rsid w:val="00D73FAE"/>
    <w:rsid w:val="00D779BB"/>
    <w:rsid w:val="00D87557"/>
    <w:rsid w:val="00D91B36"/>
    <w:rsid w:val="00D953A4"/>
    <w:rsid w:val="00D978E4"/>
    <w:rsid w:val="00DA1840"/>
    <w:rsid w:val="00DA4FA7"/>
    <w:rsid w:val="00DA54F0"/>
    <w:rsid w:val="00DA561A"/>
    <w:rsid w:val="00DA5A84"/>
    <w:rsid w:val="00DA6338"/>
    <w:rsid w:val="00DA6654"/>
    <w:rsid w:val="00DD42F2"/>
    <w:rsid w:val="00DE0E44"/>
    <w:rsid w:val="00DE753B"/>
    <w:rsid w:val="00DF01A4"/>
    <w:rsid w:val="00E03B1B"/>
    <w:rsid w:val="00E07B75"/>
    <w:rsid w:val="00E117EC"/>
    <w:rsid w:val="00E16A94"/>
    <w:rsid w:val="00E3214D"/>
    <w:rsid w:val="00E32974"/>
    <w:rsid w:val="00E36C91"/>
    <w:rsid w:val="00E438EF"/>
    <w:rsid w:val="00E443B4"/>
    <w:rsid w:val="00E46B28"/>
    <w:rsid w:val="00E67A58"/>
    <w:rsid w:val="00E715F8"/>
    <w:rsid w:val="00E80147"/>
    <w:rsid w:val="00E84E73"/>
    <w:rsid w:val="00E86A9D"/>
    <w:rsid w:val="00E86BC2"/>
    <w:rsid w:val="00E91727"/>
    <w:rsid w:val="00E945D7"/>
    <w:rsid w:val="00E948D7"/>
    <w:rsid w:val="00EA2B08"/>
    <w:rsid w:val="00EA463C"/>
    <w:rsid w:val="00EA7926"/>
    <w:rsid w:val="00EB5441"/>
    <w:rsid w:val="00EB6106"/>
    <w:rsid w:val="00EC38ED"/>
    <w:rsid w:val="00EC59D7"/>
    <w:rsid w:val="00EC65E0"/>
    <w:rsid w:val="00ED063D"/>
    <w:rsid w:val="00ED6B90"/>
    <w:rsid w:val="00EE2879"/>
    <w:rsid w:val="00EE6504"/>
    <w:rsid w:val="00EE65B9"/>
    <w:rsid w:val="00EF1C36"/>
    <w:rsid w:val="00EF1E37"/>
    <w:rsid w:val="00EF384F"/>
    <w:rsid w:val="00F04D1A"/>
    <w:rsid w:val="00F12293"/>
    <w:rsid w:val="00F16FFB"/>
    <w:rsid w:val="00F40CB6"/>
    <w:rsid w:val="00F4314F"/>
    <w:rsid w:val="00F45124"/>
    <w:rsid w:val="00F46D22"/>
    <w:rsid w:val="00F46D54"/>
    <w:rsid w:val="00F51C1F"/>
    <w:rsid w:val="00F54CE3"/>
    <w:rsid w:val="00F7620A"/>
    <w:rsid w:val="00F7687B"/>
    <w:rsid w:val="00F810D5"/>
    <w:rsid w:val="00F87DDD"/>
    <w:rsid w:val="00F915D4"/>
    <w:rsid w:val="00F9579B"/>
    <w:rsid w:val="00F97620"/>
    <w:rsid w:val="00FA07A6"/>
    <w:rsid w:val="00FA2C08"/>
    <w:rsid w:val="00FA2CDE"/>
    <w:rsid w:val="00FB142F"/>
    <w:rsid w:val="00FB3785"/>
    <w:rsid w:val="00FB4FA4"/>
    <w:rsid w:val="00FD40DD"/>
    <w:rsid w:val="00FF3D4A"/>
    <w:rsid w:val="00FF3FBE"/>
    <w:rsid w:val="00FF5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B0258"/>
  <w15:chartTrackingRefBased/>
  <w15:docId w15:val="{DB566FC8-AF3E-4F88-B8C4-3A4F6549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A9D"/>
    <w:pPr>
      <w:spacing w:before="120"/>
    </w:pPr>
    <w:rPr>
      <w:sz w:val="22"/>
      <w:szCs w:val="22"/>
      <w:lang w:eastAsia="en-US"/>
    </w:rPr>
  </w:style>
  <w:style w:type="paragraph" w:styleId="Heading1">
    <w:name w:val="heading 1"/>
    <w:basedOn w:val="Normal"/>
    <w:next w:val="Normal"/>
    <w:link w:val="Heading1Char"/>
    <w:uiPriority w:val="1"/>
    <w:qFormat/>
    <w:rsid w:val="007C38B8"/>
    <w:pPr>
      <w:jc w:val="center"/>
      <w:outlineLvl w:val="0"/>
    </w:pPr>
    <w:rPr>
      <w:b/>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7C38B8"/>
    <w:rPr>
      <w:b/>
      <w:sz w:val="22"/>
      <w:szCs w:val="22"/>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56911"/>
    <w:rPr>
      <w:b/>
      <w:i/>
      <w:iCs/>
      <w:color w:val="4F81BD" w:themeColor="accent1"/>
    </w:rPr>
  </w:style>
  <w:style w:type="paragraph" w:styleId="ListParagraph">
    <w:name w:val="List Paragraph"/>
    <w:basedOn w:val="Normal"/>
    <w:uiPriority w:val="34"/>
    <w:qFormat/>
    <w:rsid w:val="00296903"/>
    <w:pPr>
      <w:ind w:left="720"/>
      <w:contextualSpacing/>
    </w:pPr>
  </w:style>
  <w:style w:type="table" w:styleId="PlainTable1">
    <w:name w:val="Plain Table 1"/>
    <w:basedOn w:val="TableNormal"/>
    <w:uiPriority w:val="41"/>
    <w:rsid w:val="00DA665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AC32A4"/>
    <w:rPr>
      <w:color w:val="605E5C"/>
      <w:shd w:val="clear" w:color="auto" w:fill="E1DFDD"/>
    </w:rPr>
  </w:style>
  <w:style w:type="character" w:customStyle="1" w:styleId="UnresolvedMention">
    <w:name w:val="Unresolved Mention"/>
    <w:basedOn w:val="DefaultParagraphFont"/>
    <w:uiPriority w:val="99"/>
    <w:semiHidden/>
    <w:unhideWhenUsed/>
    <w:rsid w:val="00D15738"/>
    <w:rPr>
      <w:color w:val="605E5C"/>
      <w:shd w:val="clear" w:color="auto" w:fill="E1DFDD"/>
    </w:rPr>
  </w:style>
  <w:style w:type="paragraph" w:customStyle="1" w:styleId="Tableheader">
    <w:name w:val="Table header"/>
    <w:basedOn w:val="Normal"/>
    <w:qFormat/>
    <w:rsid w:val="007C38B8"/>
    <w:pPr>
      <w:jc w:val="center"/>
    </w:pPr>
    <w:rPr>
      <w:b/>
      <w:bCs/>
      <w:color w:val="FFFFFF" w:themeColor="background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8563">
      <w:bodyDiv w:val="1"/>
      <w:marLeft w:val="0"/>
      <w:marRight w:val="0"/>
      <w:marTop w:val="0"/>
      <w:marBottom w:val="0"/>
      <w:divBdr>
        <w:top w:val="none" w:sz="0" w:space="0" w:color="auto"/>
        <w:left w:val="none" w:sz="0" w:space="0" w:color="auto"/>
        <w:bottom w:val="none" w:sz="0" w:space="0" w:color="auto"/>
        <w:right w:val="none" w:sz="0" w:space="0" w:color="auto"/>
      </w:divBdr>
    </w:div>
    <w:div w:id="133452870">
      <w:bodyDiv w:val="1"/>
      <w:marLeft w:val="0"/>
      <w:marRight w:val="0"/>
      <w:marTop w:val="0"/>
      <w:marBottom w:val="0"/>
      <w:divBdr>
        <w:top w:val="none" w:sz="0" w:space="0" w:color="auto"/>
        <w:left w:val="none" w:sz="0" w:space="0" w:color="auto"/>
        <w:bottom w:val="none" w:sz="0" w:space="0" w:color="auto"/>
        <w:right w:val="none" w:sz="0" w:space="0" w:color="auto"/>
      </w:divBdr>
    </w:div>
    <w:div w:id="182331200">
      <w:bodyDiv w:val="1"/>
      <w:marLeft w:val="0"/>
      <w:marRight w:val="0"/>
      <w:marTop w:val="0"/>
      <w:marBottom w:val="0"/>
      <w:divBdr>
        <w:top w:val="none" w:sz="0" w:space="0" w:color="auto"/>
        <w:left w:val="none" w:sz="0" w:space="0" w:color="auto"/>
        <w:bottom w:val="none" w:sz="0" w:space="0" w:color="auto"/>
        <w:right w:val="none" w:sz="0" w:space="0" w:color="auto"/>
      </w:divBdr>
    </w:div>
    <w:div w:id="337389314">
      <w:bodyDiv w:val="1"/>
      <w:marLeft w:val="0"/>
      <w:marRight w:val="0"/>
      <w:marTop w:val="0"/>
      <w:marBottom w:val="0"/>
      <w:divBdr>
        <w:top w:val="none" w:sz="0" w:space="0" w:color="auto"/>
        <w:left w:val="none" w:sz="0" w:space="0" w:color="auto"/>
        <w:bottom w:val="none" w:sz="0" w:space="0" w:color="auto"/>
        <w:right w:val="none" w:sz="0" w:space="0" w:color="auto"/>
      </w:divBdr>
    </w:div>
    <w:div w:id="820583823">
      <w:bodyDiv w:val="1"/>
      <w:marLeft w:val="0"/>
      <w:marRight w:val="0"/>
      <w:marTop w:val="0"/>
      <w:marBottom w:val="0"/>
      <w:divBdr>
        <w:top w:val="none" w:sz="0" w:space="0" w:color="auto"/>
        <w:left w:val="none" w:sz="0" w:space="0" w:color="auto"/>
        <w:bottom w:val="none" w:sz="0" w:space="0" w:color="auto"/>
        <w:right w:val="none" w:sz="0" w:space="0" w:color="auto"/>
      </w:divBdr>
    </w:div>
    <w:div w:id="1299334210">
      <w:bodyDiv w:val="1"/>
      <w:marLeft w:val="0"/>
      <w:marRight w:val="0"/>
      <w:marTop w:val="0"/>
      <w:marBottom w:val="0"/>
      <w:divBdr>
        <w:top w:val="none" w:sz="0" w:space="0" w:color="auto"/>
        <w:left w:val="none" w:sz="0" w:space="0" w:color="auto"/>
        <w:bottom w:val="none" w:sz="0" w:space="0" w:color="auto"/>
        <w:right w:val="none" w:sz="0" w:space="0" w:color="auto"/>
      </w:divBdr>
    </w:div>
    <w:div w:id="1412850080">
      <w:bodyDiv w:val="1"/>
      <w:marLeft w:val="0"/>
      <w:marRight w:val="0"/>
      <w:marTop w:val="0"/>
      <w:marBottom w:val="0"/>
      <w:divBdr>
        <w:top w:val="none" w:sz="0" w:space="0" w:color="auto"/>
        <w:left w:val="none" w:sz="0" w:space="0" w:color="auto"/>
        <w:bottom w:val="none" w:sz="0" w:space="0" w:color="auto"/>
        <w:right w:val="none" w:sz="0" w:space="0" w:color="auto"/>
      </w:divBdr>
    </w:div>
    <w:div w:id="20091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psupport@awe.gov.au" TargetMode="External"/><Relationship Id="rId13" Type="http://schemas.openxmlformats.org/officeDocument/2006/relationships/hyperlink" Target="https://www.agriculture.gov.au/import/arrival/arrangements/training-accreditation/cbc-activ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agriculture.gov.au/ecertimpor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ecertimpor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irandseacargo@awe.gov.au" TargetMode="External"/><Relationship Id="rId4" Type="http://schemas.openxmlformats.org/officeDocument/2006/relationships/settings" Target="settings.xml"/><Relationship Id="rId9" Type="http://schemas.openxmlformats.org/officeDocument/2006/relationships/hyperlink" Target="mailto:aepsupport@awe.gov.au" TargetMode="External"/><Relationship Id="rId14" Type="http://schemas.openxmlformats.org/officeDocument/2006/relationships/hyperlink" Target="https://bicon.agriculture.gov.au/BiconWeb4.0/Home/Hel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29FD6-6C99-4EC4-98E9-9948E8BF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 session 20-21/01 AEPCOMM Expansion - 4 August</dc:title>
  <dc:subject/>
  <dc:creator>Department of Agriculture, Water and the Environment</dc:creator>
  <cp:keywords/>
  <dc:description/>
  <cp:lastModifiedBy>Dang, Van</cp:lastModifiedBy>
  <cp:revision>113</cp:revision>
  <cp:lastPrinted>2020-09-09T04:12:00Z</cp:lastPrinted>
  <dcterms:created xsi:type="dcterms:W3CDTF">2020-08-07T00:22:00Z</dcterms:created>
  <dcterms:modified xsi:type="dcterms:W3CDTF">2020-09-09T04:13:00Z</dcterms:modified>
</cp:coreProperties>
</file>