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2DB80C" w14:textId="77777777" w:rsidR="009604C2" w:rsidRDefault="009604C2" w:rsidP="00905F94">
      <w:pPr>
        <w:rPr>
          <w:lang w:eastAsia="ja-JP"/>
        </w:rPr>
      </w:pPr>
    </w:p>
    <w:p w14:paraId="5FD614B6" w14:textId="32E5703F" w:rsidR="002D73F5" w:rsidRDefault="002D73F5" w:rsidP="00DD18E3">
      <w:pPr>
        <w:pStyle w:val="Heading1"/>
      </w:pPr>
      <w:r>
        <w:t>CBC session 19-20/02</w:t>
      </w:r>
    </w:p>
    <w:p w14:paraId="455E96C1" w14:textId="72D60329" w:rsidR="009604C2" w:rsidRDefault="002D73F5" w:rsidP="00DD18E3">
      <w:pPr>
        <w:pStyle w:val="Heading1"/>
      </w:pPr>
      <w:r>
        <w:t>AEPCOMM EXPANSION – 26 AUGUST 2019</w:t>
      </w:r>
    </w:p>
    <w:p w14:paraId="0B9C4C5B" w14:textId="4AED5701" w:rsidR="009F216B" w:rsidRDefault="002D73F5" w:rsidP="00DD18E3">
      <w:pPr>
        <w:pStyle w:val="Heading1"/>
      </w:pPr>
      <w:r>
        <w:t>PARTICIPA</w:t>
      </w:r>
      <w:bookmarkStart w:id="0" w:name="_GoBack"/>
      <w:bookmarkEnd w:id="0"/>
      <w:r>
        <w:t>NTS QUESTIONS</w:t>
      </w:r>
    </w:p>
    <w:p w14:paraId="0A1CBD71" w14:textId="77777777" w:rsidR="009F216B" w:rsidRDefault="009F216B" w:rsidP="009F216B">
      <w:pPr>
        <w:rPr>
          <w:lang w:eastAsia="ja-JP"/>
        </w:rPr>
      </w:pPr>
    </w:p>
    <w:p w14:paraId="3CB280D7" w14:textId="4DAE0116" w:rsidR="006D74A7" w:rsidRDefault="006D74A7" w:rsidP="006D74A7">
      <w:pPr>
        <w:pStyle w:val="BoxSource"/>
        <w:rPr>
          <w:lang w:eastAsia="ja-JP"/>
        </w:rPr>
      </w:pPr>
      <w:r w:rsidRPr="006D74A7">
        <w:rPr>
          <w:b/>
          <w:lang w:eastAsia="ja-JP"/>
        </w:rPr>
        <w:t>Please note:</w:t>
      </w:r>
      <w:r>
        <w:rPr>
          <w:lang w:eastAsia="ja-JP"/>
        </w:rPr>
        <w:t xml:space="preserve"> similar questions raised by participants have been grouped together into a single question where possible.</w:t>
      </w:r>
    </w:p>
    <w:p w14:paraId="17FF6AD7" w14:textId="77777777" w:rsidR="006D74A7" w:rsidRPr="009F216B" w:rsidRDefault="006D74A7" w:rsidP="009F216B">
      <w:pPr>
        <w:rPr>
          <w:lang w:eastAsia="ja-JP"/>
        </w:rPr>
      </w:pPr>
    </w:p>
    <w:tbl>
      <w:tblPr>
        <w:tblStyle w:val="TableGrid"/>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454"/>
      </w:tblGrid>
      <w:tr w:rsidR="009604C2" w:rsidRPr="000E3BCF" w14:paraId="4FD63370" w14:textId="77777777" w:rsidTr="006A3BF5">
        <w:tc>
          <w:tcPr>
            <w:tcW w:w="988" w:type="dxa"/>
            <w:shd w:val="clear" w:color="auto" w:fill="auto"/>
          </w:tcPr>
          <w:p w14:paraId="63BA4C82" w14:textId="5C1C40A1" w:rsidR="009604C2" w:rsidRPr="000E3BCF" w:rsidRDefault="009604C2"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tcPr>
          <w:p w14:paraId="7D15FEA0" w14:textId="77777777" w:rsidR="009604C2" w:rsidRPr="000E3BCF" w:rsidRDefault="004C7FE3" w:rsidP="009604C2">
            <w:pPr>
              <w:tabs>
                <w:tab w:val="left" w:pos="3954"/>
              </w:tabs>
              <w:rPr>
                <w:rFonts w:asciiTheme="majorHAnsi" w:hAnsiTheme="majorHAnsi"/>
                <w:lang w:eastAsia="ja-JP"/>
              </w:rPr>
            </w:pPr>
            <w:r w:rsidRPr="000E3BCF">
              <w:rPr>
                <w:rFonts w:asciiTheme="majorHAnsi" w:hAnsiTheme="majorHAnsi"/>
                <w:lang w:eastAsia="ja-JP"/>
              </w:rPr>
              <w:t>Is there a concern with BMSB via airfreight?</w:t>
            </w:r>
          </w:p>
        </w:tc>
      </w:tr>
      <w:tr w:rsidR="009604C2" w:rsidRPr="000E3BCF" w14:paraId="73DAA441" w14:textId="77777777" w:rsidTr="006A3BF5">
        <w:tc>
          <w:tcPr>
            <w:tcW w:w="988" w:type="dxa"/>
            <w:shd w:val="clear" w:color="auto" w:fill="auto"/>
          </w:tcPr>
          <w:p w14:paraId="67803E81" w14:textId="77777777" w:rsidR="009604C2" w:rsidRPr="000E3BCF" w:rsidRDefault="009604C2" w:rsidP="009604C2">
            <w:pPr>
              <w:tabs>
                <w:tab w:val="left" w:pos="3954"/>
              </w:tabs>
              <w:rPr>
                <w:rFonts w:asciiTheme="majorHAnsi" w:hAnsiTheme="majorHAnsi"/>
                <w:b/>
                <w:lang w:eastAsia="ja-JP"/>
              </w:rPr>
            </w:pPr>
          </w:p>
        </w:tc>
        <w:tc>
          <w:tcPr>
            <w:tcW w:w="8454" w:type="dxa"/>
            <w:shd w:val="clear" w:color="auto" w:fill="auto"/>
          </w:tcPr>
          <w:p w14:paraId="3DEACD81" w14:textId="699BFC25" w:rsidR="009604C2" w:rsidRPr="000E3BCF" w:rsidRDefault="0009639E" w:rsidP="00637D82">
            <w:pPr>
              <w:tabs>
                <w:tab w:val="left" w:pos="3954"/>
              </w:tabs>
              <w:rPr>
                <w:rFonts w:asciiTheme="majorHAnsi" w:hAnsiTheme="majorHAnsi"/>
                <w:lang w:eastAsia="ja-JP"/>
              </w:rPr>
            </w:pPr>
            <w:r w:rsidRPr="000E3BCF">
              <w:rPr>
                <w:rFonts w:asciiTheme="majorHAnsi" w:hAnsiTheme="majorHAnsi"/>
                <w:color w:val="002060"/>
                <w:lang w:eastAsia="ja-JP"/>
              </w:rPr>
              <w:t>Detections of BMSB on airfreight are minimal and therefore airfreight is</w:t>
            </w:r>
            <w:r w:rsidR="00637D82" w:rsidRPr="000E3BCF">
              <w:rPr>
                <w:rFonts w:asciiTheme="majorHAnsi" w:hAnsiTheme="majorHAnsi"/>
                <w:color w:val="002060"/>
                <w:lang w:eastAsia="ja-JP"/>
              </w:rPr>
              <w:t xml:space="preserve"> currently</w:t>
            </w:r>
            <w:r w:rsidRPr="000E3BCF">
              <w:rPr>
                <w:rFonts w:asciiTheme="majorHAnsi" w:hAnsiTheme="majorHAnsi"/>
                <w:color w:val="002060"/>
                <w:lang w:eastAsia="ja-JP"/>
              </w:rPr>
              <w:t xml:space="preserve"> not subject </w:t>
            </w:r>
            <w:r w:rsidR="00637D82" w:rsidRPr="000E3BCF">
              <w:rPr>
                <w:rFonts w:asciiTheme="majorHAnsi" w:hAnsiTheme="majorHAnsi"/>
                <w:color w:val="002060"/>
                <w:lang w:eastAsia="ja-JP"/>
              </w:rPr>
              <w:t>to mandatory BMSB measures. However, the department continues to monitor airfreight and may apply the same mandatory measures to this import pathway if BMSB detections increase.</w:t>
            </w:r>
          </w:p>
        </w:tc>
      </w:tr>
      <w:tr w:rsidR="009604C2" w:rsidRPr="000E3BCF" w14:paraId="7E1CB8C9" w14:textId="77777777" w:rsidTr="006A3BF5">
        <w:tc>
          <w:tcPr>
            <w:tcW w:w="988" w:type="dxa"/>
            <w:shd w:val="clear" w:color="auto" w:fill="auto"/>
          </w:tcPr>
          <w:p w14:paraId="25DC3C03" w14:textId="42E84EC8" w:rsidR="009604C2" w:rsidRPr="000E3BCF" w:rsidRDefault="009604C2"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tcPr>
          <w:p w14:paraId="0CF7163C" w14:textId="77777777" w:rsidR="009604C2" w:rsidRPr="000E3BCF" w:rsidRDefault="004C7FE3" w:rsidP="009604C2">
            <w:pPr>
              <w:tabs>
                <w:tab w:val="left" w:pos="3954"/>
              </w:tabs>
              <w:rPr>
                <w:rFonts w:asciiTheme="majorHAnsi" w:hAnsiTheme="majorHAnsi"/>
                <w:lang w:eastAsia="ja-JP"/>
              </w:rPr>
            </w:pPr>
            <w:r w:rsidRPr="000E3BCF">
              <w:rPr>
                <w:rFonts w:asciiTheme="majorHAnsi" w:hAnsiTheme="majorHAnsi"/>
                <w:lang w:eastAsia="ja-JP"/>
              </w:rPr>
              <w:t>What happens if you forget to enter information like the phytosanitary certificate number in the goods description field? Would AEPCOMM still work?</w:t>
            </w:r>
          </w:p>
        </w:tc>
      </w:tr>
      <w:tr w:rsidR="009604C2" w:rsidRPr="000E3BCF" w14:paraId="173C0198" w14:textId="77777777" w:rsidTr="006A3BF5">
        <w:tc>
          <w:tcPr>
            <w:tcW w:w="988" w:type="dxa"/>
            <w:shd w:val="clear" w:color="auto" w:fill="auto"/>
          </w:tcPr>
          <w:p w14:paraId="2EE9F1AE" w14:textId="77777777" w:rsidR="009604C2" w:rsidRPr="000E3BCF" w:rsidRDefault="009604C2" w:rsidP="009604C2">
            <w:pPr>
              <w:tabs>
                <w:tab w:val="left" w:pos="3954"/>
              </w:tabs>
              <w:rPr>
                <w:rFonts w:asciiTheme="majorHAnsi" w:hAnsiTheme="majorHAnsi"/>
                <w:b/>
                <w:lang w:eastAsia="ja-JP"/>
              </w:rPr>
            </w:pPr>
          </w:p>
        </w:tc>
        <w:tc>
          <w:tcPr>
            <w:tcW w:w="8454" w:type="dxa"/>
            <w:shd w:val="clear" w:color="auto" w:fill="auto"/>
          </w:tcPr>
          <w:p w14:paraId="5FE96106" w14:textId="77777777" w:rsidR="009604C2" w:rsidRPr="000E3BCF" w:rsidRDefault="00DA5275" w:rsidP="00355479">
            <w:pPr>
              <w:tabs>
                <w:tab w:val="left" w:pos="3954"/>
              </w:tabs>
              <w:rPr>
                <w:rFonts w:asciiTheme="majorHAnsi" w:hAnsiTheme="majorHAnsi"/>
                <w:lang w:eastAsia="ja-JP"/>
              </w:rPr>
            </w:pPr>
            <w:r w:rsidRPr="000E3BCF">
              <w:rPr>
                <w:rFonts w:asciiTheme="majorHAnsi" w:hAnsiTheme="majorHAnsi"/>
                <w:color w:val="002060"/>
                <w:lang w:eastAsia="ja-JP"/>
              </w:rPr>
              <w:t>If you forget to enter the required information (such as the phytosanitary number) in the system, it is unlikely to prevent your import declaration from being lodged under AEPCOMM. However</w:t>
            </w:r>
            <w:r w:rsidR="00BA3500" w:rsidRPr="000E3BCF">
              <w:rPr>
                <w:rFonts w:asciiTheme="majorHAnsi" w:hAnsiTheme="majorHAnsi"/>
                <w:color w:val="002060"/>
                <w:lang w:eastAsia="ja-JP"/>
              </w:rPr>
              <w:t>, it is a condition of the arrangement that you must enter the certificate number</w:t>
            </w:r>
            <w:r w:rsidR="00355479" w:rsidRPr="000E3BCF">
              <w:rPr>
                <w:rFonts w:asciiTheme="majorHAnsi" w:hAnsiTheme="majorHAnsi"/>
                <w:color w:val="002060"/>
                <w:lang w:eastAsia="ja-JP"/>
              </w:rPr>
              <w:t xml:space="preserve"> in the Goods description field or you may be subject to non-compliance.</w:t>
            </w:r>
          </w:p>
        </w:tc>
      </w:tr>
      <w:tr w:rsidR="009604C2" w:rsidRPr="000E3BCF" w14:paraId="38533138" w14:textId="77777777" w:rsidTr="006A3BF5">
        <w:tc>
          <w:tcPr>
            <w:tcW w:w="988" w:type="dxa"/>
            <w:shd w:val="clear" w:color="auto" w:fill="auto"/>
          </w:tcPr>
          <w:p w14:paraId="7415D299" w14:textId="652336E1" w:rsidR="009604C2" w:rsidRPr="000E3BCF" w:rsidRDefault="009604C2"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tcPr>
          <w:p w14:paraId="043D2222" w14:textId="77777777" w:rsidR="009604C2" w:rsidRPr="000E3BCF" w:rsidRDefault="004C7FE3" w:rsidP="009604C2">
            <w:pPr>
              <w:tabs>
                <w:tab w:val="left" w:pos="3954"/>
              </w:tabs>
              <w:rPr>
                <w:rFonts w:asciiTheme="majorHAnsi" w:hAnsiTheme="majorHAnsi"/>
                <w:lang w:eastAsia="ja-JP"/>
              </w:rPr>
            </w:pPr>
            <w:r w:rsidRPr="000E3BCF">
              <w:rPr>
                <w:rFonts w:asciiTheme="majorHAnsi" w:hAnsiTheme="majorHAnsi"/>
                <w:lang w:eastAsia="ja-JP"/>
              </w:rPr>
              <w:t>How do we know what outcomes are available for a commodity group if the outcomes have been removed from the requirements and conditions document?</w:t>
            </w:r>
          </w:p>
        </w:tc>
      </w:tr>
      <w:tr w:rsidR="009604C2" w:rsidRPr="000E3BCF" w14:paraId="7866378F" w14:textId="77777777" w:rsidTr="006A3BF5">
        <w:tc>
          <w:tcPr>
            <w:tcW w:w="988" w:type="dxa"/>
            <w:shd w:val="clear" w:color="auto" w:fill="auto"/>
          </w:tcPr>
          <w:p w14:paraId="6A93F407" w14:textId="12FD48FB" w:rsidR="009604C2" w:rsidRPr="000E3BCF" w:rsidRDefault="009604C2" w:rsidP="009604C2">
            <w:pPr>
              <w:tabs>
                <w:tab w:val="left" w:pos="3954"/>
              </w:tabs>
              <w:rPr>
                <w:rFonts w:asciiTheme="majorHAnsi" w:hAnsiTheme="majorHAnsi"/>
                <w:b/>
                <w:lang w:eastAsia="ja-JP"/>
              </w:rPr>
            </w:pPr>
          </w:p>
        </w:tc>
        <w:tc>
          <w:tcPr>
            <w:tcW w:w="8454" w:type="dxa"/>
            <w:shd w:val="clear" w:color="auto" w:fill="auto"/>
          </w:tcPr>
          <w:p w14:paraId="4905A3B5" w14:textId="77777777" w:rsidR="009604C2" w:rsidRPr="000E3BCF" w:rsidRDefault="00355479" w:rsidP="009604C2">
            <w:pPr>
              <w:tabs>
                <w:tab w:val="left" w:pos="3954"/>
              </w:tabs>
              <w:rPr>
                <w:rFonts w:asciiTheme="majorHAnsi" w:hAnsiTheme="majorHAnsi"/>
                <w:lang w:eastAsia="ja-JP"/>
              </w:rPr>
            </w:pPr>
            <w:r w:rsidRPr="000E3BCF">
              <w:rPr>
                <w:rFonts w:asciiTheme="majorHAnsi" w:hAnsiTheme="majorHAnsi"/>
                <w:color w:val="002060"/>
                <w:lang w:eastAsia="ja-JP"/>
              </w:rPr>
              <w:t>The Requirements and conditions document still provides a guide as to whether a commodity or commodity pathway is in scope of AEPCOMM, however you are required to log onto your BICON AEPCOMM user access account to verify the commodity pathway is actually in scope and to obtain the relevant AEPCOMM code.</w:t>
            </w:r>
          </w:p>
        </w:tc>
      </w:tr>
      <w:tr w:rsidR="009604C2" w:rsidRPr="000E3BCF" w14:paraId="6626F14B" w14:textId="77777777" w:rsidTr="006A3BF5">
        <w:tc>
          <w:tcPr>
            <w:tcW w:w="988" w:type="dxa"/>
            <w:shd w:val="clear" w:color="auto" w:fill="auto"/>
          </w:tcPr>
          <w:p w14:paraId="046E5CDE" w14:textId="19E58699" w:rsidR="009604C2" w:rsidRPr="000E3BCF" w:rsidRDefault="009604C2"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tcPr>
          <w:p w14:paraId="18ED6420" w14:textId="4369FE0E" w:rsidR="009604C2" w:rsidRPr="000E3BCF" w:rsidRDefault="0051686D" w:rsidP="005B19F8">
            <w:pPr>
              <w:tabs>
                <w:tab w:val="left" w:pos="3954"/>
              </w:tabs>
              <w:rPr>
                <w:rFonts w:asciiTheme="majorHAnsi" w:hAnsiTheme="majorHAnsi"/>
                <w:lang w:eastAsia="ja-JP"/>
              </w:rPr>
            </w:pPr>
            <w:r w:rsidRPr="000E3BCF">
              <w:rPr>
                <w:rFonts w:asciiTheme="majorHAnsi" w:hAnsiTheme="majorHAnsi"/>
                <w:lang w:eastAsia="ja-JP"/>
              </w:rPr>
              <w:t>Do the original documents (</w:t>
            </w:r>
            <w:r w:rsidR="005B19F8">
              <w:rPr>
                <w:rFonts w:asciiTheme="majorHAnsi" w:hAnsiTheme="majorHAnsi"/>
                <w:lang w:eastAsia="ja-JP"/>
              </w:rPr>
              <w:t>i.e. a phytosanitary certificate)</w:t>
            </w:r>
            <w:r w:rsidRPr="000E3BCF">
              <w:rPr>
                <w:rFonts w:asciiTheme="majorHAnsi" w:hAnsiTheme="majorHAnsi"/>
                <w:lang w:eastAsia="ja-JP"/>
              </w:rPr>
              <w:t xml:space="preserve"> need to be sighted or </w:t>
            </w:r>
            <w:r w:rsidR="00DD11FF" w:rsidRPr="000E3BCF">
              <w:rPr>
                <w:rFonts w:asciiTheme="majorHAnsi" w:hAnsiTheme="majorHAnsi"/>
                <w:lang w:eastAsia="ja-JP"/>
              </w:rPr>
              <w:t>should a copy be enough to lodge?</w:t>
            </w:r>
            <w:r w:rsidRPr="000E3BCF">
              <w:rPr>
                <w:rFonts w:asciiTheme="majorHAnsi" w:hAnsiTheme="majorHAnsi"/>
                <w:lang w:eastAsia="ja-JP"/>
              </w:rPr>
              <w:t xml:space="preserve"> </w:t>
            </w:r>
          </w:p>
        </w:tc>
      </w:tr>
      <w:tr w:rsidR="009604C2" w:rsidRPr="000E3BCF" w14:paraId="116BECD3" w14:textId="77777777" w:rsidTr="006A3BF5">
        <w:tc>
          <w:tcPr>
            <w:tcW w:w="988" w:type="dxa"/>
            <w:shd w:val="clear" w:color="auto" w:fill="auto"/>
          </w:tcPr>
          <w:p w14:paraId="7F03C9FF" w14:textId="77777777" w:rsidR="009604C2" w:rsidRPr="000E3BCF" w:rsidRDefault="009604C2" w:rsidP="009604C2">
            <w:pPr>
              <w:tabs>
                <w:tab w:val="left" w:pos="3954"/>
              </w:tabs>
              <w:rPr>
                <w:rFonts w:asciiTheme="majorHAnsi" w:hAnsiTheme="majorHAnsi"/>
                <w:b/>
                <w:lang w:eastAsia="ja-JP"/>
              </w:rPr>
            </w:pPr>
          </w:p>
        </w:tc>
        <w:tc>
          <w:tcPr>
            <w:tcW w:w="8454" w:type="dxa"/>
            <w:shd w:val="clear" w:color="auto" w:fill="auto"/>
          </w:tcPr>
          <w:p w14:paraId="4F693039" w14:textId="137D93D7" w:rsidR="009604C2" w:rsidRPr="000E3BCF" w:rsidRDefault="004175AE" w:rsidP="004175AE">
            <w:pPr>
              <w:tabs>
                <w:tab w:val="left" w:pos="3954"/>
              </w:tabs>
              <w:rPr>
                <w:rFonts w:asciiTheme="majorHAnsi" w:hAnsiTheme="majorHAnsi"/>
                <w:lang w:eastAsia="ja-JP"/>
              </w:rPr>
            </w:pPr>
            <w:r w:rsidRPr="000E3BCF">
              <w:rPr>
                <w:rFonts w:asciiTheme="majorHAnsi" w:hAnsiTheme="majorHAnsi"/>
                <w:color w:val="002060"/>
                <w:lang w:eastAsia="ja-JP"/>
              </w:rPr>
              <w:t xml:space="preserve">A copy of the consignment’s documentation is sufficient to lodge your import declaration under AEPCOMM. If original documentation is required BICON will specify it. </w:t>
            </w:r>
          </w:p>
        </w:tc>
      </w:tr>
      <w:tr w:rsidR="00DD11FF" w:rsidRPr="000E3BCF" w14:paraId="574F441B" w14:textId="77777777" w:rsidTr="006A3BF5">
        <w:tc>
          <w:tcPr>
            <w:tcW w:w="988" w:type="dxa"/>
            <w:shd w:val="clear" w:color="auto" w:fill="auto"/>
          </w:tcPr>
          <w:p w14:paraId="746926A0" w14:textId="15696504" w:rsidR="00DD11FF" w:rsidRPr="000E3BCF" w:rsidRDefault="00DD11FF"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tcPr>
          <w:p w14:paraId="00FBCF60" w14:textId="1D94B857" w:rsidR="00DD11FF" w:rsidRPr="000E3BCF" w:rsidRDefault="00291DCB" w:rsidP="009604C2">
            <w:pPr>
              <w:tabs>
                <w:tab w:val="left" w:pos="3954"/>
              </w:tabs>
              <w:rPr>
                <w:rFonts w:asciiTheme="majorHAnsi" w:hAnsiTheme="majorHAnsi"/>
                <w:lang w:eastAsia="ja-JP"/>
              </w:rPr>
            </w:pPr>
            <w:r w:rsidRPr="000E3BCF">
              <w:rPr>
                <w:rFonts w:asciiTheme="majorHAnsi" w:hAnsiTheme="majorHAnsi"/>
                <w:lang w:eastAsia="ja-JP"/>
              </w:rPr>
              <w:t>Do we need to refer to BICON every time we want to lodge an import declaration through AEPCOMM?</w:t>
            </w:r>
          </w:p>
        </w:tc>
      </w:tr>
      <w:tr w:rsidR="00DD11FF" w:rsidRPr="000E3BCF" w14:paraId="440FD861" w14:textId="77777777" w:rsidTr="006A3BF5">
        <w:tc>
          <w:tcPr>
            <w:tcW w:w="988" w:type="dxa"/>
            <w:shd w:val="clear" w:color="auto" w:fill="auto"/>
          </w:tcPr>
          <w:p w14:paraId="16F49C6D" w14:textId="77777777" w:rsidR="00DD11FF" w:rsidRPr="000E3BCF" w:rsidRDefault="00DD11FF" w:rsidP="009604C2">
            <w:pPr>
              <w:tabs>
                <w:tab w:val="left" w:pos="3954"/>
              </w:tabs>
              <w:rPr>
                <w:rFonts w:asciiTheme="majorHAnsi" w:hAnsiTheme="majorHAnsi"/>
                <w:b/>
                <w:lang w:eastAsia="ja-JP"/>
              </w:rPr>
            </w:pPr>
          </w:p>
        </w:tc>
        <w:tc>
          <w:tcPr>
            <w:tcW w:w="8454" w:type="dxa"/>
            <w:shd w:val="clear" w:color="auto" w:fill="auto"/>
          </w:tcPr>
          <w:p w14:paraId="4121ADA8" w14:textId="76D81AEE" w:rsidR="00DD11FF" w:rsidRPr="000E3BCF" w:rsidRDefault="00291DCB" w:rsidP="0032697A">
            <w:pPr>
              <w:tabs>
                <w:tab w:val="left" w:pos="3954"/>
              </w:tabs>
              <w:rPr>
                <w:rFonts w:asciiTheme="majorHAnsi" w:hAnsiTheme="majorHAnsi"/>
                <w:lang w:eastAsia="ja-JP"/>
              </w:rPr>
            </w:pPr>
            <w:r w:rsidRPr="000E3BCF">
              <w:rPr>
                <w:rFonts w:asciiTheme="majorHAnsi" w:hAnsiTheme="majorHAnsi"/>
                <w:color w:val="002060"/>
                <w:lang w:eastAsia="ja-JP"/>
              </w:rPr>
              <w:t xml:space="preserve">It is a requirement that you refer to BICON to verify if a commodity is in scope of AEPCOMM and to </w:t>
            </w:r>
            <w:r w:rsidR="004857FB" w:rsidRPr="000E3BCF">
              <w:rPr>
                <w:rFonts w:asciiTheme="majorHAnsi" w:hAnsiTheme="majorHAnsi"/>
                <w:color w:val="002060"/>
                <w:lang w:eastAsia="ja-JP"/>
              </w:rPr>
              <w:t>determine the correct AEPCOMM code to enter in the system</w:t>
            </w:r>
            <w:r w:rsidRPr="000E3BCF">
              <w:rPr>
                <w:rFonts w:asciiTheme="majorHAnsi" w:hAnsiTheme="majorHAnsi"/>
                <w:color w:val="002060"/>
                <w:lang w:eastAsia="ja-JP"/>
              </w:rPr>
              <w:t xml:space="preserve">. </w:t>
            </w:r>
            <w:r w:rsidR="004857FB" w:rsidRPr="000E3BCF">
              <w:rPr>
                <w:rFonts w:asciiTheme="majorHAnsi" w:hAnsiTheme="majorHAnsi"/>
                <w:color w:val="002060"/>
                <w:lang w:eastAsia="ja-JP"/>
              </w:rPr>
              <w:t>Your</w:t>
            </w:r>
            <w:r w:rsidRPr="000E3BCF">
              <w:rPr>
                <w:rFonts w:asciiTheme="majorHAnsi" w:hAnsiTheme="majorHAnsi"/>
                <w:color w:val="002060"/>
                <w:lang w:eastAsia="ja-JP"/>
              </w:rPr>
              <w:t xml:space="preserve"> BICON</w:t>
            </w:r>
            <w:r w:rsidR="004857FB" w:rsidRPr="000E3BCF">
              <w:rPr>
                <w:rFonts w:asciiTheme="majorHAnsi" w:hAnsiTheme="majorHAnsi"/>
                <w:color w:val="002060"/>
                <w:lang w:eastAsia="ja-JP"/>
              </w:rPr>
              <w:t xml:space="preserve"> AEPCOMM user access account</w:t>
            </w:r>
            <w:r w:rsidRPr="000E3BCF">
              <w:rPr>
                <w:rFonts w:asciiTheme="majorHAnsi" w:hAnsiTheme="majorHAnsi"/>
                <w:color w:val="002060"/>
                <w:lang w:eastAsia="ja-JP"/>
              </w:rPr>
              <w:t xml:space="preserve"> will allow you to personalise your searches, this includes following BICON cases (in case of any changes), as well as bookmarking pathways that you may use often. There is a link under the </w:t>
            </w:r>
            <w:hyperlink r:id="rId8" w:history="1">
              <w:r w:rsidRPr="000E3BCF">
                <w:rPr>
                  <w:rStyle w:val="Hyperlink"/>
                  <w:rFonts w:asciiTheme="majorHAnsi" w:hAnsiTheme="majorHAnsi"/>
                  <w:lang w:eastAsia="ja-JP"/>
                </w:rPr>
                <w:t>Help</w:t>
              </w:r>
            </w:hyperlink>
            <w:r w:rsidRPr="000E3BCF">
              <w:rPr>
                <w:rFonts w:asciiTheme="majorHAnsi" w:hAnsiTheme="majorHAnsi"/>
                <w:color w:val="002060"/>
                <w:lang w:eastAsia="ja-JP"/>
              </w:rPr>
              <w:t xml:space="preserve"> section in BICON with task cards that provide further information on how to use BICON features.</w:t>
            </w:r>
          </w:p>
        </w:tc>
      </w:tr>
      <w:tr w:rsidR="00DD11FF" w:rsidRPr="000E3BCF" w14:paraId="40607EAE" w14:textId="77777777" w:rsidTr="006A3BF5">
        <w:tc>
          <w:tcPr>
            <w:tcW w:w="988" w:type="dxa"/>
            <w:shd w:val="clear" w:color="auto" w:fill="auto"/>
          </w:tcPr>
          <w:p w14:paraId="2EECCC9E" w14:textId="0754FE3B" w:rsidR="00DD11FF" w:rsidRPr="000E3BCF" w:rsidRDefault="00DD11FF"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tcPr>
          <w:p w14:paraId="4D7298E6" w14:textId="77777777" w:rsidR="00DD11FF" w:rsidRPr="000E3BCF" w:rsidRDefault="00DD11FF" w:rsidP="009604C2">
            <w:pPr>
              <w:tabs>
                <w:tab w:val="left" w:pos="3954"/>
              </w:tabs>
              <w:rPr>
                <w:rFonts w:asciiTheme="majorHAnsi" w:hAnsiTheme="majorHAnsi"/>
                <w:lang w:eastAsia="ja-JP"/>
              </w:rPr>
            </w:pPr>
            <w:r w:rsidRPr="000E3BCF">
              <w:rPr>
                <w:rFonts w:asciiTheme="majorHAnsi" w:hAnsiTheme="majorHAnsi"/>
                <w:lang w:eastAsia="ja-JP"/>
              </w:rPr>
              <w:t>Do we have to create an AEPCOMM user account in BICON?</w:t>
            </w:r>
          </w:p>
        </w:tc>
      </w:tr>
      <w:tr w:rsidR="00DD11FF" w:rsidRPr="000E3BCF" w14:paraId="26050594" w14:textId="77777777" w:rsidTr="006A3BF5">
        <w:tc>
          <w:tcPr>
            <w:tcW w:w="988" w:type="dxa"/>
            <w:shd w:val="clear" w:color="auto" w:fill="auto"/>
          </w:tcPr>
          <w:p w14:paraId="50E8ABDB" w14:textId="77777777" w:rsidR="00DD11FF" w:rsidRPr="000E3BCF" w:rsidRDefault="00DD11FF" w:rsidP="009604C2">
            <w:pPr>
              <w:tabs>
                <w:tab w:val="left" w:pos="3954"/>
              </w:tabs>
              <w:rPr>
                <w:rFonts w:asciiTheme="majorHAnsi" w:hAnsiTheme="majorHAnsi"/>
                <w:b/>
                <w:lang w:eastAsia="ja-JP"/>
              </w:rPr>
            </w:pPr>
          </w:p>
        </w:tc>
        <w:tc>
          <w:tcPr>
            <w:tcW w:w="8454" w:type="dxa"/>
            <w:shd w:val="clear" w:color="auto" w:fill="auto"/>
          </w:tcPr>
          <w:p w14:paraId="3C3597A2" w14:textId="77777777" w:rsidR="00E067B9" w:rsidRPr="000E3BCF" w:rsidRDefault="00F851CA" w:rsidP="00F851CA">
            <w:pPr>
              <w:tabs>
                <w:tab w:val="left" w:pos="3954"/>
              </w:tabs>
              <w:rPr>
                <w:rFonts w:asciiTheme="majorHAnsi" w:hAnsiTheme="majorHAnsi"/>
                <w:color w:val="002060"/>
                <w:lang w:eastAsia="ja-JP"/>
              </w:rPr>
            </w:pPr>
            <w:r w:rsidRPr="000E3BCF">
              <w:rPr>
                <w:rFonts w:asciiTheme="majorHAnsi" w:hAnsiTheme="majorHAnsi"/>
                <w:color w:val="002060"/>
                <w:lang w:eastAsia="ja-JP"/>
              </w:rPr>
              <w:t xml:space="preserve">Yes. The 19.2 Requirements and conditions stipulates that BIPs must have a BICON Multiple user account that is registered for AEPCOMM. Additionally accredited persons employed by or contracted to the BIP must be added to the BIPs Multiple user account. AEPCOMM information and codes are not visible </w:t>
            </w:r>
            <w:r w:rsidR="00E067B9" w:rsidRPr="000E3BCF">
              <w:rPr>
                <w:rFonts w:asciiTheme="majorHAnsi" w:hAnsiTheme="majorHAnsi"/>
                <w:color w:val="002060"/>
                <w:lang w:eastAsia="ja-JP"/>
              </w:rPr>
              <w:t>on the BICON public version.</w:t>
            </w:r>
          </w:p>
          <w:p w14:paraId="0915D7D0" w14:textId="27EC5489" w:rsidR="00E067B9" w:rsidRPr="000E3BCF" w:rsidRDefault="00E067B9" w:rsidP="00F851CA">
            <w:pPr>
              <w:tabs>
                <w:tab w:val="left" w:pos="3954"/>
              </w:tabs>
              <w:rPr>
                <w:rFonts w:asciiTheme="majorHAnsi" w:hAnsiTheme="majorHAnsi"/>
                <w:color w:val="002060"/>
                <w:lang w:eastAsia="ja-JP"/>
              </w:rPr>
            </w:pPr>
            <w:r w:rsidRPr="000E3BCF">
              <w:rPr>
                <w:rFonts w:asciiTheme="majorHAnsi" w:hAnsiTheme="majorHAnsi"/>
                <w:b/>
                <w:color w:val="002060"/>
                <w:lang w:eastAsia="ja-JP"/>
              </w:rPr>
              <w:t>Help cards</w:t>
            </w:r>
            <w:r w:rsidRPr="000E3BCF">
              <w:rPr>
                <w:rFonts w:asciiTheme="majorHAnsi" w:hAnsiTheme="majorHAnsi"/>
                <w:color w:val="002060"/>
                <w:lang w:eastAsia="ja-JP"/>
              </w:rPr>
              <w:t xml:space="preserve"> on how to obtain access are found under the </w:t>
            </w:r>
            <w:r w:rsidRPr="000E3BCF">
              <w:rPr>
                <w:rFonts w:asciiTheme="majorHAnsi" w:hAnsiTheme="majorHAnsi"/>
                <w:b/>
                <w:color w:val="002060"/>
                <w:lang w:eastAsia="ja-JP"/>
              </w:rPr>
              <w:t>Account Registration and Maintenance</w:t>
            </w:r>
            <w:r w:rsidRPr="000E3BCF">
              <w:rPr>
                <w:rFonts w:asciiTheme="majorHAnsi" w:hAnsiTheme="majorHAnsi"/>
                <w:color w:val="002060"/>
                <w:lang w:eastAsia="ja-JP"/>
              </w:rPr>
              <w:t xml:space="preserve"> on the </w:t>
            </w:r>
            <w:hyperlink r:id="rId9" w:history="1">
              <w:r w:rsidRPr="000E3BCF">
                <w:rPr>
                  <w:rStyle w:val="Hyperlink"/>
                  <w:rFonts w:asciiTheme="majorHAnsi" w:hAnsiTheme="majorHAnsi"/>
                  <w:lang w:eastAsia="ja-JP"/>
                </w:rPr>
                <w:t>Help</w:t>
              </w:r>
            </w:hyperlink>
            <w:r w:rsidRPr="000E3BCF">
              <w:rPr>
                <w:rFonts w:asciiTheme="majorHAnsi" w:hAnsiTheme="majorHAnsi"/>
                <w:color w:val="002060"/>
                <w:lang w:eastAsia="ja-JP"/>
              </w:rPr>
              <w:t xml:space="preserve"> section of BICON.</w:t>
            </w:r>
          </w:p>
        </w:tc>
      </w:tr>
      <w:tr w:rsidR="00DD11FF" w:rsidRPr="000E3BCF" w14:paraId="01C42D07" w14:textId="77777777" w:rsidTr="006A3BF5">
        <w:tc>
          <w:tcPr>
            <w:tcW w:w="988" w:type="dxa"/>
            <w:shd w:val="clear" w:color="auto" w:fill="auto"/>
          </w:tcPr>
          <w:p w14:paraId="29B3CF64" w14:textId="62A9E49D" w:rsidR="00DD11FF" w:rsidRPr="000E3BCF" w:rsidRDefault="00DD11FF"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tcPr>
          <w:p w14:paraId="7227F3E3" w14:textId="2DDBC8F6" w:rsidR="0011222C" w:rsidRPr="000E3BCF" w:rsidRDefault="00906E41" w:rsidP="00E02D51">
            <w:pPr>
              <w:tabs>
                <w:tab w:val="left" w:pos="3954"/>
              </w:tabs>
              <w:rPr>
                <w:rFonts w:asciiTheme="majorHAnsi" w:hAnsiTheme="majorHAnsi"/>
                <w:lang w:eastAsia="ja-JP"/>
              </w:rPr>
            </w:pPr>
            <w:r w:rsidRPr="000E3BCF">
              <w:rPr>
                <w:rFonts w:asciiTheme="majorHAnsi" w:hAnsiTheme="majorHAnsi"/>
                <w:lang w:eastAsia="ja-JP"/>
              </w:rPr>
              <w:t>If a phytosanitary certificate is</w:t>
            </w:r>
            <w:r w:rsidR="002E7442" w:rsidRPr="000E3BCF">
              <w:rPr>
                <w:rFonts w:asciiTheme="majorHAnsi" w:hAnsiTheme="majorHAnsi"/>
                <w:lang w:eastAsia="ja-JP"/>
              </w:rPr>
              <w:t xml:space="preserve"> issued </w:t>
            </w:r>
            <w:r w:rsidRPr="000E3BCF">
              <w:rPr>
                <w:rFonts w:asciiTheme="majorHAnsi" w:hAnsiTheme="majorHAnsi"/>
                <w:lang w:eastAsia="ja-JP"/>
              </w:rPr>
              <w:t xml:space="preserve">a </w:t>
            </w:r>
            <w:r w:rsidR="002E7442" w:rsidRPr="000E3BCF">
              <w:rPr>
                <w:rFonts w:asciiTheme="majorHAnsi" w:hAnsiTheme="majorHAnsi"/>
                <w:lang w:eastAsia="ja-JP"/>
              </w:rPr>
              <w:t xml:space="preserve">day after </w:t>
            </w:r>
            <w:r w:rsidRPr="000E3BCF">
              <w:rPr>
                <w:rFonts w:asciiTheme="majorHAnsi" w:hAnsiTheme="majorHAnsi"/>
                <w:lang w:eastAsia="ja-JP"/>
              </w:rPr>
              <w:t xml:space="preserve">the </w:t>
            </w:r>
            <w:r w:rsidR="002E7442" w:rsidRPr="000E3BCF">
              <w:rPr>
                <w:rFonts w:asciiTheme="majorHAnsi" w:hAnsiTheme="majorHAnsi"/>
                <w:lang w:eastAsia="ja-JP"/>
              </w:rPr>
              <w:t>shipped</w:t>
            </w:r>
            <w:r w:rsidRPr="000E3BCF">
              <w:rPr>
                <w:rFonts w:asciiTheme="majorHAnsi" w:hAnsiTheme="majorHAnsi"/>
                <w:lang w:eastAsia="ja-JP"/>
              </w:rPr>
              <w:t>-</w:t>
            </w:r>
            <w:r w:rsidR="002E7442" w:rsidRPr="000E3BCF">
              <w:rPr>
                <w:rFonts w:asciiTheme="majorHAnsi" w:hAnsiTheme="majorHAnsi"/>
                <w:lang w:eastAsia="ja-JP"/>
              </w:rPr>
              <w:t>on</w:t>
            </w:r>
            <w:r w:rsidRPr="000E3BCF">
              <w:rPr>
                <w:rFonts w:asciiTheme="majorHAnsi" w:hAnsiTheme="majorHAnsi"/>
                <w:lang w:eastAsia="ja-JP"/>
              </w:rPr>
              <w:t>-</w:t>
            </w:r>
            <w:r w:rsidR="002E7442" w:rsidRPr="000E3BCF">
              <w:rPr>
                <w:rFonts w:asciiTheme="majorHAnsi" w:hAnsiTheme="majorHAnsi"/>
                <w:lang w:eastAsia="ja-JP"/>
              </w:rPr>
              <w:t>board</w:t>
            </w:r>
            <w:r w:rsidRPr="000E3BCF">
              <w:rPr>
                <w:rFonts w:asciiTheme="majorHAnsi" w:hAnsiTheme="majorHAnsi"/>
                <w:lang w:eastAsia="ja-JP"/>
              </w:rPr>
              <w:t xml:space="preserve"> date,</w:t>
            </w:r>
            <w:r w:rsidR="002E7442" w:rsidRPr="000E3BCF">
              <w:rPr>
                <w:rFonts w:asciiTheme="majorHAnsi" w:hAnsiTheme="majorHAnsi"/>
                <w:lang w:eastAsia="ja-JP"/>
              </w:rPr>
              <w:t xml:space="preserve"> and </w:t>
            </w:r>
            <w:r w:rsidRPr="000E3BCF">
              <w:rPr>
                <w:rFonts w:asciiTheme="majorHAnsi" w:hAnsiTheme="majorHAnsi"/>
                <w:lang w:eastAsia="ja-JP"/>
              </w:rPr>
              <w:t xml:space="preserve">it </w:t>
            </w:r>
            <w:r w:rsidR="002E7442" w:rsidRPr="000E3BCF">
              <w:rPr>
                <w:rFonts w:asciiTheme="majorHAnsi" w:hAnsiTheme="majorHAnsi"/>
                <w:lang w:eastAsia="ja-JP"/>
              </w:rPr>
              <w:t xml:space="preserve">states </w:t>
            </w:r>
            <w:r w:rsidRPr="000E3BCF">
              <w:rPr>
                <w:rFonts w:asciiTheme="majorHAnsi" w:hAnsiTheme="majorHAnsi"/>
                <w:lang w:eastAsia="ja-JP"/>
              </w:rPr>
              <w:t xml:space="preserve">that </w:t>
            </w:r>
            <w:r w:rsidR="002E7442" w:rsidRPr="000E3BCF">
              <w:rPr>
                <w:rFonts w:asciiTheme="majorHAnsi" w:hAnsiTheme="majorHAnsi"/>
                <w:lang w:eastAsia="ja-JP"/>
              </w:rPr>
              <w:t xml:space="preserve">goods have been inspected and </w:t>
            </w:r>
            <w:r w:rsidRPr="000E3BCF">
              <w:rPr>
                <w:rFonts w:asciiTheme="majorHAnsi" w:hAnsiTheme="majorHAnsi"/>
                <w:lang w:eastAsia="ja-JP"/>
              </w:rPr>
              <w:t xml:space="preserve">are </w:t>
            </w:r>
            <w:r w:rsidR="002E7442" w:rsidRPr="000E3BCF">
              <w:rPr>
                <w:rFonts w:asciiTheme="majorHAnsi" w:hAnsiTheme="majorHAnsi"/>
                <w:lang w:eastAsia="ja-JP"/>
              </w:rPr>
              <w:t>free from Khapra</w:t>
            </w:r>
            <w:r w:rsidRPr="000E3BCF">
              <w:rPr>
                <w:rFonts w:asciiTheme="majorHAnsi" w:hAnsiTheme="majorHAnsi"/>
                <w:lang w:eastAsia="ja-JP"/>
              </w:rPr>
              <w:t xml:space="preserve"> beetle,</w:t>
            </w:r>
            <w:r w:rsidR="002E7442" w:rsidRPr="000E3BCF">
              <w:rPr>
                <w:rFonts w:asciiTheme="majorHAnsi" w:hAnsiTheme="majorHAnsi"/>
                <w:lang w:eastAsia="ja-JP"/>
              </w:rPr>
              <w:t xml:space="preserve"> but not listing the inspect</w:t>
            </w:r>
            <w:r w:rsidRPr="000E3BCF">
              <w:rPr>
                <w:rFonts w:asciiTheme="majorHAnsi" w:hAnsiTheme="majorHAnsi"/>
                <w:lang w:eastAsia="ja-JP"/>
              </w:rPr>
              <w:t>ion</w:t>
            </w:r>
            <w:r w:rsidR="002E7442" w:rsidRPr="000E3BCF">
              <w:rPr>
                <w:rFonts w:asciiTheme="majorHAnsi" w:hAnsiTheme="majorHAnsi"/>
                <w:lang w:eastAsia="ja-JP"/>
              </w:rPr>
              <w:t xml:space="preserve"> date is this a valid phyto</w:t>
            </w:r>
            <w:r w:rsidR="00EF141F">
              <w:rPr>
                <w:rFonts w:asciiTheme="majorHAnsi" w:hAnsiTheme="majorHAnsi"/>
                <w:lang w:eastAsia="ja-JP"/>
              </w:rPr>
              <w:t>sanitary certificate</w:t>
            </w:r>
            <w:r w:rsidR="002E7442" w:rsidRPr="000E3BCF">
              <w:rPr>
                <w:rFonts w:asciiTheme="majorHAnsi" w:hAnsiTheme="majorHAnsi"/>
                <w:lang w:eastAsia="ja-JP"/>
              </w:rPr>
              <w:t>?</w:t>
            </w:r>
          </w:p>
        </w:tc>
      </w:tr>
      <w:tr w:rsidR="00E02D51" w:rsidRPr="000E3BCF" w14:paraId="6DBA54BB" w14:textId="77777777" w:rsidTr="006A3BF5">
        <w:tc>
          <w:tcPr>
            <w:tcW w:w="988" w:type="dxa"/>
            <w:shd w:val="clear" w:color="auto" w:fill="auto"/>
          </w:tcPr>
          <w:p w14:paraId="4623D38C" w14:textId="77777777" w:rsidR="00E02D51" w:rsidRPr="000E3BCF" w:rsidRDefault="00E02D51" w:rsidP="009604C2">
            <w:pPr>
              <w:tabs>
                <w:tab w:val="left" w:pos="3954"/>
              </w:tabs>
              <w:rPr>
                <w:rFonts w:asciiTheme="majorHAnsi" w:hAnsiTheme="majorHAnsi"/>
                <w:b/>
                <w:lang w:eastAsia="ja-JP"/>
              </w:rPr>
            </w:pPr>
          </w:p>
        </w:tc>
        <w:tc>
          <w:tcPr>
            <w:tcW w:w="8454" w:type="dxa"/>
            <w:shd w:val="clear" w:color="auto" w:fill="auto"/>
          </w:tcPr>
          <w:p w14:paraId="67777B19" w14:textId="688D0012" w:rsidR="00E02D51" w:rsidRPr="000E3BCF" w:rsidRDefault="00E02D51" w:rsidP="00906E41">
            <w:pPr>
              <w:tabs>
                <w:tab w:val="left" w:pos="3954"/>
              </w:tabs>
              <w:rPr>
                <w:rFonts w:asciiTheme="majorHAnsi" w:hAnsiTheme="majorHAnsi"/>
                <w:lang w:eastAsia="ja-JP"/>
              </w:rPr>
            </w:pPr>
            <w:r w:rsidRPr="000E3BCF">
              <w:rPr>
                <w:rFonts w:asciiTheme="majorHAnsi" w:hAnsiTheme="majorHAnsi"/>
                <w:color w:val="002060"/>
                <w:lang w:eastAsia="ja-JP"/>
              </w:rPr>
              <w:t>No. Currently BICON states that if the phytosanitary certificate is issued after dispatch the date of inspection must be identified as an additional declaration. Please ensure you refer to relevant BICON cases to ensure you keep up to date with requirements.</w:t>
            </w:r>
          </w:p>
        </w:tc>
      </w:tr>
      <w:tr w:rsidR="00DD11FF" w:rsidRPr="000E3BCF" w14:paraId="4A7A10D5" w14:textId="77777777" w:rsidTr="006A3BF5">
        <w:tc>
          <w:tcPr>
            <w:tcW w:w="988" w:type="dxa"/>
            <w:shd w:val="clear" w:color="auto" w:fill="auto"/>
          </w:tcPr>
          <w:p w14:paraId="51FAE516" w14:textId="2AB44A4E" w:rsidR="00DD11FF" w:rsidRPr="000E3BCF" w:rsidRDefault="00DD11FF"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tcPr>
          <w:p w14:paraId="21335CC1" w14:textId="2B63123A" w:rsidR="00DD11FF" w:rsidRPr="000E3BCF" w:rsidRDefault="00642329" w:rsidP="00642329">
            <w:pPr>
              <w:tabs>
                <w:tab w:val="left" w:pos="3954"/>
              </w:tabs>
              <w:rPr>
                <w:rFonts w:asciiTheme="majorHAnsi" w:hAnsiTheme="majorHAnsi"/>
                <w:lang w:eastAsia="ja-JP"/>
              </w:rPr>
            </w:pPr>
            <w:r w:rsidRPr="000E3BCF">
              <w:rPr>
                <w:rFonts w:asciiTheme="majorHAnsi" w:hAnsiTheme="majorHAnsi"/>
                <w:lang w:eastAsia="ja-JP"/>
              </w:rPr>
              <w:t xml:space="preserve">Are </w:t>
            </w:r>
            <w:r w:rsidR="000123D4" w:rsidRPr="000E3BCF">
              <w:rPr>
                <w:rFonts w:asciiTheme="majorHAnsi" w:hAnsiTheme="majorHAnsi"/>
                <w:lang w:eastAsia="ja-JP"/>
              </w:rPr>
              <w:t xml:space="preserve">BICON </w:t>
            </w:r>
            <w:r w:rsidRPr="000E3BCF">
              <w:rPr>
                <w:rFonts w:asciiTheme="majorHAnsi" w:hAnsiTheme="majorHAnsi"/>
                <w:lang w:eastAsia="ja-JP"/>
              </w:rPr>
              <w:t>M</w:t>
            </w:r>
            <w:r w:rsidR="001E5640" w:rsidRPr="000E3BCF">
              <w:rPr>
                <w:rFonts w:asciiTheme="majorHAnsi" w:hAnsiTheme="majorHAnsi"/>
                <w:lang w:eastAsia="ja-JP"/>
              </w:rPr>
              <w:t>ulti</w:t>
            </w:r>
            <w:r w:rsidRPr="000E3BCF">
              <w:rPr>
                <w:rFonts w:asciiTheme="majorHAnsi" w:hAnsiTheme="majorHAnsi"/>
                <w:lang w:eastAsia="ja-JP"/>
              </w:rPr>
              <w:t>ple</w:t>
            </w:r>
            <w:r w:rsidR="000123D4" w:rsidRPr="000E3BCF">
              <w:rPr>
                <w:rFonts w:asciiTheme="majorHAnsi" w:hAnsiTheme="majorHAnsi"/>
                <w:lang w:eastAsia="ja-JP"/>
              </w:rPr>
              <w:t xml:space="preserve"> </w:t>
            </w:r>
            <w:r w:rsidRPr="000E3BCF">
              <w:rPr>
                <w:rFonts w:asciiTheme="majorHAnsi" w:hAnsiTheme="majorHAnsi"/>
                <w:lang w:eastAsia="ja-JP"/>
              </w:rPr>
              <w:t xml:space="preserve">user accounts ABN, AA ID </w:t>
            </w:r>
            <w:r w:rsidR="001E5640" w:rsidRPr="000E3BCF">
              <w:rPr>
                <w:rFonts w:asciiTheme="majorHAnsi" w:hAnsiTheme="majorHAnsi"/>
                <w:lang w:eastAsia="ja-JP"/>
              </w:rPr>
              <w:t>o</w:t>
            </w:r>
            <w:r w:rsidRPr="000E3BCF">
              <w:rPr>
                <w:rFonts w:asciiTheme="majorHAnsi" w:hAnsiTheme="majorHAnsi"/>
                <w:lang w:eastAsia="ja-JP"/>
              </w:rPr>
              <w:t>r</w:t>
            </w:r>
            <w:r w:rsidR="008A4244" w:rsidRPr="000E3BCF">
              <w:rPr>
                <w:rFonts w:asciiTheme="majorHAnsi" w:hAnsiTheme="majorHAnsi"/>
                <w:lang w:eastAsia="ja-JP"/>
              </w:rPr>
              <w:t xml:space="preserve"> branch specific</w:t>
            </w:r>
            <w:r w:rsidR="001E5640" w:rsidRPr="000E3BCF">
              <w:rPr>
                <w:rFonts w:asciiTheme="majorHAnsi" w:hAnsiTheme="majorHAnsi"/>
                <w:lang w:eastAsia="ja-JP"/>
              </w:rPr>
              <w:t>?</w:t>
            </w:r>
          </w:p>
        </w:tc>
      </w:tr>
      <w:tr w:rsidR="00DD11FF" w:rsidRPr="000E3BCF" w14:paraId="2BF05BBF" w14:textId="77777777" w:rsidTr="006A3BF5">
        <w:tc>
          <w:tcPr>
            <w:tcW w:w="988" w:type="dxa"/>
            <w:shd w:val="clear" w:color="auto" w:fill="auto"/>
          </w:tcPr>
          <w:p w14:paraId="47E4A879" w14:textId="77777777" w:rsidR="00DD11FF" w:rsidRPr="000E3BCF" w:rsidRDefault="00DD11FF" w:rsidP="009604C2">
            <w:pPr>
              <w:tabs>
                <w:tab w:val="left" w:pos="3954"/>
              </w:tabs>
              <w:rPr>
                <w:rFonts w:asciiTheme="majorHAnsi" w:hAnsiTheme="majorHAnsi"/>
                <w:b/>
                <w:lang w:eastAsia="ja-JP"/>
              </w:rPr>
            </w:pPr>
          </w:p>
        </w:tc>
        <w:tc>
          <w:tcPr>
            <w:tcW w:w="8454" w:type="dxa"/>
            <w:shd w:val="clear" w:color="auto" w:fill="auto"/>
          </w:tcPr>
          <w:p w14:paraId="2A2015C8" w14:textId="0BCFC1DB" w:rsidR="00DD11FF" w:rsidRPr="000E3BCF" w:rsidRDefault="003C2711" w:rsidP="009604C2">
            <w:pPr>
              <w:tabs>
                <w:tab w:val="left" w:pos="3954"/>
              </w:tabs>
              <w:rPr>
                <w:rFonts w:asciiTheme="majorHAnsi" w:hAnsiTheme="majorHAnsi"/>
                <w:lang w:eastAsia="ja-JP"/>
              </w:rPr>
            </w:pPr>
            <w:r w:rsidRPr="000E3BCF">
              <w:rPr>
                <w:rFonts w:asciiTheme="majorHAnsi" w:hAnsiTheme="majorHAnsi"/>
                <w:color w:val="002060"/>
                <w:lang w:eastAsia="ja-JP"/>
              </w:rPr>
              <w:t>BICON will allow duplicate information such as ABNs, AA Site IDs and Branch ID. The only information that BICON would not allow a duplicate of is the account email as this is the unique identifier for each BICON account.</w:t>
            </w:r>
          </w:p>
        </w:tc>
      </w:tr>
      <w:tr w:rsidR="00DD11FF" w:rsidRPr="000E3BCF" w14:paraId="1C4864CE" w14:textId="77777777" w:rsidTr="006A3BF5">
        <w:tc>
          <w:tcPr>
            <w:tcW w:w="988" w:type="dxa"/>
            <w:shd w:val="clear" w:color="auto" w:fill="auto"/>
          </w:tcPr>
          <w:p w14:paraId="3EFC69CE" w14:textId="6193620F" w:rsidR="00DD11FF" w:rsidRPr="000E3BCF" w:rsidRDefault="00DD11FF"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tcPr>
          <w:p w14:paraId="57995B42" w14:textId="73E1F02D" w:rsidR="0067273F" w:rsidRPr="000E3BCF" w:rsidRDefault="00A86949" w:rsidP="0067273F">
            <w:pPr>
              <w:tabs>
                <w:tab w:val="left" w:pos="3954"/>
              </w:tabs>
              <w:rPr>
                <w:rFonts w:asciiTheme="majorHAnsi" w:hAnsiTheme="majorHAnsi"/>
                <w:lang w:eastAsia="ja-JP"/>
              </w:rPr>
            </w:pPr>
            <w:r w:rsidRPr="000E3BCF">
              <w:rPr>
                <w:rFonts w:asciiTheme="majorHAnsi" w:hAnsiTheme="majorHAnsi"/>
                <w:lang w:eastAsia="ja-JP"/>
              </w:rPr>
              <w:t xml:space="preserve">According to ABF original </w:t>
            </w:r>
            <w:r w:rsidR="001E5640" w:rsidRPr="000E3BCF">
              <w:rPr>
                <w:rFonts w:asciiTheme="majorHAnsi" w:hAnsiTheme="majorHAnsi"/>
                <w:lang w:eastAsia="ja-JP"/>
              </w:rPr>
              <w:t>doc</w:t>
            </w:r>
            <w:r w:rsidRPr="000E3BCF">
              <w:rPr>
                <w:rFonts w:asciiTheme="majorHAnsi" w:hAnsiTheme="majorHAnsi"/>
                <w:lang w:eastAsia="ja-JP"/>
              </w:rPr>
              <w:t>umentation</w:t>
            </w:r>
            <w:r w:rsidR="001E5640" w:rsidRPr="000E3BCF">
              <w:rPr>
                <w:rFonts w:asciiTheme="majorHAnsi" w:hAnsiTheme="majorHAnsi"/>
                <w:lang w:eastAsia="ja-JP"/>
              </w:rPr>
              <w:t xml:space="preserve"> </w:t>
            </w:r>
            <w:r w:rsidRPr="000E3BCF">
              <w:rPr>
                <w:rFonts w:asciiTheme="majorHAnsi" w:hAnsiTheme="majorHAnsi"/>
                <w:lang w:eastAsia="ja-JP"/>
              </w:rPr>
              <w:t xml:space="preserve">are the documents a </w:t>
            </w:r>
            <w:r w:rsidR="001E5640" w:rsidRPr="000E3BCF">
              <w:rPr>
                <w:rFonts w:asciiTheme="majorHAnsi" w:hAnsiTheme="majorHAnsi"/>
                <w:lang w:eastAsia="ja-JP"/>
              </w:rPr>
              <w:t xml:space="preserve">broker uses to prepare the FID. </w:t>
            </w:r>
            <w:r w:rsidRPr="000E3BCF">
              <w:rPr>
                <w:rFonts w:asciiTheme="majorHAnsi" w:hAnsiTheme="majorHAnsi"/>
                <w:lang w:eastAsia="ja-JP"/>
              </w:rPr>
              <w:t>The presenter</w:t>
            </w:r>
            <w:r w:rsidR="0013193B" w:rsidRPr="000E3BCF">
              <w:rPr>
                <w:rFonts w:asciiTheme="majorHAnsi" w:hAnsiTheme="majorHAnsi"/>
                <w:lang w:eastAsia="ja-JP"/>
              </w:rPr>
              <w:t xml:space="preserve">s imply that the definition of </w:t>
            </w:r>
            <w:r w:rsidR="001E5640" w:rsidRPr="000E3BCF">
              <w:rPr>
                <w:rFonts w:asciiTheme="majorHAnsi" w:hAnsiTheme="majorHAnsi"/>
                <w:lang w:eastAsia="ja-JP"/>
              </w:rPr>
              <w:t>original</w:t>
            </w:r>
            <w:r w:rsidR="0013193B" w:rsidRPr="000E3BCF">
              <w:rPr>
                <w:rFonts w:asciiTheme="majorHAnsi" w:hAnsiTheme="majorHAnsi"/>
                <w:lang w:eastAsia="ja-JP"/>
              </w:rPr>
              <w:t xml:space="preserve"> documentation </w:t>
            </w:r>
            <w:r w:rsidR="0067273F" w:rsidRPr="000E3BCF">
              <w:rPr>
                <w:rFonts w:asciiTheme="majorHAnsi" w:hAnsiTheme="majorHAnsi"/>
                <w:lang w:eastAsia="ja-JP"/>
              </w:rPr>
              <w:t>is dif</w:t>
            </w:r>
            <w:r w:rsidR="00957F76" w:rsidRPr="000E3BCF">
              <w:rPr>
                <w:rFonts w:asciiTheme="majorHAnsi" w:hAnsiTheme="majorHAnsi"/>
                <w:lang w:eastAsia="ja-JP"/>
              </w:rPr>
              <w:t>ferent for the Department of Agr</w:t>
            </w:r>
            <w:r w:rsidR="0067273F" w:rsidRPr="000E3BCF">
              <w:rPr>
                <w:rFonts w:asciiTheme="majorHAnsi" w:hAnsiTheme="majorHAnsi"/>
                <w:lang w:eastAsia="ja-JP"/>
              </w:rPr>
              <w:t xml:space="preserve">iculture. </w:t>
            </w:r>
          </w:p>
          <w:p w14:paraId="7473DF3F" w14:textId="37F26199" w:rsidR="00DD11FF" w:rsidRPr="000E3BCF" w:rsidRDefault="0067273F" w:rsidP="00EF54F4">
            <w:pPr>
              <w:tabs>
                <w:tab w:val="left" w:pos="3954"/>
              </w:tabs>
              <w:rPr>
                <w:rFonts w:asciiTheme="majorHAnsi" w:hAnsiTheme="majorHAnsi"/>
                <w:lang w:eastAsia="ja-JP"/>
              </w:rPr>
            </w:pPr>
            <w:r w:rsidRPr="000E3BCF">
              <w:rPr>
                <w:rFonts w:asciiTheme="majorHAnsi" w:hAnsiTheme="majorHAnsi"/>
                <w:lang w:eastAsia="ja-JP"/>
              </w:rPr>
              <w:t xml:space="preserve">Where original documentation is </w:t>
            </w:r>
            <w:r w:rsidR="00957F76" w:rsidRPr="000E3BCF">
              <w:rPr>
                <w:rFonts w:asciiTheme="majorHAnsi" w:hAnsiTheme="majorHAnsi"/>
                <w:lang w:eastAsia="ja-JP"/>
              </w:rPr>
              <w:t>requested by the Department of A</w:t>
            </w:r>
            <w:r w:rsidRPr="000E3BCF">
              <w:rPr>
                <w:rFonts w:asciiTheme="majorHAnsi" w:hAnsiTheme="majorHAnsi"/>
                <w:lang w:eastAsia="ja-JP"/>
              </w:rPr>
              <w:t xml:space="preserve">griculture, and BICON does not specify original documents are required, is this regarded as a non-compliance </w:t>
            </w:r>
            <w:r w:rsidR="00EF54F4" w:rsidRPr="000E3BCF">
              <w:rPr>
                <w:rFonts w:asciiTheme="majorHAnsi" w:hAnsiTheme="majorHAnsi"/>
                <w:lang w:eastAsia="ja-JP"/>
              </w:rPr>
              <w:t>for the BIP</w:t>
            </w:r>
            <w:r w:rsidRPr="000E3BCF">
              <w:rPr>
                <w:rFonts w:asciiTheme="majorHAnsi" w:hAnsiTheme="majorHAnsi"/>
                <w:lang w:eastAsia="ja-JP"/>
              </w:rPr>
              <w:t>?</w:t>
            </w:r>
          </w:p>
        </w:tc>
      </w:tr>
      <w:tr w:rsidR="001E5640" w:rsidRPr="000E3BCF" w14:paraId="0EB4F894" w14:textId="77777777" w:rsidTr="006A3BF5">
        <w:tc>
          <w:tcPr>
            <w:tcW w:w="988" w:type="dxa"/>
            <w:shd w:val="clear" w:color="auto" w:fill="auto"/>
          </w:tcPr>
          <w:p w14:paraId="2050027D" w14:textId="10CDBEE3" w:rsidR="001E5640" w:rsidRPr="000E3BCF" w:rsidRDefault="001E5640" w:rsidP="00E02D51">
            <w:pPr>
              <w:tabs>
                <w:tab w:val="left" w:pos="3954"/>
              </w:tabs>
              <w:rPr>
                <w:rFonts w:asciiTheme="majorHAnsi" w:hAnsiTheme="majorHAnsi"/>
                <w:b/>
                <w:lang w:eastAsia="ja-JP"/>
              </w:rPr>
            </w:pPr>
          </w:p>
        </w:tc>
        <w:tc>
          <w:tcPr>
            <w:tcW w:w="8454" w:type="dxa"/>
            <w:shd w:val="clear" w:color="auto" w:fill="auto"/>
          </w:tcPr>
          <w:p w14:paraId="387C2C1C" w14:textId="6763FECB" w:rsidR="002A2A51" w:rsidRPr="000E3BCF" w:rsidRDefault="00EF54F4" w:rsidP="00671FEA">
            <w:pPr>
              <w:tabs>
                <w:tab w:val="left" w:pos="3954"/>
              </w:tabs>
              <w:rPr>
                <w:rFonts w:asciiTheme="majorHAnsi" w:hAnsiTheme="majorHAnsi"/>
                <w:lang w:eastAsia="ja-JP"/>
              </w:rPr>
            </w:pPr>
            <w:r w:rsidRPr="000E3BCF">
              <w:rPr>
                <w:rFonts w:asciiTheme="majorHAnsi" w:hAnsiTheme="majorHAnsi"/>
                <w:color w:val="002060"/>
                <w:lang w:eastAsia="ja-JP"/>
              </w:rPr>
              <w:t xml:space="preserve">For </w:t>
            </w:r>
            <w:r w:rsidR="00386CB9" w:rsidRPr="000E3BCF">
              <w:rPr>
                <w:rFonts w:asciiTheme="majorHAnsi" w:hAnsiTheme="majorHAnsi"/>
                <w:color w:val="002060"/>
                <w:lang w:eastAsia="ja-JP"/>
              </w:rPr>
              <w:t xml:space="preserve">the </w:t>
            </w:r>
            <w:r w:rsidR="00AA42F6">
              <w:rPr>
                <w:rFonts w:asciiTheme="majorHAnsi" w:hAnsiTheme="majorHAnsi"/>
                <w:color w:val="002060"/>
                <w:lang w:eastAsia="ja-JP"/>
              </w:rPr>
              <w:t>Department of a</w:t>
            </w:r>
            <w:r w:rsidR="00C07EBA" w:rsidRPr="000E3BCF">
              <w:rPr>
                <w:rFonts w:asciiTheme="majorHAnsi" w:hAnsiTheme="majorHAnsi"/>
                <w:color w:val="002060"/>
                <w:lang w:eastAsia="ja-JP"/>
              </w:rPr>
              <w:t xml:space="preserve">griculture </w:t>
            </w:r>
            <w:r w:rsidRPr="000E3BCF">
              <w:rPr>
                <w:rFonts w:asciiTheme="majorHAnsi" w:hAnsiTheme="majorHAnsi"/>
                <w:color w:val="002060"/>
                <w:lang w:eastAsia="ja-JP"/>
              </w:rPr>
              <w:t>original documents refer to the actual documents issued by an entity, a government organisation or a government.</w:t>
            </w:r>
            <w:r w:rsidR="00617096" w:rsidRPr="000E3BCF">
              <w:rPr>
                <w:rFonts w:asciiTheme="majorHAnsi" w:hAnsiTheme="majorHAnsi"/>
                <w:color w:val="002060"/>
                <w:lang w:eastAsia="ja-JP"/>
              </w:rPr>
              <w:t xml:space="preserve"> When BICON does not specify</w:t>
            </w:r>
            <w:r w:rsidR="002A2A51" w:rsidRPr="000E3BCF">
              <w:rPr>
                <w:rFonts w:asciiTheme="majorHAnsi" w:hAnsiTheme="majorHAnsi"/>
                <w:color w:val="002060"/>
                <w:lang w:eastAsia="ja-JP"/>
              </w:rPr>
              <w:t xml:space="preserve"> that</w:t>
            </w:r>
            <w:r w:rsidR="00617096" w:rsidRPr="000E3BCF">
              <w:rPr>
                <w:rFonts w:asciiTheme="majorHAnsi" w:hAnsiTheme="majorHAnsi"/>
                <w:color w:val="002060"/>
                <w:lang w:eastAsia="ja-JP"/>
              </w:rPr>
              <w:t xml:space="preserve"> original documents are</w:t>
            </w:r>
            <w:r w:rsidR="002A2A51" w:rsidRPr="000E3BCF">
              <w:rPr>
                <w:rFonts w:asciiTheme="majorHAnsi" w:hAnsiTheme="majorHAnsi"/>
                <w:color w:val="002060"/>
                <w:lang w:eastAsia="ja-JP"/>
              </w:rPr>
              <w:t xml:space="preserve"> </w:t>
            </w:r>
            <w:r w:rsidR="00617096" w:rsidRPr="000E3BCF">
              <w:rPr>
                <w:rFonts w:asciiTheme="majorHAnsi" w:hAnsiTheme="majorHAnsi"/>
                <w:color w:val="002060"/>
                <w:lang w:eastAsia="ja-JP"/>
              </w:rPr>
              <w:t>required</w:t>
            </w:r>
            <w:r w:rsidR="00957F76" w:rsidRPr="000E3BCF">
              <w:rPr>
                <w:rFonts w:asciiTheme="majorHAnsi" w:hAnsiTheme="majorHAnsi"/>
                <w:color w:val="002060"/>
                <w:lang w:eastAsia="ja-JP"/>
              </w:rPr>
              <w:t>,</w:t>
            </w:r>
            <w:r w:rsidR="00C07EBA" w:rsidRPr="000E3BCF">
              <w:rPr>
                <w:rFonts w:asciiTheme="majorHAnsi" w:hAnsiTheme="majorHAnsi"/>
                <w:color w:val="002060"/>
                <w:lang w:eastAsia="ja-JP"/>
              </w:rPr>
              <w:t xml:space="preserve"> </w:t>
            </w:r>
            <w:r w:rsidR="002A2A51" w:rsidRPr="000E3BCF">
              <w:rPr>
                <w:rFonts w:asciiTheme="majorHAnsi" w:hAnsiTheme="majorHAnsi"/>
                <w:color w:val="002060"/>
                <w:lang w:eastAsia="ja-JP"/>
              </w:rPr>
              <w:t>a copy of the consignment’s documentation is sufficient to lodge your import declaration under AEPCOMM</w:t>
            </w:r>
          </w:p>
        </w:tc>
      </w:tr>
      <w:tr w:rsidR="00DD11FF" w:rsidRPr="000E3BCF" w14:paraId="250931E4" w14:textId="77777777" w:rsidTr="006A3BF5">
        <w:tc>
          <w:tcPr>
            <w:tcW w:w="988" w:type="dxa"/>
            <w:shd w:val="clear" w:color="auto" w:fill="auto"/>
          </w:tcPr>
          <w:p w14:paraId="4FB10767" w14:textId="6E25BD7A" w:rsidR="00DD11FF" w:rsidRPr="000E3BCF" w:rsidRDefault="00DD11FF"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tcPr>
          <w:p w14:paraId="5575D8C0" w14:textId="456873F8" w:rsidR="00DD11FF" w:rsidRPr="000E3BCF" w:rsidRDefault="00062721" w:rsidP="009604C2">
            <w:pPr>
              <w:tabs>
                <w:tab w:val="left" w:pos="3954"/>
              </w:tabs>
              <w:rPr>
                <w:rFonts w:asciiTheme="majorHAnsi" w:hAnsiTheme="majorHAnsi"/>
                <w:lang w:eastAsia="ja-JP"/>
              </w:rPr>
            </w:pPr>
            <w:r w:rsidRPr="000E3BCF">
              <w:rPr>
                <w:rFonts w:asciiTheme="majorHAnsi" w:hAnsiTheme="majorHAnsi"/>
                <w:lang w:eastAsia="ja-JP"/>
              </w:rPr>
              <w:t>Does a biosecurity direction</w:t>
            </w:r>
            <w:r w:rsidR="001E5640" w:rsidRPr="000E3BCF">
              <w:rPr>
                <w:rFonts w:asciiTheme="majorHAnsi" w:hAnsiTheme="majorHAnsi"/>
                <w:lang w:eastAsia="ja-JP"/>
              </w:rPr>
              <w:t xml:space="preserve"> time frame start from when the direction is issued or when the cargo is available for the process or treatment?</w:t>
            </w:r>
          </w:p>
        </w:tc>
      </w:tr>
      <w:tr w:rsidR="00DD11FF" w:rsidRPr="000E3BCF" w14:paraId="34DFA0B9" w14:textId="77777777" w:rsidTr="006A3BF5">
        <w:tc>
          <w:tcPr>
            <w:tcW w:w="988" w:type="dxa"/>
            <w:shd w:val="clear" w:color="auto" w:fill="auto"/>
          </w:tcPr>
          <w:p w14:paraId="6CCBC022" w14:textId="77777777" w:rsidR="00DD11FF" w:rsidRPr="000E3BCF" w:rsidRDefault="00DD11FF" w:rsidP="009604C2">
            <w:pPr>
              <w:tabs>
                <w:tab w:val="left" w:pos="3954"/>
              </w:tabs>
              <w:rPr>
                <w:rFonts w:asciiTheme="majorHAnsi" w:hAnsiTheme="majorHAnsi"/>
                <w:b/>
                <w:lang w:eastAsia="ja-JP"/>
              </w:rPr>
            </w:pPr>
          </w:p>
        </w:tc>
        <w:tc>
          <w:tcPr>
            <w:tcW w:w="8454" w:type="dxa"/>
            <w:shd w:val="clear" w:color="auto" w:fill="auto"/>
          </w:tcPr>
          <w:p w14:paraId="5210A7F2" w14:textId="77777777" w:rsidR="003D0F83" w:rsidRPr="000E3BCF" w:rsidRDefault="00884775" w:rsidP="0028673E">
            <w:pPr>
              <w:tabs>
                <w:tab w:val="left" w:pos="3954"/>
              </w:tabs>
              <w:rPr>
                <w:rFonts w:asciiTheme="majorHAnsi" w:hAnsiTheme="majorHAnsi"/>
                <w:color w:val="002060"/>
                <w:lang w:eastAsia="ja-JP"/>
              </w:rPr>
            </w:pPr>
            <w:r w:rsidRPr="000E3BCF">
              <w:rPr>
                <w:rFonts w:asciiTheme="majorHAnsi" w:hAnsiTheme="majorHAnsi"/>
                <w:color w:val="002060"/>
                <w:lang w:eastAsia="ja-JP"/>
              </w:rPr>
              <w:t>The biosecurity direction time frame start</w:t>
            </w:r>
            <w:r w:rsidR="00C46B24" w:rsidRPr="000E3BCF">
              <w:rPr>
                <w:rFonts w:asciiTheme="majorHAnsi" w:hAnsiTheme="majorHAnsi"/>
                <w:color w:val="002060"/>
                <w:lang w:eastAsia="ja-JP"/>
              </w:rPr>
              <w:t>s</w:t>
            </w:r>
            <w:r w:rsidRPr="000E3BCF">
              <w:rPr>
                <w:rFonts w:asciiTheme="majorHAnsi" w:hAnsiTheme="majorHAnsi"/>
                <w:color w:val="002060"/>
                <w:lang w:eastAsia="ja-JP"/>
              </w:rPr>
              <w:t xml:space="preserve"> from the </w:t>
            </w:r>
            <w:r w:rsidR="00C46B24" w:rsidRPr="000E3BCF">
              <w:rPr>
                <w:rFonts w:asciiTheme="majorHAnsi" w:hAnsiTheme="majorHAnsi"/>
                <w:color w:val="002060"/>
                <w:lang w:eastAsia="ja-JP"/>
              </w:rPr>
              <w:t>date</w:t>
            </w:r>
            <w:r w:rsidRPr="000E3BCF">
              <w:rPr>
                <w:rFonts w:asciiTheme="majorHAnsi" w:hAnsiTheme="majorHAnsi"/>
                <w:color w:val="002060"/>
                <w:lang w:eastAsia="ja-JP"/>
              </w:rPr>
              <w:t xml:space="preserve"> the direction is issued</w:t>
            </w:r>
            <w:r w:rsidR="00C46B24" w:rsidRPr="000E3BCF">
              <w:rPr>
                <w:rFonts w:asciiTheme="majorHAnsi" w:hAnsiTheme="majorHAnsi"/>
                <w:color w:val="002060"/>
                <w:lang w:eastAsia="ja-JP"/>
              </w:rPr>
              <w:t xml:space="preserve"> </w:t>
            </w:r>
            <w:r w:rsidR="0028673E" w:rsidRPr="000E3BCF">
              <w:rPr>
                <w:rFonts w:asciiTheme="majorHAnsi" w:hAnsiTheme="majorHAnsi"/>
                <w:color w:val="002060"/>
                <w:lang w:eastAsia="ja-JP"/>
              </w:rPr>
              <w:t xml:space="preserve">and emailed </w:t>
            </w:r>
            <w:r w:rsidR="00C46B24" w:rsidRPr="000E3BCF">
              <w:rPr>
                <w:rFonts w:asciiTheme="majorHAnsi" w:hAnsiTheme="majorHAnsi"/>
                <w:color w:val="002060"/>
                <w:lang w:eastAsia="ja-JP"/>
              </w:rPr>
              <w:t>to the BIP</w:t>
            </w:r>
            <w:r w:rsidRPr="000E3BCF">
              <w:rPr>
                <w:rFonts w:asciiTheme="majorHAnsi" w:hAnsiTheme="majorHAnsi"/>
                <w:color w:val="002060"/>
                <w:lang w:eastAsia="ja-JP"/>
              </w:rPr>
              <w:t>.</w:t>
            </w:r>
            <w:r w:rsidR="00C46B24" w:rsidRPr="000E3BCF">
              <w:rPr>
                <w:rFonts w:asciiTheme="majorHAnsi" w:hAnsiTheme="majorHAnsi"/>
                <w:color w:val="002060"/>
                <w:lang w:eastAsia="ja-JP"/>
              </w:rPr>
              <w:t xml:space="preserve"> </w:t>
            </w:r>
            <w:r w:rsidR="0028673E" w:rsidRPr="000E3BCF">
              <w:rPr>
                <w:rFonts w:asciiTheme="majorHAnsi" w:hAnsiTheme="majorHAnsi"/>
                <w:color w:val="002060"/>
                <w:lang w:eastAsia="ja-JP"/>
              </w:rPr>
              <w:t xml:space="preserve">The length of the time frame depends on the direction. </w:t>
            </w:r>
          </w:p>
          <w:p w14:paraId="5F96BD0E" w14:textId="1CF19D85" w:rsidR="00DD11FF" w:rsidRPr="000E3BCF" w:rsidRDefault="0028673E" w:rsidP="0028673E">
            <w:pPr>
              <w:tabs>
                <w:tab w:val="left" w:pos="3954"/>
              </w:tabs>
              <w:rPr>
                <w:rFonts w:asciiTheme="majorHAnsi" w:hAnsiTheme="majorHAnsi"/>
                <w:lang w:eastAsia="ja-JP"/>
              </w:rPr>
            </w:pPr>
            <w:r w:rsidRPr="000E3BCF">
              <w:rPr>
                <w:rFonts w:asciiTheme="majorHAnsi" w:hAnsiTheme="majorHAnsi"/>
                <w:color w:val="002060"/>
                <w:lang w:eastAsia="ja-JP"/>
              </w:rPr>
              <w:t>If you have lodged an import declaration through AEP well in advance (prior to the cargo being available), please contact the dep</w:t>
            </w:r>
            <w:r w:rsidR="00957F76" w:rsidRPr="000E3BCF">
              <w:rPr>
                <w:rFonts w:asciiTheme="majorHAnsi" w:hAnsiTheme="majorHAnsi"/>
                <w:color w:val="002060"/>
                <w:lang w:eastAsia="ja-JP"/>
              </w:rPr>
              <w:t>artment so that the timeframe can be</w:t>
            </w:r>
            <w:r w:rsidRPr="000E3BCF">
              <w:rPr>
                <w:rFonts w:asciiTheme="majorHAnsi" w:hAnsiTheme="majorHAnsi"/>
                <w:color w:val="002060"/>
                <w:lang w:eastAsia="ja-JP"/>
              </w:rPr>
              <w:t xml:space="preserve"> extended.</w:t>
            </w:r>
          </w:p>
        </w:tc>
      </w:tr>
      <w:tr w:rsidR="00DD11FF" w:rsidRPr="000E3BCF" w14:paraId="03C77C36" w14:textId="77777777" w:rsidTr="006A3BF5">
        <w:tc>
          <w:tcPr>
            <w:tcW w:w="988" w:type="dxa"/>
            <w:shd w:val="clear" w:color="auto" w:fill="auto"/>
          </w:tcPr>
          <w:p w14:paraId="02259C7F" w14:textId="38E2DDF8" w:rsidR="00DD11FF" w:rsidRPr="000E3BCF" w:rsidRDefault="00DD11FF"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tcPr>
          <w:p w14:paraId="77F16BF5" w14:textId="1F724D01" w:rsidR="00DD11FF" w:rsidRPr="000E3BCF" w:rsidRDefault="00C96535" w:rsidP="00475882">
            <w:pPr>
              <w:tabs>
                <w:tab w:val="left" w:pos="3954"/>
              </w:tabs>
              <w:rPr>
                <w:rFonts w:asciiTheme="majorHAnsi" w:hAnsiTheme="majorHAnsi"/>
                <w:lang w:eastAsia="ja-JP"/>
              </w:rPr>
            </w:pPr>
            <w:r w:rsidRPr="000E3BCF">
              <w:rPr>
                <w:rFonts w:asciiTheme="majorHAnsi" w:hAnsiTheme="majorHAnsi"/>
                <w:lang w:eastAsia="ja-JP"/>
              </w:rPr>
              <w:t>W</w:t>
            </w:r>
            <w:r w:rsidR="001E5640" w:rsidRPr="000E3BCF">
              <w:rPr>
                <w:rFonts w:asciiTheme="majorHAnsi" w:hAnsiTheme="majorHAnsi"/>
                <w:lang w:eastAsia="ja-JP"/>
              </w:rPr>
              <w:t xml:space="preserve">here importers designate </w:t>
            </w:r>
            <w:r w:rsidRPr="000E3BCF">
              <w:rPr>
                <w:rFonts w:asciiTheme="majorHAnsi" w:hAnsiTheme="majorHAnsi"/>
                <w:lang w:eastAsia="ja-JP"/>
              </w:rPr>
              <w:t xml:space="preserve">their </w:t>
            </w:r>
            <w:r w:rsidR="001E5640" w:rsidRPr="000E3BCF">
              <w:rPr>
                <w:rFonts w:asciiTheme="majorHAnsi" w:hAnsiTheme="majorHAnsi"/>
                <w:lang w:eastAsia="ja-JP"/>
              </w:rPr>
              <w:t>own transport and that transport company fails to follow instructions who will be responsible? When will the department start penalising transport companies who fail to follow instructions?</w:t>
            </w:r>
          </w:p>
        </w:tc>
      </w:tr>
      <w:tr w:rsidR="00DD11FF" w:rsidRPr="000E3BCF" w14:paraId="54624299" w14:textId="77777777" w:rsidTr="006A3BF5">
        <w:tc>
          <w:tcPr>
            <w:tcW w:w="988" w:type="dxa"/>
            <w:shd w:val="clear" w:color="auto" w:fill="auto"/>
          </w:tcPr>
          <w:p w14:paraId="16F4E4E2" w14:textId="77777777" w:rsidR="00DD11FF" w:rsidRPr="000E3BCF" w:rsidRDefault="00DD11FF" w:rsidP="009604C2">
            <w:pPr>
              <w:tabs>
                <w:tab w:val="left" w:pos="3954"/>
              </w:tabs>
              <w:rPr>
                <w:rFonts w:asciiTheme="majorHAnsi" w:hAnsiTheme="majorHAnsi"/>
                <w:b/>
                <w:lang w:eastAsia="ja-JP"/>
              </w:rPr>
            </w:pPr>
          </w:p>
        </w:tc>
        <w:tc>
          <w:tcPr>
            <w:tcW w:w="8454" w:type="dxa"/>
            <w:shd w:val="clear" w:color="auto" w:fill="auto"/>
          </w:tcPr>
          <w:p w14:paraId="67F9B16C" w14:textId="77777777" w:rsidR="00865855" w:rsidRPr="000E3BCF" w:rsidRDefault="00911D7C" w:rsidP="00865855">
            <w:pPr>
              <w:tabs>
                <w:tab w:val="left" w:pos="3954"/>
              </w:tabs>
              <w:rPr>
                <w:rFonts w:asciiTheme="majorHAnsi" w:hAnsiTheme="majorHAnsi"/>
                <w:color w:val="002060"/>
                <w:lang w:eastAsia="ja-JP"/>
              </w:rPr>
            </w:pPr>
            <w:r w:rsidRPr="000E3BCF">
              <w:rPr>
                <w:rFonts w:asciiTheme="majorHAnsi" w:hAnsiTheme="majorHAnsi"/>
                <w:color w:val="002060"/>
                <w:lang w:eastAsia="ja-JP"/>
              </w:rPr>
              <w:t>When non-compliance is r</w:t>
            </w:r>
            <w:r w:rsidR="00865855" w:rsidRPr="000E3BCF">
              <w:rPr>
                <w:rFonts w:asciiTheme="majorHAnsi" w:hAnsiTheme="majorHAnsi"/>
                <w:color w:val="002060"/>
                <w:lang w:eastAsia="ja-JP"/>
              </w:rPr>
              <w:t>eported (such as a bypassed</w:t>
            </w:r>
            <w:r w:rsidRPr="000E3BCF">
              <w:rPr>
                <w:rFonts w:asciiTheme="majorHAnsi" w:hAnsiTheme="majorHAnsi"/>
                <w:color w:val="002060"/>
                <w:lang w:eastAsia="ja-JP"/>
              </w:rPr>
              <w:t xml:space="preserve"> direction), the department investigates the circumstances that lead to the incident. </w:t>
            </w:r>
          </w:p>
          <w:p w14:paraId="587131F3" w14:textId="77777777" w:rsidR="00DD11FF" w:rsidRPr="000E3BCF" w:rsidRDefault="00865855" w:rsidP="00865855">
            <w:pPr>
              <w:tabs>
                <w:tab w:val="left" w:pos="3954"/>
              </w:tabs>
              <w:rPr>
                <w:rFonts w:asciiTheme="majorHAnsi" w:hAnsiTheme="majorHAnsi"/>
                <w:color w:val="002060"/>
                <w:lang w:eastAsia="ja-JP"/>
              </w:rPr>
            </w:pPr>
            <w:r w:rsidRPr="000E3BCF">
              <w:rPr>
                <w:rFonts w:asciiTheme="majorHAnsi" w:hAnsiTheme="majorHAnsi"/>
                <w:color w:val="002060"/>
                <w:lang w:eastAsia="ja-JP"/>
              </w:rPr>
              <w:t xml:space="preserve">As a BIP you are required to comply with conditions 20 and 21 of the 19.2 Requirements and conditions document: ensuring that biosecurity directions generated through AEP are carried out or forwarded to third parties (if applicable) and if requested, providing evidence to the department you have done so observing appropriate time frames. </w:t>
            </w:r>
          </w:p>
          <w:p w14:paraId="4BFD6D98" w14:textId="2A797210" w:rsidR="00CA43CE" w:rsidRPr="000E3BCF" w:rsidRDefault="00CA43CE" w:rsidP="00CA43CE">
            <w:pPr>
              <w:tabs>
                <w:tab w:val="left" w:pos="3954"/>
              </w:tabs>
              <w:rPr>
                <w:rFonts w:asciiTheme="majorHAnsi" w:hAnsiTheme="majorHAnsi"/>
                <w:lang w:eastAsia="ja-JP"/>
              </w:rPr>
            </w:pPr>
            <w:r w:rsidRPr="000E3BCF">
              <w:rPr>
                <w:rFonts w:asciiTheme="majorHAnsi" w:hAnsiTheme="majorHAnsi"/>
                <w:color w:val="002060"/>
                <w:lang w:eastAsia="ja-JP"/>
              </w:rPr>
              <w:lastRenderedPageBreak/>
              <w:t>If you have systems in place to be able to provide clear evidence to the department that you have fulfilled your responsibilities as a BIP, you will not be penalised with non-compliance.</w:t>
            </w:r>
          </w:p>
        </w:tc>
      </w:tr>
      <w:tr w:rsidR="001E5640" w:rsidRPr="000E3BCF" w14:paraId="3FCCCD02" w14:textId="77777777" w:rsidTr="006A3BF5">
        <w:tc>
          <w:tcPr>
            <w:tcW w:w="988" w:type="dxa"/>
            <w:shd w:val="clear" w:color="auto" w:fill="auto"/>
          </w:tcPr>
          <w:p w14:paraId="58A1D460" w14:textId="726A3541" w:rsidR="001E5640" w:rsidRPr="000E3BCF" w:rsidRDefault="001E5640"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tcPr>
          <w:p w14:paraId="535D5D30" w14:textId="68CBBA0D" w:rsidR="001E5640" w:rsidRPr="000E3BCF" w:rsidRDefault="00253469" w:rsidP="00253469">
            <w:pPr>
              <w:tabs>
                <w:tab w:val="left" w:pos="3954"/>
              </w:tabs>
              <w:rPr>
                <w:rFonts w:asciiTheme="majorHAnsi" w:hAnsiTheme="majorHAnsi"/>
                <w:lang w:eastAsia="ja-JP"/>
              </w:rPr>
            </w:pPr>
            <w:r w:rsidRPr="000E3BCF">
              <w:rPr>
                <w:rFonts w:asciiTheme="majorHAnsi" w:hAnsiTheme="majorHAnsi"/>
                <w:lang w:eastAsia="ja-JP"/>
              </w:rPr>
              <w:t>Is</w:t>
            </w:r>
            <w:r w:rsidR="001E5640" w:rsidRPr="000E3BCF">
              <w:rPr>
                <w:rFonts w:asciiTheme="majorHAnsi" w:hAnsiTheme="majorHAnsi"/>
                <w:lang w:eastAsia="ja-JP"/>
              </w:rPr>
              <w:t xml:space="preserve"> there a facility to have sample documents approved </w:t>
            </w:r>
            <w:r w:rsidRPr="000E3BCF">
              <w:rPr>
                <w:rFonts w:asciiTheme="majorHAnsi" w:hAnsiTheme="majorHAnsi"/>
                <w:lang w:eastAsia="ja-JP"/>
              </w:rPr>
              <w:t>so that brokers can lodge with confidence (as</w:t>
            </w:r>
            <w:r w:rsidR="001E5640" w:rsidRPr="000E3BCF">
              <w:rPr>
                <w:rFonts w:asciiTheme="majorHAnsi" w:hAnsiTheme="majorHAnsi"/>
                <w:lang w:eastAsia="ja-JP"/>
              </w:rPr>
              <w:t xml:space="preserve"> long as the documents they use each and every time are the same as the sample approved)</w:t>
            </w:r>
            <w:r w:rsidRPr="000E3BCF">
              <w:rPr>
                <w:rFonts w:asciiTheme="majorHAnsi" w:hAnsiTheme="majorHAnsi"/>
                <w:lang w:eastAsia="ja-JP"/>
              </w:rPr>
              <w:t>? This would provide brokers with confidence</w:t>
            </w:r>
            <w:r w:rsidR="001E5640" w:rsidRPr="000E3BCF">
              <w:rPr>
                <w:rFonts w:asciiTheme="majorHAnsi" w:hAnsiTheme="majorHAnsi"/>
                <w:lang w:eastAsia="ja-JP"/>
              </w:rPr>
              <w:t xml:space="preserve"> that what they are lodging has been approved and </w:t>
            </w:r>
            <w:r w:rsidRPr="000E3BCF">
              <w:rPr>
                <w:rFonts w:asciiTheme="majorHAnsi" w:hAnsiTheme="majorHAnsi"/>
                <w:lang w:eastAsia="ja-JP"/>
              </w:rPr>
              <w:t>hence</w:t>
            </w:r>
            <w:r w:rsidR="001E5640" w:rsidRPr="000E3BCF">
              <w:rPr>
                <w:rFonts w:asciiTheme="majorHAnsi" w:hAnsiTheme="majorHAnsi"/>
                <w:lang w:eastAsia="ja-JP"/>
              </w:rPr>
              <w:t xml:space="preserve"> not live in fear of </w:t>
            </w:r>
            <w:r w:rsidRPr="000E3BCF">
              <w:rPr>
                <w:rFonts w:asciiTheme="majorHAnsi" w:hAnsiTheme="majorHAnsi"/>
                <w:lang w:eastAsia="ja-JP"/>
              </w:rPr>
              <w:t>non-compliance.</w:t>
            </w:r>
          </w:p>
        </w:tc>
      </w:tr>
      <w:tr w:rsidR="001E5640" w:rsidRPr="000E3BCF" w14:paraId="259F7552" w14:textId="77777777" w:rsidTr="006A3BF5">
        <w:tc>
          <w:tcPr>
            <w:tcW w:w="988" w:type="dxa"/>
            <w:shd w:val="clear" w:color="auto" w:fill="auto"/>
          </w:tcPr>
          <w:p w14:paraId="2EE1A603" w14:textId="77777777" w:rsidR="001E5640" w:rsidRPr="000E3BCF" w:rsidRDefault="001E5640" w:rsidP="009604C2">
            <w:pPr>
              <w:tabs>
                <w:tab w:val="left" w:pos="3954"/>
              </w:tabs>
              <w:rPr>
                <w:rFonts w:asciiTheme="majorHAnsi" w:hAnsiTheme="majorHAnsi"/>
                <w:b/>
                <w:lang w:eastAsia="ja-JP"/>
              </w:rPr>
            </w:pPr>
          </w:p>
        </w:tc>
        <w:tc>
          <w:tcPr>
            <w:tcW w:w="8454" w:type="dxa"/>
            <w:shd w:val="clear" w:color="auto" w:fill="auto"/>
          </w:tcPr>
          <w:p w14:paraId="21AA843A" w14:textId="3E5574CA" w:rsidR="007D0E5F" w:rsidRPr="000E3BCF" w:rsidRDefault="005E7F57" w:rsidP="007D0E5F">
            <w:pPr>
              <w:tabs>
                <w:tab w:val="left" w:pos="3954"/>
              </w:tabs>
              <w:rPr>
                <w:rFonts w:asciiTheme="majorHAnsi" w:hAnsiTheme="majorHAnsi"/>
                <w:color w:val="002060"/>
                <w:lang w:eastAsia="ja-JP"/>
              </w:rPr>
            </w:pPr>
            <w:r w:rsidRPr="000E3BCF">
              <w:rPr>
                <w:rFonts w:asciiTheme="majorHAnsi" w:hAnsiTheme="majorHAnsi"/>
                <w:color w:val="002060"/>
                <w:lang w:eastAsia="ja-JP"/>
              </w:rPr>
              <w:t xml:space="preserve">Unfortunately that is not an available option. The main reason for this being that </w:t>
            </w:r>
            <w:r w:rsidR="007D0E5F" w:rsidRPr="000E3BCF">
              <w:rPr>
                <w:rFonts w:asciiTheme="majorHAnsi" w:hAnsiTheme="majorHAnsi"/>
                <w:color w:val="002060"/>
                <w:lang w:eastAsia="ja-JP"/>
              </w:rPr>
              <w:t xml:space="preserve">documentation </w:t>
            </w:r>
            <w:r w:rsidRPr="000E3BCF">
              <w:rPr>
                <w:rFonts w:asciiTheme="majorHAnsi" w:hAnsiTheme="majorHAnsi"/>
                <w:color w:val="002060"/>
                <w:lang w:eastAsia="ja-JP"/>
              </w:rPr>
              <w:t xml:space="preserve">requirements </w:t>
            </w:r>
            <w:r w:rsidR="007D0E5F" w:rsidRPr="000E3BCF">
              <w:rPr>
                <w:rFonts w:asciiTheme="majorHAnsi" w:hAnsiTheme="majorHAnsi"/>
                <w:color w:val="002060"/>
                <w:lang w:eastAsia="ja-JP"/>
              </w:rPr>
              <w:t xml:space="preserve">are dynamic and may change in response to various circumstances. However if you require assistance when lodging import declarations through AEP please send your queries to </w:t>
            </w:r>
            <w:hyperlink r:id="rId10" w:history="1">
              <w:r w:rsidR="007D0E5F" w:rsidRPr="000E3BCF">
                <w:rPr>
                  <w:rStyle w:val="Hyperlink"/>
                  <w:rFonts w:asciiTheme="majorHAnsi" w:hAnsiTheme="majorHAnsi"/>
                  <w:lang w:eastAsia="ja-JP"/>
                </w:rPr>
                <w:t>aepsupport@agriculture.gov.au</w:t>
              </w:r>
            </w:hyperlink>
            <w:r w:rsidR="007D0E5F" w:rsidRPr="000E3BCF">
              <w:rPr>
                <w:rFonts w:asciiTheme="majorHAnsi" w:hAnsiTheme="majorHAnsi"/>
                <w:color w:val="002060"/>
                <w:lang w:eastAsia="ja-JP"/>
              </w:rPr>
              <w:t xml:space="preserve"> and we will endeavour to assist.</w:t>
            </w:r>
          </w:p>
        </w:tc>
      </w:tr>
      <w:tr w:rsidR="001E5640" w:rsidRPr="000E3BCF" w14:paraId="0D53A446" w14:textId="77777777" w:rsidTr="006A3BF5">
        <w:tc>
          <w:tcPr>
            <w:tcW w:w="988" w:type="dxa"/>
            <w:shd w:val="clear" w:color="auto" w:fill="auto"/>
          </w:tcPr>
          <w:p w14:paraId="716492DE" w14:textId="6F89E75C" w:rsidR="001E5640" w:rsidRPr="000E3BCF" w:rsidRDefault="001E5640"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tcPr>
          <w:p w14:paraId="3A6344D0" w14:textId="11CAC8C1" w:rsidR="001E5640" w:rsidRPr="000E3BCF" w:rsidRDefault="00E469A8" w:rsidP="00E469A8">
            <w:pPr>
              <w:tabs>
                <w:tab w:val="left" w:pos="3954"/>
              </w:tabs>
              <w:rPr>
                <w:rFonts w:asciiTheme="majorHAnsi" w:hAnsiTheme="majorHAnsi"/>
                <w:lang w:eastAsia="ja-JP"/>
              </w:rPr>
            </w:pPr>
            <w:r w:rsidRPr="000E3BCF">
              <w:rPr>
                <w:rFonts w:asciiTheme="majorHAnsi" w:hAnsiTheme="majorHAnsi"/>
                <w:lang w:eastAsia="ja-JP"/>
              </w:rPr>
              <w:t xml:space="preserve">For </w:t>
            </w:r>
            <w:r w:rsidR="00A84263" w:rsidRPr="000E3BCF">
              <w:rPr>
                <w:rFonts w:asciiTheme="majorHAnsi" w:hAnsiTheme="majorHAnsi"/>
                <w:lang w:eastAsia="ja-JP"/>
              </w:rPr>
              <w:t xml:space="preserve">BMSB </w:t>
            </w:r>
            <w:r w:rsidR="001E5640" w:rsidRPr="000E3BCF">
              <w:rPr>
                <w:rFonts w:asciiTheme="majorHAnsi" w:hAnsiTheme="majorHAnsi"/>
                <w:lang w:eastAsia="ja-JP"/>
              </w:rPr>
              <w:t>containers</w:t>
            </w:r>
            <w:r w:rsidR="00A84263" w:rsidRPr="000E3BCF">
              <w:rPr>
                <w:rFonts w:asciiTheme="majorHAnsi" w:hAnsiTheme="majorHAnsi"/>
                <w:lang w:eastAsia="ja-JP"/>
              </w:rPr>
              <w:t xml:space="preserve"> that require o</w:t>
            </w:r>
            <w:r w:rsidRPr="000E3BCF">
              <w:rPr>
                <w:rFonts w:asciiTheme="majorHAnsi" w:hAnsiTheme="majorHAnsi"/>
                <w:lang w:eastAsia="ja-JP"/>
              </w:rPr>
              <w:t>nshore treatment in Australia, i</w:t>
            </w:r>
            <w:r w:rsidR="00A84263" w:rsidRPr="000E3BCF">
              <w:rPr>
                <w:rFonts w:asciiTheme="majorHAnsi" w:hAnsiTheme="majorHAnsi"/>
                <w:lang w:eastAsia="ja-JP"/>
              </w:rPr>
              <w:t>s the AEP</w:t>
            </w:r>
            <w:r w:rsidRPr="000E3BCF">
              <w:rPr>
                <w:rFonts w:asciiTheme="majorHAnsi" w:hAnsiTheme="majorHAnsi"/>
                <w:lang w:eastAsia="ja-JP"/>
              </w:rPr>
              <w:t>COMM</w:t>
            </w:r>
            <w:r w:rsidR="00A84263" w:rsidRPr="000E3BCF">
              <w:rPr>
                <w:rFonts w:asciiTheme="majorHAnsi" w:hAnsiTheme="majorHAnsi"/>
                <w:lang w:eastAsia="ja-JP"/>
              </w:rPr>
              <w:t xml:space="preserve"> code to use</w:t>
            </w:r>
            <w:r w:rsidR="001E5640" w:rsidRPr="000E3BCF">
              <w:rPr>
                <w:rFonts w:asciiTheme="majorHAnsi" w:hAnsiTheme="majorHAnsi"/>
                <w:lang w:eastAsia="ja-JP"/>
              </w:rPr>
              <w:t xml:space="preserve"> </w:t>
            </w:r>
            <w:r w:rsidRPr="000E3BCF">
              <w:rPr>
                <w:rFonts w:asciiTheme="majorHAnsi" w:hAnsiTheme="majorHAnsi"/>
                <w:lang w:eastAsia="ja-JP"/>
              </w:rPr>
              <w:t>‘</w:t>
            </w:r>
            <w:r w:rsidR="001E5640" w:rsidRPr="000E3BCF">
              <w:rPr>
                <w:rFonts w:asciiTheme="majorHAnsi" w:hAnsiTheme="majorHAnsi"/>
                <w:lang w:eastAsia="ja-JP"/>
              </w:rPr>
              <w:t>FUM</w:t>
            </w:r>
            <w:r w:rsidRPr="000E3BCF">
              <w:rPr>
                <w:rFonts w:asciiTheme="majorHAnsi" w:hAnsiTheme="majorHAnsi"/>
                <w:lang w:eastAsia="ja-JP"/>
              </w:rPr>
              <w:t>’</w:t>
            </w:r>
            <w:r w:rsidR="001E5640" w:rsidRPr="000E3BCF">
              <w:rPr>
                <w:rFonts w:asciiTheme="majorHAnsi" w:hAnsiTheme="majorHAnsi"/>
                <w:lang w:eastAsia="ja-JP"/>
              </w:rPr>
              <w:t>?</w:t>
            </w:r>
          </w:p>
        </w:tc>
      </w:tr>
      <w:tr w:rsidR="001E5640" w:rsidRPr="000E3BCF" w14:paraId="037CF970" w14:textId="77777777" w:rsidTr="006A3BF5">
        <w:tc>
          <w:tcPr>
            <w:tcW w:w="988" w:type="dxa"/>
            <w:shd w:val="clear" w:color="auto" w:fill="auto"/>
          </w:tcPr>
          <w:p w14:paraId="5CD1DA8F" w14:textId="77777777" w:rsidR="001E5640" w:rsidRPr="007451B4" w:rsidRDefault="001E5640" w:rsidP="009604C2">
            <w:pPr>
              <w:tabs>
                <w:tab w:val="left" w:pos="3954"/>
              </w:tabs>
              <w:rPr>
                <w:rFonts w:asciiTheme="majorHAnsi" w:hAnsiTheme="majorHAnsi"/>
                <w:b/>
                <w:lang w:eastAsia="ja-JP"/>
              </w:rPr>
            </w:pPr>
          </w:p>
        </w:tc>
        <w:tc>
          <w:tcPr>
            <w:tcW w:w="8454" w:type="dxa"/>
            <w:shd w:val="clear" w:color="auto" w:fill="auto"/>
          </w:tcPr>
          <w:p w14:paraId="6C5CA223" w14:textId="25E9DF23" w:rsidR="007451B4" w:rsidRPr="00241E0A" w:rsidRDefault="00447557" w:rsidP="00ED244C">
            <w:pPr>
              <w:tabs>
                <w:tab w:val="left" w:pos="3954"/>
              </w:tabs>
              <w:rPr>
                <w:rFonts w:asciiTheme="majorHAnsi" w:hAnsiTheme="majorHAnsi"/>
                <w:color w:val="1F497D" w:themeColor="text2"/>
                <w:lang w:eastAsia="ja-JP"/>
              </w:rPr>
            </w:pPr>
            <w:r w:rsidRPr="00241E0A">
              <w:rPr>
                <w:rFonts w:asciiTheme="majorHAnsi" w:hAnsiTheme="majorHAnsi"/>
                <w:color w:val="1F497D" w:themeColor="text2"/>
                <w:lang w:eastAsia="ja-JP"/>
              </w:rPr>
              <w:t>The BMSB hitchhiker pests BICON case provides</w:t>
            </w:r>
            <w:r w:rsidR="00EF51DF" w:rsidRPr="00241E0A">
              <w:rPr>
                <w:rFonts w:asciiTheme="majorHAnsi" w:hAnsiTheme="majorHAnsi"/>
                <w:color w:val="1F497D" w:themeColor="text2"/>
                <w:lang w:eastAsia="ja-JP"/>
              </w:rPr>
              <w:t xml:space="preserve"> the</w:t>
            </w:r>
            <w:r w:rsidRPr="00241E0A">
              <w:rPr>
                <w:rFonts w:asciiTheme="majorHAnsi" w:hAnsiTheme="majorHAnsi"/>
                <w:color w:val="1F497D" w:themeColor="text2"/>
                <w:lang w:eastAsia="ja-JP"/>
              </w:rPr>
              <w:t xml:space="preserve"> applicable codes for goods that require onshore treatments. You must refer to this case when determining AEPCOMM codes for goods subject to BMSB measures.</w:t>
            </w:r>
          </w:p>
          <w:p w14:paraId="6E5FD593" w14:textId="4F42D68B" w:rsidR="00EF51DF" w:rsidRPr="00241E0A" w:rsidRDefault="00447557" w:rsidP="00ED244C">
            <w:pPr>
              <w:tabs>
                <w:tab w:val="left" w:pos="3954"/>
              </w:tabs>
              <w:rPr>
                <w:rFonts w:asciiTheme="majorHAnsi" w:hAnsiTheme="majorHAnsi"/>
                <w:color w:val="1F497D" w:themeColor="text2"/>
                <w:lang w:eastAsia="ja-JP"/>
              </w:rPr>
            </w:pPr>
            <w:r w:rsidRPr="00241E0A">
              <w:rPr>
                <w:rFonts w:asciiTheme="majorHAnsi" w:hAnsiTheme="majorHAnsi"/>
                <w:color w:val="1F497D" w:themeColor="text2"/>
                <w:lang w:eastAsia="ja-JP"/>
              </w:rPr>
              <w:t>The code FUM may be applicable is some scenarios, when goods are only required to be fumigated at the standard Methyl bromide rate (48g/24hr/&gt;21C). This standard rate is higher than the rate required for BMSB and therefore</w:t>
            </w:r>
            <w:r w:rsidR="00EF51DF" w:rsidRPr="00241E0A">
              <w:rPr>
                <w:rFonts w:asciiTheme="majorHAnsi" w:hAnsiTheme="majorHAnsi"/>
                <w:color w:val="1F497D" w:themeColor="text2"/>
                <w:lang w:eastAsia="ja-JP"/>
              </w:rPr>
              <w:t xml:space="preserve"> it will</w:t>
            </w:r>
            <w:r w:rsidRPr="00241E0A">
              <w:rPr>
                <w:rFonts w:asciiTheme="majorHAnsi" w:hAnsiTheme="majorHAnsi"/>
                <w:color w:val="1F497D" w:themeColor="text2"/>
                <w:lang w:eastAsia="ja-JP"/>
              </w:rPr>
              <w:t xml:space="preserve"> address the BMSB risk.</w:t>
            </w:r>
          </w:p>
          <w:p w14:paraId="79BA8493" w14:textId="63995488" w:rsidR="001E5640" w:rsidRPr="007451B4" w:rsidRDefault="00ED244C" w:rsidP="005D192E">
            <w:pPr>
              <w:tabs>
                <w:tab w:val="left" w:pos="3954"/>
              </w:tabs>
              <w:rPr>
                <w:rFonts w:asciiTheme="majorHAnsi" w:hAnsiTheme="majorHAnsi"/>
                <w:lang w:eastAsia="ja-JP"/>
              </w:rPr>
            </w:pPr>
            <w:r w:rsidRPr="00241E0A">
              <w:rPr>
                <w:rFonts w:asciiTheme="majorHAnsi" w:hAnsiTheme="majorHAnsi"/>
                <w:color w:val="1F497D" w:themeColor="text2"/>
                <w:lang w:eastAsia="ja-JP"/>
              </w:rPr>
              <w:t>During the 2019-20 BMSB season, The AEPCOMM</w:t>
            </w:r>
            <w:r w:rsidR="004817E1" w:rsidRPr="00241E0A">
              <w:rPr>
                <w:rFonts w:asciiTheme="majorHAnsi" w:hAnsiTheme="majorHAnsi"/>
                <w:color w:val="1F497D" w:themeColor="text2"/>
                <w:lang w:eastAsia="ja-JP"/>
              </w:rPr>
              <w:t xml:space="preserve"> code</w:t>
            </w:r>
            <w:r w:rsidRPr="00241E0A">
              <w:rPr>
                <w:rFonts w:asciiTheme="majorHAnsi" w:hAnsiTheme="majorHAnsi"/>
                <w:color w:val="1F497D" w:themeColor="text2"/>
                <w:lang w:eastAsia="ja-JP"/>
              </w:rPr>
              <w:t xml:space="preserve"> BMSBFUM will only be available until </w:t>
            </w:r>
            <w:r w:rsidR="0092532C" w:rsidRPr="00241E0A">
              <w:rPr>
                <w:rFonts w:asciiTheme="majorHAnsi" w:hAnsiTheme="majorHAnsi"/>
                <w:color w:val="1F497D" w:themeColor="text2"/>
                <w:lang w:eastAsia="ja-JP"/>
              </w:rPr>
              <w:t xml:space="preserve">the </w:t>
            </w:r>
            <w:r w:rsidRPr="00241E0A">
              <w:rPr>
                <w:rFonts w:asciiTheme="majorHAnsi" w:hAnsiTheme="majorHAnsi"/>
                <w:color w:val="1F497D" w:themeColor="text2"/>
                <w:lang w:eastAsia="ja-JP"/>
              </w:rPr>
              <w:t>BMSB treatment options</w:t>
            </w:r>
            <w:r w:rsidR="004817E1" w:rsidRPr="00241E0A">
              <w:rPr>
                <w:rFonts w:asciiTheme="majorHAnsi" w:hAnsiTheme="majorHAnsi"/>
                <w:color w:val="1F497D" w:themeColor="text2"/>
                <w:lang w:eastAsia="ja-JP"/>
              </w:rPr>
              <w:t xml:space="preserve"> under the arrangement</w:t>
            </w:r>
            <w:r w:rsidRPr="00241E0A">
              <w:rPr>
                <w:rFonts w:asciiTheme="majorHAnsi" w:hAnsiTheme="majorHAnsi"/>
                <w:color w:val="1F497D" w:themeColor="text2"/>
                <w:lang w:eastAsia="ja-JP"/>
              </w:rPr>
              <w:t xml:space="preserve"> are</w:t>
            </w:r>
            <w:r w:rsidR="004817E1" w:rsidRPr="00241E0A">
              <w:rPr>
                <w:rFonts w:asciiTheme="majorHAnsi" w:hAnsiTheme="majorHAnsi"/>
                <w:color w:val="1F497D" w:themeColor="text2"/>
                <w:lang w:eastAsia="ja-JP"/>
              </w:rPr>
              <w:t xml:space="preserve"> </w:t>
            </w:r>
            <w:r w:rsidR="0092532C" w:rsidRPr="00241E0A">
              <w:rPr>
                <w:rFonts w:asciiTheme="majorHAnsi" w:hAnsiTheme="majorHAnsi"/>
                <w:color w:val="1F497D" w:themeColor="text2"/>
                <w:lang w:eastAsia="ja-JP"/>
              </w:rPr>
              <w:t>split in</w:t>
            </w:r>
            <w:r w:rsidR="004817E1" w:rsidRPr="00241E0A">
              <w:rPr>
                <w:rFonts w:asciiTheme="majorHAnsi" w:hAnsiTheme="majorHAnsi"/>
                <w:color w:val="1F497D" w:themeColor="text2"/>
                <w:lang w:eastAsia="ja-JP"/>
              </w:rPr>
              <w:t xml:space="preserve">to </w:t>
            </w:r>
            <w:r w:rsidRPr="00241E0A">
              <w:rPr>
                <w:rFonts w:asciiTheme="majorHAnsi" w:hAnsiTheme="majorHAnsi"/>
                <w:color w:val="1F497D" w:themeColor="text2"/>
                <w:lang w:eastAsia="ja-JP"/>
              </w:rPr>
              <w:t>BMSBHT (heat treatment) and BMSBMB (methyl bromide fumigation). The Department will notify Industry when the change is implemented, we envisage this to happen by the end of November.</w:t>
            </w:r>
          </w:p>
        </w:tc>
      </w:tr>
      <w:tr w:rsidR="001E5640" w:rsidRPr="000E3BCF" w14:paraId="2DD7FBAE" w14:textId="77777777" w:rsidTr="006A3BF5">
        <w:tc>
          <w:tcPr>
            <w:tcW w:w="988" w:type="dxa"/>
            <w:shd w:val="clear" w:color="auto" w:fill="auto"/>
          </w:tcPr>
          <w:p w14:paraId="6C79DEE1" w14:textId="2080EBCD" w:rsidR="001E5640" w:rsidRPr="000E3BCF" w:rsidRDefault="001E5640"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tcPr>
          <w:p w14:paraId="1A68497D" w14:textId="154F7D59" w:rsidR="001E5640" w:rsidRPr="000E3BCF" w:rsidRDefault="002704A6" w:rsidP="002704A6">
            <w:pPr>
              <w:tabs>
                <w:tab w:val="left" w:pos="3954"/>
              </w:tabs>
              <w:rPr>
                <w:rFonts w:asciiTheme="majorHAnsi" w:hAnsiTheme="majorHAnsi"/>
                <w:lang w:eastAsia="ja-JP"/>
              </w:rPr>
            </w:pPr>
            <w:r w:rsidRPr="000E3BCF">
              <w:rPr>
                <w:rFonts w:asciiTheme="majorHAnsi" w:hAnsiTheme="majorHAnsi"/>
                <w:lang w:eastAsia="ja-JP"/>
              </w:rPr>
              <w:t>How</w:t>
            </w:r>
            <w:r w:rsidR="00D04A1C" w:rsidRPr="000E3BCF">
              <w:rPr>
                <w:rFonts w:asciiTheme="majorHAnsi" w:hAnsiTheme="majorHAnsi"/>
                <w:lang w:eastAsia="ja-JP"/>
              </w:rPr>
              <w:t xml:space="preserve"> do we get articles added to </w:t>
            </w:r>
            <w:r w:rsidRPr="000E3BCF">
              <w:rPr>
                <w:rFonts w:asciiTheme="majorHAnsi" w:hAnsiTheme="majorHAnsi"/>
                <w:lang w:eastAsia="ja-JP"/>
              </w:rPr>
              <w:t>AEPCOMM? For example</w:t>
            </w:r>
            <w:r w:rsidR="00D55BF6" w:rsidRPr="000E3BCF">
              <w:rPr>
                <w:rFonts w:asciiTheme="majorHAnsi" w:hAnsiTheme="majorHAnsi"/>
                <w:lang w:eastAsia="ja-JP"/>
              </w:rPr>
              <w:t>: m</w:t>
            </w:r>
            <w:r w:rsidR="00D04A1C" w:rsidRPr="000E3BCF">
              <w:rPr>
                <w:rFonts w:asciiTheme="majorHAnsi" w:hAnsiTheme="majorHAnsi"/>
                <w:lang w:eastAsia="ja-JP"/>
              </w:rPr>
              <w:t>usical equipment (speakers/guitars/drums</w:t>
            </w:r>
            <w:r w:rsidRPr="000E3BCF">
              <w:rPr>
                <w:rFonts w:asciiTheme="majorHAnsi" w:hAnsiTheme="majorHAnsi"/>
                <w:lang w:eastAsia="ja-JP"/>
              </w:rPr>
              <w:t xml:space="preserve">, </w:t>
            </w:r>
            <w:r w:rsidR="009E4D70" w:rsidRPr="000E3BCF">
              <w:rPr>
                <w:rFonts w:asciiTheme="majorHAnsi" w:hAnsiTheme="majorHAnsi"/>
                <w:lang w:eastAsia="ja-JP"/>
              </w:rPr>
              <w:t>etc.</w:t>
            </w:r>
            <w:r w:rsidR="00D04A1C" w:rsidRPr="000E3BCF">
              <w:rPr>
                <w:rFonts w:asciiTheme="majorHAnsi" w:hAnsiTheme="majorHAnsi"/>
                <w:lang w:eastAsia="ja-JP"/>
              </w:rPr>
              <w:t>)</w:t>
            </w:r>
          </w:p>
        </w:tc>
      </w:tr>
      <w:tr w:rsidR="001E5640" w:rsidRPr="000E3BCF" w14:paraId="7107EC1E" w14:textId="77777777" w:rsidTr="006A3BF5">
        <w:tc>
          <w:tcPr>
            <w:tcW w:w="988" w:type="dxa"/>
            <w:shd w:val="clear" w:color="auto" w:fill="auto"/>
          </w:tcPr>
          <w:p w14:paraId="51DF0FB0" w14:textId="77777777" w:rsidR="001E5640" w:rsidRPr="000E3BCF" w:rsidRDefault="001E5640" w:rsidP="009604C2">
            <w:pPr>
              <w:tabs>
                <w:tab w:val="left" w:pos="3954"/>
              </w:tabs>
              <w:rPr>
                <w:rFonts w:asciiTheme="majorHAnsi" w:hAnsiTheme="majorHAnsi"/>
                <w:b/>
                <w:lang w:eastAsia="ja-JP"/>
              </w:rPr>
            </w:pPr>
          </w:p>
        </w:tc>
        <w:tc>
          <w:tcPr>
            <w:tcW w:w="8454" w:type="dxa"/>
            <w:shd w:val="clear" w:color="auto" w:fill="auto"/>
          </w:tcPr>
          <w:p w14:paraId="7569A5BB" w14:textId="6C976922" w:rsidR="001E5640" w:rsidRPr="000E3BCF" w:rsidRDefault="002704A6" w:rsidP="00835505">
            <w:pPr>
              <w:tabs>
                <w:tab w:val="left" w:pos="3954"/>
              </w:tabs>
              <w:rPr>
                <w:rFonts w:asciiTheme="majorHAnsi" w:hAnsiTheme="majorHAnsi"/>
                <w:lang w:eastAsia="ja-JP"/>
              </w:rPr>
            </w:pPr>
            <w:r w:rsidRPr="000E3BCF">
              <w:rPr>
                <w:rFonts w:asciiTheme="majorHAnsi" w:hAnsiTheme="majorHAnsi"/>
                <w:color w:val="002060"/>
                <w:lang w:eastAsia="ja-JP"/>
              </w:rPr>
              <w:t xml:space="preserve">If you </w:t>
            </w:r>
            <w:r w:rsidR="00835505">
              <w:rPr>
                <w:rFonts w:asciiTheme="majorHAnsi" w:hAnsiTheme="majorHAnsi"/>
                <w:color w:val="002060"/>
                <w:lang w:eastAsia="ja-JP"/>
              </w:rPr>
              <w:t>wish</w:t>
            </w:r>
            <w:r w:rsidRPr="000E3BCF">
              <w:rPr>
                <w:rFonts w:asciiTheme="majorHAnsi" w:hAnsiTheme="majorHAnsi"/>
                <w:color w:val="002060"/>
                <w:lang w:eastAsia="ja-JP"/>
              </w:rPr>
              <w:t xml:space="preserve"> to provide suggestions on commodities that you would like to see </w:t>
            </w:r>
            <w:r w:rsidRPr="00835505">
              <w:rPr>
                <w:rFonts w:asciiTheme="majorHAnsi" w:hAnsiTheme="majorHAnsi"/>
                <w:color w:val="002060"/>
                <w:lang w:eastAsia="ja-JP"/>
              </w:rPr>
              <w:t xml:space="preserve">added to AEPCOMM please send them to </w:t>
            </w:r>
            <w:hyperlink r:id="rId11" w:history="1">
              <w:r w:rsidR="00855E10" w:rsidRPr="00835505">
                <w:rPr>
                  <w:rStyle w:val="Hyperlink"/>
                  <w:rFonts w:asciiTheme="majorHAnsi" w:hAnsiTheme="majorHAnsi"/>
                  <w:color w:val="002060"/>
                  <w:lang w:eastAsia="ja-JP"/>
                </w:rPr>
                <w:t>aepsupport@agriculture.gov.au</w:t>
              </w:r>
            </w:hyperlink>
            <w:r w:rsidRPr="00835505">
              <w:rPr>
                <w:rFonts w:asciiTheme="majorHAnsi" w:hAnsiTheme="majorHAnsi"/>
                <w:color w:val="002060"/>
                <w:lang w:eastAsia="ja-JP"/>
              </w:rPr>
              <w:t>. W</w:t>
            </w:r>
            <w:r w:rsidR="004675D0" w:rsidRPr="00835505">
              <w:rPr>
                <w:rFonts w:asciiTheme="majorHAnsi" w:hAnsiTheme="majorHAnsi"/>
                <w:color w:val="002060"/>
                <w:lang w:eastAsia="ja-JP"/>
              </w:rPr>
              <w:t>e will present your suggestions to the relevant programs for assessment. The programs</w:t>
            </w:r>
            <w:r w:rsidR="000B3018" w:rsidRPr="00835505">
              <w:rPr>
                <w:rFonts w:asciiTheme="majorHAnsi" w:hAnsiTheme="majorHAnsi"/>
                <w:color w:val="002060"/>
                <w:lang w:eastAsia="ja-JP"/>
              </w:rPr>
              <w:t xml:space="preserve"> will</w:t>
            </w:r>
            <w:r w:rsidR="004675D0" w:rsidRPr="00835505">
              <w:rPr>
                <w:rFonts w:asciiTheme="majorHAnsi" w:hAnsiTheme="majorHAnsi"/>
                <w:color w:val="002060"/>
                <w:lang w:eastAsia="ja-JP"/>
              </w:rPr>
              <w:t xml:space="preserve"> then make a decision as to whether a commodity is suitable for AEPCOMM.</w:t>
            </w:r>
          </w:p>
        </w:tc>
      </w:tr>
      <w:tr w:rsidR="00A0568D" w:rsidRPr="000E3BCF" w14:paraId="11590BE2" w14:textId="77777777" w:rsidTr="006A3BF5">
        <w:tc>
          <w:tcPr>
            <w:tcW w:w="988" w:type="dxa"/>
            <w:shd w:val="clear" w:color="auto" w:fill="auto"/>
          </w:tcPr>
          <w:p w14:paraId="6FC1377C" w14:textId="20E5D9B9"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627A854F" w14:textId="43F166C8" w:rsidR="00A0568D" w:rsidRPr="000E3BCF" w:rsidRDefault="00A0568D" w:rsidP="00A0568D">
            <w:pPr>
              <w:tabs>
                <w:tab w:val="left" w:pos="3954"/>
              </w:tabs>
              <w:rPr>
                <w:rFonts w:asciiTheme="majorHAnsi" w:hAnsiTheme="majorHAnsi"/>
                <w:lang w:eastAsia="ja-JP"/>
              </w:rPr>
            </w:pPr>
            <w:r w:rsidRPr="000E3BCF">
              <w:rPr>
                <w:rFonts w:asciiTheme="majorHAnsi" w:hAnsiTheme="majorHAnsi" w:cs="Calibri"/>
                <w:color w:val="000000"/>
              </w:rPr>
              <w:t xml:space="preserve">If the Department is trying to </w:t>
            </w:r>
            <w:r w:rsidR="00A84263" w:rsidRPr="000E3BCF">
              <w:rPr>
                <w:rFonts w:asciiTheme="majorHAnsi" w:hAnsiTheme="majorHAnsi" w:cs="Calibri"/>
                <w:color w:val="000000"/>
              </w:rPr>
              <w:t>encourage</w:t>
            </w:r>
            <w:r w:rsidRPr="000E3BCF">
              <w:rPr>
                <w:rFonts w:asciiTheme="majorHAnsi" w:hAnsiTheme="majorHAnsi" w:cs="Calibri"/>
                <w:color w:val="000000"/>
              </w:rPr>
              <w:t xml:space="preserve"> AEPCOMM why draconian results if innocent errors are made</w:t>
            </w:r>
            <w:r w:rsidR="00A84263" w:rsidRPr="000E3BCF">
              <w:rPr>
                <w:rFonts w:asciiTheme="majorHAnsi" w:hAnsiTheme="majorHAnsi" w:cs="Calibri"/>
                <w:color w:val="000000"/>
              </w:rPr>
              <w:t>?</w:t>
            </w:r>
          </w:p>
        </w:tc>
      </w:tr>
      <w:tr w:rsidR="00A0568D" w:rsidRPr="000E3BCF" w14:paraId="1E84DDB5" w14:textId="77777777" w:rsidTr="006A3BF5">
        <w:tc>
          <w:tcPr>
            <w:tcW w:w="988" w:type="dxa"/>
            <w:shd w:val="clear" w:color="auto" w:fill="auto"/>
          </w:tcPr>
          <w:p w14:paraId="5DC43B4E" w14:textId="77777777" w:rsidR="00A0568D" w:rsidRPr="000E3BCF" w:rsidRDefault="00A0568D" w:rsidP="00A0568D">
            <w:pPr>
              <w:tabs>
                <w:tab w:val="left" w:pos="3954"/>
              </w:tabs>
              <w:rPr>
                <w:rFonts w:asciiTheme="majorHAnsi" w:hAnsiTheme="majorHAnsi"/>
                <w:b/>
                <w:lang w:eastAsia="ja-JP"/>
              </w:rPr>
            </w:pPr>
          </w:p>
        </w:tc>
        <w:tc>
          <w:tcPr>
            <w:tcW w:w="8454" w:type="dxa"/>
            <w:shd w:val="clear" w:color="auto" w:fill="auto"/>
            <w:vAlign w:val="bottom"/>
          </w:tcPr>
          <w:p w14:paraId="2EB46124" w14:textId="5E0E7A28" w:rsidR="007C7B92" w:rsidRPr="00EF65AA" w:rsidRDefault="007C7B92" w:rsidP="00EF65AA">
            <w:pPr>
              <w:tabs>
                <w:tab w:val="left" w:pos="3954"/>
              </w:tabs>
              <w:rPr>
                <w:rFonts w:asciiTheme="majorHAnsi" w:hAnsiTheme="majorHAnsi"/>
                <w:color w:val="002060"/>
                <w:lang w:eastAsia="ja-JP"/>
              </w:rPr>
            </w:pPr>
            <w:r w:rsidRPr="00EF65AA">
              <w:rPr>
                <w:rFonts w:asciiTheme="majorHAnsi" w:hAnsiTheme="majorHAnsi"/>
                <w:color w:val="002060"/>
                <w:lang w:eastAsia="ja-JP"/>
              </w:rPr>
              <w:t>Verification of AEP lodgements are crucial for the department to ensure AEP requirements and conditions are being met</w:t>
            </w:r>
            <w:r w:rsidR="00E908E1" w:rsidRPr="00EF65AA">
              <w:rPr>
                <w:rFonts w:asciiTheme="majorHAnsi" w:hAnsiTheme="majorHAnsi"/>
                <w:color w:val="002060"/>
                <w:lang w:eastAsia="ja-JP"/>
              </w:rPr>
              <w:t>, as i</w:t>
            </w:r>
            <w:r w:rsidRPr="00EF65AA">
              <w:rPr>
                <w:rFonts w:asciiTheme="majorHAnsi" w:hAnsiTheme="majorHAnsi"/>
                <w:color w:val="002060"/>
                <w:lang w:eastAsia="ja-JP"/>
              </w:rPr>
              <w:t xml:space="preserve">nnocent errors may result in inadequate management of biosecurity risk, increasing the chances of introducing a pest or disease into Australia. </w:t>
            </w:r>
          </w:p>
          <w:p w14:paraId="58FF7D44" w14:textId="5A2B73A1" w:rsidR="007C7B92" w:rsidRPr="00EF65AA" w:rsidRDefault="007C7B92" w:rsidP="00EF65AA">
            <w:pPr>
              <w:tabs>
                <w:tab w:val="left" w:pos="3954"/>
              </w:tabs>
              <w:rPr>
                <w:rFonts w:asciiTheme="majorHAnsi" w:hAnsiTheme="majorHAnsi"/>
                <w:color w:val="002060"/>
                <w:lang w:eastAsia="ja-JP"/>
              </w:rPr>
            </w:pPr>
            <w:r w:rsidRPr="00EF65AA">
              <w:rPr>
                <w:rFonts w:asciiTheme="majorHAnsi" w:hAnsiTheme="majorHAnsi"/>
                <w:color w:val="002060"/>
                <w:lang w:eastAsia="ja-JP"/>
              </w:rPr>
              <w:t>We are always endeavouring to provide you with better decision-making support through improvement of our systems. For example:</w:t>
            </w:r>
          </w:p>
          <w:p w14:paraId="4AE1DB9C" w14:textId="44939329" w:rsidR="007C7B92" w:rsidRPr="00640F99" w:rsidRDefault="007C7B92" w:rsidP="00640F99">
            <w:pPr>
              <w:pStyle w:val="ListBullet"/>
              <w:rPr>
                <w:color w:val="002060"/>
                <w:lang w:eastAsia="ja-JP"/>
              </w:rPr>
            </w:pPr>
            <w:r w:rsidRPr="00640F99">
              <w:rPr>
                <w:color w:val="002060"/>
                <w:lang w:eastAsia="ja-JP"/>
              </w:rPr>
              <w:t>Simplifying NCCC Concern types and AEPCOMM codes</w:t>
            </w:r>
          </w:p>
          <w:p w14:paraId="5C7575B7" w14:textId="4D9251DD" w:rsidR="007C7B92" w:rsidRPr="00640F99" w:rsidRDefault="007C7B92" w:rsidP="00640F99">
            <w:pPr>
              <w:pStyle w:val="ListBullet"/>
              <w:rPr>
                <w:color w:val="002060"/>
                <w:lang w:eastAsia="ja-JP"/>
              </w:rPr>
            </w:pPr>
            <w:r w:rsidRPr="00640F99">
              <w:rPr>
                <w:color w:val="002060"/>
                <w:lang w:eastAsia="ja-JP"/>
              </w:rPr>
              <w:t>Incorporating AEPCOMM pathways, outcomes and codes into BICON.</w:t>
            </w:r>
          </w:p>
          <w:p w14:paraId="4FFFBF3B" w14:textId="2494FC7B" w:rsidR="007C7B92" w:rsidRPr="00640F99" w:rsidRDefault="000775B1" w:rsidP="00640F99">
            <w:pPr>
              <w:pStyle w:val="ListBullet"/>
              <w:rPr>
                <w:color w:val="002060"/>
                <w:lang w:eastAsia="ja-JP"/>
              </w:rPr>
            </w:pPr>
            <w:r>
              <w:rPr>
                <w:color w:val="002060"/>
                <w:lang w:eastAsia="ja-JP"/>
              </w:rPr>
              <w:t xml:space="preserve">Developing a </w:t>
            </w:r>
            <w:hyperlink r:id="rId12" w:history="1">
              <w:r w:rsidRPr="000775B1">
                <w:rPr>
                  <w:rStyle w:val="Hyperlink"/>
                  <w:lang w:eastAsia="ja-JP"/>
                </w:rPr>
                <w:t>C</w:t>
              </w:r>
              <w:r w:rsidR="007C7B92" w:rsidRPr="000775B1">
                <w:rPr>
                  <w:rStyle w:val="Hyperlink"/>
                  <w:lang w:eastAsia="ja-JP"/>
                </w:rPr>
                <w:t>ompliance guide</w:t>
              </w:r>
            </w:hyperlink>
            <w:r w:rsidR="006D40AD" w:rsidRPr="00640F99">
              <w:rPr>
                <w:color w:val="002060"/>
                <w:lang w:eastAsia="ja-JP"/>
              </w:rPr>
              <w:t xml:space="preserve"> to provide information related to classification of non-compliance, and</w:t>
            </w:r>
            <w:r w:rsidR="008940E2" w:rsidRPr="00640F99">
              <w:rPr>
                <w:color w:val="002060"/>
                <w:lang w:eastAsia="ja-JP"/>
              </w:rPr>
              <w:t xml:space="preserve"> how to meet</w:t>
            </w:r>
            <w:r>
              <w:rPr>
                <w:color w:val="002060"/>
                <w:lang w:eastAsia="ja-JP"/>
              </w:rPr>
              <w:t xml:space="preserve"> the</w:t>
            </w:r>
            <w:r w:rsidR="006D40AD" w:rsidRPr="00640F99">
              <w:rPr>
                <w:color w:val="002060"/>
                <w:lang w:eastAsia="ja-JP"/>
              </w:rPr>
              <w:t xml:space="preserve"> </w:t>
            </w:r>
            <w:r>
              <w:rPr>
                <w:color w:val="002060"/>
                <w:lang w:eastAsia="ja-JP"/>
              </w:rPr>
              <w:t>broker arrangements’</w:t>
            </w:r>
            <w:r w:rsidR="006D40AD" w:rsidRPr="00640F99">
              <w:rPr>
                <w:color w:val="002060"/>
                <w:lang w:eastAsia="ja-JP"/>
              </w:rPr>
              <w:t xml:space="preserve"> requiremen</w:t>
            </w:r>
            <w:r w:rsidR="008940E2" w:rsidRPr="00640F99">
              <w:rPr>
                <w:color w:val="002060"/>
                <w:lang w:eastAsia="ja-JP"/>
              </w:rPr>
              <w:t>ts and conditions</w:t>
            </w:r>
            <w:r w:rsidR="006D40AD" w:rsidRPr="00640F99">
              <w:rPr>
                <w:color w:val="002060"/>
                <w:lang w:eastAsia="ja-JP"/>
              </w:rPr>
              <w:t>.</w:t>
            </w:r>
          </w:p>
          <w:p w14:paraId="61D8AC97" w14:textId="1D164454" w:rsidR="00002728" w:rsidRPr="00EF65AA" w:rsidRDefault="007C7B92" w:rsidP="007C7B92">
            <w:pPr>
              <w:tabs>
                <w:tab w:val="left" w:pos="3954"/>
              </w:tabs>
              <w:rPr>
                <w:rFonts w:asciiTheme="majorHAnsi" w:hAnsiTheme="majorHAnsi"/>
                <w:color w:val="002060"/>
                <w:lang w:eastAsia="ja-JP"/>
              </w:rPr>
            </w:pPr>
            <w:r w:rsidRPr="00EF65AA">
              <w:rPr>
                <w:rFonts w:asciiTheme="majorHAnsi" w:hAnsiTheme="majorHAnsi"/>
                <w:color w:val="002060"/>
                <w:lang w:eastAsia="ja-JP"/>
              </w:rPr>
              <w:lastRenderedPageBreak/>
              <w:t>Whi</w:t>
            </w:r>
            <w:r w:rsidR="00D16004" w:rsidRPr="00EF65AA">
              <w:rPr>
                <w:rFonts w:asciiTheme="majorHAnsi" w:hAnsiTheme="majorHAnsi"/>
                <w:color w:val="002060"/>
                <w:lang w:eastAsia="ja-JP"/>
              </w:rPr>
              <w:t>lst failure to meet conditions</w:t>
            </w:r>
            <w:r w:rsidRPr="00EF65AA">
              <w:rPr>
                <w:rFonts w:asciiTheme="majorHAnsi" w:hAnsiTheme="majorHAnsi"/>
                <w:color w:val="002060"/>
                <w:lang w:eastAsia="ja-JP"/>
              </w:rPr>
              <w:t xml:space="preserve"> will result in a short term increase in referrals</w:t>
            </w:r>
            <w:r w:rsidR="00002728" w:rsidRPr="00EF65AA">
              <w:rPr>
                <w:rFonts w:asciiTheme="majorHAnsi" w:hAnsiTheme="majorHAnsi"/>
                <w:color w:val="002060"/>
                <w:lang w:eastAsia="ja-JP"/>
              </w:rPr>
              <w:t>,</w:t>
            </w:r>
            <w:r w:rsidRPr="00EF65AA">
              <w:rPr>
                <w:rFonts w:asciiTheme="majorHAnsi" w:hAnsiTheme="majorHAnsi"/>
                <w:color w:val="002060"/>
                <w:lang w:eastAsia="ja-JP"/>
              </w:rPr>
              <w:t xml:space="preserve"> </w:t>
            </w:r>
            <w:r w:rsidR="00F47BFC" w:rsidRPr="00EF65AA">
              <w:rPr>
                <w:rFonts w:asciiTheme="majorHAnsi" w:hAnsiTheme="majorHAnsi"/>
                <w:color w:val="002060"/>
                <w:lang w:eastAsia="ja-JP"/>
              </w:rPr>
              <w:t xml:space="preserve">you have the </w:t>
            </w:r>
            <w:r w:rsidRPr="00EF65AA">
              <w:rPr>
                <w:rFonts w:asciiTheme="majorHAnsi" w:hAnsiTheme="majorHAnsi"/>
                <w:color w:val="002060"/>
                <w:lang w:eastAsia="ja-JP"/>
              </w:rPr>
              <w:t>opportunity</w:t>
            </w:r>
            <w:r w:rsidR="00002728" w:rsidRPr="00EF65AA">
              <w:rPr>
                <w:rFonts w:asciiTheme="majorHAnsi" w:hAnsiTheme="majorHAnsi"/>
                <w:color w:val="002060"/>
                <w:lang w:eastAsia="ja-JP"/>
              </w:rPr>
              <w:t xml:space="preserve"> </w:t>
            </w:r>
            <w:r w:rsidRPr="00EF65AA">
              <w:rPr>
                <w:rFonts w:asciiTheme="majorHAnsi" w:hAnsiTheme="majorHAnsi"/>
                <w:color w:val="002060"/>
                <w:lang w:eastAsia="ja-JP"/>
              </w:rPr>
              <w:t xml:space="preserve">to address </w:t>
            </w:r>
            <w:r w:rsidR="00002728" w:rsidRPr="00EF65AA">
              <w:rPr>
                <w:rFonts w:asciiTheme="majorHAnsi" w:hAnsiTheme="majorHAnsi"/>
                <w:color w:val="002060"/>
                <w:lang w:eastAsia="ja-JP"/>
              </w:rPr>
              <w:t xml:space="preserve">any </w:t>
            </w:r>
            <w:r w:rsidR="00F47BFC" w:rsidRPr="00EF65AA">
              <w:rPr>
                <w:rFonts w:asciiTheme="majorHAnsi" w:hAnsiTheme="majorHAnsi"/>
                <w:color w:val="002060"/>
                <w:lang w:eastAsia="ja-JP"/>
              </w:rPr>
              <w:t xml:space="preserve">compliance issues and in turn reduce </w:t>
            </w:r>
            <w:r w:rsidRPr="00EF65AA">
              <w:rPr>
                <w:rFonts w:asciiTheme="majorHAnsi" w:hAnsiTheme="majorHAnsi"/>
                <w:color w:val="002060"/>
                <w:lang w:eastAsia="ja-JP"/>
              </w:rPr>
              <w:t>review leve</w:t>
            </w:r>
            <w:r w:rsidR="00F47BFC" w:rsidRPr="00EF65AA">
              <w:rPr>
                <w:rFonts w:asciiTheme="majorHAnsi" w:hAnsiTheme="majorHAnsi"/>
                <w:color w:val="002060"/>
                <w:lang w:eastAsia="ja-JP"/>
              </w:rPr>
              <w:t>ls</w:t>
            </w:r>
            <w:r w:rsidRPr="00EF65AA">
              <w:rPr>
                <w:rFonts w:asciiTheme="majorHAnsi" w:hAnsiTheme="majorHAnsi"/>
                <w:color w:val="002060"/>
                <w:lang w:eastAsia="ja-JP"/>
              </w:rPr>
              <w:t xml:space="preserve"> to as low as 1% referra</w:t>
            </w:r>
            <w:r w:rsidR="00002728" w:rsidRPr="00EF65AA">
              <w:rPr>
                <w:rFonts w:asciiTheme="majorHAnsi" w:hAnsiTheme="majorHAnsi"/>
                <w:color w:val="002060"/>
                <w:lang w:eastAsia="ja-JP"/>
              </w:rPr>
              <w:t>l (through ongoing compliance)</w:t>
            </w:r>
            <w:r w:rsidRPr="00EF65AA">
              <w:rPr>
                <w:rFonts w:asciiTheme="majorHAnsi" w:hAnsiTheme="majorHAnsi"/>
                <w:color w:val="002060"/>
                <w:lang w:eastAsia="ja-JP"/>
              </w:rPr>
              <w:t xml:space="preserve">. </w:t>
            </w:r>
          </w:p>
          <w:p w14:paraId="4C240FF4" w14:textId="4944F0A7" w:rsidR="00A0568D" w:rsidRPr="000E3BCF" w:rsidRDefault="007C7B92" w:rsidP="00EF65AA">
            <w:pPr>
              <w:tabs>
                <w:tab w:val="left" w:pos="3954"/>
              </w:tabs>
              <w:rPr>
                <w:rFonts w:asciiTheme="majorHAnsi" w:hAnsiTheme="majorHAnsi" w:cs="Calibri"/>
                <w:color w:val="000000"/>
              </w:rPr>
            </w:pPr>
            <w:r w:rsidRPr="00EF65AA">
              <w:rPr>
                <w:rFonts w:asciiTheme="majorHAnsi" w:hAnsiTheme="majorHAnsi"/>
                <w:color w:val="002060"/>
                <w:lang w:eastAsia="ja-JP"/>
              </w:rPr>
              <w:t xml:space="preserve">As per the </w:t>
            </w:r>
            <w:hyperlink r:id="rId13" w:history="1">
              <w:r w:rsidR="00EF65AA" w:rsidRPr="00EF65AA">
                <w:rPr>
                  <w:rStyle w:val="Hyperlink"/>
                  <w:rFonts w:asciiTheme="majorHAnsi" w:hAnsiTheme="majorHAnsi"/>
                  <w:lang w:eastAsia="ja-JP"/>
                </w:rPr>
                <w:t>Approved arrangements general policies</w:t>
              </w:r>
            </w:hyperlink>
            <w:r w:rsidR="00EF65AA">
              <w:rPr>
                <w:rFonts w:asciiTheme="majorHAnsi" w:hAnsiTheme="majorHAnsi"/>
                <w:color w:val="002060"/>
                <w:lang w:eastAsia="ja-JP"/>
              </w:rPr>
              <w:t xml:space="preserve">, you </w:t>
            </w:r>
            <w:r w:rsidRPr="00EF65AA">
              <w:rPr>
                <w:rFonts w:asciiTheme="majorHAnsi" w:hAnsiTheme="majorHAnsi"/>
                <w:color w:val="002060"/>
                <w:lang w:eastAsia="ja-JP"/>
              </w:rPr>
              <w:t xml:space="preserve">have the option of appealing noncompliance </w:t>
            </w:r>
            <w:r w:rsidR="00D16004" w:rsidRPr="00EF65AA">
              <w:rPr>
                <w:rFonts w:asciiTheme="majorHAnsi" w:hAnsiTheme="majorHAnsi"/>
                <w:color w:val="002060"/>
                <w:lang w:eastAsia="ja-JP"/>
              </w:rPr>
              <w:t>decisions</w:t>
            </w:r>
            <w:r w:rsidR="000469D8" w:rsidRPr="00EF65AA">
              <w:rPr>
                <w:rFonts w:asciiTheme="majorHAnsi" w:hAnsiTheme="majorHAnsi"/>
                <w:color w:val="002060"/>
                <w:lang w:eastAsia="ja-JP"/>
              </w:rPr>
              <w:t>. Where you believe</w:t>
            </w:r>
            <w:r w:rsidRPr="00EF65AA">
              <w:rPr>
                <w:rFonts w:asciiTheme="majorHAnsi" w:hAnsiTheme="majorHAnsi"/>
                <w:color w:val="002060"/>
                <w:lang w:eastAsia="ja-JP"/>
              </w:rPr>
              <w:t xml:space="preserve"> the result of a docum</w:t>
            </w:r>
            <w:r w:rsidR="000469D8" w:rsidRPr="00EF65AA">
              <w:rPr>
                <w:rFonts w:asciiTheme="majorHAnsi" w:hAnsiTheme="majorHAnsi"/>
                <w:color w:val="002060"/>
                <w:lang w:eastAsia="ja-JP"/>
              </w:rPr>
              <w:t>ent assessment verification is incorrect and have adequate</w:t>
            </w:r>
            <w:r w:rsidRPr="00EF65AA">
              <w:rPr>
                <w:rFonts w:asciiTheme="majorHAnsi" w:hAnsiTheme="majorHAnsi"/>
                <w:color w:val="002060"/>
                <w:lang w:eastAsia="ja-JP"/>
              </w:rPr>
              <w:t xml:space="preserve"> supporting evidence </w:t>
            </w:r>
            <w:r w:rsidR="000469D8" w:rsidRPr="00EF65AA">
              <w:rPr>
                <w:rFonts w:asciiTheme="majorHAnsi" w:hAnsiTheme="majorHAnsi"/>
                <w:color w:val="002060"/>
                <w:lang w:eastAsia="ja-JP"/>
              </w:rPr>
              <w:t>you may reques</w:t>
            </w:r>
            <w:r w:rsidR="00093FBE" w:rsidRPr="00EF65AA">
              <w:rPr>
                <w:rFonts w:asciiTheme="majorHAnsi" w:hAnsiTheme="majorHAnsi"/>
                <w:color w:val="002060"/>
                <w:lang w:eastAsia="ja-JP"/>
              </w:rPr>
              <w:t xml:space="preserve">t </w:t>
            </w:r>
            <w:r w:rsidR="000469D8" w:rsidRPr="00EF65AA">
              <w:rPr>
                <w:rFonts w:asciiTheme="majorHAnsi" w:hAnsiTheme="majorHAnsi"/>
                <w:color w:val="002060"/>
                <w:lang w:eastAsia="ja-JP"/>
              </w:rPr>
              <w:t>reassessment</w:t>
            </w:r>
            <w:r w:rsidR="00472367" w:rsidRPr="00EF65AA">
              <w:rPr>
                <w:rFonts w:asciiTheme="majorHAnsi" w:hAnsiTheme="majorHAnsi"/>
                <w:color w:val="002060"/>
                <w:lang w:eastAsia="ja-JP"/>
              </w:rPr>
              <w:t xml:space="preserve"> via</w:t>
            </w:r>
            <w:r w:rsidR="00A32682">
              <w:rPr>
                <w:rFonts w:asciiTheme="majorHAnsi" w:hAnsiTheme="majorHAnsi"/>
                <w:color w:val="002060"/>
                <w:lang w:eastAsia="ja-JP"/>
              </w:rPr>
              <w:t xml:space="preserve"> the </w:t>
            </w:r>
            <w:r w:rsidR="00472367" w:rsidRPr="00EF65AA">
              <w:rPr>
                <w:rFonts w:asciiTheme="majorHAnsi" w:hAnsiTheme="majorHAnsi"/>
                <w:color w:val="002060"/>
                <w:lang w:eastAsia="ja-JP"/>
              </w:rPr>
              <w:t>C</w:t>
            </w:r>
            <w:r w:rsidR="00A32682">
              <w:rPr>
                <w:rFonts w:asciiTheme="majorHAnsi" w:hAnsiTheme="majorHAnsi"/>
                <w:color w:val="002060"/>
                <w:lang w:eastAsia="ja-JP"/>
              </w:rPr>
              <w:t xml:space="preserve">argo </w:t>
            </w:r>
            <w:r w:rsidR="00472367" w:rsidRPr="00EF65AA">
              <w:rPr>
                <w:rFonts w:asciiTheme="majorHAnsi" w:hAnsiTheme="majorHAnsi"/>
                <w:color w:val="002060"/>
                <w:lang w:eastAsia="ja-JP"/>
              </w:rPr>
              <w:t>O</w:t>
            </w:r>
            <w:r w:rsidR="00A32682">
              <w:rPr>
                <w:rFonts w:asciiTheme="majorHAnsi" w:hAnsiTheme="majorHAnsi"/>
                <w:color w:val="002060"/>
                <w:lang w:eastAsia="ja-JP"/>
              </w:rPr>
              <w:t xml:space="preserve">nline </w:t>
            </w:r>
            <w:r w:rsidR="00A32682" w:rsidRPr="00EF65AA">
              <w:rPr>
                <w:rFonts w:asciiTheme="majorHAnsi" w:hAnsiTheme="majorHAnsi"/>
                <w:color w:val="002060"/>
                <w:lang w:eastAsia="ja-JP"/>
              </w:rPr>
              <w:t>L</w:t>
            </w:r>
            <w:r w:rsidR="00A32682">
              <w:rPr>
                <w:rFonts w:asciiTheme="majorHAnsi" w:hAnsiTheme="majorHAnsi"/>
                <w:color w:val="002060"/>
                <w:lang w:eastAsia="ja-JP"/>
              </w:rPr>
              <w:t xml:space="preserve">odgement </w:t>
            </w:r>
            <w:r w:rsidR="00472367" w:rsidRPr="00EF65AA">
              <w:rPr>
                <w:rFonts w:asciiTheme="majorHAnsi" w:hAnsiTheme="majorHAnsi"/>
                <w:color w:val="002060"/>
                <w:lang w:eastAsia="ja-JP"/>
              </w:rPr>
              <w:t>S</w:t>
            </w:r>
            <w:r w:rsidR="00A32682">
              <w:rPr>
                <w:rFonts w:asciiTheme="majorHAnsi" w:hAnsiTheme="majorHAnsi"/>
                <w:color w:val="002060"/>
                <w:lang w:eastAsia="ja-JP"/>
              </w:rPr>
              <w:t>ystem (COLS)</w:t>
            </w:r>
            <w:r w:rsidR="000469D8" w:rsidRPr="00EF65AA">
              <w:rPr>
                <w:rFonts w:asciiTheme="majorHAnsi" w:hAnsiTheme="majorHAnsi"/>
                <w:color w:val="002060"/>
                <w:lang w:eastAsia="ja-JP"/>
              </w:rPr>
              <w:t>.</w:t>
            </w:r>
            <w:r w:rsidR="000469D8">
              <w:rPr>
                <w:rFonts w:asciiTheme="majorHAnsi" w:hAnsiTheme="majorHAnsi"/>
                <w:color w:val="1F497D" w:themeColor="text2"/>
              </w:rPr>
              <w:t xml:space="preserve"> </w:t>
            </w:r>
          </w:p>
        </w:tc>
      </w:tr>
      <w:tr w:rsidR="00A0568D" w:rsidRPr="000E3BCF" w14:paraId="39FF4F47" w14:textId="77777777" w:rsidTr="006A3BF5">
        <w:tc>
          <w:tcPr>
            <w:tcW w:w="988" w:type="dxa"/>
            <w:shd w:val="clear" w:color="auto" w:fill="auto"/>
          </w:tcPr>
          <w:p w14:paraId="20298AF6" w14:textId="77777777"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74C4B922" w14:textId="292C0E0E" w:rsidR="00A0568D" w:rsidRPr="000E3BCF" w:rsidRDefault="00A0568D" w:rsidP="00A0568D">
            <w:pPr>
              <w:tabs>
                <w:tab w:val="left" w:pos="3954"/>
              </w:tabs>
              <w:rPr>
                <w:rFonts w:asciiTheme="majorHAnsi" w:hAnsiTheme="majorHAnsi"/>
                <w:lang w:eastAsia="ja-JP"/>
              </w:rPr>
            </w:pPr>
            <w:r w:rsidRPr="000E3BCF">
              <w:rPr>
                <w:rFonts w:asciiTheme="majorHAnsi" w:hAnsiTheme="majorHAnsi" w:cs="Calibri"/>
                <w:color w:val="000000"/>
              </w:rPr>
              <w:t>For animal content HS code 9603 - if a brush with animal hair also has a wooden handle</w:t>
            </w:r>
            <w:r w:rsidR="00064D8F" w:rsidRPr="000E3BCF">
              <w:rPr>
                <w:rFonts w:asciiTheme="majorHAnsi" w:hAnsiTheme="majorHAnsi" w:cs="Calibri"/>
                <w:color w:val="000000"/>
              </w:rPr>
              <w:t>, is it possible to utilise AEP</w:t>
            </w:r>
            <w:r w:rsidR="00E469A8" w:rsidRPr="000E3BCF">
              <w:rPr>
                <w:rFonts w:asciiTheme="majorHAnsi" w:hAnsiTheme="majorHAnsi" w:cs="Calibri"/>
                <w:color w:val="000000"/>
              </w:rPr>
              <w:t>COMM</w:t>
            </w:r>
            <w:r w:rsidRPr="000E3BCF">
              <w:rPr>
                <w:rFonts w:asciiTheme="majorHAnsi" w:hAnsiTheme="majorHAnsi" w:cs="Calibri"/>
                <w:color w:val="000000"/>
              </w:rPr>
              <w:t>?</w:t>
            </w:r>
          </w:p>
        </w:tc>
      </w:tr>
      <w:tr w:rsidR="00E46D45" w:rsidRPr="000E3BCF" w14:paraId="7D0BEC00" w14:textId="77777777" w:rsidTr="006A3BF5">
        <w:tc>
          <w:tcPr>
            <w:tcW w:w="988" w:type="dxa"/>
            <w:shd w:val="clear" w:color="auto" w:fill="auto"/>
          </w:tcPr>
          <w:p w14:paraId="1046763B" w14:textId="77777777" w:rsidR="00E46D45" w:rsidRPr="000E3BCF" w:rsidRDefault="00E46D45" w:rsidP="00A0568D">
            <w:pPr>
              <w:tabs>
                <w:tab w:val="left" w:pos="3954"/>
              </w:tabs>
              <w:rPr>
                <w:rFonts w:asciiTheme="majorHAnsi" w:hAnsiTheme="majorHAnsi"/>
                <w:b/>
                <w:lang w:eastAsia="ja-JP"/>
              </w:rPr>
            </w:pPr>
          </w:p>
        </w:tc>
        <w:tc>
          <w:tcPr>
            <w:tcW w:w="8454" w:type="dxa"/>
            <w:shd w:val="clear" w:color="auto" w:fill="auto"/>
            <w:vAlign w:val="bottom"/>
          </w:tcPr>
          <w:p w14:paraId="7A3276FE" w14:textId="50479414" w:rsidR="00E46D45" w:rsidRPr="000E3BCF" w:rsidRDefault="00064D8F" w:rsidP="00064D8F">
            <w:pPr>
              <w:tabs>
                <w:tab w:val="left" w:pos="3954"/>
              </w:tabs>
              <w:rPr>
                <w:rFonts w:asciiTheme="majorHAnsi" w:hAnsiTheme="majorHAnsi" w:cs="Calibri"/>
                <w:color w:val="000000"/>
              </w:rPr>
            </w:pPr>
            <w:r w:rsidRPr="000E3BCF">
              <w:rPr>
                <w:rFonts w:asciiTheme="majorHAnsi" w:hAnsiTheme="majorHAnsi" w:cs="Calibri"/>
                <w:color w:val="1F497D" w:themeColor="text2"/>
              </w:rPr>
              <w:t>Yes, you can use AEPCOMM for these types of products. Brokers will need to ensure that the goods also meet biosecurity requirements for the timber components by referring to the Timber and timber products BICON case. The ACC code ANIM must also be entered, or the goods will not process through AEPCOMM.</w:t>
            </w:r>
          </w:p>
        </w:tc>
      </w:tr>
      <w:tr w:rsidR="00A0568D" w:rsidRPr="000E3BCF" w14:paraId="2932B7D2" w14:textId="77777777" w:rsidTr="006A3BF5">
        <w:tc>
          <w:tcPr>
            <w:tcW w:w="988" w:type="dxa"/>
            <w:shd w:val="clear" w:color="auto" w:fill="auto"/>
          </w:tcPr>
          <w:p w14:paraId="12912F70" w14:textId="2CDE5444"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66D58A97" w14:textId="2B843F6C" w:rsidR="00A0568D" w:rsidRPr="000E3BCF" w:rsidRDefault="00A0568D" w:rsidP="00A0568D">
            <w:pPr>
              <w:spacing w:before="0"/>
              <w:rPr>
                <w:rFonts w:asciiTheme="majorHAnsi" w:hAnsiTheme="majorHAnsi" w:cs="Calibri"/>
                <w:color w:val="000000"/>
                <w:lang w:eastAsia="en-AU"/>
              </w:rPr>
            </w:pPr>
            <w:r w:rsidRPr="000E3BCF">
              <w:rPr>
                <w:rFonts w:asciiTheme="majorHAnsi" w:hAnsiTheme="majorHAnsi" w:cs="Calibri"/>
                <w:color w:val="000000"/>
              </w:rPr>
              <w:t>Are camper trailers considered</w:t>
            </w:r>
            <w:r w:rsidR="00E469A8" w:rsidRPr="000E3BCF">
              <w:rPr>
                <w:rFonts w:asciiTheme="majorHAnsi" w:hAnsiTheme="majorHAnsi" w:cs="Calibri"/>
                <w:color w:val="000000"/>
              </w:rPr>
              <w:t xml:space="preserve"> to</w:t>
            </w:r>
            <w:r w:rsidRPr="000E3BCF">
              <w:rPr>
                <w:rFonts w:asciiTheme="majorHAnsi" w:hAnsiTheme="majorHAnsi" w:cs="Calibri"/>
                <w:color w:val="000000"/>
              </w:rPr>
              <w:t xml:space="preserve"> fall under the new caravan commod</w:t>
            </w:r>
            <w:r w:rsidR="00064D8F" w:rsidRPr="000E3BCF">
              <w:rPr>
                <w:rFonts w:asciiTheme="majorHAnsi" w:hAnsiTheme="majorHAnsi" w:cs="Calibri"/>
                <w:color w:val="000000"/>
              </w:rPr>
              <w:t>it</w:t>
            </w:r>
            <w:r w:rsidRPr="000E3BCF">
              <w:rPr>
                <w:rFonts w:asciiTheme="majorHAnsi" w:hAnsiTheme="majorHAnsi" w:cs="Calibri"/>
                <w:color w:val="000000"/>
              </w:rPr>
              <w:t>y group?</w:t>
            </w:r>
          </w:p>
        </w:tc>
      </w:tr>
      <w:tr w:rsidR="00E46D45" w:rsidRPr="000E3BCF" w14:paraId="30DA72B9" w14:textId="77777777" w:rsidTr="006A3BF5">
        <w:tc>
          <w:tcPr>
            <w:tcW w:w="988" w:type="dxa"/>
            <w:shd w:val="clear" w:color="auto" w:fill="auto"/>
          </w:tcPr>
          <w:p w14:paraId="4FFF90F1" w14:textId="77777777" w:rsidR="00E46D45" w:rsidRPr="000E3BCF" w:rsidRDefault="00E46D45" w:rsidP="00A0568D">
            <w:pPr>
              <w:tabs>
                <w:tab w:val="left" w:pos="3954"/>
              </w:tabs>
              <w:rPr>
                <w:rFonts w:asciiTheme="majorHAnsi" w:hAnsiTheme="majorHAnsi"/>
                <w:b/>
                <w:lang w:eastAsia="ja-JP"/>
              </w:rPr>
            </w:pPr>
          </w:p>
        </w:tc>
        <w:tc>
          <w:tcPr>
            <w:tcW w:w="8454" w:type="dxa"/>
            <w:shd w:val="clear" w:color="auto" w:fill="auto"/>
            <w:vAlign w:val="bottom"/>
          </w:tcPr>
          <w:p w14:paraId="1A685D92" w14:textId="7E5311FB" w:rsidR="00E46D45" w:rsidRPr="000E3BCF" w:rsidRDefault="00A77403" w:rsidP="00A77403">
            <w:pPr>
              <w:spacing w:before="0"/>
              <w:rPr>
                <w:rFonts w:asciiTheme="majorHAnsi" w:hAnsiTheme="majorHAnsi" w:cs="Calibri"/>
                <w:color w:val="000000"/>
              </w:rPr>
            </w:pPr>
            <w:r w:rsidRPr="000E3BCF">
              <w:rPr>
                <w:rFonts w:asciiTheme="majorHAnsi" w:hAnsiTheme="majorHAnsi" w:cs="Calibri"/>
                <w:color w:val="1F497D" w:themeColor="text2"/>
              </w:rPr>
              <w:t>Yes, i</w:t>
            </w:r>
            <w:r w:rsidR="00B94B55" w:rsidRPr="000E3BCF">
              <w:rPr>
                <w:rFonts w:asciiTheme="majorHAnsi" w:hAnsiTheme="majorHAnsi" w:cs="Calibri"/>
                <w:color w:val="1F497D" w:themeColor="text2"/>
              </w:rPr>
              <w:t xml:space="preserve">f the camper trailer </w:t>
            </w:r>
            <w:r w:rsidRPr="000E3BCF">
              <w:rPr>
                <w:rFonts w:asciiTheme="majorHAnsi" w:hAnsiTheme="majorHAnsi" w:cs="Calibri"/>
                <w:color w:val="1F497D" w:themeColor="text2"/>
              </w:rPr>
              <w:t xml:space="preserve">is classified under tariff 8716.10.00. </w:t>
            </w:r>
            <w:r w:rsidR="00B94B55" w:rsidRPr="000E3BCF">
              <w:rPr>
                <w:rFonts w:asciiTheme="majorHAnsi" w:hAnsiTheme="majorHAnsi" w:cs="Calibri"/>
                <w:color w:val="1F497D" w:themeColor="text2"/>
              </w:rPr>
              <w:t xml:space="preserve">Please refer to the prefabricated office, accommodations units and caravans BICON case </w:t>
            </w:r>
            <w:r w:rsidR="000A1DCF" w:rsidRPr="000E3BCF">
              <w:rPr>
                <w:rFonts w:asciiTheme="majorHAnsi" w:hAnsiTheme="majorHAnsi" w:cs="Calibri"/>
                <w:color w:val="1F497D" w:themeColor="text2"/>
              </w:rPr>
              <w:t>when assessing the goods and the applicable AEPCOMM code to be applied</w:t>
            </w:r>
            <w:r w:rsidR="00AE7144" w:rsidRPr="000E3BCF">
              <w:rPr>
                <w:rFonts w:asciiTheme="majorHAnsi" w:hAnsiTheme="majorHAnsi" w:cs="Calibri"/>
                <w:color w:val="1F497D" w:themeColor="text2"/>
              </w:rPr>
              <w:t xml:space="preserve"> at the time of lodgement</w:t>
            </w:r>
            <w:r w:rsidR="000A1DCF" w:rsidRPr="000E3BCF">
              <w:rPr>
                <w:rFonts w:asciiTheme="majorHAnsi" w:hAnsiTheme="majorHAnsi" w:cs="Calibri"/>
                <w:color w:val="1F497D" w:themeColor="text2"/>
              </w:rPr>
              <w:t>.</w:t>
            </w:r>
          </w:p>
        </w:tc>
      </w:tr>
      <w:tr w:rsidR="00A0568D" w:rsidRPr="000E3BCF" w14:paraId="5734C47A" w14:textId="77777777" w:rsidTr="006A3BF5">
        <w:tc>
          <w:tcPr>
            <w:tcW w:w="988" w:type="dxa"/>
            <w:shd w:val="clear" w:color="auto" w:fill="auto"/>
          </w:tcPr>
          <w:p w14:paraId="19C2BB86" w14:textId="77777777"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5EA0BB0D" w14:textId="337EF546" w:rsidR="00A0568D" w:rsidRPr="000E3BCF" w:rsidRDefault="000917D7" w:rsidP="00A0568D">
            <w:pPr>
              <w:spacing w:before="0"/>
              <w:rPr>
                <w:rFonts w:asciiTheme="majorHAnsi" w:hAnsiTheme="majorHAnsi" w:cs="Calibri"/>
                <w:color w:val="000000"/>
              </w:rPr>
            </w:pPr>
            <w:r w:rsidRPr="000E3BCF">
              <w:rPr>
                <w:rFonts w:asciiTheme="majorHAnsi" w:hAnsiTheme="majorHAnsi" w:cs="Calibri"/>
                <w:color w:val="000000"/>
              </w:rPr>
              <w:t>Do I</w:t>
            </w:r>
            <w:r w:rsidR="00A0568D" w:rsidRPr="000E3BCF">
              <w:rPr>
                <w:rFonts w:asciiTheme="majorHAnsi" w:hAnsiTheme="majorHAnsi" w:cs="Calibri"/>
                <w:color w:val="000000"/>
              </w:rPr>
              <w:t xml:space="preserve"> need</w:t>
            </w:r>
            <w:r w:rsidRPr="000E3BCF">
              <w:rPr>
                <w:rFonts w:asciiTheme="majorHAnsi" w:hAnsiTheme="majorHAnsi" w:cs="Calibri"/>
                <w:color w:val="000000"/>
              </w:rPr>
              <w:t xml:space="preserve"> to</w:t>
            </w:r>
            <w:r w:rsidR="00A0568D" w:rsidRPr="000E3BCF">
              <w:rPr>
                <w:rFonts w:asciiTheme="majorHAnsi" w:hAnsiTheme="majorHAnsi" w:cs="Calibri"/>
                <w:color w:val="000000"/>
              </w:rPr>
              <w:t xml:space="preserve"> provide</w:t>
            </w:r>
            <w:r w:rsidRPr="000E3BCF">
              <w:rPr>
                <w:rFonts w:asciiTheme="majorHAnsi" w:hAnsiTheme="majorHAnsi" w:cs="Calibri"/>
                <w:color w:val="000000"/>
              </w:rPr>
              <w:t xml:space="preserve"> the</w:t>
            </w:r>
            <w:r w:rsidR="00A0568D" w:rsidRPr="000E3BCF">
              <w:rPr>
                <w:rFonts w:asciiTheme="majorHAnsi" w:hAnsiTheme="majorHAnsi" w:cs="Calibri"/>
                <w:color w:val="000000"/>
              </w:rPr>
              <w:t xml:space="preserve"> treatment cert if </w:t>
            </w:r>
            <w:r w:rsidRPr="000E3BCF">
              <w:rPr>
                <w:rFonts w:asciiTheme="majorHAnsi" w:hAnsiTheme="majorHAnsi" w:cs="Calibri"/>
                <w:color w:val="000000"/>
              </w:rPr>
              <w:t xml:space="preserve">the </w:t>
            </w:r>
            <w:r w:rsidR="00A0568D" w:rsidRPr="000E3BCF">
              <w:rPr>
                <w:rFonts w:asciiTheme="majorHAnsi" w:hAnsiTheme="majorHAnsi" w:cs="Calibri"/>
                <w:color w:val="000000"/>
              </w:rPr>
              <w:t>timber has been treated?</w:t>
            </w:r>
          </w:p>
        </w:tc>
      </w:tr>
      <w:tr w:rsidR="00A0568D" w:rsidRPr="000E3BCF" w14:paraId="1CE6AD8B" w14:textId="77777777" w:rsidTr="006A3BF5">
        <w:tc>
          <w:tcPr>
            <w:tcW w:w="988" w:type="dxa"/>
            <w:shd w:val="clear" w:color="auto" w:fill="auto"/>
          </w:tcPr>
          <w:p w14:paraId="1E626599" w14:textId="6853882C" w:rsidR="00A0568D" w:rsidRPr="000E3BCF" w:rsidRDefault="00A0568D" w:rsidP="00A0568D">
            <w:pPr>
              <w:tabs>
                <w:tab w:val="left" w:pos="3954"/>
              </w:tabs>
              <w:rPr>
                <w:rFonts w:asciiTheme="majorHAnsi" w:hAnsiTheme="majorHAnsi"/>
                <w:b/>
                <w:lang w:eastAsia="ja-JP"/>
              </w:rPr>
            </w:pPr>
          </w:p>
        </w:tc>
        <w:tc>
          <w:tcPr>
            <w:tcW w:w="8454" w:type="dxa"/>
            <w:shd w:val="clear" w:color="auto" w:fill="auto"/>
            <w:vAlign w:val="bottom"/>
          </w:tcPr>
          <w:p w14:paraId="113FF370" w14:textId="3410F4EA" w:rsidR="000D0242" w:rsidRPr="000E3BCF" w:rsidRDefault="000D0242" w:rsidP="00A0568D">
            <w:pPr>
              <w:rPr>
                <w:rFonts w:asciiTheme="majorHAnsi" w:hAnsiTheme="majorHAnsi" w:cs="Calibri"/>
                <w:color w:val="1F497D" w:themeColor="text2"/>
              </w:rPr>
            </w:pPr>
            <w:r w:rsidRPr="000E3BCF">
              <w:rPr>
                <w:rFonts w:asciiTheme="majorHAnsi" w:hAnsiTheme="majorHAnsi" w:cs="Calibri"/>
                <w:color w:val="1F497D" w:themeColor="text2"/>
              </w:rPr>
              <w:t>Records and documents</w:t>
            </w:r>
            <w:r w:rsidR="00472367">
              <w:rPr>
                <w:rFonts w:asciiTheme="majorHAnsi" w:hAnsiTheme="majorHAnsi" w:cs="Calibri"/>
                <w:color w:val="1F497D" w:themeColor="text2"/>
              </w:rPr>
              <w:t xml:space="preserve"> that support your assessment</w:t>
            </w:r>
            <w:r w:rsidRPr="000E3BCF">
              <w:rPr>
                <w:rFonts w:asciiTheme="majorHAnsi" w:hAnsiTheme="majorHAnsi" w:cs="Calibri"/>
                <w:color w:val="1F497D" w:themeColor="text2"/>
              </w:rPr>
              <w:t xml:space="preserve"> must be kept and maintained by BIPs for a period of 5 years from the date the document assessment was conducted. Where requested, records and/or documents must be made available within 1 business day or as specified by the department where requested. </w:t>
            </w:r>
          </w:p>
          <w:p w14:paraId="3FE059ED" w14:textId="5061A8D3" w:rsidR="00A0568D" w:rsidRPr="000E3BCF" w:rsidRDefault="00412283" w:rsidP="00412283">
            <w:pPr>
              <w:rPr>
                <w:rFonts w:asciiTheme="majorHAnsi" w:hAnsiTheme="majorHAnsi" w:cs="Calibri"/>
                <w:color w:val="000000"/>
              </w:rPr>
            </w:pPr>
            <w:r w:rsidRPr="000E3BCF">
              <w:rPr>
                <w:rFonts w:asciiTheme="majorHAnsi" w:hAnsiTheme="majorHAnsi" w:cs="Calibri"/>
                <w:color w:val="1F497D" w:themeColor="text2"/>
              </w:rPr>
              <w:t>Please refer to conditions</w:t>
            </w:r>
            <w:r w:rsidR="000D0242" w:rsidRPr="000E3BCF">
              <w:rPr>
                <w:rFonts w:asciiTheme="majorHAnsi" w:hAnsiTheme="majorHAnsi" w:cs="Calibri"/>
                <w:color w:val="1F497D" w:themeColor="text2"/>
              </w:rPr>
              <w:t xml:space="preserve"> 2</w:t>
            </w:r>
            <w:r w:rsidRPr="000E3BCF">
              <w:rPr>
                <w:rFonts w:asciiTheme="majorHAnsi" w:hAnsiTheme="majorHAnsi" w:cs="Calibri"/>
                <w:color w:val="1F497D" w:themeColor="text2"/>
              </w:rPr>
              <w:t>4 &amp; 26 of the 19.2 R</w:t>
            </w:r>
            <w:r w:rsidR="000D0242" w:rsidRPr="000E3BCF">
              <w:rPr>
                <w:rFonts w:asciiTheme="majorHAnsi" w:hAnsiTheme="majorHAnsi" w:cs="Calibri"/>
                <w:color w:val="1F497D" w:themeColor="text2"/>
              </w:rPr>
              <w:t>equirements and conditions document.</w:t>
            </w:r>
          </w:p>
        </w:tc>
      </w:tr>
      <w:tr w:rsidR="00A0568D" w:rsidRPr="000E3BCF" w14:paraId="70D3ABB0" w14:textId="77777777" w:rsidTr="006A3BF5">
        <w:tc>
          <w:tcPr>
            <w:tcW w:w="988" w:type="dxa"/>
            <w:shd w:val="clear" w:color="auto" w:fill="auto"/>
          </w:tcPr>
          <w:p w14:paraId="589C7C2B" w14:textId="77777777"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06547330" w14:textId="0D536649" w:rsidR="00A0568D" w:rsidRPr="000E3BCF" w:rsidRDefault="00594695" w:rsidP="00A0568D">
            <w:pPr>
              <w:rPr>
                <w:rFonts w:asciiTheme="majorHAnsi" w:hAnsiTheme="majorHAnsi" w:cs="Calibri"/>
                <w:color w:val="000000"/>
              </w:rPr>
            </w:pPr>
            <w:r w:rsidRPr="000E3BCF">
              <w:rPr>
                <w:rFonts w:asciiTheme="majorHAnsi" w:hAnsiTheme="majorHAnsi" w:cs="Calibri"/>
                <w:color w:val="000000"/>
              </w:rPr>
              <w:t>Could you please explain c</w:t>
            </w:r>
            <w:r w:rsidR="00A0568D" w:rsidRPr="000E3BCF">
              <w:rPr>
                <w:rFonts w:asciiTheme="majorHAnsi" w:hAnsiTheme="majorHAnsi" w:cs="Calibri"/>
                <w:color w:val="000000"/>
              </w:rPr>
              <w:t>ondition 14 in greater detail? Does a broker have to present the documenta</w:t>
            </w:r>
            <w:r w:rsidRPr="000E3BCF">
              <w:rPr>
                <w:rFonts w:asciiTheme="majorHAnsi" w:hAnsiTheme="majorHAnsi" w:cs="Calibri"/>
                <w:color w:val="000000"/>
              </w:rPr>
              <w:t>tion for each AEP lodgement in</w:t>
            </w:r>
            <w:r w:rsidR="00A0568D" w:rsidRPr="000E3BCF">
              <w:rPr>
                <w:rFonts w:asciiTheme="majorHAnsi" w:hAnsiTheme="majorHAnsi" w:cs="Calibri"/>
                <w:color w:val="000000"/>
              </w:rPr>
              <w:t xml:space="preserve"> COLS?</w:t>
            </w:r>
          </w:p>
        </w:tc>
      </w:tr>
      <w:tr w:rsidR="00E46D45" w:rsidRPr="000E3BCF" w14:paraId="12927D93" w14:textId="77777777" w:rsidTr="006A3BF5">
        <w:tc>
          <w:tcPr>
            <w:tcW w:w="988" w:type="dxa"/>
            <w:shd w:val="clear" w:color="auto" w:fill="auto"/>
          </w:tcPr>
          <w:p w14:paraId="64DA8837" w14:textId="77777777" w:rsidR="00E46D45" w:rsidRPr="000E3BCF" w:rsidRDefault="00E46D45" w:rsidP="00A0568D">
            <w:pPr>
              <w:tabs>
                <w:tab w:val="left" w:pos="3954"/>
              </w:tabs>
              <w:rPr>
                <w:rFonts w:asciiTheme="majorHAnsi" w:hAnsiTheme="majorHAnsi"/>
                <w:b/>
                <w:lang w:eastAsia="ja-JP"/>
              </w:rPr>
            </w:pPr>
          </w:p>
        </w:tc>
        <w:tc>
          <w:tcPr>
            <w:tcW w:w="8454" w:type="dxa"/>
            <w:shd w:val="clear" w:color="auto" w:fill="auto"/>
            <w:vAlign w:val="bottom"/>
          </w:tcPr>
          <w:p w14:paraId="2EA888BD" w14:textId="4B57DCBB" w:rsidR="003D2AE4" w:rsidRPr="000E3BCF" w:rsidRDefault="00594695" w:rsidP="005F4A9F">
            <w:pPr>
              <w:rPr>
                <w:rFonts w:asciiTheme="majorHAnsi" w:hAnsiTheme="majorHAnsi" w:cs="Calibri"/>
                <w:color w:val="000000"/>
              </w:rPr>
            </w:pPr>
            <w:r w:rsidRPr="00835505">
              <w:rPr>
                <w:rFonts w:asciiTheme="majorHAnsi" w:hAnsiTheme="majorHAnsi" w:cs="Calibri"/>
                <w:color w:val="002060"/>
              </w:rPr>
              <w:t>No, BIPs</w:t>
            </w:r>
            <w:r w:rsidR="000D0242" w:rsidRPr="00835505">
              <w:rPr>
                <w:rFonts w:asciiTheme="majorHAnsi" w:hAnsiTheme="majorHAnsi" w:cs="Calibri"/>
                <w:color w:val="002060"/>
              </w:rPr>
              <w:t xml:space="preserve"> are only required to present documentation</w:t>
            </w:r>
            <w:r w:rsidR="007915E6" w:rsidRPr="00835505">
              <w:rPr>
                <w:rFonts w:asciiTheme="majorHAnsi" w:hAnsiTheme="majorHAnsi" w:cs="Calibri"/>
                <w:color w:val="002060"/>
              </w:rPr>
              <w:t xml:space="preserve"> to the department when an import declaration</w:t>
            </w:r>
            <w:r w:rsidR="000D0242" w:rsidRPr="00835505">
              <w:rPr>
                <w:rFonts w:asciiTheme="majorHAnsi" w:hAnsiTheme="majorHAnsi" w:cs="Calibri"/>
                <w:color w:val="002060"/>
              </w:rPr>
              <w:t xml:space="preserve"> is referred for an AEP verification or where specifically requested</w:t>
            </w:r>
            <w:r w:rsidR="005F4A9F" w:rsidRPr="00835505">
              <w:rPr>
                <w:rFonts w:asciiTheme="majorHAnsi" w:hAnsiTheme="majorHAnsi" w:cs="Calibri"/>
                <w:color w:val="002060"/>
              </w:rPr>
              <w:t>.</w:t>
            </w:r>
          </w:p>
        </w:tc>
      </w:tr>
      <w:tr w:rsidR="00A0568D" w:rsidRPr="000E3BCF" w14:paraId="089A5670" w14:textId="77777777" w:rsidTr="006A3BF5">
        <w:tc>
          <w:tcPr>
            <w:tcW w:w="988" w:type="dxa"/>
            <w:shd w:val="clear" w:color="auto" w:fill="auto"/>
          </w:tcPr>
          <w:p w14:paraId="036E6212" w14:textId="679BE729"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3CB50C01" w14:textId="38FF9049" w:rsidR="00A0568D" w:rsidRPr="000E3BCF" w:rsidRDefault="00A0568D" w:rsidP="00CD7AFF">
            <w:pPr>
              <w:rPr>
                <w:rFonts w:asciiTheme="majorHAnsi" w:hAnsiTheme="majorHAnsi" w:cs="Calibri"/>
                <w:color w:val="000000"/>
              </w:rPr>
            </w:pPr>
            <w:r w:rsidRPr="000E3BCF">
              <w:rPr>
                <w:rFonts w:asciiTheme="majorHAnsi" w:hAnsiTheme="majorHAnsi" w:cs="Calibri"/>
                <w:color w:val="000000"/>
              </w:rPr>
              <w:t>If the industry took up AEP in a big capacity, what effect do you think this would have on the COLS system and what percentage of entries would be taken out of the COLS system</w:t>
            </w:r>
            <w:r w:rsidR="00CD7AFF" w:rsidRPr="000E3BCF">
              <w:rPr>
                <w:rFonts w:asciiTheme="majorHAnsi" w:hAnsiTheme="majorHAnsi" w:cs="Calibri"/>
                <w:color w:val="000000"/>
              </w:rPr>
              <w:t>?</w:t>
            </w:r>
            <w:r w:rsidRPr="000E3BCF">
              <w:rPr>
                <w:rFonts w:asciiTheme="majorHAnsi" w:hAnsiTheme="majorHAnsi" w:cs="Calibri"/>
                <w:color w:val="000000"/>
              </w:rPr>
              <w:t xml:space="preserve"> I ask as we are approaching BMSB season and COLS seems to be clogged already</w:t>
            </w:r>
            <w:r w:rsidR="00CD7AFF" w:rsidRPr="000E3BCF">
              <w:rPr>
                <w:rFonts w:asciiTheme="majorHAnsi" w:hAnsiTheme="majorHAnsi" w:cs="Calibri"/>
                <w:color w:val="000000"/>
              </w:rPr>
              <w:t>.</w:t>
            </w:r>
          </w:p>
        </w:tc>
      </w:tr>
      <w:tr w:rsidR="00E46D45" w:rsidRPr="000E3BCF" w14:paraId="18E17623" w14:textId="77777777" w:rsidTr="006A3BF5">
        <w:tc>
          <w:tcPr>
            <w:tcW w:w="988" w:type="dxa"/>
            <w:shd w:val="clear" w:color="auto" w:fill="auto"/>
          </w:tcPr>
          <w:p w14:paraId="2B56440E" w14:textId="77777777" w:rsidR="00E46D45" w:rsidRPr="00835505" w:rsidRDefault="00E46D45" w:rsidP="00A0568D">
            <w:pPr>
              <w:tabs>
                <w:tab w:val="left" w:pos="3954"/>
              </w:tabs>
              <w:rPr>
                <w:rFonts w:asciiTheme="majorHAnsi" w:hAnsiTheme="majorHAnsi"/>
                <w:b/>
                <w:color w:val="002060"/>
                <w:lang w:eastAsia="ja-JP"/>
              </w:rPr>
            </w:pPr>
          </w:p>
        </w:tc>
        <w:tc>
          <w:tcPr>
            <w:tcW w:w="8454" w:type="dxa"/>
            <w:shd w:val="clear" w:color="auto" w:fill="auto"/>
            <w:vAlign w:val="bottom"/>
          </w:tcPr>
          <w:p w14:paraId="74BA246A" w14:textId="0A6F44DC" w:rsidR="003B1AF7" w:rsidRPr="00D32791" w:rsidRDefault="003B1AF7" w:rsidP="00662349">
            <w:pPr>
              <w:rPr>
                <w:rFonts w:asciiTheme="majorHAnsi" w:hAnsiTheme="majorHAnsi" w:cs="Calibri"/>
                <w:color w:val="002060"/>
              </w:rPr>
            </w:pPr>
            <w:r w:rsidRPr="00D32791">
              <w:rPr>
                <w:rFonts w:asciiTheme="majorHAnsi" w:hAnsiTheme="majorHAnsi" w:cs="Calibri"/>
                <w:color w:val="002060"/>
              </w:rPr>
              <w:t>As you are aware, lodging import declarations through the broker approved arrangements significantly decreases processing waiting periods when compared to lodging documentation for assessment by the Department.</w:t>
            </w:r>
            <w:r w:rsidR="00B30EA2" w:rsidRPr="00D32791">
              <w:rPr>
                <w:rFonts w:asciiTheme="majorHAnsi" w:hAnsiTheme="majorHAnsi" w:cs="Calibri"/>
                <w:color w:val="002060"/>
              </w:rPr>
              <w:t xml:space="preserve"> </w:t>
            </w:r>
          </w:p>
          <w:p w14:paraId="27B3F893" w14:textId="5D1E421E" w:rsidR="003B1AF7" w:rsidRPr="00D32791" w:rsidRDefault="00CC1D18" w:rsidP="00662349">
            <w:pPr>
              <w:rPr>
                <w:rFonts w:asciiTheme="majorHAnsi" w:hAnsiTheme="majorHAnsi" w:cs="Calibri"/>
                <w:color w:val="002060"/>
              </w:rPr>
            </w:pPr>
            <w:r w:rsidRPr="00D32791">
              <w:rPr>
                <w:rFonts w:asciiTheme="majorHAnsi" w:hAnsiTheme="majorHAnsi" w:cs="Calibri"/>
                <w:color w:val="002060"/>
              </w:rPr>
              <w:t>Although currently the percentage of brokerages under the broker approved arrangements is satisfactory, the actual usage of AEPCOMM is not optimal.</w:t>
            </w:r>
            <w:r w:rsidR="003B1AF7" w:rsidRPr="00D32791">
              <w:rPr>
                <w:rFonts w:asciiTheme="majorHAnsi" w:hAnsiTheme="majorHAnsi" w:cs="Calibri"/>
                <w:color w:val="002060"/>
              </w:rPr>
              <w:t xml:space="preserve"> </w:t>
            </w:r>
          </w:p>
          <w:p w14:paraId="4C89684F" w14:textId="77777777" w:rsidR="00B30EA2" w:rsidRPr="00D32791" w:rsidRDefault="00B30EA2" w:rsidP="00662349">
            <w:pPr>
              <w:rPr>
                <w:rFonts w:asciiTheme="majorHAnsi" w:hAnsiTheme="majorHAnsi" w:cs="Calibri"/>
                <w:color w:val="002060"/>
              </w:rPr>
            </w:pPr>
            <w:r w:rsidRPr="00D32791">
              <w:rPr>
                <w:rFonts w:asciiTheme="majorHAnsi" w:hAnsiTheme="majorHAnsi" w:cs="Calibri"/>
                <w:color w:val="002060"/>
              </w:rPr>
              <w:t>For example, during</w:t>
            </w:r>
            <w:r w:rsidR="00CD7AFF" w:rsidRPr="00D32791">
              <w:rPr>
                <w:rFonts w:asciiTheme="majorHAnsi" w:hAnsiTheme="majorHAnsi" w:cs="Calibri"/>
                <w:color w:val="002060"/>
              </w:rPr>
              <w:t xml:space="preserve"> the 2018-19 BMSB season</w:t>
            </w:r>
            <w:r w:rsidRPr="00D32791">
              <w:rPr>
                <w:rFonts w:asciiTheme="majorHAnsi" w:hAnsiTheme="majorHAnsi" w:cs="Calibri"/>
                <w:color w:val="002060"/>
              </w:rPr>
              <w:t>,</w:t>
            </w:r>
            <w:r w:rsidR="00CD7AFF" w:rsidRPr="00D32791">
              <w:rPr>
                <w:rFonts w:asciiTheme="majorHAnsi" w:hAnsiTheme="majorHAnsi" w:cs="Calibri"/>
                <w:color w:val="002060"/>
              </w:rPr>
              <w:t xml:space="preserve"> only 30% of eligible </w:t>
            </w:r>
            <w:r w:rsidRPr="00D32791">
              <w:rPr>
                <w:rFonts w:asciiTheme="majorHAnsi" w:hAnsiTheme="majorHAnsi" w:cs="Calibri"/>
                <w:color w:val="002060"/>
              </w:rPr>
              <w:t xml:space="preserve">import </w:t>
            </w:r>
            <w:r w:rsidR="00CD7AFF" w:rsidRPr="00D32791">
              <w:rPr>
                <w:rFonts w:asciiTheme="majorHAnsi" w:hAnsiTheme="majorHAnsi" w:cs="Calibri"/>
                <w:color w:val="002060"/>
              </w:rPr>
              <w:t xml:space="preserve">declarations were processed via AEPCOMM. </w:t>
            </w:r>
          </w:p>
          <w:p w14:paraId="277D9C49" w14:textId="3A6FCA9B" w:rsidR="00662349" w:rsidRPr="00835505" w:rsidRDefault="0092532C" w:rsidP="00D32791">
            <w:pPr>
              <w:rPr>
                <w:rFonts w:asciiTheme="majorHAnsi" w:hAnsiTheme="majorHAnsi" w:cs="Calibri"/>
                <w:color w:val="002060"/>
              </w:rPr>
            </w:pPr>
            <w:r w:rsidRPr="00D32791">
              <w:rPr>
                <w:rFonts w:asciiTheme="majorHAnsi" w:hAnsiTheme="majorHAnsi" w:cs="Calibri"/>
                <w:color w:val="002060"/>
              </w:rPr>
              <w:t>I</w:t>
            </w:r>
            <w:r w:rsidR="00B30EA2" w:rsidRPr="00D32791">
              <w:rPr>
                <w:rFonts w:asciiTheme="majorHAnsi" w:hAnsiTheme="majorHAnsi" w:cs="Calibri"/>
                <w:color w:val="002060"/>
              </w:rPr>
              <w:t>ncrease utilisation of AEPCOMM</w:t>
            </w:r>
            <w:r w:rsidRPr="00D32791">
              <w:rPr>
                <w:rFonts w:asciiTheme="majorHAnsi" w:hAnsiTheme="majorHAnsi" w:cs="Calibri"/>
                <w:color w:val="002060"/>
              </w:rPr>
              <w:t xml:space="preserve"> by industry</w:t>
            </w:r>
            <w:r w:rsidR="00B30EA2" w:rsidRPr="00D32791">
              <w:rPr>
                <w:rFonts w:asciiTheme="majorHAnsi" w:hAnsiTheme="majorHAnsi" w:cs="Calibri"/>
                <w:color w:val="002060"/>
              </w:rPr>
              <w:t xml:space="preserve"> </w:t>
            </w:r>
            <w:r w:rsidR="00B1665C" w:rsidRPr="00D32791">
              <w:rPr>
                <w:rFonts w:asciiTheme="majorHAnsi" w:hAnsiTheme="majorHAnsi" w:cs="Calibri"/>
                <w:color w:val="002060"/>
              </w:rPr>
              <w:t xml:space="preserve">would </w:t>
            </w:r>
            <w:r w:rsidRPr="00D32791">
              <w:rPr>
                <w:rFonts w:asciiTheme="majorHAnsi" w:hAnsiTheme="majorHAnsi" w:cs="Calibri"/>
                <w:color w:val="002060"/>
              </w:rPr>
              <w:t>decrease pressure on the COLS system and turnaround periods.</w:t>
            </w:r>
            <w:r>
              <w:rPr>
                <w:rFonts w:asciiTheme="majorHAnsi" w:hAnsiTheme="majorHAnsi" w:cs="Calibri"/>
                <w:color w:val="002060"/>
              </w:rPr>
              <w:t xml:space="preserve"> </w:t>
            </w:r>
          </w:p>
        </w:tc>
      </w:tr>
      <w:tr w:rsidR="00A0568D" w:rsidRPr="000E3BCF" w14:paraId="0A218902" w14:textId="77777777" w:rsidTr="006A3BF5">
        <w:tc>
          <w:tcPr>
            <w:tcW w:w="988" w:type="dxa"/>
            <w:shd w:val="clear" w:color="auto" w:fill="auto"/>
          </w:tcPr>
          <w:p w14:paraId="23F2B286" w14:textId="2413E780" w:rsidR="00A0568D" w:rsidRPr="000E3BCF" w:rsidRDefault="00A0568D" w:rsidP="00AC5386">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30B77C1F" w14:textId="580AA22E" w:rsidR="00A0568D" w:rsidRPr="000E3BCF" w:rsidRDefault="00A0568D" w:rsidP="005F2505">
            <w:pPr>
              <w:rPr>
                <w:rFonts w:asciiTheme="majorHAnsi" w:hAnsiTheme="majorHAnsi" w:cs="Calibri"/>
                <w:color w:val="000000"/>
              </w:rPr>
            </w:pPr>
            <w:r w:rsidRPr="000E3BCF">
              <w:rPr>
                <w:rFonts w:asciiTheme="majorHAnsi" w:hAnsiTheme="majorHAnsi" w:cs="Calibri"/>
                <w:color w:val="000000"/>
              </w:rPr>
              <w:t>Does Condition 20 mean the BIP (Broker) has to book the inspection only?</w:t>
            </w:r>
            <w:r w:rsidR="005F2505" w:rsidRPr="000E3BCF">
              <w:rPr>
                <w:rFonts w:asciiTheme="majorHAnsi" w:hAnsiTheme="majorHAnsi" w:cs="Calibri"/>
                <w:color w:val="000000"/>
              </w:rPr>
              <w:t xml:space="preserve"> A third party can no longer</w:t>
            </w:r>
            <w:r w:rsidRPr="000E3BCF">
              <w:rPr>
                <w:rFonts w:asciiTheme="majorHAnsi" w:hAnsiTheme="majorHAnsi" w:cs="Calibri"/>
                <w:color w:val="000000"/>
              </w:rPr>
              <w:t xml:space="preserve"> book </w:t>
            </w:r>
            <w:r w:rsidR="005F2505" w:rsidRPr="000E3BCF">
              <w:rPr>
                <w:rFonts w:asciiTheme="majorHAnsi" w:hAnsiTheme="majorHAnsi" w:cs="Calibri"/>
                <w:color w:val="000000"/>
              </w:rPr>
              <w:t>inspections</w:t>
            </w:r>
            <w:r w:rsidRPr="000E3BCF">
              <w:rPr>
                <w:rFonts w:asciiTheme="majorHAnsi" w:hAnsiTheme="majorHAnsi" w:cs="Calibri"/>
                <w:color w:val="000000"/>
              </w:rPr>
              <w:t>?</w:t>
            </w:r>
          </w:p>
        </w:tc>
      </w:tr>
      <w:tr w:rsidR="00AC5386" w:rsidRPr="000E3BCF" w14:paraId="5B4ED28B" w14:textId="77777777" w:rsidTr="006A3BF5">
        <w:tc>
          <w:tcPr>
            <w:tcW w:w="988" w:type="dxa"/>
            <w:shd w:val="clear" w:color="auto" w:fill="auto"/>
          </w:tcPr>
          <w:p w14:paraId="09E134D2" w14:textId="77777777" w:rsidR="00AC5386" w:rsidRPr="000E3BCF" w:rsidRDefault="00AC5386" w:rsidP="00A0568D">
            <w:pPr>
              <w:tabs>
                <w:tab w:val="left" w:pos="3954"/>
              </w:tabs>
              <w:rPr>
                <w:rFonts w:asciiTheme="majorHAnsi" w:hAnsiTheme="majorHAnsi"/>
                <w:b/>
                <w:lang w:eastAsia="ja-JP"/>
              </w:rPr>
            </w:pPr>
          </w:p>
        </w:tc>
        <w:tc>
          <w:tcPr>
            <w:tcW w:w="8454" w:type="dxa"/>
            <w:shd w:val="clear" w:color="auto" w:fill="auto"/>
            <w:vAlign w:val="bottom"/>
          </w:tcPr>
          <w:p w14:paraId="1FB419CF" w14:textId="12EC0588" w:rsidR="00AC5386" w:rsidRPr="000E3BCF" w:rsidRDefault="007856D8" w:rsidP="00F92264">
            <w:pPr>
              <w:rPr>
                <w:rFonts w:asciiTheme="majorHAnsi" w:hAnsiTheme="majorHAnsi" w:cs="Calibri"/>
                <w:color w:val="000000"/>
              </w:rPr>
            </w:pPr>
            <w:r w:rsidRPr="00835505">
              <w:rPr>
                <w:rFonts w:asciiTheme="majorHAnsi" w:hAnsiTheme="majorHAnsi" w:cs="Calibri"/>
                <w:color w:val="002060"/>
              </w:rPr>
              <w:t>Third parties such as AA sites are still permitted to book inspections. However, the BIP is still responsible for the goods and must ensure biosecurity directions are followed within the specified timeframe.</w:t>
            </w:r>
          </w:p>
        </w:tc>
      </w:tr>
      <w:tr w:rsidR="00A0568D" w:rsidRPr="000E3BCF" w14:paraId="705BB975" w14:textId="77777777" w:rsidTr="006A3BF5">
        <w:tc>
          <w:tcPr>
            <w:tcW w:w="988" w:type="dxa"/>
            <w:shd w:val="clear" w:color="auto" w:fill="auto"/>
          </w:tcPr>
          <w:p w14:paraId="0B56C699" w14:textId="77777777"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1B0D82B2" w14:textId="718FFB62" w:rsidR="00A0568D" w:rsidRPr="000E3BCF" w:rsidRDefault="00A0568D" w:rsidP="006D201D">
            <w:pPr>
              <w:rPr>
                <w:rFonts w:asciiTheme="majorHAnsi" w:hAnsiTheme="majorHAnsi" w:cs="Calibri"/>
                <w:color w:val="000000"/>
              </w:rPr>
            </w:pPr>
            <w:r w:rsidRPr="000E3BCF">
              <w:rPr>
                <w:rFonts w:asciiTheme="majorHAnsi" w:hAnsiTheme="majorHAnsi" w:cs="Calibri"/>
                <w:color w:val="000000"/>
              </w:rPr>
              <w:t>With pre-fab buildings, BMSB was mentioned in the presentation.</w:t>
            </w:r>
            <w:r w:rsidRPr="000E3BCF">
              <w:rPr>
                <w:rFonts w:asciiTheme="majorHAnsi" w:hAnsiTheme="majorHAnsi" w:cs="Calibri"/>
                <w:color w:val="000000"/>
              </w:rPr>
              <w:br/>
              <w:t>Outside caravans, the goods in th</w:t>
            </w:r>
            <w:r w:rsidR="00F83215" w:rsidRPr="000E3BCF">
              <w:rPr>
                <w:rFonts w:asciiTheme="majorHAnsi" w:hAnsiTheme="majorHAnsi" w:cs="Calibri"/>
                <w:color w:val="000000"/>
              </w:rPr>
              <w:t>e presentation are classified under</w:t>
            </w:r>
            <w:r w:rsidRPr="000E3BCF">
              <w:rPr>
                <w:rFonts w:asciiTheme="majorHAnsi" w:hAnsiTheme="majorHAnsi" w:cs="Calibri"/>
                <w:color w:val="000000"/>
              </w:rPr>
              <w:t xml:space="preserve"> chapter 94.</w:t>
            </w:r>
            <w:r w:rsidRPr="000E3BCF">
              <w:rPr>
                <w:rFonts w:asciiTheme="majorHAnsi" w:hAnsiTheme="majorHAnsi" w:cs="Calibri"/>
                <w:color w:val="000000"/>
              </w:rPr>
              <w:br/>
              <w:t>The department</w:t>
            </w:r>
            <w:r w:rsidR="00F83215" w:rsidRPr="000E3BCF">
              <w:rPr>
                <w:rFonts w:asciiTheme="majorHAnsi" w:hAnsiTheme="majorHAnsi" w:cs="Calibri"/>
                <w:color w:val="000000"/>
              </w:rPr>
              <w:t>’</w:t>
            </w:r>
            <w:r w:rsidRPr="000E3BCF">
              <w:rPr>
                <w:rFonts w:asciiTheme="majorHAnsi" w:hAnsiTheme="majorHAnsi" w:cs="Calibri"/>
                <w:color w:val="000000"/>
              </w:rPr>
              <w:t>s BMSB webpage does not list chapter 94</w:t>
            </w:r>
            <w:r w:rsidR="00F83215" w:rsidRPr="000E3BCF">
              <w:rPr>
                <w:rFonts w:asciiTheme="majorHAnsi" w:hAnsiTheme="majorHAnsi" w:cs="Calibri"/>
                <w:color w:val="000000"/>
              </w:rPr>
              <w:t xml:space="preserve"> good</w:t>
            </w:r>
            <w:r w:rsidRPr="000E3BCF">
              <w:rPr>
                <w:rFonts w:asciiTheme="majorHAnsi" w:hAnsiTheme="majorHAnsi" w:cs="Calibri"/>
                <w:color w:val="000000"/>
              </w:rPr>
              <w:t xml:space="preserve"> as either “target high risk” or “target risk” goods.</w:t>
            </w:r>
            <w:r w:rsidRPr="000E3BCF">
              <w:rPr>
                <w:rFonts w:asciiTheme="majorHAnsi" w:hAnsiTheme="majorHAnsi" w:cs="Calibri"/>
                <w:color w:val="000000"/>
              </w:rPr>
              <w:br/>
            </w:r>
            <w:hyperlink r:id="rId14" w:anchor="what-are-the-target-high-risk-goods" w:history="1">
              <w:r w:rsidR="006D201D" w:rsidRPr="00166F74">
                <w:rPr>
                  <w:rStyle w:val="Hyperlink"/>
                  <w:rFonts w:asciiTheme="majorHAnsi" w:hAnsiTheme="majorHAnsi" w:cs="Calibri"/>
                </w:rPr>
                <w:t>http://www.agriculture.gov.au/import/before/brown-marmorated-stink-bugs#what-are-the-target-high-risk-goods</w:t>
              </w:r>
            </w:hyperlink>
            <w:r w:rsidR="006D201D">
              <w:rPr>
                <w:rFonts w:asciiTheme="majorHAnsi" w:hAnsiTheme="majorHAnsi" w:cs="Calibri"/>
                <w:color w:val="000000"/>
              </w:rPr>
              <w:t>. Please provide guidance.</w:t>
            </w:r>
          </w:p>
        </w:tc>
      </w:tr>
      <w:tr w:rsidR="003A27DB" w:rsidRPr="000E3BCF" w14:paraId="564EF409" w14:textId="77777777" w:rsidTr="006A3BF5">
        <w:tc>
          <w:tcPr>
            <w:tcW w:w="988" w:type="dxa"/>
            <w:shd w:val="clear" w:color="auto" w:fill="auto"/>
          </w:tcPr>
          <w:p w14:paraId="39ACA8DA"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5A8E4242" w14:textId="77777777" w:rsidR="00BD7E1C" w:rsidRPr="00835505" w:rsidRDefault="00BD7E1C" w:rsidP="00BD7E1C">
            <w:pPr>
              <w:rPr>
                <w:rFonts w:asciiTheme="majorHAnsi" w:hAnsiTheme="majorHAnsi" w:cs="Calibri"/>
                <w:color w:val="002060"/>
              </w:rPr>
            </w:pPr>
            <w:r w:rsidRPr="00835505">
              <w:rPr>
                <w:rFonts w:asciiTheme="majorHAnsi" w:hAnsiTheme="majorHAnsi" w:cs="Calibri"/>
                <w:color w:val="002060"/>
              </w:rPr>
              <w:t xml:space="preserve">Prefabricated buildings (tariff 9406) are not subject to BMSB seasonal measures, and will be assessed as per the standard AEPCOMM conditions. </w:t>
            </w:r>
          </w:p>
          <w:p w14:paraId="2FD69640" w14:textId="76CC8991" w:rsidR="003A27DB" w:rsidRPr="000E3BCF" w:rsidRDefault="00DD4FAF" w:rsidP="00DD4FAF">
            <w:pPr>
              <w:rPr>
                <w:rFonts w:asciiTheme="majorHAnsi" w:hAnsiTheme="majorHAnsi" w:cs="Calibri"/>
                <w:color w:val="000000"/>
              </w:rPr>
            </w:pPr>
            <w:r w:rsidRPr="00835505">
              <w:rPr>
                <w:rFonts w:asciiTheme="majorHAnsi" w:hAnsiTheme="majorHAnsi" w:cs="Calibri"/>
                <w:color w:val="002060"/>
              </w:rPr>
              <w:t xml:space="preserve">Caravans imported under tariff 8716 may be subject to BMSB seasonal measures if they are manufactured in, or shipped from any of the countries classified as a target risk country. To determine if your goods are subject to 2019-20 BMSB seasonal measures, please refer to the </w:t>
            </w:r>
            <w:hyperlink r:id="rId15" w:anchor="what-are-the-target-risk-countries" w:history="1">
              <w:r w:rsidRPr="000E3BCF">
                <w:rPr>
                  <w:rStyle w:val="Hyperlink"/>
                  <w:rFonts w:asciiTheme="majorHAnsi" w:hAnsiTheme="majorHAnsi" w:cs="Calibri"/>
                  <w:color w:val="1F497D" w:themeColor="text2"/>
                </w:rPr>
                <w:t>Seasonal measures for Brown marmorated stink bug</w:t>
              </w:r>
            </w:hyperlink>
            <w:r w:rsidRPr="000E3BCF">
              <w:rPr>
                <w:rFonts w:asciiTheme="majorHAnsi" w:hAnsiTheme="majorHAnsi" w:cs="Calibri"/>
                <w:color w:val="1F497D" w:themeColor="text2"/>
              </w:rPr>
              <w:t xml:space="preserve"> </w:t>
            </w:r>
            <w:r w:rsidRPr="00835505">
              <w:rPr>
                <w:rFonts w:asciiTheme="majorHAnsi" w:hAnsiTheme="majorHAnsi" w:cs="Calibri"/>
                <w:color w:val="002060"/>
              </w:rPr>
              <w:t>page for more information.</w:t>
            </w:r>
          </w:p>
        </w:tc>
      </w:tr>
      <w:tr w:rsidR="00A0568D" w:rsidRPr="000E3BCF" w14:paraId="36AA530F" w14:textId="77777777" w:rsidTr="006A3BF5">
        <w:tc>
          <w:tcPr>
            <w:tcW w:w="988" w:type="dxa"/>
            <w:shd w:val="clear" w:color="auto" w:fill="auto"/>
          </w:tcPr>
          <w:p w14:paraId="09E6B2B2" w14:textId="0F65FB15"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72620D6F" w14:textId="7E9241E7" w:rsidR="00A0568D" w:rsidRPr="000E3BCF" w:rsidRDefault="00195861" w:rsidP="00195861">
            <w:pPr>
              <w:rPr>
                <w:rFonts w:asciiTheme="majorHAnsi" w:hAnsiTheme="majorHAnsi" w:cs="Calibri"/>
                <w:color w:val="000000"/>
              </w:rPr>
            </w:pPr>
            <w:r w:rsidRPr="000E3BCF">
              <w:rPr>
                <w:rFonts w:asciiTheme="majorHAnsi" w:hAnsiTheme="majorHAnsi" w:cs="Calibri"/>
                <w:color w:val="000000"/>
              </w:rPr>
              <w:t>Do we need to enter</w:t>
            </w:r>
            <w:r w:rsidR="00A0568D" w:rsidRPr="000E3BCF">
              <w:rPr>
                <w:rFonts w:asciiTheme="majorHAnsi" w:hAnsiTheme="majorHAnsi" w:cs="Calibri"/>
                <w:color w:val="000000"/>
              </w:rPr>
              <w:t xml:space="preserve"> phyto</w:t>
            </w:r>
            <w:r w:rsidR="009E4D70">
              <w:rPr>
                <w:rFonts w:asciiTheme="majorHAnsi" w:hAnsiTheme="majorHAnsi" w:cs="Calibri"/>
                <w:color w:val="000000"/>
              </w:rPr>
              <w:t>sanitary certificate</w:t>
            </w:r>
            <w:r w:rsidR="00A0568D" w:rsidRPr="000E3BCF">
              <w:rPr>
                <w:rFonts w:asciiTheme="majorHAnsi" w:hAnsiTheme="majorHAnsi" w:cs="Calibri"/>
                <w:color w:val="000000"/>
              </w:rPr>
              <w:t>/document number</w:t>
            </w:r>
            <w:r w:rsidRPr="000E3BCF">
              <w:rPr>
                <w:rFonts w:asciiTheme="majorHAnsi" w:hAnsiTheme="majorHAnsi" w:cs="Calibri"/>
                <w:color w:val="000000"/>
              </w:rPr>
              <w:t>s</w:t>
            </w:r>
            <w:r w:rsidR="00657A6E">
              <w:rPr>
                <w:rFonts w:asciiTheme="majorHAnsi" w:hAnsiTheme="majorHAnsi" w:cs="Calibri"/>
                <w:color w:val="000000"/>
              </w:rPr>
              <w:t xml:space="preserve"> in the G</w:t>
            </w:r>
            <w:r w:rsidR="00A0568D" w:rsidRPr="000E3BCF">
              <w:rPr>
                <w:rFonts w:asciiTheme="majorHAnsi" w:hAnsiTheme="majorHAnsi" w:cs="Calibri"/>
                <w:color w:val="000000"/>
              </w:rPr>
              <w:t>oods description</w:t>
            </w:r>
            <w:r w:rsidR="00657A6E">
              <w:rPr>
                <w:rFonts w:asciiTheme="majorHAnsi" w:hAnsiTheme="majorHAnsi" w:cs="Calibri"/>
                <w:color w:val="000000"/>
              </w:rPr>
              <w:t xml:space="preserve"> field</w:t>
            </w:r>
            <w:r w:rsidR="00A0568D" w:rsidRPr="000E3BCF">
              <w:rPr>
                <w:rFonts w:asciiTheme="majorHAnsi" w:hAnsiTheme="majorHAnsi" w:cs="Calibri"/>
                <w:color w:val="000000"/>
              </w:rPr>
              <w:t>?</w:t>
            </w:r>
          </w:p>
        </w:tc>
      </w:tr>
      <w:tr w:rsidR="003A27DB" w:rsidRPr="000E3BCF" w14:paraId="354D9B0C" w14:textId="77777777" w:rsidTr="006A3BF5">
        <w:tc>
          <w:tcPr>
            <w:tcW w:w="988" w:type="dxa"/>
            <w:shd w:val="clear" w:color="auto" w:fill="auto"/>
          </w:tcPr>
          <w:p w14:paraId="7F5CC88B"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06D8C4F8" w14:textId="77777777" w:rsidR="00DD4FAF" w:rsidRPr="00835505" w:rsidRDefault="00195861" w:rsidP="002A3125">
            <w:pPr>
              <w:rPr>
                <w:rFonts w:asciiTheme="majorHAnsi" w:hAnsiTheme="majorHAnsi" w:cs="Calibri"/>
                <w:color w:val="002060"/>
              </w:rPr>
            </w:pPr>
            <w:r w:rsidRPr="00835505">
              <w:rPr>
                <w:rFonts w:asciiTheme="majorHAnsi" w:hAnsiTheme="majorHAnsi" w:cs="Calibri"/>
                <w:color w:val="002060"/>
              </w:rPr>
              <w:t>Yes, entering governmen</w:t>
            </w:r>
            <w:r w:rsidR="00250380" w:rsidRPr="00835505">
              <w:rPr>
                <w:rFonts w:asciiTheme="majorHAnsi" w:hAnsiTheme="majorHAnsi" w:cs="Calibri"/>
                <w:color w:val="002060"/>
              </w:rPr>
              <w:t>t certificate numbers into the G</w:t>
            </w:r>
            <w:r w:rsidRPr="00835505">
              <w:rPr>
                <w:rFonts w:asciiTheme="majorHAnsi" w:hAnsiTheme="majorHAnsi" w:cs="Calibri"/>
                <w:color w:val="002060"/>
              </w:rPr>
              <w:t>oods description field is an operating condition</w:t>
            </w:r>
            <w:r w:rsidR="00250380" w:rsidRPr="00835505">
              <w:rPr>
                <w:rFonts w:asciiTheme="majorHAnsi" w:hAnsiTheme="majorHAnsi" w:cs="Calibri"/>
                <w:color w:val="002060"/>
              </w:rPr>
              <w:t xml:space="preserve"> of AEPCOMM</w:t>
            </w:r>
            <w:r w:rsidR="001E5087" w:rsidRPr="00835505">
              <w:rPr>
                <w:rFonts w:asciiTheme="majorHAnsi" w:hAnsiTheme="majorHAnsi" w:cs="Calibri"/>
                <w:color w:val="002060"/>
              </w:rPr>
              <w:t xml:space="preserve">. Please </w:t>
            </w:r>
            <w:r w:rsidRPr="00835505">
              <w:rPr>
                <w:rFonts w:asciiTheme="majorHAnsi" w:hAnsiTheme="majorHAnsi" w:cs="Calibri"/>
                <w:color w:val="002060"/>
              </w:rPr>
              <w:t xml:space="preserve">refer to conditions 17 &amp; 18 </w:t>
            </w:r>
            <w:r w:rsidR="002A3125" w:rsidRPr="00835505">
              <w:rPr>
                <w:rFonts w:asciiTheme="majorHAnsi" w:hAnsiTheme="majorHAnsi" w:cs="Calibri"/>
                <w:color w:val="002060"/>
              </w:rPr>
              <w:t>o</w:t>
            </w:r>
            <w:r w:rsidRPr="00835505">
              <w:rPr>
                <w:rFonts w:asciiTheme="majorHAnsi" w:hAnsiTheme="majorHAnsi" w:cs="Calibri"/>
                <w:color w:val="002060"/>
              </w:rPr>
              <w:t>f the</w:t>
            </w:r>
            <w:r w:rsidR="002A3125" w:rsidRPr="00835505">
              <w:rPr>
                <w:rFonts w:asciiTheme="majorHAnsi" w:hAnsiTheme="majorHAnsi" w:cs="Calibri"/>
                <w:color w:val="002060"/>
              </w:rPr>
              <w:t xml:space="preserve"> </w:t>
            </w:r>
            <w:r w:rsidR="002A3125" w:rsidRPr="000E3BCF">
              <w:rPr>
                <w:rFonts w:asciiTheme="majorHAnsi" w:hAnsiTheme="majorHAnsi" w:cs="Calibri"/>
                <w:color w:val="1F497D" w:themeColor="text2"/>
              </w:rPr>
              <w:t>19.2</w:t>
            </w:r>
            <w:r w:rsidRPr="000E3BCF">
              <w:rPr>
                <w:rFonts w:asciiTheme="majorHAnsi" w:hAnsiTheme="majorHAnsi" w:cs="Calibri"/>
                <w:color w:val="1F497D" w:themeColor="text2"/>
              </w:rPr>
              <w:t xml:space="preserve"> </w:t>
            </w:r>
            <w:hyperlink r:id="rId16" w:history="1">
              <w:r w:rsidRPr="000E3BCF">
                <w:rPr>
                  <w:rStyle w:val="Hyperlink"/>
                  <w:rFonts w:asciiTheme="majorHAnsi" w:hAnsiTheme="majorHAnsi" w:cs="Calibri"/>
                  <w:color w:val="1F497D" w:themeColor="text2"/>
                </w:rPr>
                <w:t>Requirements and conditions</w:t>
              </w:r>
            </w:hyperlink>
            <w:r w:rsidRPr="000E3BCF">
              <w:rPr>
                <w:rFonts w:asciiTheme="majorHAnsi" w:hAnsiTheme="majorHAnsi" w:cs="Calibri"/>
                <w:color w:val="1F497D" w:themeColor="text2"/>
              </w:rPr>
              <w:t xml:space="preserve"> </w:t>
            </w:r>
            <w:r w:rsidRPr="00835505">
              <w:rPr>
                <w:rFonts w:asciiTheme="majorHAnsi" w:hAnsiTheme="majorHAnsi" w:cs="Calibri"/>
                <w:color w:val="002060"/>
              </w:rPr>
              <w:t>document.</w:t>
            </w:r>
          </w:p>
          <w:p w14:paraId="2586894A" w14:textId="5F8EA352" w:rsidR="00250380" w:rsidRPr="000E3BCF" w:rsidRDefault="00250380" w:rsidP="00250380">
            <w:pPr>
              <w:rPr>
                <w:rFonts w:asciiTheme="majorHAnsi" w:hAnsiTheme="majorHAnsi" w:cs="Calibri"/>
                <w:color w:val="1F497D" w:themeColor="text2"/>
              </w:rPr>
            </w:pPr>
            <w:r w:rsidRPr="00835505">
              <w:rPr>
                <w:rFonts w:asciiTheme="majorHAnsi" w:hAnsiTheme="majorHAnsi" w:cs="Calibri"/>
                <w:color w:val="002060"/>
              </w:rPr>
              <w:t xml:space="preserve">Please see answer to </w:t>
            </w:r>
            <w:hyperlink w:anchor="Q45" w:history="1">
              <w:r w:rsidRPr="00835505">
                <w:rPr>
                  <w:rStyle w:val="Hyperlink"/>
                  <w:rFonts w:asciiTheme="majorHAnsi" w:hAnsiTheme="majorHAnsi" w:cs="Calibri"/>
                  <w:color w:val="002060"/>
                </w:rPr>
                <w:t>Q45</w:t>
              </w:r>
            </w:hyperlink>
            <w:r w:rsidRPr="00835505">
              <w:rPr>
                <w:rFonts w:asciiTheme="majorHAnsi" w:hAnsiTheme="majorHAnsi" w:cs="Calibri"/>
                <w:color w:val="002060"/>
              </w:rPr>
              <w:t xml:space="preserve"> for related information</w:t>
            </w:r>
            <w:r>
              <w:rPr>
                <w:rFonts w:asciiTheme="majorHAnsi" w:hAnsiTheme="majorHAnsi" w:cs="Calibri"/>
                <w:color w:val="1F497D" w:themeColor="text2"/>
              </w:rPr>
              <w:t>.</w:t>
            </w:r>
          </w:p>
        </w:tc>
      </w:tr>
      <w:tr w:rsidR="00A0568D" w:rsidRPr="000E3BCF" w14:paraId="4A9A5CCA" w14:textId="77777777" w:rsidTr="006A3BF5">
        <w:tc>
          <w:tcPr>
            <w:tcW w:w="988" w:type="dxa"/>
            <w:shd w:val="clear" w:color="auto" w:fill="auto"/>
          </w:tcPr>
          <w:p w14:paraId="4235E89F" w14:textId="565E18D0"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2929FB4C" w14:textId="53ECCCD8" w:rsidR="00A0568D" w:rsidRPr="000E3BCF" w:rsidRDefault="00A0568D" w:rsidP="001E5087">
            <w:pPr>
              <w:rPr>
                <w:rFonts w:asciiTheme="majorHAnsi" w:hAnsiTheme="majorHAnsi" w:cs="Calibri"/>
                <w:color w:val="000000"/>
              </w:rPr>
            </w:pPr>
            <w:r w:rsidRPr="000E3BCF">
              <w:rPr>
                <w:rFonts w:asciiTheme="majorHAnsi" w:hAnsiTheme="majorHAnsi" w:cs="Calibri"/>
                <w:color w:val="000000"/>
              </w:rPr>
              <w:t xml:space="preserve">If the consignment consists of products that are </w:t>
            </w:r>
            <w:r w:rsidR="001E5087" w:rsidRPr="000E3BCF">
              <w:rPr>
                <w:rFonts w:asciiTheme="majorHAnsi" w:hAnsiTheme="majorHAnsi" w:cs="Calibri"/>
                <w:color w:val="000000"/>
              </w:rPr>
              <w:t>in scope for</w:t>
            </w:r>
            <w:r w:rsidRPr="000E3BCF">
              <w:rPr>
                <w:rFonts w:asciiTheme="majorHAnsi" w:hAnsiTheme="majorHAnsi" w:cs="Calibri"/>
                <w:color w:val="000000"/>
              </w:rPr>
              <w:t xml:space="preserve"> AEPCOMM scope and </w:t>
            </w:r>
            <w:r w:rsidR="001E5087" w:rsidRPr="000E3BCF">
              <w:rPr>
                <w:rFonts w:asciiTheme="majorHAnsi" w:hAnsiTheme="majorHAnsi" w:cs="Calibri"/>
                <w:color w:val="000000"/>
              </w:rPr>
              <w:t xml:space="preserve">some that are </w:t>
            </w:r>
            <w:r w:rsidRPr="000E3BCF">
              <w:rPr>
                <w:rFonts w:asciiTheme="majorHAnsi" w:hAnsiTheme="majorHAnsi" w:cs="Calibri"/>
                <w:color w:val="000000"/>
              </w:rPr>
              <w:t>out of scope, can AEPCOMM still be</w:t>
            </w:r>
            <w:r w:rsidR="001E5087" w:rsidRPr="000E3BCF">
              <w:rPr>
                <w:rFonts w:asciiTheme="majorHAnsi" w:hAnsiTheme="majorHAnsi" w:cs="Calibri"/>
                <w:color w:val="000000"/>
              </w:rPr>
              <w:t xml:space="preserve"> used to process the goods that are in</w:t>
            </w:r>
            <w:r w:rsidRPr="000E3BCF">
              <w:rPr>
                <w:rFonts w:asciiTheme="majorHAnsi" w:hAnsiTheme="majorHAnsi" w:cs="Calibri"/>
                <w:color w:val="000000"/>
              </w:rPr>
              <w:t xml:space="preserve"> scope?</w:t>
            </w:r>
          </w:p>
        </w:tc>
      </w:tr>
      <w:tr w:rsidR="00A0568D" w:rsidRPr="000E3BCF" w14:paraId="6CD32F31" w14:textId="77777777" w:rsidTr="006A3BF5">
        <w:tc>
          <w:tcPr>
            <w:tcW w:w="988" w:type="dxa"/>
            <w:shd w:val="clear" w:color="auto" w:fill="auto"/>
          </w:tcPr>
          <w:p w14:paraId="50994977" w14:textId="72EAC8A3" w:rsidR="00A0568D" w:rsidRPr="000E3BCF" w:rsidRDefault="00A0568D" w:rsidP="00A0568D">
            <w:pPr>
              <w:tabs>
                <w:tab w:val="left" w:pos="3954"/>
              </w:tabs>
              <w:rPr>
                <w:rFonts w:asciiTheme="majorHAnsi" w:hAnsiTheme="majorHAnsi"/>
                <w:b/>
                <w:lang w:eastAsia="ja-JP"/>
              </w:rPr>
            </w:pPr>
          </w:p>
        </w:tc>
        <w:tc>
          <w:tcPr>
            <w:tcW w:w="8454" w:type="dxa"/>
            <w:shd w:val="clear" w:color="auto" w:fill="auto"/>
            <w:vAlign w:val="bottom"/>
          </w:tcPr>
          <w:p w14:paraId="23A43007" w14:textId="59FE4C0F" w:rsidR="00A0568D" w:rsidRPr="000E3BCF" w:rsidRDefault="001E5087" w:rsidP="001E5087">
            <w:pPr>
              <w:rPr>
                <w:rFonts w:asciiTheme="majorHAnsi" w:hAnsiTheme="majorHAnsi" w:cs="Calibri"/>
                <w:color w:val="000000"/>
              </w:rPr>
            </w:pPr>
            <w:r w:rsidRPr="00835505">
              <w:rPr>
                <w:rFonts w:asciiTheme="majorHAnsi" w:hAnsiTheme="majorHAnsi" w:cs="Calibri"/>
                <w:color w:val="002060"/>
              </w:rPr>
              <w:t>Yes, brokers do have the option to partially process entries via AEPCOMM if they wish to do so. For the lines not in scope, documentation will need to be lodged via COLS, and further document charges will apply on top of the $18 approved arrangement fee.</w:t>
            </w:r>
          </w:p>
        </w:tc>
      </w:tr>
      <w:tr w:rsidR="00A0568D" w:rsidRPr="000E3BCF" w14:paraId="1FAB816A" w14:textId="77777777" w:rsidTr="006A3BF5">
        <w:tc>
          <w:tcPr>
            <w:tcW w:w="988" w:type="dxa"/>
            <w:shd w:val="clear" w:color="auto" w:fill="auto"/>
          </w:tcPr>
          <w:p w14:paraId="7CC662E8" w14:textId="77777777"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61CD6513" w14:textId="55A7C4E3" w:rsidR="00A0568D" w:rsidRPr="000E3BCF" w:rsidRDefault="00A0568D" w:rsidP="00A0568D">
            <w:pPr>
              <w:rPr>
                <w:rFonts w:asciiTheme="majorHAnsi" w:hAnsiTheme="majorHAnsi" w:cs="Calibri"/>
                <w:color w:val="000000"/>
              </w:rPr>
            </w:pPr>
            <w:r w:rsidRPr="000E3BCF">
              <w:rPr>
                <w:rFonts w:asciiTheme="majorHAnsi" w:hAnsiTheme="majorHAnsi" w:cs="Calibri"/>
                <w:color w:val="000000"/>
              </w:rPr>
              <w:t>Sorry I missed the first bit of the webinar. But will there be a BMSB</w:t>
            </w:r>
            <w:r w:rsidR="00D66543" w:rsidRPr="000E3BCF">
              <w:rPr>
                <w:rFonts w:asciiTheme="majorHAnsi" w:hAnsiTheme="majorHAnsi" w:cs="Calibri"/>
                <w:color w:val="000000"/>
              </w:rPr>
              <w:t xml:space="preserve"> </w:t>
            </w:r>
            <w:r w:rsidRPr="000E3BCF">
              <w:rPr>
                <w:rFonts w:asciiTheme="majorHAnsi" w:hAnsiTheme="majorHAnsi" w:cs="Calibri"/>
                <w:color w:val="000000"/>
              </w:rPr>
              <w:t>AEPCOMM group like last year</w:t>
            </w:r>
            <w:r w:rsidR="00B65D42" w:rsidRPr="000E3BCF">
              <w:rPr>
                <w:rFonts w:asciiTheme="majorHAnsi" w:hAnsiTheme="majorHAnsi" w:cs="Calibri"/>
                <w:color w:val="000000"/>
              </w:rPr>
              <w:t>?</w:t>
            </w:r>
          </w:p>
        </w:tc>
      </w:tr>
      <w:tr w:rsidR="003A27DB" w:rsidRPr="000E3BCF" w14:paraId="339E3087" w14:textId="77777777" w:rsidTr="006A3BF5">
        <w:tc>
          <w:tcPr>
            <w:tcW w:w="988" w:type="dxa"/>
            <w:shd w:val="clear" w:color="auto" w:fill="auto"/>
          </w:tcPr>
          <w:p w14:paraId="1CDA7A3E" w14:textId="77777777" w:rsidR="003A27DB" w:rsidRPr="00835505" w:rsidRDefault="003A27DB" w:rsidP="00A0568D">
            <w:pPr>
              <w:tabs>
                <w:tab w:val="left" w:pos="3954"/>
              </w:tabs>
              <w:rPr>
                <w:rFonts w:asciiTheme="majorHAnsi" w:hAnsiTheme="majorHAnsi"/>
                <w:b/>
                <w:color w:val="002060"/>
                <w:lang w:eastAsia="ja-JP"/>
              </w:rPr>
            </w:pPr>
          </w:p>
        </w:tc>
        <w:tc>
          <w:tcPr>
            <w:tcW w:w="8454" w:type="dxa"/>
            <w:shd w:val="clear" w:color="auto" w:fill="auto"/>
            <w:vAlign w:val="bottom"/>
          </w:tcPr>
          <w:p w14:paraId="36521EE7" w14:textId="46A706E7" w:rsidR="00831AB1" w:rsidRDefault="00F63E8F" w:rsidP="007856D8">
            <w:pPr>
              <w:jc w:val="both"/>
              <w:rPr>
                <w:rFonts w:asciiTheme="majorHAnsi" w:hAnsiTheme="majorHAnsi" w:cs="Calibri"/>
                <w:color w:val="002060"/>
              </w:rPr>
            </w:pPr>
            <w:r w:rsidRPr="00835505">
              <w:rPr>
                <w:rFonts w:asciiTheme="majorHAnsi" w:hAnsiTheme="majorHAnsi" w:cs="Calibri"/>
                <w:color w:val="002060"/>
              </w:rPr>
              <w:t>Yes, BIPs</w:t>
            </w:r>
            <w:r w:rsidR="007856D8" w:rsidRPr="00835505">
              <w:rPr>
                <w:rFonts w:asciiTheme="majorHAnsi" w:hAnsiTheme="majorHAnsi" w:cs="Calibri"/>
                <w:color w:val="002060"/>
              </w:rPr>
              <w:t xml:space="preserve"> will be able to use AEPCOMM for goods subject to BMSB seasonal measures.</w:t>
            </w:r>
            <w:r w:rsidR="00831AB1">
              <w:rPr>
                <w:rFonts w:asciiTheme="majorHAnsi" w:hAnsiTheme="majorHAnsi" w:cs="Calibri"/>
                <w:color w:val="002060"/>
              </w:rPr>
              <w:t xml:space="preserve"> </w:t>
            </w:r>
            <w:r w:rsidR="00831AB1" w:rsidRPr="00835505">
              <w:rPr>
                <w:rFonts w:asciiTheme="majorHAnsi" w:hAnsiTheme="majorHAnsi" w:cs="Calibri"/>
                <w:color w:val="002060"/>
              </w:rPr>
              <w:t>Brokerages that maintained their compliance during the 2018-19 BMSB season will benefit during the current season through reduced verification assessment.</w:t>
            </w:r>
          </w:p>
          <w:p w14:paraId="04906C7A" w14:textId="3BABD37E" w:rsidR="003A27DB" w:rsidRPr="00835505" w:rsidRDefault="00831AB1" w:rsidP="006D201D">
            <w:pPr>
              <w:jc w:val="both"/>
              <w:rPr>
                <w:rFonts w:asciiTheme="majorHAnsi" w:hAnsiTheme="majorHAnsi" w:cs="Calibri"/>
                <w:color w:val="002060"/>
              </w:rPr>
            </w:pPr>
            <w:r w:rsidRPr="006D201D">
              <w:rPr>
                <w:rFonts w:asciiTheme="majorHAnsi" w:hAnsiTheme="majorHAnsi" w:cs="Calibri"/>
                <w:color w:val="002060"/>
              </w:rPr>
              <w:t xml:space="preserve">This BMSB season the BICON case BMSB hitchhiker pests has been updated to include AEPCOMM information such as AEPCOMM pathways and codes. </w:t>
            </w:r>
            <w:r w:rsidR="008C35F2" w:rsidRPr="006D201D">
              <w:rPr>
                <w:rFonts w:asciiTheme="majorHAnsi" w:hAnsiTheme="majorHAnsi" w:cs="Calibri"/>
                <w:color w:val="002060"/>
              </w:rPr>
              <w:t xml:space="preserve">If goods are subject to BMSB seasonal measures please ensure you refer to this case for the relevant AEPCOMM code. </w:t>
            </w:r>
          </w:p>
        </w:tc>
      </w:tr>
      <w:tr w:rsidR="00A0568D" w:rsidRPr="000E3BCF" w14:paraId="45B124B6" w14:textId="77777777" w:rsidTr="006A3BF5">
        <w:tc>
          <w:tcPr>
            <w:tcW w:w="988" w:type="dxa"/>
            <w:shd w:val="clear" w:color="auto" w:fill="auto"/>
          </w:tcPr>
          <w:p w14:paraId="40067B8A" w14:textId="4E135958"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53BE46DB" w14:textId="100B8682" w:rsidR="00A0568D" w:rsidRPr="000E3BCF" w:rsidRDefault="00A0568D" w:rsidP="00B65D42">
            <w:pPr>
              <w:rPr>
                <w:rFonts w:asciiTheme="majorHAnsi" w:hAnsiTheme="majorHAnsi" w:cs="Calibri"/>
                <w:color w:val="000000"/>
              </w:rPr>
            </w:pPr>
            <w:r w:rsidRPr="000E3BCF">
              <w:rPr>
                <w:rFonts w:asciiTheme="majorHAnsi" w:hAnsiTheme="majorHAnsi" w:cs="Calibri"/>
                <w:color w:val="000000"/>
              </w:rPr>
              <w:t>Can you use the manufact</w:t>
            </w:r>
            <w:r w:rsidR="00B65D42" w:rsidRPr="000E3BCF">
              <w:rPr>
                <w:rFonts w:asciiTheme="majorHAnsi" w:hAnsiTheme="majorHAnsi" w:cs="Calibri"/>
                <w:color w:val="000000"/>
              </w:rPr>
              <w:t>ured wooden articles scope with/alongside</w:t>
            </w:r>
            <w:r w:rsidRPr="000E3BCF">
              <w:rPr>
                <w:rFonts w:asciiTheme="majorHAnsi" w:hAnsiTheme="majorHAnsi" w:cs="Calibri"/>
                <w:color w:val="000000"/>
              </w:rPr>
              <w:t xml:space="preserve"> the manufactured articles con</w:t>
            </w:r>
            <w:r w:rsidR="00B65D42" w:rsidRPr="000E3BCF">
              <w:rPr>
                <w:rFonts w:asciiTheme="majorHAnsi" w:hAnsiTheme="majorHAnsi" w:cs="Calibri"/>
                <w:color w:val="000000"/>
              </w:rPr>
              <w:t>taining animal derived material?</w:t>
            </w:r>
            <w:r w:rsidRPr="000E3BCF">
              <w:rPr>
                <w:rFonts w:asciiTheme="majorHAnsi" w:hAnsiTheme="majorHAnsi" w:cs="Calibri"/>
                <w:color w:val="000000"/>
              </w:rPr>
              <w:t xml:space="preserve"> </w:t>
            </w:r>
            <w:r w:rsidR="00B65D42" w:rsidRPr="000E3BCF">
              <w:rPr>
                <w:rFonts w:asciiTheme="majorHAnsi" w:hAnsiTheme="majorHAnsi" w:cs="Calibri"/>
                <w:color w:val="000000"/>
              </w:rPr>
              <w:t>For example:</w:t>
            </w:r>
            <w:r w:rsidRPr="000E3BCF">
              <w:rPr>
                <w:rFonts w:asciiTheme="majorHAnsi" w:hAnsiTheme="majorHAnsi" w:cs="Calibri"/>
                <w:color w:val="000000"/>
              </w:rPr>
              <w:t xml:space="preserve"> Sofa 9401 containing feather cushion components? </w:t>
            </w:r>
            <w:r w:rsidR="00B65D42" w:rsidRPr="000E3BCF">
              <w:rPr>
                <w:rFonts w:asciiTheme="majorHAnsi" w:hAnsiTheme="majorHAnsi" w:cs="Calibri"/>
                <w:color w:val="000000"/>
              </w:rPr>
              <w:t>Or</w:t>
            </w:r>
            <w:r w:rsidRPr="000E3BCF">
              <w:rPr>
                <w:rFonts w:asciiTheme="majorHAnsi" w:hAnsiTheme="majorHAnsi" w:cs="Calibri"/>
                <w:color w:val="000000"/>
              </w:rPr>
              <w:t xml:space="preserve"> will this b</w:t>
            </w:r>
            <w:r w:rsidR="00B65D42" w:rsidRPr="000E3BCF">
              <w:rPr>
                <w:rFonts w:asciiTheme="majorHAnsi" w:hAnsiTheme="majorHAnsi" w:cs="Calibri"/>
                <w:color w:val="000000"/>
              </w:rPr>
              <w:t>e considered out of scope as it’s</w:t>
            </w:r>
            <w:r w:rsidRPr="000E3BCF">
              <w:rPr>
                <w:rFonts w:asciiTheme="majorHAnsi" w:hAnsiTheme="majorHAnsi" w:cs="Calibri"/>
                <w:color w:val="000000"/>
              </w:rPr>
              <w:t xml:space="preserve"> not listed as a tariff on the animal derived material article case?</w:t>
            </w:r>
          </w:p>
        </w:tc>
      </w:tr>
      <w:tr w:rsidR="003A27DB" w:rsidRPr="000E3BCF" w14:paraId="7A95CA0E" w14:textId="77777777" w:rsidTr="006A3BF5">
        <w:tc>
          <w:tcPr>
            <w:tcW w:w="988" w:type="dxa"/>
            <w:shd w:val="clear" w:color="auto" w:fill="auto"/>
          </w:tcPr>
          <w:p w14:paraId="4911ABCF"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45F8F32C" w14:textId="6C25DAFB" w:rsidR="003A27DB" w:rsidRPr="000E3BCF" w:rsidRDefault="00B65D42" w:rsidP="00B65D42">
            <w:pPr>
              <w:rPr>
                <w:rFonts w:asciiTheme="majorHAnsi" w:hAnsiTheme="majorHAnsi" w:cs="Calibri"/>
                <w:color w:val="000000"/>
              </w:rPr>
            </w:pPr>
            <w:r w:rsidRPr="00835505">
              <w:rPr>
                <w:rFonts w:asciiTheme="majorHAnsi" w:hAnsiTheme="majorHAnsi" w:cs="Calibri"/>
                <w:color w:val="002060"/>
              </w:rPr>
              <w:t>At this stage, the goods described in the question above are out of scope for AEPCOMM. We are hoping to further expand the animal derived material commodity group in the near future to include tariff 9401.</w:t>
            </w:r>
          </w:p>
        </w:tc>
      </w:tr>
      <w:tr w:rsidR="00A0568D" w:rsidRPr="000E3BCF" w14:paraId="378FB936" w14:textId="77777777" w:rsidTr="006A3BF5">
        <w:tc>
          <w:tcPr>
            <w:tcW w:w="988" w:type="dxa"/>
            <w:shd w:val="clear" w:color="auto" w:fill="auto"/>
          </w:tcPr>
          <w:p w14:paraId="37DA3C33" w14:textId="77777777"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4A444173" w14:textId="06443105" w:rsidR="00A0568D" w:rsidRPr="000E3BCF" w:rsidRDefault="00B65D42" w:rsidP="00A0568D">
            <w:pPr>
              <w:rPr>
                <w:rFonts w:asciiTheme="majorHAnsi" w:hAnsiTheme="majorHAnsi" w:cs="Calibri"/>
                <w:color w:val="000000"/>
              </w:rPr>
            </w:pPr>
            <w:r w:rsidRPr="000E3BCF">
              <w:rPr>
                <w:rFonts w:asciiTheme="majorHAnsi" w:hAnsiTheme="majorHAnsi" w:cs="Calibri"/>
                <w:color w:val="000000"/>
              </w:rPr>
              <w:t>H</w:t>
            </w:r>
            <w:r w:rsidR="00A0568D" w:rsidRPr="000E3BCF">
              <w:rPr>
                <w:rFonts w:asciiTheme="majorHAnsi" w:hAnsiTheme="majorHAnsi" w:cs="Calibri"/>
                <w:color w:val="000000"/>
              </w:rPr>
              <w:t xml:space="preserve">ave the costs been reduced when the 10 </w:t>
            </w:r>
            <w:r w:rsidRPr="000E3BCF">
              <w:rPr>
                <w:rFonts w:asciiTheme="majorHAnsi" w:hAnsiTheme="majorHAnsi" w:cs="Calibri"/>
                <w:color w:val="000000"/>
              </w:rPr>
              <w:t>verifications occur</w:t>
            </w:r>
            <w:r w:rsidR="00A0568D" w:rsidRPr="000E3BCF">
              <w:rPr>
                <w:rFonts w:asciiTheme="majorHAnsi" w:hAnsiTheme="majorHAnsi" w:cs="Calibri"/>
                <w:color w:val="000000"/>
              </w:rPr>
              <w:t xml:space="preserve"> so we do not get charged $18.00 and then $30.00 to use these new avenues</w:t>
            </w:r>
            <w:r w:rsidRPr="000E3BCF">
              <w:rPr>
                <w:rFonts w:asciiTheme="majorHAnsi" w:hAnsiTheme="majorHAnsi" w:cs="Calibri"/>
                <w:color w:val="000000"/>
              </w:rPr>
              <w:t>?</w:t>
            </w:r>
          </w:p>
        </w:tc>
      </w:tr>
      <w:tr w:rsidR="003A27DB" w:rsidRPr="000E3BCF" w14:paraId="0BFD20D4" w14:textId="77777777" w:rsidTr="006A3BF5">
        <w:tc>
          <w:tcPr>
            <w:tcW w:w="988" w:type="dxa"/>
            <w:shd w:val="clear" w:color="auto" w:fill="auto"/>
          </w:tcPr>
          <w:p w14:paraId="63F7BE5B"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630EC7BD" w14:textId="77777777" w:rsidR="00810BEC" w:rsidRPr="002A5CCA" w:rsidRDefault="00810BEC" w:rsidP="005F4A9F">
            <w:pPr>
              <w:rPr>
                <w:rFonts w:asciiTheme="majorHAnsi" w:hAnsiTheme="majorHAnsi" w:cs="Calibri"/>
                <w:color w:val="002060"/>
              </w:rPr>
            </w:pPr>
            <w:r w:rsidRPr="002A5CCA">
              <w:rPr>
                <w:rFonts w:asciiTheme="majorHAnsi" w:hAnsiTheme="majorHAnsi" w:cs="Calibri"/>
                <w:color w:val="002060"/>
              </w:rPr>
              <w:t>Fees for Import declarations selected for document assessment verifications remain unchanged.</w:t>
            </w:r>
          </w:p>
          <w:p w14:paraId="324E96D4" w14:textId="1BFD3AA0" w:rsidR="003A27DB" w:rsidRPr="000E3BCF" w:rsidRDefault="00810BEC" w:rsidP="00A52B96">
            <w:pPr>
              <w:rPr>
                <w:rFonts w:asciiTheme="majorHAnsi" w:hAnsiTheme="majorHAnsi" w:cs="Calibri"/>
                <w:color w:val="000000"/>
              </w:rPr>
            </w:pPr>
            <w:r w:rsidRPr="002A5CCA">
              <w:rPr>
                <w:rFonts w:asciiTheme="majorHAnsi" w:hAnsiTheme="majorHAnsi" w:cs="Calibri"/>
                <w:color w:val="002060"/>
              </w:rPr>
              <w:lastRenderedPageBreak/>
              <w:t xml:space="preserve">For more information in regards to charges please refer to </w:t>
            </w:r>
            <w:hyperlink r:id="rId17" w:history="1">
              <w:r w:rsidRPr="002A5CCA">
                <w:rPr>
                  <w:rStyle w:val="Hyperlink"/>
                  <w:rFonts w:asciiTheme="majorHAnsi" w:hAnsiTheme="majorHAnsi" w:cs="Calibri"/>
                </w:rPr>
                <w:t>Industry advice notice #171 – 2018 Charges for automatic entry processing for commodities (AEPCOMM lodgements)</w:t>
              </w:r>
            </w:hyperlink>
            <w:r w:rsidRPr="002A5CCA">
              <w:rPr>
                <w:rFonts w:asciiTheme="majorHAnsi" w:hAnsiTheme="majorHAnsi" w:cs="Calibri"/>
                <w:color w:val="002060"/>
              </w:rPr>
              <w:t>.</w:t>
            </w:r>
          </w:p>
        </w:tc>
      </w:tr>
      <w:tr w:rsidR="00A0568D" w:rsidRPr="000E3BCF" w14:paraId="71FCBA87" w14:textId="77777777" w:rsidTr="006A3BF5">
        <w:tc>
          <w:tcPr>
            <w:tcW w:w="988" w:type="dxa"/>
            <w:shd w:val="clear" w:color="auto" w:fill="auto"/>
          </w:tcPr>
          <w:p w14:paraId="1FC11DB1" w14:textId="57576507"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4E9CD74E" w14:textId="3F124272" w:rsidR="00A0568D" w:rsidRPr="000E3BCF" w:rsidRDefault="00A0568D" w:rsidP="00A0568D">
            <w:pPr>
              <w:rPr>
                <w:rFonts w:asciiTheme="majorHAnsi" w:hAnsiTheme="majorHAnsi" w:cs="Calibri"/>
                <w:color w:val="000000"/>
              </w:rPr>
            </w:pPr>
            <w:r w:rsidRPr="000E3BCF">
              <w:rPr>
                <w:rFonts w:asciiTheme="majorHAnsi" w:hAnsiTheme="majorHAnsi" w:cs="Calibri"/>
                <w:color w:val="000000"/>
              </w:rPr>
              <w:t xml:space="preserve">Why doesn't compliance start low and only increase if </w:t>
            </w:r>
            <w:r w:rsidR="00B65D42" w:rsidRPr="000E3BCF">
              <w:rPr>
                <w:rFonts w:asciiTheme="majorHAnsi" w:hAnsiTheme="majorHAnsi" w:cs="Calibri"/>
                <w:color w:val="000000"/>
              </w:rPr>
              <w:t>non-compliance</w:t>
            </w:r>
            <w:r w:rsidRPr="000E3BCF">
              <w:rPr>
                <w:rFonts w:asciiTheme="majorHAnsi" w:hAnsiTheme="majorHAnsi" w:cs="Calibri"/>
                <w:color w:val="000000"/>
              </w:rPr>
              <w:t xml:space="preserve"> is detected?</w:t>
            </w:r>
          </w:p>
        </w:tc>
      </w:tr>
      <w:tr w:rsidR="003A27DB" w:rsidRPr="000E3BCF" w14:paraId="0CE659CC" w14:textId="77777777" w:rsidTr="006A3BF5">
        <w:tc>
          <w:tcPr>
            <w:tcW w:w="988" w:type="dxa"/>
            <w:shd w:val="clear" w:color="auto" w:fill="auto"/>
          </w:tcPr>
          <w:p w14:paraId="0BF77EA1"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30C1910C" w14:textId="27C16628" w:rsidR="003A27DB" w:rsidRPr="000E3BCF" w:rsidRDefault="008646BA" w:rsidP="00F757DF">
            <w:pPr>
              <w:rPr>
                <w:rFonts w:asciiTheme="majorHAnsi" w:hAnsiTheme="majorHAnsi" w:cs="Calibri"/>
                <w:color w:val="000000"/>
              </w:rPr>
            </w:pPr>
            <w:r w:rsidRPr="00835505">
              <w:rPr>
                <w:rFonts w:asciiTheme="majorHAnsi" w:hAnsiTheme="majorHAnsi" w:cs="Calibri"/>
                <w:color w:val="002060"/>
              </w:rPr>
              <w:t>The compliance based model provides the department and specialist commodity ar</w:t>
            </w:r>
            <w:r w:rsidR="00746DB7" w:rsidRPr="00835505">
              <w:rPr>
                <w:rFonts w:asciiTheme="majorHAnsi" w:hAnsiTheme="majorHAnsi" w:cs="Calibri"/>
                <w:color w:val="002060"/>
              </w:rPr>
              <w:t xml:space="preserve">eas of the department with </w:t>
            </w:r>
            <w:r w:rsidRPr="00835505">
              <w:rPr>
                <w:rFonts w:asciiTheme="majorHAnsi" w:hAnsiTheme="majorHAnsi" w:cs="Calibri"/>
                <w:color w:val="002060"/>
              </w:rPr>
              <w:t>confidence rega</w:t>
            </w:r>
            <w:r w:rsidR="005F4A9F" w:rsidRPr="00835505">
              <w:rPr>
                <w:rFonts w:asciiTheme="majorHAnsi" w:hAnsiTheme="majorHAnsi" w:cs="Calibri"/>
                <w:color w:val="002060"/>
              </w:rPr>
              <w:t>rding a BIPs/accredited person’s</w:t>
            </w:r>
            <w:r w:rsidRPr="00835505">
              <w:rPr>
                <w:rFonts w:asciiTheme="majorHAnsi" w:hAnsiTheme="majorHAnsi" w:cs="Calibri"/>
                <w:color w:val="002060"/>
              </w:rPr>
              <w:t xml:space="preserve"> ability to meet the requirements of the broker approved arrangements</w:t>
            </w:r>
            <w:r w:rsidR="00F757DF" w:rsidRPr="00835505">
              <w:rPr>
                <w:rFonts w:asciiTheme="majorHAnsi" w:hAnsiTheme="majorHAnsi" w:cs="Calibri"/>
                <w:color w:val="002060"/>
              </w:rPr>
              <w:t>. Additionally, the model serves as an incentive for BIPs to be rewarded with lower document verification review levels.</w:t>
            </w:r>
          </w:p>
        </w:tc>
      </w:tr>
      <w:tr w:rsidR="00A0568D" w:rsidRPr="000E3BCF" w14:paraId="5D36C723" w14:textId="77777777" w:rsidTr="006A3BF5">
        <w:tc>
          <w:tcPr>
            <w:tcW w:w="988" w:type="dxa"/>
            <w:shd w:val="clear" w:color="auto" w:fill="auto"/>
          </w:tcPr>
          <w:p w14:paraId="078CBC2A" w14:textId="77777777"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3D1B591F" w14:textId="7FBED694" w:rsidR="00A0568D" w:rsidRPr="000E3BCF" w:rsidRDefault="00A0568D" w:rsidP="00A0568D">
            <w:pPr>
              <w:rPr>
                <w:rFonts w:asciiTheme="majorHAnsi" w:hAnsiTheme="majorHAnsi" w:cs="Calibri"/>
                <w:color w:val="000000"/>
              </w:rPr>
            </w:pPr>
            <w:r w:rsidRPr="000E3BCF">
              <w:rPr>
                <w:rFonts w:asciiTheme="majorHAnsi" w:hAnsiTheme="majorHAnsi" w:cs="Calibri"/>
                <w:color w:val="000000"/>
              </w:rPr>
              <w:t>Looking at the prefab building BICON case this morning, it seems to indicate that an inspection is req</w:t>
            </w:r>
            <w:r w:rsidR="00CD1545" w:rsidRPr="000E3BCF">
              <w:rPr>
                <w:rFonts w:asciiTheme="majorHAnsi" w:hAnsiTheme="majorHAnsi" w:cs="Calibri"/>
                <w:color w:val="000000"/>
              </w:rPr>
              <w:t>uired even when the building is</w:t>
            </w:r>
            <w:r w:rsidRPr="000E3BCF">
              <w:rPr>
                <w:rFonts w:asciiTheme="majorHAnsi" w:hAnsiTheme="majorHAnsi" w:cs="Calibri"/>
                <w:color w:val="000000"/>
              </w:rPr>
              <w:t xml:space="preserve"> new, is that not correct?</w:t>
            </w:r>
          </w:p>
        </w:tc>
      </w:tr>
      <w:tr w:rsidR="003A27DB" w:rsidRPr="000E3BCF" w14:paraId="44CAB8BF" w14:textId="77777777" w:rsidTr="006A3BF5">
        <w:tc>
          <w:tcPr>
            <w:tcW w:w="988" w:type="dxa"/>
            <w:shd w:val="clear" w:color="auto" w:fill="auto"/>
          </w:tcPr>
          <w:p w14:paraId="20F14584" w14:textId="218680FC" w:rsidR="003A27DB" w:rsidRPr="000E3BCF" w:rsidRDefault="003A27DB" w:rsidP="00765008">
            <w:pPr>
              <w:tabs>
                <w:tab w:val="left" w:pos="3954"/>
              </w:tabs>
              <w:rPr>
                <w:rFonts w:asciiTheme="majorHAnsi" w:hAnsiTheme="majorHAnsi"/>
                <w:b/>
                <w:lang w:eastAsia="ja-JP"/>
              </w:rPr>
            </w:pPr>
          </w:p>
        </w:tc>
        <w:tc>
          <w:tcPr>
            <w:tcW w:w="8454" w:type="dxa"/>
            <w:shd w:val="clear" w:color="auto" w:fill="auto"/>
            <w:vAlign w:val="bottom"/>
          </w:tcPr>
          <w:p w14:paraId="4A3166D7" w14:textId="7917226C" w:rsidR="0095042E" w:rsidRPr="00A52B96" w:rsidRDefault="0095042E" w:rsidP="00CD1545">
            <w:pPr>
              <w:rPr>
                <w:rFonts w:asciiTheme="majorHAnsi" w:hAnsiTheme="majorHAnsi" w:cs="Calibri"/>
                <w:color w:val="002060"/>
              </w:rPr>
            </w:pPr>
            <w:r w:rsidRPr="00A52B96">
              <w:rPr>
                <w:rFonts w:asciiTheme="majorHAnsi" w:hAnsiTheme="majorHAnsi" w:cs="Calibri"/>
                <w:color w:val="002060"/>
              </w:rPr>
              <w:t>Unfortunately the information provide</w:t>
            </w:r>
            <w:r w:rsidR="0023656C" w:rsidRPr="00A52B96">
              <w:rPr>
                <w:rFonts w:asciiTheme="majorHAnsi" w:hAnsiTheme="majorHAnsi" w:cs="Calibri"/>
                <w:color w:val="002060"/>
              </w:rPr>
              <w:t>d is insufficient</w:t>
            </w:r>
            <w:r w:rsidRPr="00A52B96">
              <w:rPr>
                <w:rFonts w:asciiTheme="majorHAnsi" w:hAnsiTheme="majorHAnsi" w:cs="Calibri"/>
                <w:color w:val="002060"/>
              </w:rPr>
              <w:t xml:space="preserve"> to determine the full scenario however, if BICON states that an inspection is required then that would be correct. The response to question 35 provides a specific scenario of when a new prefabricated building may require inspection.</w:t>
            </w:r>
          </w:p>
          <w:p w14:paraId="6304A8C0" w14:textId="120FC143" w:rsidR="003A27DB" w:rsidRPr="000E3BCF" w:rsidRDefault="0095042E" w:rsidP="00A52B96">
            <w:pPr>
              <w:rPr>
                <w:rFonts w:asciiTheme="majorHAnsi" w:hAnsiTheme="majorHAnsi" w:cs="Calibri"/>
                <w:color w:val="000000"/>
              </w:rPr>
            </w:pPr>
            <w:r w:rsidRPr="00A52B96">
              <w:rPr>
                <w:rFonts w:asciiTheme="majorHAnsi" w:hAnsiTheme="majorHAnsi" w:cs="Calibri"/>
                <w:color w:val="002060"/>
              </w:rPr>
              <w:t xml:space="preserve">Please contact </w:t>
            </w:r>
            <w:hyperlink r:id="rId18" w:history="1">
              <w:r w:rsidRPr="00A52B96">
                <w:rPr>
                  <w:rStyle w:val="Hyperlink"/>
                  <w:rFonts w:asciiTheme="majorHAnsi" w:hAnsiTheme="majorHAnsi" w:cs="Calibri"/>
                </w:rPr>
                <w:t>aepsupport@agriculture.gov.au</w:t>
              </w:r>
            </w:hyperlink>
            <w:r w:rsidRPr="00A52B96">
              <w:rPr>
                <w:rFonts w:asciiTheme="majorHAnsi" w:hAnsiTheme="majorHAnsi" w:cs="Calibri"/>
                <w:color w:val="002060"/>
              </w:rPr>
              <w:t xml:space="preserve"> if you require assistance with assessment under AEPCOMM.</w:t>
            </w:r>
          </w:p>
        </w:tc>
      </w:tr>
      <w:tr w:rsidR="00A0568D" w:rsidRPr="000E3BCF" w14:paraId="4CCF7D07" w14:textId="77777777" w:rsidTr="006A3BF5">
        <w:tc>
          <w:tcPr>
            <w:tcW w:w="988" w:type="dxa"/>
            <w:shd w:val="clear" w:color="auto" w:fill="auto"/>
          </w:tcPr>
          <w:p w14:paraId="1982717E" w14:textId="7BFA7AC3"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3C48B834" w14:textId="729DAFF9" w:rsidR="00A0568D" w:rsidRPr="000E3BCF" w:rsidRDefault="00A0568D" w:rsidP="00A0568D">
            <w:pPr>
              <w:rPr>
                <w:rFonts w:asciiTheme="majorHAnsi" w:hAnsiTheme="majorHAnsi" w:cs="Calibri"/>
                <w:color w:val="000000"/>
              </w:rPr>
            </w:pPr>
            <w:r w:rsidRPr="000E3BCF">
              <w:rPr>
                <w:rFonts w:asciiTheme="majorHAnsi" w:hAnsiTheme="majorHAnsi" w:cs="Calibri"/>
                <w:color w:val="000000"/>
              </w:rPr>
              <w:t>Compliance review rates, e.g. 25% - is this 25% chance of going for review until the rate is reduced, or is it every fourth lodgement?</w:t>
            </w:r>
          </w:p>
        </w:tc>
      </w:tr>
      <w:tr w:rsidR="003A27DB" w:rsidRPr="000E3BCF" w14:paraId="6327D95F" w14:textId="77777777" w:rsidTr="006A3BF5">
        <w:tc>
          <w:tcPr>
            <w:tcW w:w="988" w:type="dxa"/>
            <w:shd w:val="clear" w:color="auto" w:fill="auto"/>
          </w:tcPr>
          <w:p w14:paraId="29C937FC"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2775897A" w14:textId="28AE3344" w:rsidR="003A27DB" w:rsidRPr="000E3BCF" w:rsidRDefault="00C314A7" w:rsidP="002A5855">
            <w:pPr>
              <w:rPr>
                <w:rFonts w:asciiTheme="majorHAnsi" w:hAnsiTheme="majorHAnsi" w:cs="Calibri"/>
                <w:color w:val="000000"/>
              </w:rPr>
            </w:pPr>
            <w:r w:rsidRPr="00835505">
              <w:rPr>
                <w:rFonts w:asciiTheme="majorHAnsi" w:hAnsiTheme="majorHAnsi" w:cs="Calibri"/>
                <w:color w:val="002060"/>
              </w:rPr>
              <w:t>If document re</w:t>
            </w:r>
            <w:r w:rsidR="008A61D8" w:rsidRPr="00835505">
              <w:rPr>
                <w:rFonts w:asciiTheme="majorHAnsi" w:hAnsiTheme="majorHAnsi" w:cs="Calibri"/>
                <w:color w:val="002060"/>
              </w:rPr>
              <w:t>view levels for a commodity are</w:t>
            </w:r>
            <w:r w:rsidRPr="00835505">
              <w:rPr>
                <w:rFonts w:asciiTheme="majorHAnsi" w:hAnsiTheme="majorHAnsi" w:cs="Calibri"/>
                <w:color w:val="002060"/>
              </w:rPr>
              <w:t xml:space="preserve"> at 25%, this mean</w:t>
            </w:r>
            <w:r w:rsidR="008A61D8" w:rsidRPr="00835505">
              <w:rPr>
                <w:rFonts w:asciiTheme="majorHAnsi" w:hAnsiTheme="majorHAnsi" w:cs="Calibri"/>
                <w:color w:val="002060"/>
              </w:rPr>
              <w:t>s</w:t>
            </w:r>
            <w:r w:rsidRPr="00835505">
              <w:rPr>
                <w:rFonts w:asciiTheme="majorHAnsi" w:hAnsiTheme="majorHAnsi" w:cs="Calibri"/>
                <w:color w:val="002060"/>
              </w:rPr>
              <w:t xml:space="preserve"> the system will </w:t>
            </w:r>
            <w:r w:rsidR="00902711" w:rsidRPr="00835505">
              <w:rPr>
                <w:rFonts w:asciiTheme="majorHAnsi" w:hAnsiTheme="majorHAnsi" w:cs="Calibri"/>
                <w:color w:val="002060"/>
              </w:rPr>
              <w:t>randomly select</w:t>
            </w:r>
            <w:r w:rsidR="002A5855" w:rsidRPr="00835505">
              <w:rPr>
                <w:rFonts w:asciiTheme="majorHAnsi" w:hAnsiTheme="majorHAnsi" w:cs="Calibri"/>
                <w:color w:val="002060"/>
              </w:rPr>
              <w:t xml:space="preserve"> </w:t>
            </w:r>
            <w:r w:rsidR="00902711" w:rsidRPr="00835505">
              <w:rPr>
                <w:rFonts w:asciiTheme="majorHAnsi" w:hAnsiTheme="majorHAnsi" w:cs="Calibri"/>
                <w:color w:val="002060"/>
              </w:rPr>
              <w:t>25% of</w:t>
            </w:r>
            <w:r w:rsidR="00751EF5" w:rsidRPr="00835505">
              <w:rPr>
                <w:rFonts w:asciiTheme="majorHAnsi" w:hAnsiTheme="majorHAnsi" w:cs="Calibri"/>
                <w:color w:val="002060"/>
              </w:rPr>
              <w:t xml:space="preserve"> lodgements made</w:t>
            </w:r>
            <w:r w:rsidR="008A61D8" w:rsidRPr="00835505">
              <w:rPr>
                <w:rFonts w:asciiTheme="majorHAnsi" w:hAnsiTheme="majorHAnsi" w:cs="Calibri"/>
                <w:color w:val="002060"/>
              </w:rPr>
              <w:t xml:space="preserve"> by a brokerage</w:t>
            </w:r>
            <w:r w:rsidR="00751EF5" w:rsidRPr="00835505">
              <w:rPr>
                <w:rFonts w:asciiTheme="majorHAnsi" w:hAnsiTheme="majorHAnsi" w:cs="Calibri"/>
                <w:color w:val="002060"/>
              </w:rPr>
              <w:t xml:space="preserve">. </w:t>
            </w:r>
            <w:r w:rsidR="008A61D8" w:rsidRPr="00835505">
              <w:rPr>
                <w:rFonts w:asciiTheme="majorHAnsi" w:hAnsiTheme="majorHAnsi" w:cs="Calibri"/>
                <w:color w:val="002060"/>
              </w:rPr>
              <w:t>A review level of 25%</w:t>
            </w:r>
            <w:r w:rsidR="00751EF5" w:rsidRPr="00835505">
              <w:rPr>
                <w:rFonts w:asciiTheme="majorHAnsi" w:hAnsiTheme="majorHAnsi" w:cs="Calibri"/>
                <w:color w:val="002060"/>
              </w:rPr>
              <w:t xml:space="preserve"> does not mean they system will choose every fourth import declaration</w:t>
            </w:r>
            <w:r w:rsidR="008A61D8" w:rsidRPr="00835505">
              <w:rPr>
                <w:rFonts w:asciiTheme="majorHAnsi" w:hAnsiTheme="majorHAnsi" w:cs="Calibri"/>
                <w:color w:val="002060"/>
              </w:rPr>
              <w:t xml:space="preserve"> for verification</w:t>
            </w:r>
            <w:r w:rsidR="00751EF5" w:rsidRPr="00835505">
              <w:rPr>
                <w:rFonts w:asciiTheme="majorHAnsi" w:hAnsiTheme="majorHAnsi" w:cs="Calibri"/>
                <w:color w:val="002060"/>
              </w:rPr>
              <w:t>.</w:t>
            </w:r>
            <w:r w:rsidRPr="00835505">
              <w:rPr>
                <w:rFonts w:asciiTheme="majorHAnsi" w:hAnsiTheme="majorHAnsi" w:cs="Calibri"/>
                <w:color w:val="002060"/>
              </w:rPr>
              <w:t xml:space="preserve">  </w:t>
            </w:r>
          </w:p>
        </w:tc>
      </w:tr>
      <w:tr w:rsidR="00A0568D" w:rsidRPr="000E3BCF" w14:paraId="0EFF0411" w14:textId="77777777" w:rsidTr="006A3BF5">
        <w:tc>
          <w:tcPr>
            <w:tcW w:w="988" w:type="dxa"/>
            <w:shd w:val="clear" w:color="auto" w:fill="auto"/>
          </w:tcPr>
          <w:p w14:paraId="4EFC6316" w14:textId="77777777"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43723243" w14:textId="2674E8D5" w:rsidR="00A0568D" w:rsidRPr="000E3BCF" w:rsidRDefault="00A0568D" w:rsidP="00A0568D">
            <w:pPr>
              <w:rPr>
                <w:rFonts w:asciiTheme="majorHAnsi" w:hAnsiTheme="majorHAnsi" w:cs="Calibri"/>
                <w:color w:val="000000"/>
              </w:rPr>
            </w:pPr>
            <w:r w:rsidRPr="000E3BCF">
              <w:rPr>
                <w:rFonts w:asciiTheme="majorHAnsi" w:hAnsiTheme="majorHAnsi" w:cs="Calibri"/>
                <w:color w:val="000000"/>
              </w:rPr>
              <w:t>Can I use AEPCOMM for imported vessels that are sailed in?</w:t>
            </w:r>
          </w:p>
        </w:tc>
      </w:tr>
      <w:tr w:rsidR="003A27DB" w:rsidRPr="000E3BCF" w14:paraId="746CFB2C" w14:textId="77777777" w:rsidTr="006A3BF5">
        <w:tc>
          <w:tcPr>
            <w:tcW w:w="988" w:type="dxa"/>
            <w:shd w:val="clear" w:color="auto" w:fill="auto"/>
          </w:tcPr>
          <w:p w14:paraId="067E2219"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2FEEBA47" w14:textId="5AC36779" w:rsidR="003A27DB" w:rsidRPr="000E3BCF" w:rsidRDefault="00362CD1" w:rsidP="00A0568D">
            <w:pPr>
              <w:rPr>
                <w:rFonts w:asciiTheme="majorHAnsi" w:hAnsiTheme="majorHAnsi" w:cs="Calibri"/>
                <w:color w:val="000000"/>
              </w:rPr>
            </w:pPr>
            <w:r w:rsidRPr="000E3BCF">
              <w:rPr>
                <w:rFonts w:asciiTheme="majorHAnsi" w:hAnsiTheme="majorHAnsi" w:cs="Calibri"/>
                <w:color w:val="002060"/>
              </w:rPr>
              <w:t xml:space="preserve">Not at present. This pathway is out of scope of AEPCOMM and documents are required to be lodged through COLS for assessment by the department. </w:t>
            </w:r>
          </w:p>
        </w:tc>
      </w:tr>
      <w:tr w:rsidR="00A0568D" w:rsidRPr="000E3BCF" w14:paraId="7EE8271F" w14:textId="77777777" w:rsidTr="006A3BF5">
        <w:tc>
          <w:tcPr>
            <w:tcW w:w="988" w:type="dxa"/>
            <w:shd w:val="clear" w:color="auto" w:fill="auto"/>
          </w:tcPr>
          <w:p w14:paraId="684BBDD7" w14:textId="72B22553"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3CBECDC1" w14:textId="197A7A75" w:rsidR="00A0568D" w:rsidRPr="000E3BCF" w:rsidRDefault="0077306E" w:rsidP="00A0568D">
            <w:pPr>
              <w:rPr>
                <w:rFonts w:asciiTheme="majorHAnsi" w:hAnsiTheme="majorHAnsi" w:cs="Calibri"/>
                <w:color w:val="000000"/>
              </w:rPr>
            </w:pPr>
            <w:r w:rsidRPr="000E3BCF">
              <w:rPr>
                <w:rFonts w:asciiTheme="majorHAnsi" w:hAnsiTheme="majorHAnsi" w:cs="Calibri"/>
                <w:color w:val="000000"/>
              </w:rPr>
              <w:t>W</w:t>
            </w:r>
            <w:r w:rsidR="00A0568D" w:rsidRPr="000E3BCF">
              <w:rPr>
                <w:rFonts w:asciiTheme="majorHAnsi" w:hAnsiTheme="majorHAnsi" w:cs="Calibri"/>
                <w:color w:val="000000"/>
              </w:rPr>
              <w:t>ill you send the link to the "training and accreditation page" when</w:t>
            </w:r>
            <w:r w:rsidRPr="000E3BCF">
              <w:rPr>
                <w:rFonts w:asciiTheme="majorHAnsi" w:hAnsiTheme="majorHAnsi" w:cs="Calibri"/>
                <w:color w:val="000000"/>
              </w:rPr>
              <w:t xml:space="preserve"> the</w:t>
            </w:r>
            <w:r w:rsidR="00A0568D" w:rsidRPr="000E3BCF">
              <w:rPr>
                <w:rFonts w:asciiTheme="majorHAnsi" w:hAnsiTheme="majorHAnsi" w:cs="Calibri"/>
                <w:color w:val="000000"/>
              </w:rPr>
              <w:t xml:space="preserve"> Q&amp;A are </w:t>
            </w:r>
            <w:r w:rsidRPr="000E3BCF">
              <w:rPr>
                <w:rFonts w:asciiTheme="majorHAnsi" w:hAnsiTheme="majorHAnsi" w:cs="Calibri"/>
                <w:color w:val="000000"/>
              </w:rPr>
              <w:t>up</w:t>
            </w:r>
            <w:r w:rsidR="00A0568D" w:rsidRPr="000E3BCF">
              <w:rPr>
                <w:rFonts w:asciiTheme="majorHAnsi" w:hAnsiTheme="majorHAnsi" w:cs="Calibri"/>
                <w:color w:val="000000"/>
              </w:rPr>
              <w:t>loaded?</w:t>
            </w:r>
          </w:p>
        </w:tc>
      </w:tr>
      <w:tr w:rsidR="003A27DB" w:rsidRPr="000E3BCF" w14:paraId="04007568" w14:textId="77777777" w:rsidTr="006A3BF5">
        <w:tc>
          <w:tcPr>
            <w:tcW w:w="988" w:type="dxa"/>
            <w:shd w:val="clear" w:color="auto" w:fill="auto"/>
          </w:tcPr>
          <w:p w14:paraId="3927FAA8" w14:textId="77777777" w:rsidR="003A27DB" w:rsidRPr="000E3BCF" w:rsidRDefault="003A27DB" w:rsidP="00A0568D">
            <w:pPr>
              <w:tabs>
                <w:tab w:val="left" w:pos="3954"/>
              </w:tabs>
              <w:rPr>
                <w:rFonts w:asciiTheme="majorHAnsi" w:hAnsiTheme="majorHAnsi"/>
                <w:b/>
                <w:color w:val="1F497D" w:themeColor="text2"/>
                <w:lang w:eastAsia="ja-JP"/>
              </w:rPr>
            </w:pPr>
          </w:p>
        </w:tc>
        <w:tc>
          <w:tcPr>
            <w:tcW w:w="8454" w:type="dxa"/>
            <w:shd w:val="clear" w:color="auto" w:fill="auto"/>
            <w:vAlign w:val="bottom"/>
          </w:tcPr>
          <w:p w14:paraId="4DC7C5EA" w14:textId="3EDE1209" w:rsidR="0077306E" w:rsidRPr="000E3BCF" w:rsidRDefault="0077306E" w:rsidP="00A0568D">
            <w:pPr>
              <w:rPr>
                <w:rFonts w:asciiTheme="majorHAnsi" w:hAnsiTheme="majorHAnsi" w:cs="Calibri"/>
                <w:color w:val="1F497D" w:themeColor="text2"/>
              </w:rPr>
            </w:pPr>
            <w:r w:rsidRPr="00835505">
              <w:rPr>
                <w:rFonts w:asciiTheme="majorHAnsi" w:hAnsiTheme="majorHAnsi" w:cs="Calibri"/>
                <w:color w:val="002060"/>
              </w:rPr>
              <w:t xml:space="preserve">The link to the page can be found here: </w:t>
            </w:r>
            <w:hyperlink r:id="rId19" w:history="1">
              <w:r w:rsidRPr="00835505">
                <w:rPr>
                  <w:rStyle w:val="Hyperlink"/>
                  <w:rFonts w:asciiTheme="majorHAnsi" w:hAnsiTheme="majorHAnsi" w:cs="Calibri"/>
                  <w:color w:val="002060"/>
                </w:rPr>
                <w:t>http://www.agriculture.gov.au/import/arrival/arrangements/training-accreditation</w:t>
              </w:r>
            </w:hyperlink>
          </w:p>
        </w:tc>
      </w:tr>
      <w:tr w:rsidR="00A0568D" w:rsidRPr="000E3BCF" w14:paraId="7C3575E2" w14:textId="77777777" w:rsidTr="006A3BF5">
        <w:tc>
          <w:tcPr>
            <w:tcW w:w="988" w:type="dxa"/>
            <w:shd w:val="clear" w:color="auto" w:fill="auto"/>
          </w:tcPr>
          <w:p w14:paraId="2B31D171" w14:textId="77777777"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313C9539" w14:textId="5C2E540A" w:rsidR="00A0568D" w:rsidRPr="000E3BCF" w:rsidRDefault="00A0568D" w:rsidP="00A0568D">
            <w:pPr>
              <w:rPr>
                <w:rFonts w:asciiTheme="majorHAnsi" w:hAnsiTheme="majorHAnsi" w:cs="Calibri"/>
                <w:color w:val="000000"/>
              </w:rPr>
            </w:pPr>
            <w:r w:rsidRPr="000E3BCF">
              <w:rPr>
                <w:rFonts w:asciiTheme="majorHAnsi" w:hAnsiTheme="majorHAnsi" w:cs="Calibri"/>
                <w:color w:val="000000"/>
              </w:rPr>
              <w:t>Why do we need a BICON user account? Anyone can login into BICON and use as a search engine for import conditions.</w:t>
            </w:r>
          </w:p>
        </w:tc>
      </w:tr>
      <w:tr w:rsidR="003A27DB" w:rsidRPr="000E3BCF" w14:paraId="4E295CBA" w14:textId="77777777" w:rsidTr="006A3BF5">
        <w:tc>
          <w:tcPr>
            <w:tcW w:w="988" w:type="dxa"/>
            <w:shd w:val="clear" w:color="auto" w:fill="auto"/>
          </w:tcPr>
          <w:p w14:paraId="46AC7248"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60A8FE1C" w14:textId="3CF00F26" w:rsidR="003A27DB" w:rsidRPr="000E3BCF" w:rsidRDefault="0091489E" w:rsidP="00340D64">
            <w:pPr>
              <w:rPr>
                <w:rFonts w:asciiTheme="majorHAnsi" w:hAnsiTheme="majorHAnsi" w:cs="Calibri"/>
                <w:color w:val="000000"/>
              </w:rPr>
            </w:pPr>
            <w:r w:rsidRPr="000E3BCF">
              <w:rPr>
                <w:rFonts w:asciiTheme="majorHAnsi" w:hAnsiTheme="majorHAnsi" w:cs="Calibri"/>
                <w:color w:val="002060"/>
              </w:rPr>
              <w:t>The public view of BICON provides import conditions</w:t>
            </w:r>
            <w:r w:rsidR="00B44C07" w:rsidRPr="000E3BCF">
              <w:rPr>
                <w:rFonts w:asciiTheme="majorHAnsi" w:hAnsiTheme="majorHAnsi" w:cs="Calibri"/>
                <w:color w:val="002060"/>
              </w:rPr>
              <w:t xml:space="preserve"> and onshore outcomes</w:t>
            </w:r>
            <w:r w:rsidRPr="000E3BCF">
              <w:rPr>
                <w:rFonts w:asciiTheme="majorHAnsi" w:hAnsiTheme="majorHAnsi" w:cs="Calibri"/>
                <w:color w:val="002060"/>
              </w:rPr>
              <w:t xml:space="preserve"> for </w:t>
            </w:r>
            <w:r w:rsidR="00B44C07" w:rsidRPr="000E3BCF">
              <w:rPr>
                <w:rFonts w:asciiTheme="majorHAnsi" w:hAnsiTheme="majorHAnsi" w:cs="Calibri"/>
                <w:color w:val="002060"/>
              </w:rPr>
              <w:t xml:space="preserve">a wide range of products, however it does not display AEPCOMM information such as AEPCOMM pathways and appropriate AEPCOMM codes </w:t>
            </w:r>
            <w:r w:rsidR="00340D64" w:rsidRPr="000E3BCF">
              <w:rPr>
                <w:rFonts w:asciiTheme="majorHAnsi" w:hAnsiTheme="majorHAnsi" w:cs="Calibri"/>
                <w:color w:val="002060"/>
              </w:rPr>
              <w:t>to enter</w:t>
            </w:r>
            <w:r w:rsidR="00B44C07" w:rsidRPr="000E3BCF">
              <w:rPr>
                <w:rFonts w:asciiTheme="majorHAnsi" w:hAnsiTheme="majorHAnsi" w:cs="Calibri"/>
                <w:color w:val="002060"/>
              </w:rPr>
              <w:t xml:space="preserve"> in the system. Therefore, registering for BICON AEPCOMM user access is essential and a condition of the approved arrangement.</w:t>
            </w:r>
          </w:p>
        </w:tc>
      </w:tr>
      <w:tr w:rsidR="00A0568D" w:rsidRPr="000E3BCF" w14:paraId="04A79CD5" w14:textId="77777777" w:rsidTr="006A3BF5">
        <w:tc>
          <w:tcPr>
            <w:tcW w:w="988" w:type="dxa"/>
            <w:shd w:val="clear" w:color="auto" w:fill="auto"/>
          </w:tcPr>
          <w:p w14:paraId="29F85890" w14:textId="374ECE79"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376A50B9" w14:textId="13998EA8" w:rsidR="00A0568D" w:rsidRPr="000E3BCF" w:rsidRDefault="00A0568D" w:rsidP="00EA3C28">
            <w:pPr>
              <w:rPr>
                <w:rFonts w:asciiTheme="majorHAnsi" w:hAnsiTheme="majorHAnsi" w:cs="Calibri"/>
                <w:color w:val="000000"/>
                <w:lang w:eastAsia="en-AU"/>
              </w:rPr>
            </w:pPr>
            <w:r w:rsidRPr="000E3BCF">
              <w:rPr>
                <w:rFonts w:asciiTheme="majorHAnsi" w:hAnsiTheme="majorHAnsi" w:cs="Calibri"/>
                <w:color w:val="000000"/>
              </w:rPr>
              <w:t xml:space="preserve">Regarding “designated AIMS direction timeframe” mentioned in condition 23. Our brokerage </w:t>
            </w:r>
            <w:r w:rsidR="007A157C" w:rsidRPr="000E3BCF">
              <w:rPr>
                <w:rFonts w:asciiTheme="majorHAnsi" w:hAnsiTheme="majorHAnsi" w:cs="Calibri"/>
                <w:color w:val="000000"/>
              </w:rPr>
              <w:t>tries</w:t>
            </w:r>
            <w:r w:rsidR="00511015" w:rsidRPr="000E3BCF">
              <w:rPr>
                <w:rFonts w:asciiTheme="majorHAnsi" w:hAnsiTheme="majorHAnsi" w:cs="Calibri"/>
                <w:color w:val="000000"/>
              </w:rPr>
              <w:t xml:space="preserve"> to work</w:t>
            </w:r>
            <w:r w:rsidRPr="000E3BCF">
              <w:rPr>
                <w:rFonts w:asciiTheme="majorHAnsi" w:hAnsiTheme="majorHAnsi" w:cs="Calibri"/>
                <w:color w:val="000000"/>
              </w:rPr>
              <w:t xml:space="preserve"> well in advance of a shipments arrival, what happens when we lodge </w:t>
            </w:r>
            <w:r w:rsidR="0077306E" w:rsidRPr="000E3BCF">
              <w:rPr>
                <w:rFonts w:asciiTheme="majorHAnsi" w:hAnsiTheme="majorHAnsi" w:cs="Calibri"/>
                <w:color w:val="000000"/>
              </w:rPr>
              <w:t>goods</w:t>
            </w:r>
            <w:r w:rsidRPr="000E3BCF">
              <w:rPr>
                <w:rFonts w:asciiTheme="majorHAnsi" w:hAnsiTheme="majorHAnsi" w:cs="Calibri"/>
                <w:color w:val="000000"/>
              </w:rPr>
              <w:t xml:space="preserve"> and the biosecurity direction requires the inspection to be completed before the vessel even arrives? In my view, this is a good example of the Department looking to punish brokers more and more.</w:t>
            </w:r>
          </w:p>
        </w:tc>
      </w:tr>
      <w:tr w:rsidR="003A27DB" w:rsidRPr="000E3BCF" w14:paraId="60EB3EC3" w14:textId="77777777" w:rsidTr="006A3BF5">
        <w:tc>
          <w:tcPr>
            <w:tcW w:w="988" w:type="dxa"/>
            <w:shd w:val="clear" w:color="auto" w:fill="auto"/>
          </w:tcPr>
          <w:p w14:paraId="6F293D66"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1C256047" w14:textId="5A253E1D" w:rsidR="003A27DB" w:rsidRPr="000E3BCF" w:rsidRDefault="00511015" w:rsidP="00EA3C28">
            <w:pPr>
              <w:rPr>
                <w:rFonts w:asciiTheme="majorHAnsi" w:hAnsiTheme="majorHAnsi" w:cs="Calibri"/>
                <w:color w:val="000000"/>
              </w:rPr>
            </w:pPr>
            <w:r w:rsidRPr="00835505">
              <w:rPr>
                <w:rFonts w:asciiTheme="majorHAnsi" w:hAnsiTheme="majorHAnsi" w:cs="Calibri"/>
                <w:color w:val="002060"/>
              </w:rPr>
              <w:t xml:space="preserve">Timeframe due dates may be amended when there is a genuine need for extension. </w:t>
            </w:r>
            <w:r w:rsidR="007A157C" w:rsidRPr="00835505">
              <w:rPr>
                <w:rFonts w:asciiTheme="majorHAnsi" w:hAnsiTheme="majorHAnsi" w:cs="Calibri"/>
                <w:color w:val="002060"/>
              </w:rPr>
              <w:t xml:space="preserve">In these scenarios, </w:t>
            </w:r>
            <w:r w:rsidRPr="00835505">
              <w:rPr>
                <w:rFonts w:asciiTheme="majorHAnsi" w:hAnsiTheme="majorHAnsi" w:cs="Calibri"/>
                <w:color w:val="002060"/>
              </w:rPr>
              <w:t xml:space="preserve">you can </w:t>
            </w:r>
            <w:r w:rsidR="00ED35CB">
              <w:rPr>
                <w:rFonts w:asciiTheme="majorHAnsi" w:hAnsiTheme="majorHAnsi" w:cs="Calibri"/>
                <w:color w:val="002060"/>
              </w:rPr>
              <w:t>contact</w:t>
            </w:r>
            <w:r w:rsidRPr="00835505">
              <w:rPr>
                <w:rFonts w:asciiTheme="majorHAnsi" w:hAnsiTheme="majorHAnsi" w:cs="Calibri"/>
                <w:color w:val="002060"/>
              </w:rPr>
              <w:t xml:space="preserve"> </w:t>
            </w:r>
            <w:r w:rsidR="00ED35CB">
              <w:rPr>
                <w:rFonts w:asciiTheme="majorHAnsi" w:hAnsiTheme="majorHAnsi" w:cs="Calibri"/>
                <w:color w:val="002060"/>
              </w:rPr>
              <w:t xml:space="preserve">the department by calling </w:t>
            </w:r>
            <w:r w:rsidRPr="00835505">
              <w:rPr>
                <w:rFonts w:asciiTheme="majorHAnsi" w:hAnsiTheme="majorHAnsi" w:cs="Calibri"/>
                <w:color w:val="002060"/>
              </w:rPr>
              <w:t>1800 900 090</w:t>
            </w:r>
            <w:r w:rsidR="00ED35CB">
              <w:rPr>
                <w:rFonts w:asciiTheme="majorHAnsi" w:hAnsiTheme="majorHAnsi" w:cs="Calibri"/>
                <w:color w:val="002060"/>
              </w:rPr>
              <w:t xml:space="preserve"> or emailing to </w:t>
            </w:r>
            <w:hyperlink r:id="rId20" w:history="1">
              <w:r w:rsidR="00ED35CB" w:rsidRPr="00EA3C28">
                <w:rPr>
                  <w:rFonts w:asciiTheme="majorHAnsi" w:hAnsiTheme="majorHAnsi" w:cs="Calibri"/>
                  <w:color w:val="002060"/>
                </w:rPr>
                <w:t>info@agriculture.gov.au</w:t>
              </w:r>
            </w:hyperlink>
            <w:r w:rsidRPr="00835505">
              <w:rPr>
                <w:rFonts w:asciiTheme="majorHAnsi" w:hAnsiTheme="majorHAnsi" w:cs="Calibri"/>
                <w:color w:val="002060"/>
              </w:rPr>
              <w:t xml:space="preserve"> and request for the due date to be extended.</w:t>
            </w:r>
          </w:p>
        </w:tc>
      </w:tr>
      <w:tr w:rsidR="00A0568D" w:rsidRPr="000E3BCF" w14:paraId="45FACA01" w14:textId="77777777" w:rsidTr="006A3BF5">
        <w:tc>
          <w:tcPr>
            <w:tcW w:w="988" w:type="dxa"/>
            <w:shd w:val="clear" w:color="auto" w:fill="auto"/>
          </w:tcPr>
          <w:p w14:paraId="2D383FC4" w14:textId="3B91E093"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61F3185E" w14:textId="034787FA" w:rsidR="00A0568D" w:rsidRPr="000E3BCF" w:rsidRDefault="00A0568D" w:rsidP="00EA3C28">
            <w:pPr>
              <w:rPr>
                <w:rFonts w:asciiTheme="majorHAnsi" w:hAnsiTheme="majorHAnsi" w:cs="Calibri"/>
                <w:color w:val="000000"/>
              </w:rPr>
            </w:pPr>
            <w:r w:rsidRPr="000E3BCF">
              <w:rPr>
                <w:rFonts w:asciiTheme="majorHAnsi" w:hAnsiTheme="majorHAnsi" w:cs="Calibri"/>
                <w:color w:val="000000"/>
              </w:rPr>
              <w:t>I think it was mentio</w:t>
            </w:r>
            <w:r w:rsidR="0093479B" w:rsidRPr="000E3BCF">
              <w:rPr>
                <w:rFonts w:asciiTheme="majorHAnsi" w:hAnsiTheme="majorHAnsi" w:cs="Calibri"/>
                <w:color w:val="000000"/>
              </w:rPr>
              <w:t xml:space="preserve">ned </w:t>
            </w:r>
            <w:r w:rsidRPr="000E3BCF">
              <w:rPr>
                <w:rFonts w:asciiTheme="majorHAnsi" w:hAnsiTheme="majorHAnsi" w:cs="Calibri"/>
                <w:color w:val="000000"/>
              </w:rPr>
              <w:t>t</w:t>
            </w:r>
            <w:r w:rsidR="0093479B" w:rsidRPr="000E3BCF">
              <w:rPr>
                <w:rFonts w:asciiTheme="majorHAnsi" w:hAnsiTheme="majorHAnsi" w:cs="Calibri"/>
                <w:color w:val="000000"/>
              </w:rPr>
              <w:t xml:space="preserve">hat Prefabricated Buildings </w:t>
            </w:r>
            <w:r w:rsidRPr="000E3BCF">
              <w:rPr>
                <w:rFonts w:asciiTheme="majorHAnsi" w:hAnsiTheme="majorHAnsi" w:cs="Calibri"/>
                <w:color w:val="000000"/>
              </w:rPr>
              <w:t xml:space="preserve">loaded in an FCL destined for rural unpack would be subject to full unpack/inspection.  I cannot see this requirement specified in BICON.  Please </w:t>
            </w:r>
            <w:r w:rsidR="004713C4">
              <w:rPr>
                <w:rFonts w:asciiTheme="majorHAnsi" w:hAnsiTheme="majorHAnsi" w:cs="Calibri"/>
                <w:color w:val="000000"/>
              </w:rPr>
              <w:t>provide advic</w:t>
            </w:r>
            <w:r w:rsidRPr="000E3BCF">
              <w:rPr>
                <w:rFonts w:asciiTheme="majorHAnsi" w:hAnsiTheme="majorHAnsi" w:cs="Calibri"/>
                <w:color w:val="000000"/>
              </w:rPr>
              <w:t>e.</w:t>
            </w:r>
          </w:p>
        </w:tc>
      </w:tr>
      <w:tr w:rsidR="003A27DB" w:rsidRPr="000E3BCF" w14:paraId="318CEE87" w14:textId="77777777" w:rsidTr="006A3BF5">
        <w:tc>
          <w:tcPr>
            <w:tcW w:w="988" w:type="dxa"/>
            <w:shd w:val="clear" w:color="auto" w:fill="auto"/>
          </w:tcPr>
          <w:p w14:paraId="11A18C3A"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61544ADF" w14:textId="3FBCB6F0" w:rsidR="00090790" w:rsidRPr="00835505" w:rsidRDefault="00F7215A" w:rsidP="00EA3C28">
            <w:pPr>
              <w:rPr>
                <w:rFonts w:asciiTheme="majorHAnsi" w:hAnsiTheme="majorHAnsi" w:cs="Calibri"/>
                <w:color w:val="002060"/>
              </w:rPr>
            </w:pPr>
            <w:r w:rsidRPr="00835505">
              <w:rPr>
                <w:rFonts w:asciiTheme="majorHAnsi" w:hAnsiTheme="majorHAnsi" w:cs="Calibri"/>
                <w:color w:val="002060"/>
              </w:rPr>
              <w:t xml:space="preserve">Yes, some commodities in the </w:t>
            </w:r>
            <w:r w:rsidR="00090790" w:rsidRPr="00835505">
              <w:rPr>
                <w:rFonts w:asciiTheme="majorHAnsi" w:hAnsiTheme="majorHAnsi" w:cs="Calibri"/>
                <w:color w:val="002060"/>
              </w:rPr>
              <w:t>BICON case Prefabricated office, accommodation units and caravans</w:t>
            </w:r>
            <w:r w:rsidR="0028062D" w:rsidRPr="00835505">
              <w:rPr>
                <w:rFonts w:asciiTheme="majorHAnsi" w:hAnsiTheme="majorHAnsi" w:cs="Calibri"/>
                <w:color w:val="002060"/>
              </w:rPr>
              <w:t xml:space="preserve">, </w:t>
            </w:r>
            <w:r w:rsidRPr="00835505">
              <w:rPr>
                <w:rFonts w:asciiTheme="majorHAnsi" w:hAnsiTheme="majorHAnsi" w:cs="Calibri"/>
                <w:color w:val="002060"/>
              </w:rPr>
              <w:t xml:space="preserve">require a Cargo inspection (rather than a rural tailgate inspection) </w:t>
            </w:r>
            <w:r w:rsidR="00090790" w:rsidRPr="00835505">
              <w:rPr>
                <w:rFonts w:asciiTheme="majorHAnsi" w:hAnsiTheme="majorHAnsi" w:cs="Calibri"/>
                <w:color w:val="002060"/>
              </w:rPr>
              <w:t>if the</w:t>
            </w:r>
            <w:r w:rsidRPr="00835505">
              <w:rPr>
                <w:rFonts w:asciiTheme="majorHAnsi" w:hAnsiTheme="majorHAnsi" w:cs="Calibri"/>
                <w:color w:val="002060"/>
              </w:rPr>
              <w:t xml:space="preserve"> cargo</w:t>
            </w:r>
            <w:r w:rsidR="00090790" w:rsidRPr="00835505">
              <w:rPr>
                <w:rFonts w:asciiTheme="majorHAnsi" w:hAnsiTheme="majorHAnsi" w:cs="Calibri"/>
                <w:color w:val="002060"/>
              </w:rPr>
              <w:t xml:space="preserve"> </w:t>
            </w:r>
            <w:r w:rsidRPr="00835505">
              <w:rPr>
                <w:rFonts w:asciiTheme="majorHAnsi" w:hAnsiTheme="majorHAnsi" w:cs="Calibri"/>
                <w:color w:val="002060"/>
              </w:rPr>
              <w:t xml:space="preserve">is destined for a </w:t>
            </w:r>
            <w:r w:rsidR="00090790" w:rsidRPr="00835505">
              <w:rPr>
                <w:rFonts w:asciiTheme="majorHAnsi" w:hAnsiTheme="majorHAnsi" w:cs="Calibri"/>
                <w:color w:val="002060"/>
              </w:rPr>
              <w:t>rural location.</w:t>
            </w:r>
          </w:p>
          <w:p w14:paraId="1AE09B1B" w14:textId="0E499191" w:rsidR="00090790" w:rsidRPr="00835505" w:rsidRDefault="00303061" w:rsidP="00A0568D">
            <w:pPr>
              <w:spacing w:before="0"/>
              <w:rPr>
                <w:rFonts w:asciiTheme="majorHAnsi" w:hAnsiTheme="majorHAnsi" w:cs="Calibri"/>
                <w:color w:val="002060"/>
              </w:rPr>
            </w:pPr>
            <w:r w:rsidRPr="00835505">
              <w:rPr>
                <w:rFonts w:asciiTheme="majorHAnsi" w:hAnsiTheme="majorHAnsi" w:cs="Calibri"/>
                <w:color w:val="002060"/>
              </w:rPr>
              <w:t>For example: an</w:t>
            </w:r>
            <w:r w:rsidR="00D6724A" w:rsidRPr="00835505">
              <w:rPr>
                <w:rFonts w:asciiTheme="majorHAnsi" w:hAnsiTheme="majorHAnsi" w:cs="Calibri"/>
                <w:color w:val="002060"/>
              </w:rPr>
              <w:t xml:space="preserve"> FCL</w:t>
            </w:r>
            <w:r w:rsidR="00DE5496" w:rsidRPr="00835505">
              <w:rPr>
                <w:rFonts w:asciiTheme="majorHAnsi" w:hAnsiTheme="majorHAnsi" w:cs="Calibri"/>
                <w:color w:val="002060"/>
              </w:rPr>
              <w:t xml:space="preserve"> </w:t>
            </w:r>
            <w:r w:rsidR="00D6724A" w:rsidRPr="00835505">
              <w:rPr>
                <w:rFonts w:asciiTheme="majorHAnsi" w:hAnsiTheme="majorHAnsi" w:cs="Calibri"/>
                <w:color w:val="002060"/>
              </w:rPr>
              <w:t>containing a</w:t>
            </w:r>
            <w:r w:rsidR="00090790" w:rsidRPr="00835505">
              <w:rPr>
                <w:rFonts w:asciiTheme="majorHAnsi" w:hAnsiTheme="majorHAnsi" w:cs="Calibri"/>
                <w:color w:val="002060"/>
              </w:rPr>
              <w:t xml:space="preserve"> new caravan </w:t>
            </w:r>
            <w:r w:rsidR="00D6724A" w:rsidRPr="00835505">
              <w:rPr>
                <w:rFonts w:asciiTheme="majorHAnsi" w:hAnsiTheme="majorHAnsi" w:cs="Calibri"/>
                <w:color w:val="002060"/>
              </w:rPr>
              <w:t xml:space="preserve">with </w:t>
            </w:r>
            <w:r w:rsidR="00090790" w:rsidRPr="00835505">
              <w:rPr>
                <w:rFonts w:asciiTheme="majorHAnsi" w:hAnsiTheme="majorHAnsi" w:cs="Calibri"/>
                <w:color w:val="002060"/>
              </w:rPr>
              <w:t>no wooden components</w:t>
            </w:r>
            <w:r w:rsidRPr="00835505">
              <w:rPr>
                <w:rFonts w:asciiTheme="majorHAnsi" w:hAnsiTheme="majorHAnsi" w:cs="Calibri"/>
                <w:color w:val="002060"/>
              </w:rPr>
              <w:t xml:space="preserve"> (where al</w:t>
            </w:r>
            <w:r w:rsidR="00D6724A" w:rsidRPr="00835505">
              <w:rPr>
                <w:rFonts w:asciiTheme="majorHAnsi" w:hAnsiTheme="majorHAnsi" w:cs="Calibri"/>
                <w:color w:val="002060"/>
              </w:rPr>
              <w:t>l documentation complies with requirements</w:t>
            </w:r>
            <w:r w:rsidRPr="00835505">
              <w:rPr>
                <w:rFonts w:asciiTheme="majorHAnsi" w:hAnsiTheme="majorHAnsi" w:cs="Calibri"/>
                <w:color w:val="002060"/>
              </w:rPr>
              <w:t>)</w:t>
            </w:r>
            <w:r w:rsidR="00DE5496" w:rsidRPr="00835505">
              <w:rPr>
                <w:rFonts w:asciiTheme="majorHAnsi" w:hAnsiTheme="majorHAnsi" w:cs="Calibri"/>
                <w:color w:val="002060"/>
              </w:rPr>
              <w:t xml:space="preserve"> destined to be unpacked at a rural location, </w:t>
            </w:r>
            <w:r w:rsidR="00920D33" w:rsidRPr="00835505">
              <w:rPr>
                <w:rFonts w:asciiTheme="majorHAnsi" w:hAnsiTheme="majorHAnsi" w:cs="Calibri"/>
                <w:color w:val="002060"/>
              </w:rPr>
              <w:t xml:space="preserve">would require a Cargo inspection. </w:t>
            </w:r>
          </w:p>
          <w:p w14:paraId="317D7CA6" w14:textId="77777777" w:rsidR="00B816F0" w:rsidRPr="00835505" w:rsidRDefault="00D6724A" w:rsidP="0028062D">
            <w:pPr>
              <w:spacing w:before="0"/>
              <w:rPr>
                <w:rFonts w:asciiTheme="majorHAnsi" w:hAnsiTheme="majorHAnsi" w:cs="Calibri"/>
                <w:color w:val="002060"/>
              </w:rPr>
            </w:pPr>
            <w:r w:rsidRPr="00835505">
              <w:rPr>
                <w:rFonts w:asciiTheme="majorHAnsi" w:hAnsiTheme="majorHAnsi" w:cs="Calibri"/>
                <w:color w:val="002060"/>
              </w:rPr>
              <w:t>In this case, please enter the AEPCOMM code: INS (as indicated in BICON)</w:t>
            </w:r>
            <w:r w:rsidR="0028062D" w:rsidRPr="00835505">
              <w:rPr>
                <w:rFonts w:asciiTheme="majorHAnsi" w:hAnsiTheme="majorHAnsi" w:cs="Calibri"/>
                <w:color w:val="002060"/>
              </w:rPr>
              <w:t xml:space="preserve">. This removes the need for rural concerns to be declared for the container. </w:t>
            </w:r>
          </w:p>
          <w:p w14:paraId="7D8D51ED" w14:textId="13982096" w:rsidR="003A27DB" w:rsidRPr="000E3BCF" w:rsidRDefault="0028062D" w:rsidP="0028062D">
            <w:pPr>
              <w:spacing w:before="0"/>
              <w:rPr>
                <w:rFonts w:asciiTheme="majorHAnsi" w:hAnsiTheme="majorHAnsi" w:cs="Calibri"/>
                <w:color w:val="000000"/>
              </w:rPr>
            </w:pPr>
            <w:r w:rsidRPr="00835505">
              <w:rPr>
                <w:rFonts w:asciiTheme="majorHAnsi" w:hAnsiTheme="majorHAnsi" w:cs="Calibri"/>
                <w:color w:val="002060"/>
              </w:rPr>
              <w:t>Applying the NCCC concern RURL</w:t>
            </w:r>
            <w:r w:rsidR="00B816F0" w:rsidRPr="00835505">
              <w:rPr>
                <w:rFonts w:asciiTheme="majorHAnsi" w:hAnsiTheme="majorHAnsi" w:cs="Calibri"/>
                <w:color w:val="002060"/>
              </w:rPr>
              <w:t xml:space="preserve"> to</w:t>
            </w:r>
            <w:r w:rsidRPr="00835505">
              <w:rPr>
                <w:rFonts w:asciiTheme="majorHAnsi" w:hAnsiTheme="majorHAnsi" w:cs="Calibri"/>
                <w:color w:val="002060"/>
              </w:rPr>
              <w:t xml:space="preserve"> this type of import declaration will result in two directions: a rural tailgate inspection and a Cargo inspection direction (unpack).</w:t>
            </w:r>
          </w:p>
        </w:tc>
      </w:tr>
      <w:tr w:rsidR="00A0568D" w:rsidRPr="000E3BCF" w14:paraId="322D6799" w14:textId="77777777" w:rsidTr="006A3BF5">
        <w:tc>
          <w:tcPr>
            <w:tcW w:w="988" w:type="dxa"/>
            <w:shd w:val="clear" w:color="auto" w:fill="auto"/>
          </w:tcPr>
          <w:p w14:paraId="41246BDE" w14:textId="6553D265"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2D4B05E2" w14:textId="2883261F" w:rsidR="00A0568D" w:rsidRPr="000E3BCF" w:rsidRDefault="00A0568D" w:rsidP="00243828">
            <w:pPr>
              <w:rPr>
                <w:rFonts w:asciiTheme="majorHAnsi" w:hAnsiTheme="majorHAnsi" w:cs="Calibri"/>
                <w:color w:val="000000"/>
              </w:rPr>
            </w:pPr>
            <w:r w:rsidRPr="000E3BCF">
              <w:rPr>
                <w:rFonts w:asciiTheme="majorHAnsi" w:hAnsiTheme="majorHAnsi" w:cs="Calibri"/>
                <w:color w:val="000000"/>
              </w:rPr>
              <w:t>I have used the NCC</w:t>
            </w:r>
            <w:r w:rsidR="0093479B" w:rsidRPr="000E3BCF">
              <w:rPr>
                <w:rFonts w:asciiTheme="majorHAnsi" w:hAnsiTheme="majorHAnsi" w:cs="Calibri"/>
                <w:color w:val="000000"/>
              </w:rPr>
              <w:t>C AA</w:t>
            </w:r>
            <w:r w:rsidRPr="000E3BCF">
              <w:rPr>
                <w:rFonts w:asciiTheme="majorHAnsi" w:hAnsiTheme="majorHAnsi" w:cs="Calibri"/>
                <w:color w:val="000000"/>
              </w:rPr>
              <w:t xml:space="preserve"> for containers that are</w:t>
            </w:r>
            <w:r w:rsidR="0093479B" w:rsidRPr="000E3BCF">
              <w:rPr>
                <w:rFonts w:asciiTheme="majorHAnsi" w:hAnsiTheme="majorHAnsi" w:cs="Calibri"/>
                <w:color w:val="000000"/>
              </w:rPr>
              <w:t xml:space="preserve"> to </w:t>
            </w:r>
            <w:r w:rsidR="00937DE7" w:rsidRPr="000E3BCF">
              <w:rPr>
                <w:rFonts w:asciiTheme="majorHAnsi" w:hAnsiTheme="majorHAnsi" w:cs="Calibri"/>
                <w:color w:val="000000"/>
              </w:rPr>
              <w:t>be unpacked at a rural location. W</w:t>
            </w:r>
            <w:r w:rsidRPr="000E3BCF">
              <w:rPr>
                <w:rFonts w:asciiTheme="majorHAnsi" w:hAnsiTheme="majorHAnsi" w:cs="Calibri"/>
                <w:color w:val="000000"/>
              </w:rPr>
              <w:t>h</w:t>
            </w:r>
            <w:r w:rsidR="0093479B" w:rsidRPr="000E3BCF">
              <w:rPr>
                <w:rFonts w:asciiTheme="majorHAnsi" w:hAnsiTheme="majorHAnsi" w:cs="Calibri"/>
                <w:color w:val="000000"/>
              </w:rPr>
              <w:t>en the goods are subject to Biosecurity</w:t>
            </w:r>
            <w:r w:rsidRPr="000E3BCF">
              <w:rPr>
                <w:rFonts w:asciiTheme="majorHAnsi" w:hAnsiTheme="majorHAnsi" w:cs="Calibri"/>
                <w:color w:val="000000"/>
              </w:rPr>
              <w:t xml:space="preserve"> then </w:t>
            </w:r>
            <w:r w:rsidR="0093479B" w:rsidRPr="000E3BCF">
              <w:rPr>
                <w:rFonts w:asciiTheme="majorHAnsi" w:hAnsiTheme="majorHAnsi" w:cs="Calibri"/>
                <w:color w:val="000000"/>
              </w:rPr>
              <w:t xml:space="preserve">the </w:t>
            </w:r>
            <w:r w:rsidRPr="000E3BCF">
              <w:rPr>
                <w:rFonts w:asciiTheme="majorHAnsi" w:hAnsiTheme="majorHAnsi" w:cs="Calibri"/>
                <w:color w:val="000000"/>
              </w:rPr>
              <w:t>doc</w:t>
            </w:r>
            <w:r w:rsidR="0093479B" w:rsidRPr="000E3BCF">
              <w:rPr>
                <w:rFonts w:asciiTheme="majorHAnsi" w:hAnsiTheme="majorHAnsi" w:cs="Calibri"/>
                <w:color w:val="000000"/>
              </w:rPr>
              <w:t>uments</w:t>
            </w:r>
            <w:r w:rsidRPr="000E3BCF">
              <w:rPr>
                <w:rFonts w:asciiTheme="majorHAnsi" w:hAnsiTheme="majorHAnsi" w:cs="Calibri"/>
                <w:color w:val="000000"/>
              </w:rPr>
              <w:t xml:space="preserve"> are</w:t>
            </w:r>
            <w:r w:rsidR="0093479B" w:rsidRPr="000E3BCF">
              <w:rPr>
                <w:rFonts w:asciiTheme="majorHAnsi" w:hAnsiTheme="majorHAnsi" w:cs="Calibri"/>
                <w:color w:val="000000"/>
              </w:rPr>
              <w:t xml:space="preserve"> still required to be</w:t>
            </w:r>
            <w:r w:rsidRPr="000E3BCF">
              <w:rPr>
                <w:rFonts w:asciiTheme="majorHAnsi" w:hAnsiTheme="majorHAnsi" w:cs="Calibri"/>
                <w:color w:val="000000"/>
              </w:rPr>
              <w:t xml:space="preserve"> submitted through COLS</w:t>
            </w:r>
            <w:r w:rsidR="00243828" w:rsidRPr="000E3BCF">
              <w:rPr>
                <w:rFonts w:asciiTheme="majorHAnsi" w:hAnsiTheme="majorHAnsi" w:cs="Calibri"/>
                <w:color w:val="000000"/>
              </w:rPr>
              <w:t xml:space="preserve">, but then the officer </w:t>
            </w:r>
            <w:r w:rsidR="0093479B" w:rsidRPr="000E3BCF">
              <w:rPr>
                <w:rFonts w:asciiTheme="majorHAnsi" w:hAnsiTheme="majorHAnsi" w:cs="Calibri"/>
                <w:color w:val="000000"/>
              </w:rPr>
              <w:t xml:space="preserve">only </w:t>
            </w:r>
            <w:r w:rsidR="00243828" w:rsidRPr="000E3BCF">
              <w:rPr>
                <w:rFonts w:asciiTheme="majorHAnsi" w:hAnsiTheme="majorHAnsi" w:cs="Calibri"/>
                <w:color w:val="000000"/>
              </w:rPr>
              <w:t>sends the rural tailgate inspection direction back and not the released direction and it is time consuming to chase the release. Is there an option to have this sorted?</w:t>
            </w:r>
          </w:p>
        </w:tc>
      </w:tr>
      <w:tr w:rsidR="003A27DB" w:rsidRPr="000E3BCF" w14:paraId="63DBE87D" w14:textId="77777777" w:rsidTr="006A3BF5">
        <w:tc>
          <w:tcPr>
            <w:tcW w:w="988" w:type="dxa"/>
            <w:shd w:val="clear" w:color="auto" w:fill="auto"/>
          </w:tcPr>
          <w:p w14:paraId="4B6E5662"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62F4C950" w14:textId="0175D0C8" w:rsidR="003A27DB" w:rsidRPr="000E3BCF" w:rsidRDefault="00AB0628" w:rsidP="00A52B96">
            <w:pPr>
              <w:rPr>
                <w:rFonts w:asciiTheme="majorHAnsi" w:hAnsiTheme="majorHAnsi" w:cs="Calibri"/>
                <w:color w:val="000000"/>
              </w:rPr>
            </w:pPr>
            <w:r>
              <w:rPr>
                <w:rFonts w:asciiTheme="majorHAnsi" w:hAnsiTheme="majorHAnsi" w:cs="Calibri"/>
                <w:color w:val="002060"/>
              </w:rPr>
              <w:t xml:space="preserve">It is not necessary to request the release direction for commodity lines prior to the rural tailgate inspection. </w:t>
            </w:r>
            <w:r w:rsidR="006E2BF0" w:rsidRPr="00835505">
              <w:rPr>
                <w:rFonts w:asciiTheme="majorHAnsi" w:hAnsiTheme="majorHAnsi" w:cs="Calibri"/>
                <w:color w:val="002060"/>
              </w:rPr>
              <w:t>The finalised direction will be issued by the inspecting officer once the rural tailgate inspection is completed and any biosecurity concerns</w:t>
            </w:r>
            <w:r w:rsidR="004B1D5D" w:rsidRPr="00835505">
              <w:rPr>
                <w:rFonts w:asciiTheme="majorHAnsi" w:hAnsiTheme="majorHAnsi" w:cs="Calibri"/>
                <w:color w:val="002060"/>
              </w:rPr>
              <w:t xml:space="preserve"> have been</w:t>
            </w:r>
            <w:r w:rsidR="006E2BF0" w:rsidRPr="00835505">
              <w:rPr>
                <w:rFonts w:asciiTheme="majorHAnsi" w:hAnsiTheme="majorHAnsi" w:cs="Calibri"/>
                <w:color w:val="002060"/>
              </w:rPr>
              <w:t xml:space="preserve"> addressed. The finalised direction will cover both non-commodity and commodity lines</w:t>
            </w:r>
            <w:r w:rsidR="004B1D5D" w:rsidRPr="00835505">
              <w:rPr>
                <w:rFonts w:asciiTheme="majorHAnsi" w:hAnsiTheme="majorHAnsi" w:cs="Calibri"/>
                <w:color w:val="002060"/>
              </w:rPr>
              <w:t>.</w:t>
            </w:r>
          </w:p>
        </w:tc>
      </w:tr>
      <w:tr w:rsidR="00A0568D" w:rsidRPr="000E3BCF" w14:paraId="5308C613" w14:textId="77777777" w:rsidTr="006A3BF5">
        <w:tc>
          <w:tcPr>
            <w:tcW w:w="988" w:type="dxa"/>
            <w:shd w:val="clear" w:color="auto" w:fill="auto"/>
          </w:tcPr>
          <w:p w14:paraId="12EC30C7" w14:textId="77777777"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0A17EDC1" w14:textId="2814C383" w:rsidR="00A0568D" w:rsidRPr="000E3BCF" w:rsidRDefault="00A0568D" w:rsidP="00A0568D">
            <w:pPr>
              <w:rPr>
                <w:rFonts w:asciiTheme="majorHAnsi" w:hAnsiTheme="majorHAnsi" w:cs="Calibri"/>
                <w:color w:val="000000"/>
              </w:rPr>
            </w:pPr>
            <w:r w:rsidRPr="000E3BCF">
              <w:rPr>
                <w:rFonts w:asciiTheme="majorHAnsi" w:hAnsiTheme="majorHAnsi" w:cs="Calibri"/>
                <w:color w:val="000000"/>
              </w:rPr>
              <w:t>How does a brokerage remove themselves from the AEPCOMM?</w:t>
            </w:r>
          </w:p>
        </w:tc>
      </w:tr>
      <w:tr w:rsidR="00CF6A22" w:rsidRPr="000E3BCF" w14:paraId="2B4E1F9F" w14:textId="77777777" w:rsidTr="006A3BF5">
        <w:tc>
          <w:tcPr>
            <w:tcW w:w="988" w:type="dxa"/>
            <w:shd w:val="clear" w:color="auto" w:fill="auto"/>
          </w:tcPr>
          <w:p w14:paraId="6E264CAC" w14:textId="77777777" w:rsidR="00CF6A22" w:rsidRPr="000E3BCF" w:rsidRDefault="00CF6A22" w:rsidP="00A0568D">
            <w:pPr>
              <w:tabs>
                <w:tab w:val="left" w:pos="3954"/>
              </w:tabs>
              <w:rPr>
                <w:rFonts w:asciiTheme="majorHAnsi" w:hAnsiTheme="majorHAnsi"/>
                <w:b/>
                <w:lang w:eastAsia="ja-JP"/>
              </w:rPr>
            </w:pPr>
          </w:p>
        </w:tc>
        <w:tc>
          <w:tcPr>
            <w:tcW w:w="8454" w:type="dxa"/>
            <w:shd w:val="clear" w:color="auto" w:fill="auto"/>
            <w:vAlign w:val="bottom"/>
          </w:tcPr>
          <w:p w14:paraId="4E5844A4" w14:textId="5FE137E7" w:rsidR="00CF6A22" w:rsidRPr="000E3BCF" w:rsidRDefault="00221C02" w:rsidP="006E2BF0">
            <w:pPr>
              <w:rPr>
                <w:rFonts w:asciiTheme="majorHAnsi" w:hAnsiTheme="majorHAnsi" w:cs="Calibri"/>
                <w:color w:val="000000"/>
              </w:rPr>
            </w:pPr>
            <w:r w:rsidRPr="00835505">
              <w:rPr>
                <w:rFonts w:asciiTheme="majorHAnsi" w:hAnsiTheme="majorHAnsi" w:cs="Calibri"/>
                <w:color w:val="002060"/>
              </w:rPr>
              <w:t xml:space="preserve">If a BIP wishes to remove </w:t>
            </w:r>
            <w:r w:rsidR="006E2BF0" w:rsidRPr="00835505">
              <w:rPr>
                <w:rFonts w:asciiTheme="majorHAnsi" w:hAnsiTheme="majorHAnsi" w:cs="Calibri"/>
                <w:color w:val="002060"/>
              </w:rPr>
              <w:t>AEPCOMM</w:t>
            </w:r>
            <w:r w:rsidRPr="00835505">
              <w:rPr>
                <w:rFonts w:asciiTheme="majorHAnsi" w:hAnsiTheme="majorHAnsi" w:cs="Calibri"/>
                <w:color w:val="002060"/>
              </w:rPr>
              <w:t xml:space="preserve"> from their approved arrangement they can apply for a variation by submitting an application to the department. The application is found at </w:t>
            </w:r>
            <w:hyperlink r:id="rId21" w:history="1">
              <w:r w:rsidRPr="00835505">
                <w:rPr>
                  <w:rStyle w:val="Hyperlink"/>
                  <w:rFonts w:asciiTheme="majorHAnsi" w:hAnsiTheme="majorHAnsi" w:cs="Calibri"/>
                  <w:color w:val="002060"/>
                </w:rPr>
                <w:t>http://www.agriculture.gov.au/import/arrival/arrangements/revocations</w:t>
              </w:r>
            </w:hyperlink>
            <w:r w:rsidRPr="00835505">
              <w:rPr>
                <w:rFonts w:asciiTheme="majorHAnsi" w:hAnsiTheme="majorHAnsi" w:cs="Calibri"/>
                <w:color w:val="002060"/>
              </w:rPr>
              <w:t xml:space="preserve"> and should be submitted to </w:t>
            </w:r>
            <w:hyperlink r:id="rId22" w:history="1">
              <w:r w:rsidR="0081416B" w:rsidRPr="00523EC6">
                <w:rPr>
                  <w:rStyle w:val="Hyperlink"/>
                  <w:rFonts w:asciiTheme="majorHAnsi" w:hAnsiTheme="majorHAnsi" w:cs="Calibri"/>
                </w:rPr>
                <w:t>broker.accreditation@agriculture.gov.au</w:t>
              </w:r>
            </w:hyperlink>
            <w:r w:rsidRPr="00835505">
              <w:rPr>
                <w:rFonts w:asciiTheme="majorHAnsi" w:hAnsiTheme="majorHAnsi" w:cs="Calibri"/>
                <w:color w:val="002060"/>
              </w:rPr>
              <w:t xml:space="preserve"> for processing.</w:t>
            </w:r>
          </w:p>
        </w:tc>
      </w:tr>
      <w:tr w:rsidR="00A0568D" w:rsidRPr="000E3BCF" w14:paraId="4FAC330C" w14:textId="77777777" w:rsidTr="006A3BF5">
        <w:tc>
          <w:tcPr>
            <w:tcW w:w="988" w:type="dxa"/>
            <w:shd w:val="clear" w:color="auto" w:fill="auto"/>
          </w:tcPr>
          <w:p w14:paraId="12A3B340" w14:textId="5BBB4FBF"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2D206AC1" w14:textId="0F64EF2C" w:rsidR="00A0568D" w:rsidRPr="000E3BCF" w:rsidRDefault="00A0568D" w:rsidP="00A0568D">
            <w:pPr>
              <w:rPr>
                <w:rFonts w:asciiTheme="majorHAnsi" w:hAnsiTheme="majorHAnsi" w:cs="Calibri"/>
                <w:color w:val="000000"/>
              </w:rPr>
            </w:pPr>
            <w:r w:rsidRPr="000E3BCF">
              <w:rPr>
                <w:rFonts w:asciiTheme="majorHAnsi" w:hAnsiTheme="majorHAnsi" w:cs="Calibri"/>
                <w:color w:val="000000"/>
              </w:rPr>
              <w:t>I have followed Katya's earlier example of rice from Thailand and can't see the AEPCOMM code INS in the onshore outcomes.</w:t>
            </w:r>
          </w:p>
        </w:tc>
      </w:tr>
      <w:tr w:rsidR="003A27DB" w:rsidRPr="000E3BCF" w14:paraId="6682219B" w14:textId="77777777" w:rsidTr="006A3BF5">
        <w:tc>
          <w:tcPr>
            <w:tcW w:w="988" w:type="dxa"/>
            <w:shd w:val="clear" w:color="auto" w:fill="auto"/>
          </w:tcPr>
          <w:p w14:paraId="4ABEA12D"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469E937F" w14:textId="77777777" w:rsidR="003A27DB" w:rsidRPr="000E3BCF" w:rsidRDefault="00F84D47" w:rsidP="00F84D47">
            <w:pPr>
              <w:rPr>
                <w:rFonts w:asciiTheme="majorHAnsi" w:hAnsiTheme="majorHAnsi" w:cs="Calibri"/>
                <w:color w:val="002060"/>
              </w:rPr>
            </w:pPr>
            <w:r w:rsidRPr="000E3BCF">
              <w:rPr>
                <w:rFonts w:asciiTheme="majorHAnsi" w:hAnsiTheme="majorHAnsi" w:cs="Calibri"/>
                <w:color w:val="002060"/>
              </w:rPr>
              <w:t xml:space="preserve">To be able to access AEPCOMM information such as pathways and codes, accredited persons need to be logged in to their BICON AEPCOMM user access account. The public view of BICON will not display this information. </w:t>
            </w:r>
          </w:p>
          <w:p w14:paraId="0E3A1D49" w14:textId="4037EB8C" w:rsidR="00F84D47" w:rsidRPr="000E3BCF" w:rsidRDefault="00F84D47" w:rsidP="00F84D47">
            <w:pPr>
              <w:rPr>
                <w:rFonts w:asciiTheme="majorHAnsi" w:hAnsiTheme="majorHAnsi" w:cs="Calibri"/>
                <w:color w:val="000000"/>
              </w:rPr>
            </w:pPr>
            <w:r w:rsidRPr="000E3BCF">
              <w:rPr>
                <w:rFonts w:asciiTheme="majorHAnsi" w:hAnsiTheme="majorHAnsi" w:cs="Calibri"/>
                <w:color w:val="002060"/>
              </w:rPr>
              <w:t xml:space="preserve">If you require guidance on how to register, please go to the </w:t>
            </w:r>
            <w:hyperlink r:id="rId23" w:history="1">
              <w:r w:rsidRPr="000E3BCF">
                <w:rPr>
                  <w:rStyle w:val="Hyperlink"/>
                  <w:rFonts w:asciiTheme="majorHAnsi" w:hAnsiTheme="majorHAnsi" w:cs="Calibri"/>
                </w:rPr>
                <w:t>Help</w:t>
              </w:r>
            </w:hyperlink>
            <w:r w:rsidRPr="000E3BCF">
              <w:rPr>
                <w:rFonts w:asciiTheme="majorHAnsi" w:hAnsiTheme="majorHAnsi" w:cs="Calibri"/>
                <w:color w:val="002060"/>
              </w:rPr>
              <w:t xml:space="preserve"> section of BICON. Help cards are available under the Account registration and maintenance heading.</w:t>
            </w:r>
          </w:p>
        </w:tc>
      </w:tr>
      <w:tr w:rsidR="00A0568D" w:rsidRPr="000E3BCF" w14:paraId="1C42E3FC" w14:textId="77777777" w:rsidTr="006A3BF5">
        <w:tc>
          <w:tcPr>
            <w:tcW w:w="988" w:type="dxa"/>
            <w:shd w:val="clear" w:color="auto" w:fill="auto"/>
          </w:tcPr>
          <w:p w14:paraId="1C2380F4" w14:textId="3BEF312C"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1916D700" w14:textId="623E0867" w:rsidR="00A0568D" w:rsidRPr="000E3BCF" w:rsidRDefault="00F30D5A" w:rsidP="009444B4">
            <w:pPr>
              <w:rPr>
                <w:rFonts w:asciiTheme="majorHAnsi" w:hAnsiTheme="majorHAnsi" w:cs="Calibri"/>
                <w:color w:val="000000"/>
              </w:rPr>
            </w:pPr>
            <w:r w:rsidRPr="000E3BCF">
              <w:rPr>
                <w:rFonts w:asciiTheme="majorHAnsi" w:hAnsiTheme="majorHAnsi" w:cs="Calibri"/>
                <w:color w:val="000000"/>
              </w:rPr>
              <w:t>D</w:t>
            </w:r>
            <w:r w:rsidR="00A0568D" w:rsidRPr="000E3BCF">
              <w:rPr>
                <w:rFonts w:asciiTheme="majorHAnsi" w:hAnsiTheme="majorHAnsi" w:cs="Calibri"/>
                <w:color w:val="000000"/>
              </w:rPr>
              <w:t xml:space="preserve">oes this mean that only licensed customs brokers have access to the </w:t>
            </w:r>
            <w:r w:rsidRPr="000E3BCF">
              <w:rPr>
                <w:rFonts w:asciiTheme="majorHAnsi" w:hAnsiTheme="majorHAnsi" w:cs="Calibri"/>
                <w:color w:val="000000"/>
              </w:rPr>
              <w:t>AEPCOMM</w:t>
            </w:r>
            <w:r w:rsidR="00A0568D" w:rsidRPr="000E3BCF">
              <w:rPr>
                <w:rFonts w:asciiTheme="majorHAnsi" w:hAnsiTheme="majorHAnsi" w:cs="Calibri"/>
                <w:color w:val="000000"/>
              </w:rPr>
              <w:t xml:space="preserve"> outcomes? </w:t>
            </w:r>
            <w:r w:rsidR="009444B4" w:rsidRPr="000E3BCF">
              <w:rPr>
                <w:rFonts w:asciiTheme="majorHAnsi" w:hAnsiTheme="majorHAnsi" w:cs="Calibri"/>
                <w:color w:val="000000"/>
              </w:rPr>
              <w:t>That is,</w:t>
            </w:r>
            <w:r w:rsidR="00A0568D" w:rsidRPr="000E3BCF">
              <w:rPr>
                <w:rFonts w:asciiTheme="majorHAnsi" w:hAnsiTheme="majorHAnsi" w:cs="Calibri"/>
                <w:color w:val="000000"/>
              </w:rPr>
              <w:t xml:space="preserve"> non</w:t>
            </w:r>
            <w:r w:rsidRPr="000E3BCF">
              <w:rPr>
                <w:rFonts w:asciiTheme="majorHAnsi" w:hAnsiTheme="majorHAnsi" w:cs="Calibri"/>
                <w:color w:val="000000"/>
              </w:rPr>
              <w:t>-</w:t>
            </w:r>
            <w:r w:rsidR="00A0568D" w:rsidRPr="000E3BCF">
              <w:rPr>
                <w:rFonts w:asciiTheme="majorHAnsi" w:hAnsiTheme="majorHAnsi" w:cs="Calibri"/>
                <w:color w:val="000000"/>
              </w:rPr>
              <w:t xml:space="preserve">broker freight forwarders and importers will not have access to </w:t>
            </w:r>
            <w:r w:rsidRPr="000E3BCF">
              <w:rPr>
                <w:rFonts w:asciiTheme="majorHAnsi" w:hAnsiTheme="majorHAnsi" w:cs="Calibri"/>
                <w:color w:val="000000"/>
              </w:rPr>
              <w:t xml:space="preserve">AEPCOMM </w:t>
            </w:r>
            <w:r w:rsidR="00A0568D" w:rsidRPr="000E3BCF">
              <w:rPr>
                <w:rFonts w:asciiTheme="majorHAnsi" w:hAnsiTheme="majorHAnsi" w:cs="Calibri"/>
                <w:color w:val="000000"/>
              </w:rPr>
              <w:t>outcomes?</w:t>
            </w:r>
          </w:p>
        </w:tc>
      </w:tr>
      <w:tr w:rsidR="003A27DB" w:rsidRPr="000E3BCF" w14:paraId="06F00FD7" w14:textId="77777777" w:rsidTr="006A3BF5">
        <w:tc>
          <w:tcPr>
            <w:tcW w:w="988" w:type="dxa"/>
            <w:shd w:val="clear" w:color="auto" w:fill="auto"/>
          </w:tcPr>
          <w:p w14:paraId="4D7DA9C7"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72AF8374" w14:textId="758339F4" w:rsidR="00365679" w:rsidRPr="008344A6" w:rsidRDefault="00365679" w:rsidP="00365679">
            <w:pPr>
              <w:rPr>
                <w:rFonts w:asciiTheme="majorHAnsi" w:hAnsiTheme="majorHAnsi" w:cs="Calibri"/>
                <w:color w:val="002060"/>
              </w:rPr>
            </w:pPr>
            <w:r w:rsidRPr="008344A6">
              <w:rPr>
                <w:rFonts w:asciiTheme="majorHAnsi" w:hAnsiTheme="majorHAnsi" w:cs="Calibri"/>
                <w:color w:val="002060"/>
              </w:rPr>
              <w:t xml:space="preserve">The BICON public version contains some information regarding AEPCOMM, this includes </w:t>
            </w:r>
            <w:r w:rsidR="00D52AE6" w:rsidRPr="008344A6">
              <w:rPr>
                <w:rFonts w:asciiTheme="majorHAnsi" w:hAnsiTheme="majorHAnsi" w:cs="Calibri"/>
                <w:color w:val="002060"/>
              </w:rPr>
              <w:t>notices that identify</w:t>
            </w:r>
            <w:r w:rsidRPr="008344A6">
              <w:rPr>
                <w:rFonts w:asciiTheme="majorHAnsi" w:hAnsiTheme="majorHAnsi" w:cs="Calibri"/>
                <w:color w:val="002060"/>
              </w:rPr>
              <w:t xml:space="preserve"> commodities and pathways</w:t>
            </w:r>
            <w:r w:rsidR="00F76DD6" w:rsidRPr="008344A6">
              <w:rPr>
                <w:rFonts w:asciiTheme="majorHAnsi" w:hAnsiTheme="majorHAnsi" w:cs="Calibri"/>
                <w:color w:val="002060"/>
              </w:rPr>
              <w:t xml:space="preserve"> </w:t>
            </w:r>
            <w:r w:rsidR="008344A6" w:rsidRPr="008344A6">
              <w:rPr>
                <w:rFonts w:asciiTheme="majorHAnsi" w:hAnsiTheme="majorHAnsi" w:cs="Calibri"/>
                <w:color w:val="002060"/>
              </w:rPr>
              <w:t>included in the scope however,</w:t>
            </w:r>
            <w:r w:rsidRPr="008344A6">
              <w:rPr>
                <w:rFonts w:asciiTheme="majorHAnsi" w:hAnsiTheme="majorHAnsi" w:cs="Calibri"/>
                <w:color w:val="002060"/>
              </w:rPr>
              <w:t xml:space="preserve"> the public version does not provide information such as the</w:t>
            </w:r>
            <w:r w:rsidR="00226CDF" w:rsidRPr="008344A6">
              <w:rPr>
                <w:rFonts w:asciiTheme="majorHAnsi" w:hAnsiTheme="majorHAnsi" w:cs="Calibri"/>
                <w:color w:val="002060"/>
              </w:rPr>
              <w:t xml:space="preserve"> o</w:t>
            </w:r>
            <w:r w:rsidRPr="008344A6">
              <w:rPr>
                <w:rFonts w:asciiTheme="majorHAnsi" w:hAnsiTheme="majorHAnsi" w:cs="Calibri"/>
                <w:color w:val="002060"/>
              </w:rPr>
              <w:t xml:space="preserve">nshore assessment </w:t>
            </w:r>
            <w:r w:rsidR="00D52AE6" w:rsidRPr="008344A6">
              <w:rPr>
                <w:rFonts w:asciiTheme="majorHAnsi" w:hAnsiTheme="majorHAnsi" w:cs="Calibri"/>
                <w:color w:val="002060"/>
              </w:rPr>
              <w:t>questions</w:t>
            </w:r>
            <w:r w:rsidR="00226CDF" w:rsidRPr="008344A6">
              <w:rPr>
                <w:rFonts w:asciiTheme="majorHAnsi" w:hAnsiTheme="majorHAnsi" w:cs="Calibri"/>
                <w:color w:val="002060"/>
              </w:rPr>
              <w:t xml:space="preserve"> and other </w:t>
            </w:r>
            <w:r w:rsidRPr="008344A6">
              <w:rPr>
                <w:rFonts w:asciiTheme="majorHAnsi" w:hAnsiTheme="majorHAnsi" w:cs="Calibri"/>
                <w:color w:val="002060"/>
              </w:rPr>
              <w:t>specific AEPCOMM elements</w:t>
            </w:r>
            <w:r w:rsidR="00645DD8" w:rsidRPr="008344A6">
              <w:rPr>
                <w:rFonts w:asciiTheme="majorHAnsi" w:hAnsiTheme="majorHAnsi" w:cs="Calibri"/>
                <w:color w:val="002060"/>
              </w:rPr>
              <w:t>.</w:t>
            </w:r>
          </w:p>
          <w:p w14:paraId="2899FD3C" w14:textId="4256A373" w:rsidR="00315BEF" w:rsidRDefault="00D52AE6" w:rsidP="00365679">
            <w:pPr>
              <w:rPr>
                <w:rFonts w:asciiTheme="majorHAnsi" w:hAnsiTheme="majorHAnsi" w:cs="Calibri"/>
                <w:color w:val="002060"/>
              </w:rPr>
            </w:pPr>
            <w:r w:rsidRPr="008344A6">
              <w:rPr>
                <w:rFonts w:asciiTheme="majorHAnsi" w:hAnsiTheme="majorHAnsi" w:cs="Calibri"/>
                <w:color w:val="002060"/>
              </w:rPr>
              <w:t>Detailed AEPCOMM information (such as AEPCOMM codes) can only be accessed through AEPCOMM user access accounts.</w:t>
            </w:r>
          </w:p>
          <w:p w14:paraId="68E727D5" w14:textId="1448024A" w:rsidR="00ED002A" w:rsidRPr="000E3BCF" w:rsidRDefault="00A857C9" w:rsidP="008344A6">
            <w:pPr>
              <w:rPr>
                <w:rFonts w:asciiTheme="majorHAnsi" w:hAnsiTheme="majorHAnsi" w:cs="Calibri"/>
                <w:color w:val="000000"/>
              </w:rPr>
            </w:pPr>
            <w:r w:rsidRPr="00B70AC7">
              <w:rPr>
                <w:rFonts w:asciiTheme="majorHAnsi" w:hAnsiTheme="majorHAnsi" w:cs="Calibri"/>
                <w:color w:val="002060"/>
              </w:rPr>
              <w:t>If your business has a current AEPCOMM arrangement you are able to add users onto your multiple user account regardless if they are licensed customs brokers or not.</w:t>
            </w:r>
          </w:p>
        </w:tc>
      </w:tr>
      <w:tr w:rsidR="00A0568D" w:rsidRPr="000E3BCF" w14:paraId="2FC1BE91" w14:textId="77777777" w:rsidTr="006A3BF5">
        <w:tc>
          <w:tcPr>
            <w:tcW w:w="988" w:type="dxa"/>
            <w:shd w:val="clear" w:color="auto" w:fill="auto"/>
          </w:tcPr>
          <w:p w14:paraId="7E836933" w14:textId="623E3634"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1267B61A" w14:textId="5824F9C5" w:rsidR="00A0568D" w:rsidRPr="000E3BCF" w:rsidRDefault="001463F9" w:rsidP="00A0568D">
            <w:pPr>
              <w:rPr>
                <w:rFonts w:asciiTheme="majorHAnsi" w:hAnsiTheme="majorHAnsi" w:cs="Calibri"/>
                <w:color w:val="000000"/>
              </w:rPr>
            </w:pPr>
            <w:r w:rsidRPr="000E3BCF">
              <w:rPr>
                <w:rFonts w:asciiTheme="majorHAnsi" w:hAnsiTheme="majorHAnsi" w:cs="Calibri"/>
                <w:color w:val="000000"/>
              </w:rPr>
              <w:t>Is the NZ MPI deemed a phytos</w:t>
            </w:r>
            <w:r w:rsidR="00A0568D" w:rsidRPr="000E3BCF">
              <w:rPr>
                <w:rFonts w:asciiTheme="majorHAnsi" w:hAnsiTheme="majorHAnsi" w:cs="Calibri"/>
                <w:color w:val="000000"/>
              </w:rPr>
              <w:t>anitary certificate?</w:t>
            </w:r>
          </w:p>
        </w:tc>
      </w:tr>
      <w:tr w:rsidR="003A27DB" w:rsidRPr="000E3BCF" w14:paraId="065CF54F" w14:textId="77777777" w:rsidTr="006A3BF5">
        <w:tc>
          <w:tcPr>
            <w:tcW w:w="988" w:type="dxa"/>
            <w:shd w:val="clear" w:color="auto" w:fill="auto"/>
          </w:tcPr>
          <w:p w14:paraId="35873688"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1F43C804" w14:textId="7F1ADE41" w:rsidR="003A27DB" w:rsidRPr="000E3BCF" w:rsidRDefault="00715C9F" w:rsidP="00A0568D">
            <w:pPr>
              <w:rPr>
                <w:rFonts w:asciiTheme="majorHAnsi" w:hAnsiTheme="majorHAnsi" w:cs="Calibri"/>
                <w:color w:val="000000"/>
              </w:rPr>
            </w:pPr>
            <w:r w:rsidRPr="000E3BCF">
              <w:rPr>
                <w:rFonts w:asciiTheme="majorHAnsi" w:hAnsiTheme="majorHAnsi" w:cs="Calibri"/>
                <w:color w:val="002060"/>
              </w:rPr>
              <w:t xml:space="preserve">The New Zealand Ministry for Primary Industries (NZMPI) issues phytosanitary (for plant and plant based products) and sanitary (for animal and animal based products) certification. The department’s eCert exchange with New Zealand enables us to receive electronic phytosanitary and sanitary certification </w:t>
            </w:r>
            <w:r w:rsidR="009D431F" w:rsidRPr="000E3BCF">
              <w:rPr>
                <w:rFonts w:asciiTheme="majorHAnsi" w:hAnsiTheme="majorHAnsi" w:cs="Calibri"/>
                <w:color w:val="002060"/>
              </w:rPr>
              <w:t xml:space="preserve">(excluding certificates </w:t>
            </w:r>
            <w:r w:rsidRPr="000E3BCF">
              <w:rPr>
                <w:rFonts w:asciiTheme="majorHAnsi" w:hAnsiTheme="majorHAnsi" w:cs="Calibri"/>
                <w:color w:val="002060"/>
              </w:rPr>
              <w:t>issued for live animals and reproductive material) issued from NZMPI.</w:t>
            </w:r>
          </w:p>
        </w:tc>
      </w:tr>
      <w:tr w:rsidR="00A0568D" w:rsidRPr="000E3BCF" w14:paraId="40CA22E4" w14:textId="77777777" w:rsidTr="006A3BF5">
        <w:tc>
          <w:tcPr>
            <w:tcW w:w="988" w:type="dxa"/>
            <w:shd w:val="clear" w:color="auto" w:fill="auto"/>
          </w:tcPr>
          <w:p w14:paraId="36B88037" w14:textId="77777777"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5F1B9904" w14:textId="47D1CD95" w:rsidR="00A0568D" w:rsidRPr="000E3BCF" w:rsidRDefault="001463F9" w:rsidP="001463F9">
            <w:pPr>
              <w:rPr>
                <w:rFonts w:asciiTheme="majorHAnsi" w:hAnsiTheme="majorHAnsi" w:cs="Calibri"/>
                <w:color w:val="000000"/>
              </w:rPr>
            </w:pPr>
            <w:r w:rsidRPr="000E3BCF">
              <w:rPr>
                <w:rFonts w:asciiTheme="majorHAnsi" w:hAnsiTheme="majorHAnsi" w:cs="Calibri"/>
                <w:color w:val="000000"/>
              </w:rPr>
              <w:t>If I need to refer a</w:t>
            </w:r>
            <w:r w:rsidR="00A0568D" w:rsidRPr="000E3BCF">
              <w:rPr>
                <w:rFonts w:asciiTheme="majorHAnsi" w:hAnsiTheme="majorHAnsi" w:cs="Calibri"/>
                <w:color w:val="000000"/>
              </w:rPr>
              <w:t xml:space="preserve"> whole container for fumigation </w:t>
            </w:r>
            <w:r w:rsidRPr="000E3BCF">
              <w:rPr>
                <w:rFonts w:asciiTheme="majorHAnsi" w:hAnsiTheme="majorHAnsi" w:cs="Calibri"/>
                <w:color w:val="000000"/>
              </w:rPr>
              <w:t>but it contains</w:t>
            </w:r>
            <w:r w:rsidR="00A0568D" w:rsidRPr="000E3BCF">
              <w:rPr>
                <w:rFonts w:asciiTheme="majorHAnsi" w:hAnsiTheme="majorHAnsi" w:cs="Calibri"/>
                <w:color w:val="000000"/>
              </w:rPr>
              <w:t xml:space="preserve"> different tariff lines; </w:t>
            </w:r>
            <w:r w:rsidRPr="000E3BCF">
              <w:rPr>
                <w:rFonts w:asciiTheme="majorHAnsi" w:hAnsiTheme="majorHAnsi" w:cs="Calibri"/>
                <w:color w:val="000000"/>
              </w:rPr>
              <w:t xml:space="preserve">and </w:t>
            </w:r>
            <w:r w:rsidR="00A0568D" w:rsidRPr="000E3BCF">
              <w:rPr>
                <w:rFonts w:asciiTheme="majorHAnsi" w:hAnsiTheme="majorHAnsi" w:cs="Calibri"/>
                <w:color w:val="000000"/>
              </w:rPr>
              <w:t xml:space="preserve">these tariff lines </w:t>
            </w:r>
            <w:r w:rsidRPr="000E3BCF">
              <w:rPr>
                <w:rFonts w:asciiTheme="majorHAnsi" w:hAnsiTheme="majorHAnsi" w:cs="Calibri"/>
                <w:color w:val="000000"/>
              </w:rPr>
              <w:t>are from different AEPCOMM groups. Can I enter</w:t>
            </w:r>
            <w:r w:rsidR="00A0568D" w:rsidRPr="000E3BCF">
              <w:rPr>
                <w:rFonts w:asciiTheme="majorHAnsi" w:hAnsiTheme="majorHAnsi" w:cs="Calibri"/>
                <w:color w:val="000000"/>
              </w:rPr>
              <w:t xml:space="preserve"> BMSBFUM under the header instead of under each relevant entry</w:t>
            </w:r>
            <w:r w:rsidRPr="000E3BCF">
              <w:rPr>
                <w:rFonts w:asciiTheme="majorHAnsi" w:hAnsiTheme="majorHAnsi" w:cs="Calibri"/>
                <w:color w:val="000000"/>
              </w:rPr>
              <w:t xml:space="preserve"> line? This</w:t>
            </w:r>
            <w:r w:rsidR="00A0568D" w:rsidRPr="000E3BCF">
              <w:rPr>
                <w:rFonts w:asciiTheme="majorHAnsi" w:hAnsiTheme="majorHAnsi" w:cs="Calibri"/>
                <w:color w:val="000000"/>
              </w:rPr>
              <w:t xml:space="preserve"> </w:t>
            </w:r>
            <w:r w:rsidRPr="000E3BCF">
              <w:rPr>
                <w:rFonts w:asciiTheme="majorHAnsi" w:hAnsiTheme="majorHAnsi" w:cs="Calibri"/>
                <w:color w:val="000000"/>
              </w:rPr>
              <w:t>would</w:t>
            </w:r>
            <w:r w:rsidR="00A0568D" w:rsidRPr="000E3BCF">
              <w:rPr>
                <w:rFonts w:asciiTheme="majorHAnsi" w:hAnsiTheme="majorHAnsi" w:cs="Calibri"/>
                <w:color w:val="000000"/>
              </w:rPr>
              <w:t xml:space="preserve"> make </w:t>
            </w:r>
            <w:r w:rsidRPr="000E3BCF">
              <w:rPr>
                <w:rFonts w:asciiTheme="majorHAnsi" w:hAnsiTheme="majorHAnsi" w:cs="Calibri"/>
                <w:color w:val="000000"/>
              </w:rPr>
              <w:t>lodgement a lot more efficient.</w:t>
            </w:r>
          </w:p>
        </w:tc>
      </w:tr>
      <w:tr w:rsidR="003A27DB" w:rsidRPr="000E3BCF" w14:paraId="0B834E1B" w14:textId="77777777" w:rsidTr="006A3BF5">
        <w:tc>
          <w:tcPr>
            <w:tcW w:w="988" w:type="dxa"/>
            <w:shd w:val="clear" w:color="auto" w:fill="auto"/>
          </w:tcPr>
          <w:p w14:paraId="2BE50583"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57181B91" w14:textId="227D91DD" w:rsidR="0020280F" w:rsidRPr="0020280F" w:rsidRDefault="0020280F" w:rsidP="00A0568D">
            <w:pPr>
              <w:rPr>
                <w:rFonts w:asciiTheme="majorHAnsi" w:hAnsiTheme="majorHAnsi" w:cs="Calibri"/>
                <w:color w:val="002060"/>
              </w:rPr>
            </w:pPr>
            <w:r w:rsidRPr="0080375F">
              <w:rPr>
                <w:rFonts w:asciiTheme="majorHAnsi" w:hAnsiTheme="majorHAnsi" w:cs="Calibri"/>
                <w:color w:val="002060"/>
              </w:rPr>
              <w:t>If you have a</w:t>
            </w:r>
            <w:r>
              <w:rPr>
                <w:rFonts w:asciiTheme="majorHAnsi" w:hAnsiTheme="majorHAnsi" w:cs="Calibri"/>
                <w:color w:val="002060"/>
              </w:rPr>
              <w:t>n import declaration</w:t>
            </w:r>
            <w:r w:rsidRPr="0080375F">
              <w:rPr>
                <w:rFonts w:asciiTheme="majorHAnsi" w:hAnsiTheme="majorHAnsi" w:cs="Calibri"/>
                <w:color w:val="002060"/>
              </w:rPr>
              <w:t xml:space="preserve"> that includes goods from different commodity groups, it is possible to assign the same AEPCOMM code to all lines as long as BICON</w:t>
            </w:r>
            <w:r>
              <w:rPr>
                <w:rFonts w:asciiTheme="majorHAnsi" w:hAnsiTheme="majorHAnsi" w:cs="Calibri"/>
                <w:color w:val="002060"/>
              </w:rPr>
              <w:t xml:space="preserve"> stipulates it is appropriate</w:t>
            </w:r>
            <w:r w:rsidR="001F4FA1">
              <w:rPr>
                <w:rFonts w:asciiTheme="majorHAnsi" w:hAnsiTheme="majorHAnsi" w:cs="Calibri"/>
                <w:color w:val="002060"/>
              </w:rPr>
              <w:t>;</w:t>
            </w:r>
            <w:r>
              <w:rPr>
                <w:rFonts w:asciiTheme="majorHAnsi" w:hAnsiTheme="majorHAnsi" w:cs="Calibri"/>
                <w:color w:val="002060"/>
              </w:rPr>
              <w:t xml:space="preserve"> and the import declaration meets conditions outlined in the 19.2 Requirements and conditions document. These include:</w:t>
            </w:r>
          </w:p>
          <w:p w14:paraId="5A9B53E1" w14:textId="06BD7980" w:rsidR="0020280F" w:rsidRDefault="0020280F" w:rsidP="0020280F">
            <w:pPr>
              <w:pStyle w:val="ListBullet"/>
              <w:rPr>
                <w:color w:val="002060"/>
              </w:rPr>
            </w:pPr>
            <w:r>
              <w:rPr>
                <w:color w:val="002060"/>
              </w:rPr>
              <w:t>All lines are of the same cargo type</w:t>
            </w:r>
          </w:p>
          <w:p w14:paraId="2DEADFE5" w14:textId="77777777" w:rsidR="0020280F" w:rsidRDefault="0020280F" w:rsidP="0020280F">
            <w:pPr>
              <w:pStyle w:val="ListBullet"/>
              <w:rPr>
                <w:color w:val="002060"/>
              </w:rPr>
            </w:pPr>
            <w:r>
              <w:rPr>
                <w:color w:val="002060"/>
              </w:rPr>
              <w:t>Impediment free lines are not assigned an AEPCOMM code</w:t>
            </w:r>
          </w:p>
          <w:p w14:paraId="4D2F2227" w14:textId="30F0C485" w:rsidR="0020280F" w:rsidRPr="0020280F" w:rsidRDefault="0020280F" w:rsidP="0020280F">
            <w:pPr>
              <w:pStyle w:val="ListBullet"/>
              <w:rPr>
                <w:color w:val="002060"/>
              </w:rPr>
            </w:pPr>
            <w:r w:rsidRPr="0020280F">
              <w:rPr>
                <w:color w:val="002060"/>
              </w:rPr>
              <w:t xml:space="preserve">All </w:t>
            </w:r>
            <w:r>
              <w:rPr>
                <w:color w:val="002060"/>
              </w:rPr>
              <w:t>lines in a sea</w:t>
            </w:r>
            <w:r w:rsidRPr="0020280F">
              <w:rPr>
                <w:color w:val="002060"/>
              </w:rPr>
              <w:t xml:space="preserve"> cargo import declaration are associated with a container</w:t>
            </w:r>
          </w:p>
          <w:p w14:paraId="0C11374D" w14:textId="46D3818B" w:rsidR="003A27DB" w:rsidRPr="000E3BCF" w:rsidRDefault="0020280F" w:rsidP="00A824B7">
            <w:pPr>
              <w:pStyle w:val="ListBullet"/>
              <w:rPr>
                <w:rFonts w:asciiTheme="majorHAnsi" w:hAnsiTheme="majorHAnsi" w:cs="Calibri"/>
                <w:color w:val="000000"/>
              </w:rPr>
            </w:pPr>
            <w:r w:rsidRPr="0020280F">
              <w:rPr>
                <w:color w:val="002060"/>
              </w:rPr>
              <w:t>All lines for the same commodity group have the same outcome applied</w:t>
            </w:r>
          </w:p>
        </w:tc>
      </w:tr>
      <w:tr w:rsidR="00A0568D" w:rsidRPr="000E3BCF" w14:paraId="554EA84B" w14:textId="77777777" w:rsidTr="006A3BF5">
        <w:tc>
          <w:tcPr>
            <w:tcW w:w="988" w:type="dxa"/>
            <w:shd w:val="clear" w:color="auto" w:fill="auto"/>
          </w:tcPr>
          <w:p w14:paraId="3685E8FF" w14:textId="387E237C"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4A485E18" w14:textId="6BE35E09" w:rsidR="00A0568D" w:rsidRPr="000E3BCF" w:rsidRDefault="00812675" w:rsidP="00812675">
            <w:pPr>
              <w:rPr>
                <w:rFonts w:asciiTheme="majorHAnsi" w:hAnsiTheme="majorHAnsi" w:cs="Calibri"/>
                <w:color w:val="000000"/>
              </w:rPr>
            </w:pPr>
            <w:r w:rsidRPr="000E3BCF">
              <w:rPr>
                <w:rFonts w:asciiTheme="majorHAnsi" w:hAnsiTheme="majorHAnsi" w:cs="Calibri"/>
                <w:color w:val="000000"/>
              </w:rPr>
              <w:t>Could tariff c</w:t>
            </w:r>
            <w:r w:rsidR="00A0568D" w:rsidRPr="000E3BCF">
              <w:rPr>
                <w:rFonts w:asciiTheme="majorHAnsi" w:hAnsiTheme="majorHAnsi" w:cs="Calibri"/>
                <w:color w:val="000000"/>
              </w:rPr>
              <w:t>hap</w:t>
            </w:r>
            <w:r w:rsidRPr="000E3BCF">
              <w:rPr>
                <w:rFonts w:asciiTheme="majorHAnsi" w:hAnsiTheme="majorHAnsi" w:cs="Calibri"/>
                <w:color w:val="000000"/>
              </w:rPr>
              <w:t>ter 95 for toys be included in the scope of AEPCOMM?</w:t>
            </w:r>
          </w:p>
        </w:tc>
      </w:tr>
      <w:tr w:rsidR="003A27DB" w:rsidRPr="000E3BCF" w14:paraId="5C40CBF7" w14:textId="77777777" w:rsidTr="006A3BF5">
        <w:tc>
          <w:tcPr>
            <w:tcW w:w="988" w:type="dxa"/>
            <w:shd w:val="clear" w:color="auto" w:fill="auto"/>
          </w:tcPr>
          <w:p w14:paraId="260B588B"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1C50A118" w14:textId="50FD0530" w:rsidR="003A27DB" w:rsidRPr="000E3BCF" w:rsidRDefault="00E95947" w:rsidP="009E256B">
            <w:pPr>
              <w:rPr>
                <w:rFonts w:asciiTheme="majorHAnsi" w:hAnsiTheme="majorHAnsi" w:cs="Calibri"/>
                <w:color w:val="000000"/>
              </w:rPr>
            </w:pPr>
            <w:r w:rsidRPr="00835505">
              <w:rPr>
                <w:rFonts w:asciiTheme="majorHAnsi" w:hAnsiTheme="majorHAnsi" w:cs="Calibri"/>
                <w:color w:val="002060"/>
              </w:rPr>
              <w:t xml:space="preserve">Thank you for your suggestion. The AEP Reform team will investigate the types of products included under this tariff chapter </w:t>
            </w:r>
            <w:r w:rsidR="009E256B" w:rsidRPr="00835505">
              <w:rPr>
                <w:rFonts w:asciiTheme="majorHAnsi" w:hAnsiTheme="majorHAnsi" w:cs="Calibri"/>
                <w:color w:val="002060"/>
              </w:rPr>
              <w:t>and consider requesting approval from the specialist areas for inclusion into the AEPCOMM scope.</w:t>
            </w:r>
          </w:p>
        </w:tc>
      </w:tr>
      <w:tr w:rsidR="00A0568D" w:rsidRPr="000E3BCF" w14:paraId="0E5CB8FA" w14:textId="77777777" w:rsidTr="006A3BF5">
        <w:tc>
          <w:tcPr>
            <w:tcW w:w="988" w:type="dxa"/>
            <w:shd w:val="clear" w:color="auto" w:fill="auto"/>
          </w:tcPr>
          <w:p w14:paraId="459B1C76" w14:textId="61E1161D"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6A9FC530" w14:textId="6832D35F" w:rsidR="00A0568D" w:rsidRPr="000E3BCF" w:rsidRDefault="00A54D21" w:rsidP="00A54D21">
            <w:pPr>
              <w:rPr>
                <w:rFonts w:asciiTheme="majorHAnsi" w:hAnsiTheme="majorHAnsi" w:cs="Calibri"/>
                <w:color w:val="000000"/>
              </w:rPr>
            </w:pPr>
            <w:r w:rsidRPr="000E3BCF">
              <w:rPr>
                <w:rFonts w:asciiTheme="majorHAnsi" w:hAnsiTheme="majorHAnsi" w:cs="Calibri"/>
                <w:color w:val="000000"/>
              </w:rPr>
              <w:t>What happens if lodge a declaration well in advance, and you are issued with a biosecurity d</w:t>
            </w:r>
            <w:r w:rsidR="00A0568D" w:rsidRPr="000E3BCF">
              <w:rPr>
                <w:rFonts w:asciiTheme="majorHAnsi" w:hAnsiTheme="majorHAnsi" w:cs="Calibri"/>
                <w:color w:val="000000"/>
              </w:rPr>
              <w:t xml:space="preserve">irection for </w:t>
            </w:r>
            <w:r w:rsidRPr="000E3BCF">
              <w:rPr>
                <w:rFonts w:asciiTheme="majorHAnsi" w:hAnsiTheme="majorHAnsi" w:cs="Calibri"/>
                <w:color w:val="000000"/>
              </w:rPr>
              <w:t xml:space="preserve">and </w:t>
            </w:r>
            <w:r w:rsidR="00A0568D" w:rsidRPr="000E3BCF">
              <w:rPr>
                <w:rFonts w:asciiTheme="majorHAnsi" w:hAnsiTheme="majorHAnsi" w:cs="Calibri"/>
                <w:color w:val="000000"/>
              </w:rPr>
              <w:t>in</w:t>
            </w:r>
            <w:r w:rsidRPr="000E3BCF">
              <w:rPr>
                <w:rFonts w:asciiTheme="majorHAnsi" w:hAnsiTheme="majorHAnsi" w:cs="Calibri"/>
                <w:color w:val="000000"/>
              </w:rPr>
              <w:t>spection</w:t>
            </w:r>
            <w:r w:rsidR="00A0568D" w:rsidRPr="000E3BCF">
              <w:rPr>
                <w:rFonts w:asciiTheme="majorHAnsi" w:hAnsiTheme="majorHAnsi" w:cs="Calibri"/>
                <w:color w:val="000000"/>
              </w:rPr>
              <w:t xml:space="preserve"> </w:t>
            </w:r>
            <w:r w:rsidRPr="000E3BCF">
              <w:rPr>
                <w:rFonts w:asciiTheme="majorHAnsi" w:hAnsiTheme="majorHAnsi" w:cs="Calibri"/>
                <w:color w:val="000000"/>
              </w:rPr>
              <w:t>(</w:t>
            </w:r>
            <w:r w:rsidR="00A0568D" w:rsidRPr="000E3BCF">
              <w:rPr>
                <w:rFonts w:asciiTheme="majorHAnsi" w:hAnsiTheme="majorHAnsi" w:cs="Calibri"/>
                <w:color w:val="000000"/>
              </w:rPr>
              <w:t xml:space="preserve">or any </w:t>
            </w:r>
            <w:r w:rsidRPr="000E3BCF">
              <w:rPr>
                <w:rFonts w:asciiTheme="majorHAnsi" w:hAnsiTheme="majorHAnsi" w:cs="Calibri"/>
                <w:color w:val="000000"/>
              </w:rPr>
              <w:t>other measure)</w:t>
            </w:r>
            <w:r w:rsidR="00A0568D" w:rsidRPr="000E3BCF">
              <w:rPr>
                <w:rFonts w:asciiTheme="majorHAnsi" w:hAnsiTheme="majorHAnsi" w:cs="Calibri"/>
                <w:color w:val="000000"/>
              </w:rPr>
              <w:t>, but the time expires to carry out activity before the shipment even arrives.</w:t>
            </w:r>
          </w:p>
        </w:tc>
      </w:tr>
      <w:tr w:rsidR="003A27DB" w:rsidRPr="000E3BCF" w14:paraId="41DA9BD5" w14:textId="77777777" w:rsidTr="006A3BF5">
        <w:tc>
          <w:tcPr>
            <w:tcW w:w="988" w:type="dxa"/>
            <w:shd w:val="clear" w:color="auto" w:fill="auto"/>
          </w:tcPr>
          <w:p w14:paraId="66DDD114"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68FCE9C9" w14:textId="4BFA4F8D" w:rsidR="003A27DB" w:rsidRPr="00835505" w:rsidRDefault="00A54D21" w:rsidP="00A54D21">
            <w:pPr>
              <w:rPr>
                <w:rFonts w:asciiTheme="majorHAnsi" w:hAnsiTheme="majorHAnsi"/>
                <w:color w:val="002060"/>
                <w:lang w:eastAsia="ja-JP"/>
              </w:rPr>
            </w:pPr>
            <w:r w:rsidRPr="00835505">
              <w:rPr>
                <w:rFonts w:asciiTheme="majorHAnsi" w:hAnsiTheme="majorHAnsi"/>
                <w:color w:val="002060"/>
                <w:lang w:eastAsia="ja-JP"/>
              </w:rPr>
              <w:t>If you have lodged an import declaration through AEP well in advance (prior to the cargo being available), please contact the dep</w:t>
            </w:r>
            <w:r w:rsidR="0039662E" w:rsidRPr="00835505">
              <w:rPr>
                <w:rFonts w:asciiTheme="majorHAnsi" w:hAnsiTheme="majorHAnsi"/>
                <w:color w:val="002060"/>
                <w:lang w:eastAsia="ja-JP"/>
              </w:rPr>
              <w:t>artment so that the timeframe can be</w:t>
            </w:r>
            <w:r w:rsidRPr="00835505">
              <w:rPr>
                <w:rFonts w:asciiTheme="majorHAnsi" w:hAnsiTheme="majorHAnsi"/>
                <w:color w:val="002060"/>
                <w:lang w:eastAsia="ja-JP"/>
              </w:rPr>
              <w:t xml:space="preserve"> extended.</w:t>
            </w:r>
            <w:r w:rsidR="00D21A18" w:rsidRPr="00835505">
              <w:rPr>
                <w:rFonts w:asciiTheme="majorHAnsi" w:hAnsiTheme="majorHAnsi"/>
                <w:color w:val="002060"/>
                <w:lang w:eastAsia="ja-JP"/>
              </w:rPr>
              <w:t xml:space="preserve"> This request will not attract fees.</w:t>
            </w:r>
          </w:p>
          <w:p w14:paraId="66AACF2B" w14:textId="629B8717" w:rsidR="0039662E" w:rsidRPr="000E3BCF" w:rsidRDefault="0039662E" w:rsidP="0039662E">
            <w:pPr>
              <w:tabs>
                <w:tab w:val="left" w:pos="3954"/>
              </w:tabs>
              <w:rPr>
                <w:rFonts w:asciiTheme="majorHAnsi" w:hAnsiTheme="majorHAnsi" w:cs="Calibri"/>
                <w:color w:val="000000"/>
              </w:rPr>
            </w:pPr>
            <w:r w:rsidRPr="00835505">
              <w:rPr>
                <w:rFonts w:asciiTheme="majorHAnsi" w:hAnsiTheme="majorHAnsi"/>
                <w:color w:val="002060"/>
                <w:lang w:eastAsia="ja-JP"/>
              </w:rPr>
              <w:t xml:space="preserve">The biosecurity direction time frame starts from the date the direction is issued and emailed to the BIP. </w:t>
            </w:r>
          </w:p>
        </w:tc>
      </w:tr>
      <w:tr w:rsidR="00A0568D" w:rsidRPr="000E3BCF" w14:paraId="09C4BEA6" w14:textId="77777777" w:rsidTr="006A3BF5">
        <w:tc>
          <w:tcPr>
            <w:tcW w:w="988" w:type="dxa"/>
            <w:shd w:val="clear" w:color="auto" w:fill="auto"/>
          </w:tcPr>
          <w:p w14:paraId="16310FF0" w14:textId="77777777"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733D17BE" w14:textId="6F945080" w:rsidR="00A0568D" w:rsidRPr="000E3BCF" w:rsidRDefault="00A0568D" w:rsidP="001E0F7E">
            <w:pPr>
              <w:rPr>
                <w:rFonts w:asciiTheme="majorHAnsi" w:hAnsiTheme="majorHAnsi" w:cs="Calibri"/>
                <w:color w:val="000000"/>
              </w:rPr>
            </w:pPr>
            <w:r w:rsidRPr="000E3BCF">
              <w:rPr>
                <w:rFonts w:asciiTheme="majorHAnsi" w:hAnsiTheme="majorHAnsi" w:cs="Calibri"/>
                <w:color w:val="000000"/>
              </w:rPr>
              <w:t xml:space="preserve">I was </w:t>
            </w:r>
            <w:r w:rsidR="001E0F7E" w:rsidRPr="000E3BCF">
              <w:rPr>
                <w:rFonts w:asciiTheme="majorHAnsi" w:hAnsiTheme="majorHAnsi" w:cs="Calibri"/>
                <w:color w:val="000000"/>
              </w:rPr>
              <w:t xml:space="preserve">recently accredited for AEPCOMM. How can I check if I </w:t>
            </w:r>
            <w:r w:rsidRPr="000E3BCF">
              <w:rPr>
                <w:rFonts w:asciiTheme="majorHAnsi" w:hAnsiTheme="majorHAnsi" w:cs="Calibri"/>
                <w:color w:val="000000"/>
              </w:rPr>
              <w:t>have completed all relevant CBC accreditation</w:t>
            </w:r>
            <w:r w:rsidR="001E0F7E" w:rsidRPr="000E3BCF">
              <w:rPr>
                <w:rFonts w:asciiTheme="majorHAnsi" w:hAnsiTheme="majorHAnsi" w:cs="Calibri"/>
                <w:color w:val="000000"/>
              </w:rPr>
              <w:t>? I want to make sure that I am</w:t>
            </w:r>
            <w:r w:rsidRPr="000E3BCF">
              <w:rPr>
                <w:rFonts w:asciiTheme="majorHAnsi" w:hAnsiTheme="majorHAnsi" w:cs="Calibri"/>
                <w:color w:val="000000"/>
              </w:rPr>
              <w:t xml:space="preserve"> ok to start utilising AEPCOMM for the start of BMSB season in a few weeks.</w:t>
            </w:r>
          </w:p>
        </w:tc>
      </w:tr>
      <w:tr w:rsidR="003A27DB" w:rsidRPr="000E3BCF" w14:paraId="7E928D75" w14:textId="77777777" w:rsidTr="006A3BF5">
        <w:tc>
          <w:tcPr>
            <w:tcW w:w="988" w:type="dxa"/>
            <w:shd w:val="clear" w:color="auto" w:fill="auto"/>
          </w:tcPr>
          <w:p w14:paraId="225AB377"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0CA3AF8E" w14:textId="5E2BD79B" w:rsidR="002A69E8" w:rsidRPr="000E3BCF" w:rsidRDefault="002A69E8" w:rsidP="00921B3E">
            <w:pPr>
              <w:rPr>
                <w:rFonts w:asciiTheme="majorHAnsi" w:hAnsiTheme="majorHAnsi" w:cs="Calibri"/>
                <w:color w:val="000000"/>
              </w:rPr>
            </w:pPr>
            <w:r w:rsidRPr="000E3BCF">
              <w:rPr>
                <w:rFonts w:asciiTheme="majorHAnsi" w:hAnsiTheme="majorHAnsi"/>
                <w:color w:val="002060"/>
                <w:lang w:eastAsia="ja-JP"/>
              </w:rPr>
              <w:t xml:space="preserve">Training and accreditation </w:t>
            </w:r>
            <w:r w:rsidR="00921B3E">
              <w:rPr>
                <w:rFonts w:asciiTheme="majorHAnsi" w:hAnsiTheme="majorHAnsi"/>
                <w:color w:val="002060"/>
                <w:lang w:eastAsia="ja-JP"/>
              </w:rPr>
              <w:t xml:space="preserve">CBC is coordinated through </w:t>
            </w:r>
            <w:r w:rsidRPr="000E3BCF">
              <w:rPr>
                <w:rFonts w:asciiTheme="majorHAnsi" w:hAnsiTheme="majorHAnsi"/>
                <w:color w:val="002060"/>
                <w:lang w:eastAsia="ja-JP"/>
              </w:rPr>
              <w:t>Industry organisations (such as CBFCA, FTA and Broker CPD), please contact them for information</w:t>
            </w:r>
            <w:r w:rsidR="00F12783" w:rsidRPr="000E3BCF">
              <w:rPr>
                <w:rFonts w:asciiTheme="majorHAnsi" w:hAnsiTheme="majorHAnsi"/>
                <w:color w:val="002060"/>
                <w:lang w:eastAsia="ja-JP"/>
              </w:rPr>
              <w:t xml:space="preserve"> in the first instance (t</w:t>
            </w:r>
            <w:r w:rsidRPr="000E3BCF">
              <w:rPr>
                <w:rFonts w:asciiTheme="majorHAnsi" w:hAnsiTheme="majorHAnsi"/>
                <w:color w:val="002060"/>
                <w:lang w:eastAsia="ja-JP"/>
              </w:rPr>
              <w:t>hey will contact the department if required</w:t>
            </w:r>
            <w:r w:rsidR="00F12783" w:rsidRPr="000E3BCF">
              <w:rPr>
                <w:rFonts w:asciiTheme="majorHAnsi" w:hAnsiTheme="majorHAnsi"/>
                <w:color w:val="002060"/>
                <w:lang w:eastAsia="ja-JP"/>
              </w:rPr>
              <w:t>)</w:t>
            </w:r>
            <w:r w:rsidRPr="000E3BCF">
              <w:rPr>
                <w:rFonts w:asciiTheme="majorHAnsi" w:hAnsiTheme="majorHAnsi"/>
                <w:color w:val="002060"/>
                <w:lang w:eastAsia="ja-JP"/>
              </w:rPr>
              <w:t>. Also, please remember that you are required to keep evidence of your training in case evidence is requested by the department.</w:t>
            </w:r>
          </w:p>
        </w:tc>
      </w:tr>
      <w:tr w:rsidR="00A0568D" w:rsidRPr="000E3BCF" w14:paraId="290CE03B" w14:textId="77777777" w:rsidTr="006A3BF5">
        <w:tc>
          <w:tcPr>
            <w:tcW w:w="988" w:type="dxa"/>
            <w:shd w:val="clear" w:color="auto" w:fill="auto"/>
          </w:tcPr>
          <w:p w14:paraId="5BD2AC10" w14:textId="4965ECC5" w:rsidR="00A0568D" w:rsidRPr="000E3BCF" w:rsidRDefault="00A0568D" w:rsidP="00E02D51">
            <w:pPr>
              <w:pStyle w:val="ListParagraph"/>
              <w:numPr>
                <w:ilvl w:val="0"/>
                <w:numId w:val="18"/>
              </w:numPr>
              <w:tabs>
                <w:tab w:val="left" w:pos="3954"/>
              </w:tabs>
              <w:rPr>
                <w:rFonts w:asciiTheme="majorHAnsi" w:hAnsiTheme="majorHAnsi"/>
                <w:b/>
                <w:lang w:eastAsia="ja-JP"/>
              </w:rPr>
            </w:pPr>
          </w:p>
        </w:tc>
        <w:tc>
          <w:tcPr>
            <w:tcW w:w="8454" w:type="dxa"/>
            <w:shd w:val="clear" w:color="auto" w:fill="auto"/>
            <w:vAlign w:val="bottom"/>
          </w:tcPr>
          <w:p w14:paraId="3C1FBFC6" w14:textId="0C1E61BE" w:rsidR="00A0568D" w:rsidRPr="000E3BCF" w:rsidRDefault="00DA26EF" w:rsidP="00DA26EF">
            <w:pPr>
              <w:rPr>
                <w:rFonts w:asciiTheme="majorHAnsi" w:hAnsiTheme="majorHAnsi" w:cs="Calibri"/>
                <w:color w:val="000000"/>
              </w:rPr>
            </w:pPr>
            <w:bookmarkStart w:id="1" w:name="Q45"/>
            <w:r w:rsidRPr="000E3BCF">
              <w:rPr>
                <w:rFonts w:asciiTheme="majorHAnsi" w:hAnsiTheme="majorHAnsi" w:cs="Calibri"/>
                <w:color w:val="000000"/>
              </w:rPr>
              <w:t>I am</w:t>
            </w:r>
            <w:r w:rsidR="00A0568D" w:rsidRPr="000E3BCF">
              <w:rPr>
                <w:rFonts w:asciiTheme="majorHAnsi" w:hAnsiTheme="majorHAnsi" w:cs="Calibri"/>
                <w:color w:val="000000"/>
              </w:rPr>
              <w:t xml:space="preserve"> a littl</w:t>
            </w:r>
            <w:r w:rsidRPr="000E3BCF">
              <w:rPr>
                <w:rFonts w:asciiTheme="majorHAnsi" w:hAnsiTheme="majorHAnsi" w:cs="Calibri"/>
                <w:color w:val="000000"/>
              </w:rPr>
              <w:t xml:space="preserve">e confused with the need to enter phytosanitary </w:t>
            </w:r>
            <w:r w:rsidR="00A0568D" w:rsidRPr="000E3BCF">
              <w:rPr>
                <w:rFonts w:asciiTheme="majorHAnsi" w:hAnsiTheme="majorHAnsi" w:cs="Calibri"/>
                <w:color w:val="000000"/>
              </w:rPr>
              <w:t>certificate details in</w:t>
            </w:r>
            <w:r w:rsidRPr="000E3BCF">
              <w:rPr>
                <w:rFonts w:asciiTheme="majorHAnsi" w:hAnsiTheme="majorHAnsi" w:cs="Calibri"/>
                <w:color w:val="000000"/>
              </w:rPr>
              <w:t xml:space="preserve"> the G</w:t>
            </w:r>
            <w:r w:rsidR="00A0568D" w:rsidRPr="000E3BCF">
              <w:rPr>
                <w:rFonts w:asciiTheme="majorHAnsi" w:hAnsiTheme="majorHAnsi" w:cs="Calibri"/>
                <w:color w:val="000000"/>
              </w:rPr>
              <w:t xml:space="preserve">oods description </w:t>
            </w:r>
            <w:r w:rsidRPr="000E3BCF">
              <w:rPr>
                <w:rFonts w:asciiTheme="majorHAnsi" w:hAnsiTheme="majorHAnsi" w:cs="Calibri"/>
                <w:color w:val="000000"/>
              </w:rPr>
              <w:t xml:space="preserve">field </w:t>
            </w:r>
            <w:r w:rsidR="00A0568D" w:rsidRPr="000E3BCF">
              <w:rPr>
                <w:rFonts w:asciiTheme="majorHAnsi" w:hAnsiTheme="majorHAnsi" w:cs="Calibri"/>
                <w:color w:val="000000"/>
              </w:rPr>
              <w:t>when det</w:t>
            </w:r>
            <w:r w:rsidRPr="000E3BCF">
              <w:rPr>
                <w:rFonts w:asciiTheme="majorHAnsi" w:hAnsiTheme="majorHAnsi" w:cs="Calibri"/>
                <w:color w:val="000000"/>
              </w:rPr>
              <w:t xml:space="preserve">ails can be entered in the </w:t>
            </w:r>
            <w:r w:rsidR="00A0568D" w:rsidRPr="000E3BCF">
              <w:rPr>
                <w:rFonts w:asciiTheme="majorHAnsi" w:hAnsiTheme="majorHAnsi" w:cs="Calibri"/>
                <w:color w:val="000000"/>
              </w:rPr>
              <w:t>AEP certificate fields</w:t>
            </w:r>
            <w:r w:rsidRPr="000E3BCF">
              <w:rPr>
                <w:rFonts w:asciiTheme="majorHAnsi" w:hAnsiTheme="majorHAnsi" w:cs="Calibri"/>
                <w:color w:val="000000"/>
              </w:rPr>
              <w:t>. Is this duplication of work</w:t>
            </w:r>
            <w:r w:rsidR="00A0568D" w:rsidRPr="000E3BCF">
              <w:rPr>
                <w:rFonts w:asciiTheme="majorHAnsi" w:hAnsiTheme="majorHAnsi" w:cs="Calibri"/>
                <w:color w:val="000000"/>
              </w:rPr>
              <w:t>?</w:t>
            </w:r>
            <w:bookmarkEnd w:id="1"/>
          </w:p>
        </w:tc>
      </w:tr>
      <w:tr w:rsidR="003A27DB" w:rsidRPr="000E3BCF" w14:paraId="3D244B82" w14:textId="77777777" w:rsidTr="006A3BF5">
        <w:tc>
          <w:tcPr>
            <w:tcW w:w="988" w:type="dxa"/>
            <w:shd w:val="clear" w:color="auto" w:fill="auto"/>
          </w:tcPr>
          <w:p w14:paraId="02716808" w14:textId="77777777" w:rsidR="003A27DB" w:rsidRPr="000E3BCF" w:rsidRDefault="003A27DB" w:rsidP="00A0568D">
            <w:pPr>
              <w:tabs>
                <w:tab w:val="left" w:pos="3954"/>
              </w:tabs>
              <w:rPr>
                <w:rFonts w:asciiTheme="majorHAnsi" w:hAnsiTheme="majorHAnsi"/>
                <w:b/>
                <w:lang w:eastAsia="ja-JP"/>
              </w:rPr>
            </w:pPr>
          </w:p>
        </w:tc>
        <w:tc>
          <w:tcPr>
            <w:tcW w:w="8454" w:type="dxa"/>
            <w:shd w:val="clear" w:color="auto" w:fill="auto"/>
            <w:vAlign w:val="bottom"/>
          </w:tcPr>
          <w:p w14:paraId="7857B917" w14:textId="00B1B9B8" w:rsidR="002B4E64" w:rsidRPr="00835505" w:rsidRDefault="00960001" w:rsidP="00A0568D">
            <w:pPr>
              <w:rPr>
                <w:rFonts w:asciiTheme="majorHAnsi" w:hAnsiTheme="majorHAnsi" w:cs="Calibri"/>
                <w:color w:val="002060"/>
              </w:rPr>
            </w:pPr>
            <w:r w:rsidRPr="00835505">
              <w:rPr>
                <w:rFonts w:asciiTheme="majorHAnsi" w:hAnsiTheme="majorHAnsi" w:cs="Calibri"/>
                <w:color w:val="002060"/>
              </w:rPr>
              <w:t>If BICON stipulates a phytosanitary certificate is required for clearance of a co</w:t>
            </w:r>
            <w:r w:rsidR="0081473A" w:rsidRPr="00835505">
              <w:rPr>
                <w:rFonts w:asciiTheme="majorHAnsi" w:hAnsiTheme="majorHAnsi" w:cs="Calibri"/>
                <w:color w:val="002060"/>
              </w:rPr>
              <w:t>mmodity, you must</w:t>
            </w:r>
            <w:r w:rsidR="00BD2F62" w:rsidRPr="00835505">
              <w:rPr>
                <w:rFonts w:asciiTheme="majorHAnsi" w:hAnsiTheme="majorHAnsi" w:cs="Calibri"/>
                <w:color w:val="002060"/>
              </w:rPr>
              <w:t xml:space="preserve"> enter details as follows</w:t>
            </w:r>
            <w:r w:rsidR="008015ED" w:rsidRPr="00835505">
              <w:rPr>
                <w:rFonts w:asciiTheme="majorHAnsi" w:hAnsiTheme="majorHAnsi" w:cs="Calibri"/>
                <w:color w:val="002060"/>
              </w:rPr>
              <w:t xml:space="preserve"> and in accordance with the Minimum documentary and import declaration requirements policy</w:t>
            </w:r>
            <w:r w:rsidR="0081473A" w:rsidRPr="00835505">
              <w:rPr>
                <w:rFonts w:asciiTheme="majorHAnsi" w:hAnsiTheme="majorHAnsi" w:cs="Calibri"/>
                <w:color w:val="002060"/>
              </w:rPr>
              <w:t>:</w:t>
            </w:r>
          </w:p>
          <w:tbl>
            <w:tblPr>
              <w:tblStyle w:val="TableGrid"/>
              <w:tblW w:w="0" w:type="auto"/>
              <w:tblLook w:val="04A0" w:firstRow="1" w:lastRow="0" w:firstColumn="1" w:lastColumn="0" w:noHBand="0" w:noVBand="1"/>
            </w:tblPr>
            <w:tblGrid>
              <w:gridCol w:w="4114"/>
              <w:gridCol w:w="4114"/>
            </w:tblGrid>
            <w:tr w:rsidR="00BD2F62" w14:paraId="727DEA30" w14:textId="77777777" w:rsidTr="00ED4E18">
              <w:tc>
                <w:tcPr>
                  <w:tcW w:w="4114" w:type="dxa"/>
                  <w:shd w:val="clear" w:color="auto" w:fill="000000" w:themeFill="text1"/>
                </w:tcPr>
                <w:p w14:paraId="304E4277" w14:textId="77777777" w:rsidR="00BD2F62" w:rsidRPr="0081473A" w:rsidRDefault="00BD2F62" w:rsidP="00BD2F62">
                  <w:pPr>
                    <w:rPr>
                      <w:rFonts w:asciiTheme="majorHAnsi" w:hAnsiTheme="majorHAnsi" w:cs="Calibri"/>
                      <w:b/>
                      <w:color w:val="FFFFFF" w:themeColor="background1"/>
                    </w:rPr>
                  </w:pPr>
                  <w:r w:rsidRPr="0081473A">
                    <w:rPr>
                      <w:rFonts w:asciiTheme="majorHAnsi" w:hAnsiTheme="majorHAnsi" w:cs="Calibri"/>
                      <w:b/>
                      <w:color w:val="FFFFFF" w:themeColor="background1"/>
                    </w:rPr>
                    <w:lastRenderedPageBreak/>
                    <w:t>If certificate is</w:t>
                  </w:r>
                </w:p>
              </w:tc>
              <w:tc>
                <w:tcPr>
                  <w:tcW w:w="4114" w:type="dxa"/>
                  <w:shd w:val="clear" w:color="auto" w:fill="000000" w:themeFill="text1"/>
                </w:tcPr>
                <w:p w14:paraId="455895F6" w14:textId="411F95E9" w:rsidR="00BD2F62" w:rsidRPr="0081473A" w:rsidRDefault="00BD2F62" w:rsidP="00BD2F62">
                  <w:pPr>
                    <w:rPr>
                      <w:rFonts w:asciiTheme="majorHAnsi" w:hAnsiTheme="majorHAnsi" w:cs="Calibri"/>
                      <w:b/>
                      <w:color w:val="FFFFFF" w:themeColor="background1"/>
                    </w:rPr>
                  </w:pPr>
                  <w:r w:rsidRPr="0081473A">
                    <w:rPr>
                      <w:rFonts w:asciiTheme="majorHAnsi" w:hAnsiTheme="majorHAnsi" w:cs="Calibri"/>
                      <w:b/>
                      <w:color w:val="FFFFFF" w:themeColor="background1"/>
                    </w:rPr>
                    <w:t>Then</w:t>
                  </w:r>
                  <w:r w:rsidR="00CB467D">
                    <w:rPr>
                      <w:rFonts w:asciiTheme="majorHAnsi" w:hAnsiTheme="majorHAnsi" w:cs="Calibri"/>
                      <w:b/>
                      <w:color w:val="FFFFFF" w:themeColor="background1"/>
                    </w:rPr>
                    <w:t xml:space="preserve"> enter the following in ICS or third party software</w:t>
                  </w:r>
                </w:p>
              </w:tc>
            </w:tr>
            <w:tr w:rsidR="00BD2F62" w14:paraId="2ACBCD0B" w14:textId="77777777" w:rsidTr="00ED4E18">
              <w:tc>
                <w:tcPr>
                  <w:tcW w:w="4114" w:type="dxa"/>
                  <w:shd w:val="clear" w:color="auto" w:fill="auto"/>
                </w:tcPr>
                <w:p w14:paraId="638E1BE3" w14:textId="6EB839E1" w:rsidR="00BD2F62" w:rsidRPr="00866F38" w:rsidRDefault="00DD605B" w:rsidP="00BD2F62">
                  <w:pPr>
                    <w:rPr>
                      <w:rFonts w:asciiTheme="majorHAnsi" w:hAnsiTheme="majorHAnsi" w:cs="Calibri"/>
                      <w:color w:val="1F497D" w:themeColor="text2"/>
                    </w:rPr>
                  </w:pPr>
                  <w:r>
                    <w:rPr>
                      <w:rFonts w:asciiTheme="majorHAnsi" w:hAnsiTheme="majorHAnsi" w:cs="Calibri"/>
                      <w:color w:val="1F497D" w:themeColor="text2"/>
                    </w:rPr>
                    <w:t>a</w:t>
                  </w:r>
                  <w:r w:rsidR="00BD2F62" w:rsidRPr="00866F38">
                    <w:rPr>
                      <w:rFonts w:asciiTheme="majorHAnsi" w:hAnsiTheme="majorHAnsi" w:cs="Calibri"/>
                      <w:color w:val="1F497D" w:themeColor="text2"/>
                    </w:rPr>
                    <w:t>vailable through eCert (currently New Zealand and Indonesia)</w:t>
                  </w:r>
                </w:p>
              </w:tc>
              <w:tc>
                <w:tcPr>
                  <w:tcW w:w="4114" w:type="dxa"/>
                  <w:shd w:val="clear" w:color="auto" w:fill="auto"/>
                </w:tcPr>
                <w:p w14:paraId="7D426460" w14:textId="11770145" w:rsidR="00CB467D" w:rsidRDefault="00CB467D" w:rsidP="00CB467D">
                  <w:pPr>
                    <w:pStyle w:val="ListParagraph"/>
                    <w:numPr>
                      <w:ilvl w:val="0"/>
                      <w:numId w:val="20"/>
                    </w:numPr>
                    <w:ind w:left="342" w:hanging="342"/>
                    <w:rPr>
                      <w:rFonts w:asciiTheme="majorHAnsi" w:hAnsiTheme="majorHAnsi" w:cs="Calibri"/>
                      <w:color w:val="1F497D" w:themeColor="text2"/>
                    </w:rPr>
                  </w:pPr>
                  <w:r>
                    <w:rPr>
                      <w:rFonts w:asciiTheme="majorHAnsi" w:hAnsiTheme="majorHAnsi" w:cs="Calibri"/>
                      <w:color w:val="1F497D" w:themeColor="text2"/>
                    </w:rPr>
                    <w:t>document type in the AQIS document type field</w:t>
                  </w:r>
                </w:p>
                <w:p w14:paraId="5DD0B565" w14:textId="309BE07C" w:rsidR="00BD2F62" w:rsidRPr="00866F38" w:rsidRDefault="00CB467D" w:rsidP="00CB467D">
                  <w:pPr>
                    <w:pStyle w:val="ListParagraph"/>
                    <w:numPr>
                      <w:ilvl w:val="0"/>
                      <w:numId w:val="20"/>
                    </w:numPr>
                    <w:ind w:left="342" w:hanging="342"/>
                    <w:rPr>
                      <w:rFonts w:asciiTheme="majorHAnsi" w:hAnsiTheme="majorHAnsi" w:cs="Calibri"/>
                      <w:color w:val="1F497D" w:themeColor="text2"/>
                    </w:rPr>
                  </w:pPr>
                  <w:r>
                    <w:rPr>
                      <w:rFonts w:asciiTheme="majorHAnsi" w:hAnsiTheme="majorHAnsi" w:cs="Calibri"/>
                      <w:color w:val="1F497D" w:themeColor="text2"/>
                    </w:rPr>
                    <w:t>certificate number in the AQIS document number field</w:t>
                  </w:r>
                </w:p>
              </w:tc>
            </w:tr>
            <w:tr w:rsidR="00BD2F62" w14:paraId="1A07093B" w14:textId="77777777" w:rsidTr="00ED4E18">
              <w:tc>
                <w:tcPr>
                  <w:tcW w:w="4114" w:type="dxa"/>
                  <w:shd w:val="clear" w:color="auto" w:fill="auto"/>
                </w:tcPr>
                <w:p w14:paraId="6785E14E" w14:textId="702C2000" w:rsidR="00BD2F62" w:rsidRPr="00866F38" w:rsidRDefault="00DD605B" w:rsidP="00BD2F62">
                  <w:pPr>
                    <w:rPr>
                      <w:rFonts w:asciiTheme="majorHAnsi" w:hAnsiTheme="majorHAnsi" w:cs="Calibri"/>
                      <w:color w:val="1F497D" w:themeColor="text2"/>
                    </w:rPr>
                  </w:pPr>
                  <w:r>
                    <w:rPr>
                      <w:rFonts w:asciiTheme="majorHAnsi" w:hAnsiTheme="majorHAnsi" w:cs="Calibri"/>
                      <w:color w:val="1F497D" w:themeColor="text2"/>
                    </w:rPr>
                    <w:t>n</w:t>
                  </w:r>
                  <w:r w:rsidR="00BD2F62" w:rsidRPr="00866F38">
                    <w:rPr>
                      <w:rFonts w:asciiTheme="majorHAnsi" w:hAnsiTheme="majorHAnsi" w:cs="Calibri"/>
                      <w:color w:val="1F497D" w:themeColor="text2"/>
                    </w:rPr>
                    <w:t xml:space="preserve">ot available through </w:t>
                  </w:r>
                  <w:r w:rsidR="00A90534">
                    <w:rPr>
                      <w:rFonts w:asciiTheme="majorHAnsi" w:hAnsiTheme="majorHAnsi" w:cs="Calibri"/>
                      <w:color w:val="1F497D" w:themeColor="text2"/>
                    </w:rPr>
                    <w:t>e</w:t>
                  </w:r>
                  <w:r w:rsidR="00BD2F62" w:rsidRPr="00866F38">
                    <w:rPr>
                      <w:rFonts w:asciiTheme="majorHAnsi" w:hAnsiTheme="majorHAnsi" w:cs="Calibri"/>
                      <w:color w:val="1F497D" w:themeColor="text2"/>
                    </w:rPr>
                    <w:t xml:space="preserve">Cert (countries other than New Zealand and Indonesia) </w:t>
                  </w:r>
                </w:p>
              </w:tc>
              <w:tc>
                <w:tcPr>
                  <w:tcW w:w="4114" w:type="dxa"/>
                  <w:shd w:val="clear" w:color="auto" w:fill="auto"/>
                </w:tcPr>
                <w:p w14:paraId="16216406" w14:textId="14431971" w:rsidR="00BD2F62" w:rsidRPr="00CB467D" w:rsidRDefault="00BD2F62" w:rsidP="00DD605B">
                  <w:pPr>
                    <w:pStyle w:val="ListParagraph"/>
                    <w:numPr>
                      <w:ilvl w:val="0"/>
                      <w:numId w:val="22"/>
                    </w:numPr>
                    <w:ind w:left="342" w:hanging="342"/>
                    <w:rPr>
                      <w:rFonts w:asciiTheme="majorHAnsi" w:hAnsiTheme="majorHAnsi" w:cs="Calibri"/>
                      <w:color w:val="1F497D" w:themeColor="text2"/>
                    </w:rPr>
                  </w:pPr>
                  <w:r w:rsidRPr="00CB467D">
                    <w:rPr>
                      <w:rFonts w:asciiTheme="majorHAnsi" w:hAnsiTheme="majorHAnsi" w:cs="Calibri"/>
                      <w:color w:val="1F497D" w:themeColor="text2"/>
                    </w:rPr>
                    <w:t xml:space="preserve">certificate number in the Goods description field </w:t>
                  </w:r>
                </w:p>
              </w:tc>
            </w:tr>
          </w:tbl>
          <w:p w14:paraId="7512396D" w14:textId="678C06EA" w:rsidR="00BD2F62" w:rsidRPr="00ED6BB7" w:rsidRDefault="002B4E64" w:rsidP="00A0568D">
            <w:pPr>
              <w:rPr>
                <w:rFonts w:asciiTheme="majorHAnsi" w:hAnsiTheme="majorHAnsi" w:cs="Calibri"/>
                <w:color w:val="1F497D" w:themeColor="text2"/>
              </w:rPr>
            </w:pPr>
            <w:r w:rsidRPr="00ED6BB7">
              <w:rPr>
                <w:rFonts w:asciiTheme="majorHAnsi" w:hAnsiTheme="majorHAnsi" w:cs="Calibri"/>
                <w:color w:val="1F497D" w:themeColor="text2"/>
              </w:rPr>
              <w:t>For example, for a New Zealand phytosanitary certificate</w:t>
            </w:r>
            <w:r w:rsidR="002A5CCA" w:rsidRPr="00ED6BB7">
              <w:rPr>
                <w:rFonts w:asciiTheme="majorHAnsi" w:hAnsiTheme="majorHAnsi" w:cs="Calibri"/>
                <w:color w:val="1F497D" w:themeColor="text2"/>
              </w:rPr>
              <w:t xml:space="preserve"> you would enter</w:t>
            </w:r>
            <w:r w:rsidRPr="00ED6BB7">
              <w:rPr>
                <w:rFonts w:asciiTheme="majorHAnsi" w:hAnsiTheme="majorHAnsi" w:cs="Calibri"/>
                <w:color w:val="1F497D" w:themeColor="text2"/>
              </w:rPr>
              <w:t>:</w:t>
            </w:r>
          </w:p>
          <w:p w14:paraId="08EC90C4" w14:textId="77777777" w:rsidR="00ED6BB7" w:rsidRPr="00ED6BB7" w:rsidRDefault="002B4E64" w:rsidP="00ED6BB7">
            <w:pPr>
              <w:pStyle w:val="ListBullet"/>
              <w:rPr>
                <w:color w:val="1F497D" w:themeColor="text2"/>
              </w:rPr>
            </w:pPr>
            <w:r w:rsidRPr="00ED6BB7">
              <w:rPr>
                <w:color w:val="1F497D" w:themeColor="text2"/>
              </w:rPr>
              <w:t xml:space="preserve">AQIS Document type: NZPHYTO and </w:t>
            </w:r>
          </w:p>
          <w:p w14:paraId="06CC7377" w14:textId="767A6B11" w:rsidR="002B4E64" w:rsidRPr="00ED6BB7" w:rsidRDefault="002B4E64" w:rsidP="00ED6BB7">
            <w:pPr>
              <w:pStyle w:val="ListBullet"/>
              <w:rPr>
                <w:color w:val="1F497D" w:themeColor="text2"/>
              </w:rPr>
            </w:pPr>
            <w:r w:rsidRPr="00ED6BB7">
              <w:rPr>
                <w:color w:val="1F497D" w:themeColor="text2"/>
              </w:rPr>
              <w:t>AQIS Document number: NZL2019/ABCD/12345</w:t>
            </w:r>
          </w:p>
          <w:p w14:paraId="53B0B533" w14:textId="3D2E813D" w:rsidR="0081473A" w:rsidRPr="0081473A" w:rsidRDefault="002B4E64" w:rsidP="00B552BA">
            <w:pPr>
              <w:rPr>
                <w:rFonts w:asciiTheme="majorHAnsi" w:hAnsiTheme="majorHAnsi" w:cs="Calibri"/>
                <w:color w:val="000000"/>
              </w:rPr>
            </w:pPr>
            <w:r w:rsidRPr="00065FD7">
              <w:rPr>
                <w:rFonts w:asciiTheme="majorHAnsi" w:hAnsiTheme="majorHAnsi" w:cs="Calibri"/>
                <w:color w:val="1F497D" w:themeColor="text2"/>
              </w:rPr>
              <w:t xml:space="preserve">Please refer to the department’s </w:t>
            </w:r>
            <w:hyperlink r:id="rId24" w:history="1">
              <w:r w:rsidRPr="00065FD7">
                <w:rPr>
                  <w:rStyle w:val="Hyperlink"/>
                  <w:rFonts w:asciiTheme="majorHAnsi" w:hAnsiTheme="majorHAnsi" w:cs="Calibri"/>
                  <w:color w:val="1F497D" w:themeColor="text2"/>
                </w:rPr>
                <w:t>Electronic certification (eCert) for imports</w:t>
              </w:r>
            </w:hyperlink>
            <w:r w:rsidRPr="00065FD7">
              <w:rPr>
                <w:rFonts w:asciiTheme="majorHAnsi" w:hAnsiTheme="majorHAnsi" w:cs="Calibri"/>
                <w:color w:val="1F497D" w:themeColor="text2"/>
              </w:rPr>
              <w:t xml:space="preserve"> webpage for more detailed information.</w:t>
            </w:r>
          </w:p>
        </w:tc>
      </w:tr>
    </w:tbl>
    <w:p w14:paraId="1F7E9910" w14:textId="620B0F35" w:rsidR="009604C2" w:rsidRPr="009604C2" w:rsidRDefault="009604C2" w:rsidP="00670FBC">
      <w:pPr>
        <w:tabs>
          <w:tab w:val="left" w:pos="3954"/>
        </w:tabs>
        <w:rPr>
          <w:lang w:eastAsia="ja-JP"/>
        </w:rPr>
      </w:pPr>
    </w:p>
    <w:sectPr w:rsidR="009604C2" w:rsidRPr="009604C2">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0428A" w14:textId="77777777" w:rsidR="009604C2" w:rsidRDefault="009604C2">
      <w:r>
        <w:separator/>
      </w:r>
    </w:p>
  </w:endnote>
  <w:endnote w:type="continuationSeparator" w:id="0">
    <w:p w14:paraId="2044987B" w14:textId="77777777" w:rsidR="009604C2" w:rsidRDefault="0096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14:paraId="5EAAA325" w14:textId="77777777" w:rsidR="00C6669A" w:rsidRDefault="00C6669A" w:rsidP="00C6669A">
        <w:pPr>
          <w:pStyle w:val="Footer"/>
          <w:jc w:val="right"/>
        </w:pPr>
        <w:r>
          <w:t>Department of Agriculture</w:t>
        </w:r>
        <w:r>
          <w:tab/>
        </w:r>
        <w:r>
          <w:fldChar w:fldCharType="begin"/>
        </w:r>
        <w:r>
          <w:instrText xml:space="preserve"> PAGE   \* MERGEFORMAT </w:instrText>
        </w:r>
        <w:r>
          <w:fldChar w:fldCharType="separate"/>
        </w:r>
        <w:r w:rsidR="00FB663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F9F40" w14:textId="77777777" w:rsidR="009604C2" w:rsidRDefault="009604C2">
      <w:r>
        <w:separator/>
      </w:r>
    </w:p>
  </w:footnote>
  <w:footnote w:type="continuationSeparator" w:id="0">
    <w:p w14:paraId="4C305FF4" w14:textId="77777777" w:rsidR="009604C2" w:rsidRDefault="00960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BFE60" w14:textId="77777777" w:rsidR="00626E31" w:rsidRPr="009604C2" w:rsidRDefault="009604C2" w:rsidP="009604C2">
    <w:pPr>
      <w:pStyle w:val="Header"/>
    </w:pPr>
    <w:r w:rsidRPr="007B3444">
      <w:rPr>
        <w:noProof/>
      </w:rPr>
      <w:drawing>
        <wp:inline distT="0" distB="0" distL="0" distR="0" wp14:anchorId="7A6D3164" wp14:editId="4A0CCA48">
          <wp:extent cx="2456815" cy="675640"/>
          <wp:effectExtent l="0" t="0" r="635" b="0"/>
          <wp:docPr id="1" name="Picture 1" descr="Logo of the Australian Government Department of Agri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001CL08FS01\Home$\rowntree ben\Desktop\AG_Inline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815" cy="675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AC73DE"/>
    <w:multiLevelType w:val="hybridMultilevel"/>
    <w:tmpl w:val="F3DE1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FF4C26"/>
    <w:multiLevelType w:val="hybridMultilevel"/>
    <w:tmpl w:val="AEC083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45B6241"/>
    <w:multiLevelType w:val="hybridMultilevel"/>
    <w:tmpl w:val="6C78B0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2A913599"/>
    <w:multiLevelType w:val="multilevel"/>
    <w:tmpl w:val="02AA8FA0"/>
    <w:numStyleLink w:val="ListBullets"/>
  </w:abstractNum>
  <w:abstractNum w:abstractNumId="12" w15:restartNumberingAfterBreak="0">
    <w:nsid w:val="2F2425AB"/>
    <w:multiLevelType w:val="multilevel"/>
    <w:tmpl w:val="BC8603C0"/>
    <w:numStyleLink w:val="ListNumbers"/>
  </w:abstractNum>
  <w:abstractNum w:abstractNumId="13" w15:restartNumberingAfterBreak="0">
    <w:nsid w:val="341E2CEA"/>
    <w:multiLevelType w:val="hybridMultilevel"/>
    <w:tmpl w:val="323EC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DD5C12"/>
    <w:multiLevelType w:val="multilevel"/>
    <w:tmpl w:val="20F2356A"/>
    <w:numStyleLink w:val="Appendix"/>
  </w:abstractNum>
  <w:abstractNum w:abstractNumId="15"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E07540"/>
    <w:multiLevelType w:val="hybridMultilevel"/>
    <w:tmpl w:val="F4340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88411F"/>
    <w:multiLevelType w:val="hybridMultilevel"/>
    <w:tmpl w:val="F2C4D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6C439F"/>
    <w:multiLevelType w:val="hybridMultilevel"/>
    <w:tmpl w:val="DFD0B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0"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1"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FE3F2C"/>
    <w:multiLevelType w:val="hybridMultilevel"/>
    <w:tmpl w:val="AEC083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4D13C9D"/>
    <w:multiLevelType w:val="hybridMultilevel"/>
    <w:tmpl w:val="47726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7"/>
  </w:num>
  <w:num w:numId="4">
    <w:abstractNumId w:val="8"/>
  </w:num>
  <w:num w:numId="5">
    <w:abstractNumId w:val="3"/>
  </w:num>
  <w:num w:numId="6">
    <w:abstractNumId w:val="11"/>
  </w:num>
  <w:num w:numId="7">
    <w:abstractNumId w:val="23"/>
  </w:num>
  <w:num w:numId="8">
    <w:abstractNumId w:val="12"/>
  </w:num>
  <w:num w:numId="9">
    <w:abstractNumId w:val="20"/>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1"/>
  </w:num>
  <w:num w:numId="14">
    <w:abstractNumId w:val="2"/>
  </w:num>
  <w:num w:numId="15">
    <w:abstractNumId w:val="1"/>
  </w:num>
  <w:num w:numId="16">
    <w:abstractNumId w:val="0"/>
  </w:num>
  <w:num w:numId="17">
    <w:abstractNumId w:val="4"/>
  </w:num>
  <w:num w:numId="18">
    <w:abstractNumId w:val="5"/>
  </w:num>
  <w:num w:numId="19">
    <w:abstractNumId w:val="24"/>
  </w:num>
  <w:num w:numId="20">
    <w:abstractNumId w:val="6"/>
  </w:num>
  <w:num w:numId="21">
    <w:abstractNumId w:val="13"/>
  </w:num>
  <w:num w:numId="22">
    <w:abstractNumId w:val="22"/>
  </w:num>
  <w:num w:numId="23">
    <w:abstractNumId w:val="17"/>
  </w:num>
  <w:num w:numId="24">
    <w:abstractNumId w:val="18"/>
  </w:num>
  <w:num w:numId="25">
    <w:abstractNumId w:val="9"/>
  </w:num>
  <w:num w:numId="2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dcdb6d57-2915-4a17-9de1-cca400ffa385"/>
  </w:docVars>
  <w:rsids>
    <w:rsidRoot w:val="009604C2"/>
    <w:rsid w:val="00002728"/>
    <w:rsid w:val="000123D4"/>
    <w:rsid w:val="000469D8"/>
    <w:rsid w:val="00053B48"/>
    <w:rsid w:val="00062721"/>
    <w:rsid w:val="00064D8F"/>
    <w:rsid w:val="00065FD7"/>
    <w:rsid w:val="000775B1"/>
    <w:rsid w:val="00090790"/>
    <w:rsid w:val="000917D7"/>
    <w:rsid w:val="00093FBE"/>
    <w:rsid w:val="00095F21"/>
    <w:rsid w:val="0009639E"/>
    <w:rsid w:val="00096D6B"/>
    <w:rsid w:val="000A1DCF"/>
    <w:rsid w:val="000A3061"/>
    <w:rsid w:val="000B3018"/>
    <w:rsid w:val="000C4D16"/>
    <w:rsid w:val="000D0242"/>
    <w:rsid w:val="000E0639"/>
    <w:rsid w:val="000E3BCF"/>
    <w:rsid w:val="000E7A18"/>
    <w:rsid w:val="0010538C"/>
    <w:rsid w:val="001065F9"/>
    <w:rsid w:val="0011222C"/>
    <w:rsid w:val="00114BBD"/>
    <w:rsid w:val="0013193B"/>
    <w:rsid w:val="001463F9"/>
    <w:rsid w:val="00153B80"/>
    <w:rsid w:val="001561D3"/>
    <w:rsid w:val="00163A1F"/>
    <w:rsid w:val="00184023"/>
    <w:rsid w:val="00186E34"/>
    <w:rsid w:val="001924B6"/>
    <w:rsid w:val="00195861"/>
    <w:rsid w:val="001C3A5C"/>
    <w:rsid w:val="001D1E10"/>
    <w:rsid w:val="001E0F7E"/>
    <w:rsid w:val="001E5087"/>
    <w:rsid w:val="001E5640"/>
    <w:rsid w:val="001E78FA"/>
    <w:rsid w:val="001F4FA1"/>
    <w:rsid w:val="0020280F"/>
    <w:rsid w:val="00213BC9"/>
    <w:rsid w:val="00221C02"/>
    <w:rsid w:val="00226CDF"/>
    <w:rsid w:val="0023656C"/>
    <w:rsid w:val="0024123D"/>
    <w:rsid w:val="00241E0A"/>
    <w:rsid w:val="00243828"/>
    <w:rsid w:val="00250380"/>
    <w:rsid w:val="002504C6"/>
    <w:rsid w:val="00253469"/>
    <w:rsid w:val="002704A6"/>
    <w:rsid w:val="0028062D"/>
    <w:rsid w:val="00282AE5"/>
    <w:rsid w:val="0028673E"/>
    <w:rsid w:val="00291DCB"/>
    <w:rsid w:val="0029692B"/>
    <w:rsid w:val="002A2A51"/>
    <w:rsid w:val="002A3125"/>
    <w:rsid w:val="002A5855"/>
    <w:rsid w:val="002A5A40"/>
    <w:rsid w:val="002A5CCA"/>
    <w:rsid w:val="002A69E8"/>
    <w:rsid w:val="002B4E64"/>
    <w:rsid w:val="002D5621"/>
    <w:rsid w:val="002D73F5"/>
    <w:rsid w:val="002D74A3"/>
    <w:rsid w:val="002E7442"/>
    <w:rsid w:val="00303061"/>
    <w:rsid w:val="00315BEF"/>
    <w:rsid w:val="0032697A"/>
    <w:rsid w:val="00340D64"/>
    <w:rsid w:val="00355479"/>
    <w:rsid w:val="00356FAB"/>
    <w:rsid w:val="00362CD1"/>
    <w:rsid w:val="00365679"/>
    <w:rsid w:val="00382509"/>
    <w:rsid w:val="00386CB9"/>
    <w:rsid w:val="00395AB6"/>
    <w:rsid w:val="0039662E"/>
    <w:rsid w:val="00397727"/>
    <w:rsid w:val="003A27DB"/>
    <w:rsid w:val="003A7198"/>
    <w:rsid w:val="003B1AF7"/>
    <w:rsid w:val="003B3552"/>
    <w:rsid w:val="003B7B35"/>
    <w:rsid w:val="003C2711"/>
    <w:rsid w:val="003D0F83"/>
    <w:rsid w:val="003D2AE4"/>
    <w:rsid w:val="003F1E2E"/>
    <w:rsid w:val="00412283"/>
    <w:rsid w:val="00413C23"/>
    <w:rsid w:val="004175AE"/>
    <w:rsid w:val="004237AB"/>
    <w:rsid w:val="00445AEC"/>
    <w:rsid w:val="00447557"/>
    <w:rsid w:val="00450C40"/>
    <w:rsid w:val="00461807"/>
    <w:rsid w:val="004675D0"/>
    <w:rsid w:val="004713C4"/>
    <w:rsid w:val="00472367"/>
    <w:rsid w:val="00475882"/>
    <w:rsid w:val="00476AF2"/>
    <w:rsid w:val="004817E1"/>
    <w:rsid w:val="0048241E"/>
    <w:rsid w:val="004857FB"/>
    <w:rsid w:val="00492034"/>
    <w:rsid w:val="004B1D5D"/>
    <w:rsid w:val="004B4510"/>
    <w:rsid w:val="004C7FE3"/>
    <w:rsid w:val="004F2C66"/>
    <w:rsid w:val="005006BC"/>
    <w:rsid w:val="00502943"/>
    <w:rsid w:val="00511015"/>
    <w:rsid w:val="0051686D"/>
    <w:rsid w:val="0052116C"/>
    <w:rsid w:val="0052772D"/>
    <w:rsid w:val="005309EA"/>
    <w:rsid w:val="0054747E"/>
    <w:rsid w:val="0056195B"/>
    <w:rsid w:val="00564EC8"/>
    <w:rsid w:val="00594695"/>
    <w:rsid w:val="005B19F8"/>
    <w:rsid w:val="005D192E"/>
    <w:rsid w:val="005E0956"/>
    <w:rsid w:val="005E7F57"/>
    <w:rsid w:val="005F2505"/>
    <w:rsid w:val="005F4A9F"/>
    <w:rsid w:val="00617096"/>
    <w:rsid w:val="0062590F"/>
    <w:rsid w:val="00626E31"/>
    <w:rsid w:val="00636758"/>
    <w:rsid w:val="00637D82"/>
    <w:rsid w:val="006400C4"/>
    <w:rsid w:val="0064036B"/>
    <w:rsid w:val="00640F99"/>
    <w:rsid w:val="00642329"/>
    <w:rsid w:val="00645241"/>
    <w:rsid w:val="00645DD8"/>
    <w:rsid w:val="00657A6E"/>
    <w:rsid w:val="00660FC7"/>
    <w:rsid w:val="00662349"/>
    <w:rsid w:val="00670FBC"/>
    <w:rsid w:val="00671453"/>
    <w:rsid w:val="00671FEA"/>
    <w:rsid w:val="0067273F"/>
    <w:rsid w:val="006740AF"/>
    <w:rsid w:val="00677618"/>
    <w:rsid w:val="00687CFE"/>
    <w:rsid w:val="00697CCF"/>
    <w:rsid w:val="006A31A2"/>
    <w:rsid w:val="006A3BF5"/>
    <w:rsid w:val="006B19EE"/>
    <w:rsid w:val="006B56EE"/>
    <w:rsid w:val="006D201D"/>
    <w:rsid w:val="006D40AD"/>
    <w:rsid w:val="006D5919"/>
    <w:rsid w:val="006D74A7"/>
    <w:rsid w:val="006E2BF0"/>
    <w:rsid w:val="006F77BF"/>
    <w:rsid w:val="007035D7"/>
    <w:rsid w:val="00715C9F"/>
    <w:rsid w:val="0073115E"/>
    <w:rsid w:val="0073576B"/>
    <w:rsid w:val="007451B4"/>
    <w:rsid w:val="00746DB7"/>
    <w:rsid w:val="00751EF5"/>
    <w:rsid w:val="00763570"/>
    <w:rsid w:val="00765008"/>
    <w:rsid w:val="0077306E"/>
    <w:rsid w:val="007856D8"/>
    <w:rsid w:val="007915E6"/>
    <w:rsid w:val="007A157C"/>
    <w:rsid w:val="007C7B92"/>
    <w:rsid w:val="007D0E5F"/>
    <w:rsid w:val="007D5C4E"/>
    <w:rsid w:val="007E1A92"/>
    <w:rsid w:val="007F46A8"/>
    <w:rsid w:val="008015ED"/>
    <w:rsid w:val="0080375F"/>
    <w:rsid w:val="00810BEC"/>
    <w:rsid w:val="00812675"/>
    <w:rsid w:val="0081416B"/>
    <w:rsid w:val="0081473A"/>
    <w:rsid w:val="00814E01"/>
    <w:rsid w:val="0082345F"/>
    <w:rsid w:val="00826C4E"/>
    <w:rsid w:val="00831AB1"/>
    <w:rsid w:val="008344A6"/>
    <w:rsid w:val="00835505"/>
    <w:rsid w:val="00855E10"/>
    <w:rsid w:val="008646BA"/>
    <w:rsid w:val="00865855"/>
    <w:rsid w:val="00866F38"/>
    <w:rsid w:val="0087343E"/>
    <w:rsid w:val="00873806"/>
    <w:rsid w:val="00884775"/>
    <w:rsid w:val="00886E54"/>
    <w:rsid w:val="008940E2"/>
    <w:rsid w:val="008A3059"/>
    <w:rsid w:val="008A4244"/>
    <w:rsid w:val="008A61D8"/>
    <w:rsid w:val="008C35F2"/>
    <w:rsid w:val="008D501E"/>
    <w:rsid w:val="008E023C"/>
    <w:rsid w:val="008E570E"/>
    <w:rsid w:val="00902711"/>
    <w:rsid w:val="00905F94"/>
    <w:rsid w:val="00906E41"/>
    <w:rsid w:val="00911D7C"/>
    <w:rsid w:val="0091489E"/>
    <w:rsid w:val="00920D33"/>
    <w:rsid w:val="00921B3E"/>
    <w:rsid w:val="0092532C"/>
    <w:rsid w:val="0093479B"/>
    <w:rsid w:val="00937DE7"/>
    <w:rsid w:val="009444B4"/>
    <w:rsid w:val="0095042E"/>
    <w:rsid w:val="009524EE"/>
    <w:rsid w:val="009546F2"/>
    <w:rsid w:val="00957DCD"/>
    <w:rsid w:val="00957F76"/>
    <w:rsid w:val="00960001"/>
    <w:rsid w:val="009604C2"/>
    <w:rsid w:val="009D3331"/>
    <w:rsid w:val="009D431F"/>
    <w:rsid w:val="009E256B"/>
    <w:rsid w:val="009E4D70"/>
    <w:rsid w:val="009E7A80"/>
    <w:rsid w:val="009F216B"/>
    <w:rsid w:val="00A033C8"/>
    <w:rsid w:val="00A044C7"/>
    <w:rsid w:val="00A0568D"/>
    <w:rsid w:val="00A32682"/>
    <w:rsid w:val="00A36D98"/>
    <w:rsid w:val="00A45245"/>
    <w:rsid w:val="00A52B96"/>
    <w:rsid w:val="00A53364"/>
    <w:rsid w:val="00A54D21"/>
    <w:rsid w:val="00A608AE"/>
    <w:rsid w:val="00A77403"/>
    <w:rsid w:val="00A824B7"/>
    <w:rsid w:val="00A84263"/>
    <w:rsid w:val="00A857C9"/>
    <w:rsid w:val="00A86949"/>
    <w:rsid w:val="00A90534"/>
    <w:rsid w:val="00AA42F6"/>
    <w:rsid w:val="00AA4B88"/>
    <w:rsid w:val="00AB0628"/>
    <w:rsid w:val="00AC3039"/>
    <w:rsid w:val="00AC5386"/>
    <w:rsid w:val="00AE7144"/>
    <w:rsid w:val="00B1665C"/>
    <w:rsid w:val="00B30EA2"/>
    <w:rsid w:val="00B34E59"/>
    <w:rsid w:val="00B412F9"/>
    <w:rsid w:val="00B44C07"/>
    <w:rsid w:val="00B552BA"/>
    <w:rsid w:val="00B57188"/>
    <w:rsid w:val="00B65D42"/>
    <w:rsid w:val="00B70AC7"/>
    <w:rsid w:val="00B816F0"/>
    <w:rsid w:val="00B94B55"/>
    <w:rsid w:val="00BA16D3"/>
    <w:rsid w:val="00BA20F6"/>
    <w:rsid w:val="00BA3500"/>
    <w:rsid w:val="00BA679F"/>
    <w:rsid w:val="00BD2F62"/>
    <w:rsid w:val="00BD7E1C"/>
    <w:rsid w:val="00BE2B5B"/>
    <w:rsid w:val="00C07EBA"/>
    <w:rsid w:val="00C314A7"/>
    <w:rsid w:val="00C35162"/>
    <w:rsid w:val="00C4585F"/>
    <w:rsid w:val="00C46B24"/>
    <w:rsid w:val="00C503CC"/>
    <w:rsid w:val="00C6669A"/>
    <w:rsid w:val="00C8013A"/>
    <w:rsid w:val="00C96535"/>
    <w:rsid w:val="00CA1D43"/>
    <w:rsid w:val="00CA43CE"/>
    <w:rsid w:val="00CB467D"/>
    <w:rsid w:val="00CC040C"/>
    <w:rsid w:val="00CC1D18"/>
    <w:rsid w:val="00CD1545"/>
    <w:rsid w:val="00CD7AFF"/>
    <w:rsid w:val="00CF2950"/>
    <w:rsid w:val="00CF38FA"/>
    <w:rsid w:val="00CF6A22"/>
    <w:rsid w:val="00D008B0"/>
    <w:rsid w:val="00D04A1C"/>
    <w:rsid w:val="00D10CCC"/>
    <w:rsid w:val="00D13C9C"/>
    <w:rsid w:val="00D15C3E"/>
    <w:rsid w:val="00D16004"/>
    <w:rsid w:val="00D21A18"/>
    <w:rsid w:val="00D23C6F"/>
    <w:rsid w:val="00D32791"/>
    <w:rsid w:val="00D34650"/>
    <w:rsid w:val="00D46A1B"/>
    <w:rsid w:val="00D52AE6"/>
    <w:rsid w:val="00D55BF6"/>
    <w:rsid w:val="00D66543"/>
    <w:rsid w:val="00D6724A"/>
    <w:rsid w:val="00D8365D"/>
    <w:rsid w:val="00DA26EF"/>
    <w:rsid w:val="00DA2756"/>
    <w:rsid w:val="00DA5275"/>
    <w:rsid w:val="00DB6B40"/>
    <w:rsid w:val="00DD11FF"/>
    <w:rsid w:val="00DD18E3"/>
    <w:rsid w:val="00DD4FAF"/>
    <w:rsid w:val="00DD57EA"/>
    <w:rsid w:val="00DD605B"/>
    <w:rsid w:val="00DE5496"/>
    <w:rsid w:val="00E02D51"/>
    <w:rsid w:val="00E067B9"/>
    <w:rsid w:val="00E10B8F"/>
    <w:rsid w:val="00E245DA"/>
    <w:rsid w:val="00E3214D"/>
    <w:rsid w:val="00E469A8"/>
    <w:rsid w:val="00E46D45"/>
    <w:rsid w:val="00E65949"/>
    <w:rsid w:val="00E73722"/>
    <w:rsid w:val="00E908E1"/>
    <w:rsid w:val="00E95947"/>
    <w:rsid w:val="00EA3C28"/>
    <w:rsid w:val="00EB5EC5"/>
    <w:rsid w:val="00EC55E2"/>
    <w:rsid w:val="00ED002A"/>
    <w:rsid w:val="00ED244C"/>
    <w:rsid w:val="00ED35CB"/>
    <w:rsid w:val="00ED6BB7"/>
    <w:rsid w:val="00EE1B7E"/>
    <w:rsid w:val="00EF141F"/>
    <w:rsid w:val="00EF51DF"/>
    <w:rsid w:val="00EF54F4"/>
    <w:rsid w:val="00EF65AA"/>
    <w:rsid w:val="00F07A22"/>
    <w:rsid w:val="00F12783"/>
    <w:rsid w:val="00F30D5A"/>
    <w:rsid w:val="00F47BFC"/>
    <w:rsid w:val="00F527F5"/>
    <w:rsid w:val="00F633BC"/>
    <w:rsid w:val="00F63E8F"/>
    <w:rsid w:val="00F7215A"/>
    <w:rsid w:val="00F757DF"/>
    <w:rsid w:val="00F76DD6"/>
    <w:rsid w:val="00F83215"/>
    <w:rsid w:val="00F84D47"/>
    <w:rsid w:val="00F851CA"/>
    <w:rsid w:val="00F92264"/>
    <w:rsid w:val="00FA76AE"/>
    <w:rsid w:val="00FB6631"/>
    <w:rsid w:val="00FC444C"/>
    <w:rsid w:val="00FD11C2"/>
    <w:rsid w:val="00FD59AE"/>
    <w:rsid w:val="00FE58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DE3336F"/>
  <w15:chartTrackingRefBased/>
  <w15:docId w15:val="{8B81574C-75F2-4D44-AE3D-ADDE21A0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4C2"/>
    <w:pPr>
      <w:spacing w:before="120"/>
    </w:pPr>
    <w:rPr>
      <w:sz w:val="22"/>
      <w:szCs w:val="22"/>
      <w:lang w:eastAsia="en-US"/>
    </w:rPr>
  </w:style>
  <w:style w:type="paragraph" w:styleId="Heading1">
    <w:name w:val="heading 1"/>
    <w:basedOn w:val="Heading4"/>
    <w:next w:val="Normal"/>
    <w:link w:val="Heading1Char"/>
    <w:uiPriority w:val="1"/>
    <w:qFormat/>
    <w:rsid w:val="00DD18E3"/>
    <w:pPr>
      <w:jc w:val="center"/>
      <w:outlineLvl w:val="0"/>
    </w:p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sid w:val="00DD18E3"/>
    <w:rPr>
      <w:rFonts w:eastAsiaTheme="minorEastAsia" w:cstheme="minorBidi"/>
      <w:b/>
      <w:sz w:val="28"/>
      <w:szCs w:val="22"/>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02D51"/>
    <w:pPr>
      <w:ind w:left="720"/>
      <w:contextualSpacing/>
    </w:pPr>
  </w:style>
  <w:style w:type="paragraph" w:styleId="IntenseQuote">
    <w:name w:val="Intense Quote"/>
    <w:basedOn w:val="Normal"/>
    <w:next w:val="Normal"/>
    <w:link w:val="IntenseQuoteChar"/>
    <w:uiPriority w:val="30"/>
    <w:qFormat/>
    <w:rsid w:val="009F216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F216B"/>
    <w:rPr>
      <w:i/>
      <w:i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1977">
      <w:bodyDiv w:val="1"/>
      <w:marLeft w:val="0"/>
      <w:marRight w:val="0"/>
      <w:marTop w:val="0"/>
      <w:marBottom w:val="0"/>
      <w:divBdr>
        <w:top w:val="none" w:sz="0" w:space="0" w:color="auto"/>
        <w:left w:val="none" w:sz="0" w:space="0" w:color="auto"/>
        <w:bottom w:val="none" w:sz="0" w:space="0" w:color="auto"/>
        <w:right w:val="none" w:sz="0" w:space="0" w:color="auto"/>
      </w:divBdr>
    </w:div>
    <w:div w:id="503058293">
      <w:bodyDiv w:val="1"/>
      <w:marLeft w:val="0"/>
      <w:marRight w:val="0"/>
      <w:marTop w:val="0"/>
      <w:marBottom w:val="0"/>
      <w:divBdr>
        <w:top w:val="none" w:sz="0" w:space="0" w:color="auto"/>
        <w:left w:val="none" w:sz="0" w:space="0" w:color="auto"/>
        <w:bottom w:val="none" w:sz="0" w:space="0" w:color="auto"/>
        <w:right w:val="none" w:sz="0" w:space="0" w:color="auto"/>
      </w:divBdr>
    </w:div>
    <w:div w:id="1090930378">
      <w:bodyDiv w:val="1"/>
      <w:marLeft w:val="0"/>
      <w:marRight w:val="0"/>
      <w:marTop w:val="0"/>
      <w:marBottom w:val="0"/>
      <w:divBdr>
        <w:top w:val="none" w:sz="0" w:space="0" w:color="auto"/>
        <w:left w:val="none" w:sz="0" w:space="0" w:color="auto"/>
        <w:bottom w:val="none" w:sz="0" w:space="0" w:color="auto"/>
        <w:right w:val="none" w:sz="0" w:space="0" w:color="auto"/>
      </w:divBdr>
    </w:div>
    <w:div w:id="138536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con.agriculture.gov.au/BiconWeb4.0/Home/Help/GetHelpFile?helpFileId=87" TargetMode="External"/><Relationship Id="rId13" Type="http://schemas.openxmlformats.org/officeDocument/2006/relationships/hyperlink" Target="http://www.agriculture.gov.au/import/arrival/arrangements/general-policies" TargetMode="External"/><Relationship Id="rId18" Type="http://schemas.openxmlformats.org/officeDocument/2006/relationships/hyperlink" Target="mailto:aepsupport@agriculture.gov.a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griculture.gov.au/import/arrival/arrangements/revocations" TargetMode="External"/><Relationship Id="rId7" Type="http://schemas.openxmlformats.org/officeDocument/2006/relationships/endnotes" Target="endnotes.xml"/><Relationship Id="rId12" Type="http://schemas.openxmlformats.org/officeDocument/2006/relationships/hyperlink" Target="http://www.agriculture.gov.au/SiteCollectionDocuments/importing/compliance-classifications.pdf" TargetMode="External"/><Relationship Id="rId17" Type="http://schemas.openxmlformats.org/officeDocument/2006/relationships/hyperlink" Target="http://www.agriculture.gov.au/import/industry-advice/2018/171-201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griculture.gov.au/SiteCollectionDocuments/biosecurity/import/arrival/approved-arrangements/19.2-requirements.pdf" TargetMode="External"/><Relationship Id="rId20" Type="http://schemas.openxmlformats.org/officeDocument/2006/relationships/hyperlink" Target="mailto:info@agriculture.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psupport@agriculture.gov.au" TargetMode="External"/><Relationship Id="rId24" Type="http://schemas.openxmlformats.org/officeDocument/2006/relationships/hyperlink" Target="http://www.agriculture.gov.au/import/online-services/electronic-certification" TargetMode="External"/><Relationship Id="rId5" Type="http://schemas.openxmlformats.org/officeDocument/2006/relationships/webSettings" Target="webSettings.xml"/><Relationship Id="rId15" Type="http://schemas.openxmlformats.org/officeDocument/2006/relationships/hyperlink" Target="http://www.agriculture.gov.au/import/before/brown-marmorated-stink-bugs" TargetMode="External"/><Relationship Id="rId23" Type="http://schemas.openxmlformats.org/officeDocument/2006/relationships/hyperlink" Target="https://bicon.agriculture.gov.au/BiconWeb4.0/Home/Help/" TargetMode="External"/><Relationship Id="rId28" Type="http://schemas.openxmlformats.org/officeDocument/2006/relationships/theme" Target="theme/theme1.xml"/><Relationship Id="rId10" Type="http://schemas.openxmlformats.org/officeDocument/2006/relationships/hyperlink" Target="mailto:aepsupport@agriculture.gov.au" TargetMode="External"/><Relationship Id="rId19" Type="http://schemas.openxmlformats.org/officeDocument/2006/relationships/hyperlink" Target="http://www.agriculture.gov.au/import/arrival/arrangements/training-accreditation" TargetMode="External"/><Relationship Id="rId4" Type="http://schemas.openxmlformats.org/officeDocument/2006/relationships/settings" Target="settings.xml"/><Relationship Id="rId9" Type="http://schemas.openxmlformats.org/officeDocument/2006/relationships/hyperlink" Target="https://bicon.agriculture.gov.au/BiconWeb4.0/Home/Help/GetHelpFile?helpFileId=87" TargetMode="External"/><Relationship Id="rId14" Type="http://schemas.openxmlformats.org/officeDocument/2006/relationships/hyperlink" Target="http://www.agriculture.gov.au/import/before/brown-marmorated-stink-bugs" TargetMode="External"/><Relationship Id="rId22" Type="http://schemas.openxmlformats.org/officeDocument/2006/relationships/hyperlink" Target="mailto:broker.accreditation@agriculture.gov.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4863A-E2C4-494D-9FAE-3E9834CA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3932</Words>
  <Characters>20915</Characters>
  <Application>Microsoft Office Word</Application>
  <DocSecurity>0</DocSecurity>
  <Lines>456</Lines>
  <Paragraphs>183</Paragraphs>
  <ScaleCrop>false</ScaleCrop>
  <HeadingPairs>
    <vt:vector size="2" baseType="variant">
      <vt:variant>
        <vt:lpstr>Title</vt:lpstr>
      </vt:variant>
      <vt:variant>
        <vt:i4>1</vt:i4>
      </vt:variant>
    </vt:vector>
  </HeadingPairs>
  <TitlesOfParts>
    <vt:vector size="1" baseType="lpstr">
      <vt:lpstr>CBC session 19-20/02 AEPCOMM Expansion 26 August 2019 Participants Questions</vt:lpstr>
    </vt:vector>
  </TitlesOfParts>
  <Company>Department of Agriculture</Company>
  <LinksUpToDate>false</LinksUpToDate>
  <CharactersWithSpaces>24748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 session 19-20/02 AEPCOMM Expansion 26 August 2019 Participants Questions</dc:title>
  <dc:subject/>
  <dc:creator>Department of Agriculture</dc:creator>
  <cp:keywords/>
  <dc:description/>
  <cp:lastModifiedBy>Dang, Van</cp:lastModifiedBy>
  <cp:revision>3</cp:revision>
  <cp:lastPrinted>2019-12-03T00:33:00Z</cp:lastPrinted>
  <dcterms:created xsi:type="dcterms:W3CDTF">2019-12-03T00:32:00Z</dcterms:created>
  <dcterms:modified xsi:type="dcterms:W3CDTF">2019-12-03T00:33:00Z</dcterms:modified>
</cp:coreProperties>
</file>