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03D0" w14:textId="32002FA1" w:rsidR="00E362EF" w:rsidRDefault="0070435D">
      <w:pPr>
        <w:pStyle w:val="Heading1"/>
      </w:pPr>
      <w:r>
        <w:t>Agricultural Workforce Tripartite Statement</w:t>
      </w:r>
    </w:p>
    <w:p w14:paraId="1C9C91EC" w14:textId="3D96D3CA" w:rsidR="00EB74BB" w:rsidRDefault="00EB74BB" w:rsidP="00163EFF"/>
    <w:p w14:paraId="31F7BF9B" w14:textId="77777777" w:rsidR="00F046E8" w:rsidRPr="00E43459" w:rsidRDefault="00163EFF" w:rsidP="00E43459">
      <w:pPr>
        <w:rPr>
          <w:rStyle w:val="Strong"/>
          <w:b w:val="0"/>
          <w:bCs w:val="0"/>
        </w:rPr>
      </w:pPr>
      <w:r w:rsidRPr="00E43459">
        <w:rPr>
          <w:rStyle w:val="Strong"/>
          <w:b w:val="0"/>
          <w:bCs w:val="0"/>
        </w:rPr>
        <w:t xml:space="preserve">This week, </w:t>
      </w:r>
      <w:r w:rsidR="00F046E8" w:rsidRPr="00E43459">
        <w:rPr>
          <w:rStyle w:val="Strong"/>
          <w:b w:val="0"/>
          <w:bCs w:val="0"/>
        </w:rPr>
        <w:t>through the Australian Government’s Jobs and Skills Summit, agriculture employer groups, unions and government have come together, to agree on a way forward to address the specific workforce challenges impacting the Australian agriculture sector.</w:t>
      </w:r>
    </w:p>
    <w:p w14:paraId="78808D50" w14:textId="77777777" w:rsidR="00E43459" w:rsidRPr="00E43459" w:rsidRDefault="00F046E8" w:rsidP="00E43459">
      <w:pPr>
        <w:rPr>
          <w:rStyle w:val="Strong"/>
          <w:b w:val="0"/>
          <w:bCs w:val="0"/>
        </w:rPr>
      </w:pPr>
      <w:r w:rsidRPr="00E43459">
        <w:rPr>
          <w:rStyle w:val="Strong"/>
          <w:b w:val="0"/>
          <w:bCs w:val="0"/>
        </w:rPr>
        <w:t xml:space="preserve">All involved identified </w:t>
      </w:r>
      <w:r w:rsidR="00E43459" w:rsidRPr="00E43459">
        <w:rPr>
          <w:rStyle w:val="Strong"/>
          <w:b w:val="0"/>
          <w:bCs w:val="0"/>
        </w:rPr>
        <w:t xml:space="preserve">the vital role that agriculture and its processing plays in our country, not only in feeding and clothing the nation, but also in providing valuable jobs in rural, </w:t>
      </w:r>
      <w:proofErr w:type="gramStart"/>
      <w:r w:rsidR="00E43459" w:rsidRPr="00E43459">
        <w:rPr>
          <w:rStyle w:val="Strong"/>
          <w:b w:val="0"/>
          <w:bCs w:val="0"/>
        </w:rPr>
        <w:t>regional</w:t>
      </w:r>
      <w:proofErr w:type="gramEnd"/>
      <w:r w:rsidR="00E43459" w:rsidRPr="00E43459">
        <w:rPr>
          <w:rStyle w:val="Strong"/>
          <w:b w:val="0"/>
          <w:bCs w:val="0"/>
        </w:rPr>
        <w:t xml:space="preserve"> and metropolitan areas.</w:t>
      </w:r>
    </w:p>
    <w:p w14:paraId="55788FF0" w14:textId="56B29D38" w:rsidR="00E43459" w:rsidRPr="00E43459" w:rsidRDefault="00E43459" w:rsidP="00E43459">
      <w:pPr>
        <w:rPr>
          <w:rStyle w:val="Strong"/>
          <w:b w:val="0"/>
          <w:bCs w:val="0"/>
        </w:rPr>
      </w:pPr>
      <w:r w:rsidRPr="00E43459">
        <w:rPr>
          <w:rStyle w:val="Strong"/>
          <w:b w:val="0"/>
          <w:bCs w:val="0"/>
        </w:rPr>
        <w:t>All acknowledged the opportunity to resolve longstanding challenges in the sector</w:t>
      </w:r>
      <w:r w:rsidR="00125BD2">
        <w:rPr>
          <w:rStyle w:val="Strong"/>
          <w:b w:val="0"/>
          <w:bCs w:val="0"/>
        </w:rPr>
        <w:t>,</w:t>
      </w:r>
      <w:r w:rsidRPr="00E43459">
        <w:rPr>
          <w:rStyle w:val="Strong"/>
          <w:b w:val="0"/>
          <w:bCs w:val="0"/>
        </w:rPr>
        <w:t xml:space="preserve"> including serious skill and labour shortages and the right of workers to good pay and working conditions. </w:t>
      </w:r>
    </w:p>
    <w:p w14:paraId="09615E93" w14:textId="77777777" w:rsidR="00E43459" w:rsidRDefault="00E43459" w:rsidP="00E43459">
      <w:pPr>
        <w:rPr>
          <w:rStyle w:val="Strong"/>
          <w:b w:val="0"/>
          <w:bCs w:val="0"/>
        </w:rPr>
      </w:pPr>
      <w:r w:rsidRPr="00E43459">
        <w:rPr>
          <w:rStyle w:val="Strong"/>
          <w:b w:val="0"/>
          <w:bCs w:val="0"/>
        </w:rPr>
        <w:t>As a result of this cooperation, agriculture employers, unions and government have agreed to</w:t>
      </w:r>
      <w:r>
        <w:rPr>
          <w:rStyle w:val="Strong"/>
          <w:b w:val="0"/>
          <w:bCs w:val="0"/>
        </w:rPr>
        <w:t xml:space="preserve"> establish a new, tripartite working group to develop initiatives and measures to address short and long-term workforce issues in the agriculture sector. </w:t>
      </w:r>
    </w:p>
    <w:p w14:paraId="3023E238" w14:textId="2B398FAF" w:rsidR="00E12536" w:rsidRDefault="00E43459" w:rsidP="00E43459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 Working Group’s objective will be to pursue solutions to better skill, attract, </w:t>
      </w:r>
      <w:proofErr w:type="gramStart"/>
      <w:r>
        <w:rPr>
          <w:rStyle w:val="Strong"/>
          <w:b w:val="0"/>
          <w:bCs w:val="0"/>
        </w:rPr>
        <w:t>protect</w:t>
      </w:r>
      <w:proofErr w:type="gramEnd"/>
      <w:r>
        <w:rPr>
          <w:rStyle w:val="Strong"/>
          <w:b w:val="0"/>
          <w:bCs w:val="0"/>
        </w:rPr>
        <w:t xml:space="preserve"> and retain workers in the agriculture and processing sectors. In particular, the group will collaborate with government to </w:t>
      </w:r>
      <w:r w:rsidR="00E12536">
        <w:rPr>
          <w:rStyle w:val="Strong"/>
          <w:b w:val="0"/>
          <w:bCs w:val="0"/>
        </w:rPr>
        <w:t xml:space="preserve">ensure the agriculture sector benefits from announcements made at the Summit in relation to skills, </w:t>
      </w:r>
      <w:proofErr w:type="gramStart"/>
      <w:r w:rsidR="00E12536">
        <w:rPr>
          <w:rStyle w:val="Strong"/>
          <w:b w:val="0"/>
          <w:bCs w:val="0"/>
        </w:rPr>
        <w:t>migration</w:t>
      </w:r>
      <w:proofErr w:type="gramEnd"/>
      <w:r w:rsidR="00E12536">
        <w:rPr>
          <w:rStyle w:val="Strong"/>
          <w:b w:val="0"/>
          <w:bCs w:val="0"/>
        </w:rPr>
        <w:t xml:space="preserve"> and worker protections. </w:t>
      </w:r>
    </w:p>
    <w:p w14:paraId="1F2FA574" w14:textId="77777777" w:rsidR="00B5282D" w:rsidRDefault="00E12536" w:rsidP="00E43459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The Working Group</w:t>
      </w:r>
      <w:r w:rsidR="00B5282D">
        <w:rPr>
          <w:rStyle w:val="Strong"/>
          <w:b w:val="0"/>
          <w:bCs w:val="0"/>
        </w:rPr>
        <w:t xml:space="preserve"> also commits to explore opportunities for:</w:t>
      </w:r>
    </w:p>
    <w:p w14:paraId="64D6B706" w14:textId="2AD9AE51" w:rsidR="00B5282D" w:rsidRDefault="00B5282D" w:rsidP="00B5282D">
      <w:pPr>
        <w:pStyle w:val="ListParagraph"/>
        <w:numPr>
          <w:ilvl w:val="0"/>
          <w:numId w:val="3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Agriculture specific skills, apprenticeships and training programs, including in the regions, to uplift capability for workers and employers, </w:t>
      </w:r>
    </w:p>
    <w:p w14:paraId="7C013429" w14:textId="548CB791" w:rsidR="00B5282D" w:rsidRDefault="00B5282D" w:rsidP="00B5282D">
      <w:pPr>
        <w:pStyle w:val="ListParagraph"/>
        <w:numPr>
          <w:ilvl w:val="0"/>
          <w:numId w:val="3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Attracting Australians to the sector by promoting well-paid, secure, local employment and careers,</w:t>
      </w:r>
    </w:p>
    <w:p w14:paraId="356B0B2C" w14:textId="054C3ADC" w:rsidR="00B5282D" w:rsidRDefault="00B5282D" w:rsidP="00B5282D">
      <w:pPr>
        <w:pStyle w:val="ListParagraph"/>
        <w:numPr>
          <w:ilvl w:val="0"/>
          <w:numId w:val="3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Maximising value and security from visa classes, including the successful PALM scheme, to support the farm and processing sectors,</w:t>
      </w:r>
    </w:p>
    <w:p w14:paraId="587AB036" w14:textId="08D4D149" w:rsidR="00B5282D" w:rsidRDefault="00B5282D" w:rsidP="00B5282D">
      <w:pPr>
        <w:pStyle w:val="ListParagraph"/>
        <w:numPr>
          <w:ilvl w:val="0"/>
          <w:numId w:val="3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Further protections for workers to ensure they are treated fairly, including in relation to labour hire and deductions,</w:t>
      </w:r>
    </w:p>
    <w:p w14:paraId="676D81B5" w14:textId="5FB6BBC9" w:rsidR="00B5282D" w:rsidRDefault="00B5282D" w:rsidP="00B5282D">
      <w:pPr>
        <w:pStyle w:val="ListParagraph"/>
        <w:numPr>
          <w:ilvl w:val="0"/>
          <w:numId w:val="3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Encouraging wider participation in the industry among women, First Nations, youth, people with disability and older Australians,</w:t>
      </w:r>
    </w:p>
    <w:p w14:paraId="004EFAE5" w14:textId="303F1A49" w:rsidR="00B5282D" w:rsidRDefault="00B5282D" w:rsidP="00B5282D">
      <w:pPr>
        <w:pStyle w:val="ListParagraph"/>
        <w:numPr>
          <w:ilvl w:val="0"/>
          <w:numId w:val="3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Improved housing for key workers in regional areas, and</w:t>
      </w:r>
    </w:p>
    <w:p w14:paraId="7FE02B7F" w14:textId="0BA83A1F" w:rsidR="00B5282D" w:rsidRPr="00B5282D" w:rsidRDefault="00B5282D" w:rsidP="00B5282D">
      <w:pPr>
        <w:pStyle w:val="ListParagraph"/>
        <w:numPr>
          <w:ilvl w:val="0"/>
          <w:numId w:val="3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Building capability for data collection on the agricultural workforce. </w:t>
      </w:r>
    </w:p>
    <w:p w14:paraId="1636433F" w14:textId="52460FBD" w:rsidR="00E12536" w:rsidRDefault="00B5282D" w:rsidP="00E43459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 Working Group </w:t>
      </w:r>
      <w:r w:rsidR="00E12536">
        <w:rPr>
          <w:rStyle w:val="Strong"/>
          <w:b w:val="0"/>
          <w:bCs w:val="0"/>
        </w:rPr>
        <w:t>will hold its first meeting in early October and will operate for a period of 12 months, to inform the Australian Government’s forthcoming Employment White Paper.</w:t>
      </w:r>
    </w:p>
    <w:p w14:paraId="51BEA6DD" w14:textId="77777777" w:rsidR="00E12536" w:rsidRDefault="00E12536" w:rsidP="00E43459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lastRenderedPageBreak/>
        <w:t xml:space="preserve">This tripartite group commits to working together prioritising this work on agriculture workforce issues, to deliver real outcomes for our sector. </w:t>
      </w:r>
    </w:p>
    <w:p w14:paraId="5A49F8DA" w14:textId="7E7E6391" w:rsidR="00E12536" w:rsidRDefault="00E12536" w:rsidP="00E43459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It is in </w:t>
      </w:r>
      <w:proofErr w:type="gramStart"/>
      <w:r>
        <w:rPr>
          <w:rStyle w:val="Strong"/>
          <w:b w:val="0"/>
          <w:bCs w:val="0"/>
        </w:rPr>
        <w:t>all of</w:t>
      </w:r>
      <w:proofErr w:type="gramEnd"/>
      <w:r>
        <w:rPr>
          <w:rStyle w:val="Strong"/>
          <w:b w:val="0"/>
          <w:bCs w:val="0"/>
        </w:rPr>
        <w:t xml:space="preserve"> our interests that the agriculture industry continues to thrive, providing economic opportunity as well as meaningful jobs. </w:t>
      </w:r>
    </w:p>
    <w:p w14:paraId="779C77DD" w14:textId="749026B3" w:rsidR="0070435D" w:rsidRDefault="0070435D" w:rsidP="0070435D">
      <w:pPr>
        <w:rPr>
          <w:rStyle w:val="Strong"/>
        </w:rPr>
      </w:pPr>
      <w:r>
        <w:rPr>
          <w:noProof/>
        </w:rPr>
        <w:drawing>
          <wp:inline distT="0" distB="0" distL="0" distR="0" wp14:anchorId="592993E4" wp14:editId="2062821E">
            <wp:extent cx="5759450" cy="4533265"/>
            <wp:effectExtent l="0" t="0" r="0" b="635"/>
            <wp:docPr id="2" name="Picture 2" descr="Image of signatures and names, in black ink on a white page. Senator the Hon Murray Watt - Minister for Agriculture Fisheries and Forestry; Fiona Simson - President National Farmers Federation; Michele O'Neil - President Australian Council of Unions; Tony Mahar - CEO National Farmers Federation; Dan Walton - National Secretary Australian Workers Union; Tim Kennedy - National Secretary United Workers Union; Brent Eastwood; CEO JBS Australia; Matt Journeaux - National Secretary Australasian Meat Industry Employees Union; Patrick Hutchinson - CEO Australian Meat Indystry Counci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signatures and names, in black ink on a white page. Senator the Hon Murray Watt - Minister for Agriculture Fisheries and Forestry; Fiona Simson - President National Farmers Federation; Michele O'Neil - President Australian Council of Unions; Tony Mahar - CEO National Farmers Federation; Dan Walton - National Secretary Australian Workers Union; Tim Kennedy - National Secretary United Workers Union; Brent Eastwood; CEO JBS Australia; Matt Journeaux - National Secretary Australasian Meat Industry Employees Union; Patrick Hutchinson - CEO Australian Meat Indystry Council. 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53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581D7" w14:textId="5B047EFF" w:rsidR="008D1B48" w:rsidRDefault="008D1B48" w:rsidP="008D1B48">
      <w:pPr>
        <w:pStyle w:val="Normalsmall"/>
      </w:pPr>
      <w:r>
        <w:rPr>
          <w:rStyle w:val="Strong"/>
        </w:rPr>
        <w:t>Acknowledgement of Country</w:t>
      </w:r>
    </w:p>
    <w:p w14:paraId="38C30114" w14:textId="77777777" w:rsidR="008D1B48" w:rsidRDefault="008D1B48" w:rsidP="008D1B48">
      <w:pPr>
        <w:pStyle w:val="Normalsmall"/>
      </w:pPr>
      <w:r>
        <w:t xml:space="preserve">We acknowledge the Traditional Custodians of Australia and their continuing connection to land and sea, waters, </w:t>
      </w:r>
      <w:proofErr w:type="gramStart"/>
      <w:r>
        <w:t>environment</w:t>
      </w:r>
      <w:proofErr w:type="gramEnd"/>
      <w:r>
        <w:t xml:space="preserve"> and community. We pay our respects to the Traditional Custodians of the lands we live and work on, their culture, and their Elders past and present.</w:t>
      </w:r>
    </w:p>
    <w:p w14:paraId="2C0D2C5E" w14:textId="77777777" w:rsidR="00262394" w:rsidRDefault="00262394" w:rsidP="00262394">
      <w:pPr>
        <w:pStyle w:val="Normalsmall"/>
        <w:spacing w:before="360"/>
      </w:pPr>
      <w:r>
        <w:t>© Commonwealth of Australia 202</w:t>
      </w:r>
      <w:r w:rsidR="00183612">
        <w:t>2</w:t>
      </w:r>
    </w:p>
    <w:p w14:paraId="106BCC4C" w14:textId="77777777" w:rsidR="00262394" w:rsidRDefault="00262394" w:rsidP="00262394">
      <w:pPr>
        <w:pStyle w:val="Normalsmall"/>
      </w:pPr>
      <w:r>
        <w:t>Unless otherwise noted, copyright (and any other intellectual property rights) in this publication is owned by the Commonwealth of Australia (referred to as the Commonwealth).</w:t>
      </w:r>
    </w:p>
    <w:p w14:paraId="1289314A" w14:textId="77777777" w:rsidR="00262394" w:rsidRDefault="00262394" w:rsidP="00262394">
      <w:pPr>
        <w:pStyle w:val="Normalsmall"/>
      </w:pPr>
      <w:r>
        <w:t xml:space="preserve">All material in this publication is licensed under a </w:t>
      </w:r>
      <w:hyperlink r:id="rId12" w:history="1">
        <w:r>
          <w:rPr>
            <w:rStyle w:val="Hyperlink"/>
          </w:rPr>
          <w:t>Creative Commons Attribution 4.0 International Licence</w:t>
        </w:r>
      </w:hyperlink>
      <w:r>
        <w:t xml:space="preserve"> except content supplied by third parties, </w:t>
      </w:r>
      <w:proofErr w:type="gramStart"/>
      <w:r>
        <w:t>logos</w:t>
      </w:r>
      <w:proofErr w:type="gramEnd"/>
      <w:r>
        <w:t xml:space="preserve"> and the Commonwealth Coat of Arms.</w:t>
      </w:r>
    </w:p>
    <w:p w14:paraId="3434A7C5" w14:textId="77777777" w:rsidR="00262394" w:rsidRDefault="00262394" w:rsidP="00262394">
      <w:pPr>
        <w:pStyle w:val="Normalsmall"/>
      </w:pPr>
      <w:r>
        <w:t xml:space="preserve">The Australian Government acting through the </w:t>
      </w:r>
      <w:r w:rsidR="007B1F92" w:rsidRPr="007B1F92">
        <w:t>Department of Agriculture, Fisheries and Forestry</w:t>
      </w:r>
      <w:r>
        <w:t xml:space="preserve"> has exercised due care and skill in preparing and compiling the information and data in this publication. Notwithstanding, the </w:t>
      </w:r>
      <w:r w:rsidR="007B1F92" w:rsidRPr="007B1F92">
        <w:t>Department of Agriculture, Fisheries and Forestry</w:t>
      </w:r>
      <w:r>
        <w:t xml:space="preserve">, its employees and advisers disclaim all liability, including liability for negligence and for any loss, damage, injury, </w:t>
      </w:r>
      <w:proofErr w:type="gramStart"/>
      <w:r>
        <w:t>expense</w:t>
      </w:r>
      <w:proofErr w:type="gramEnd"/>
      <w:r>
        <w:t xml:space="preserve"> or cost incurred by any person as a result of accessing, using or relying on any of the information or data in this publication to the maximum extent permitted by law.</w:t>
      </w:r>
    </w:p>
    <w:sectPr w:rsidR="0026239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4006" w14:textId="77777777" w:rsidR="007A1E38" w:rsidRDefault="007A1E38">
      <w:r>
        <w:separator/>
      </w:r>
    </w:p>
    <w:p w14:paraId="62E9DE60" w14:textId="77777777" w:rsidR="007A1E38" w:rsidRDefault="007A1E38"/>
    <w:p w14:paraId="4104EB8E" w14:textId="77777777" w:rsidR="007A1E38" w:rsidRDefault="007A1E38"/>
  </w:endnote>
  <w:endnote w:type="continuationSeparator" w:id="0">
    <w:p w14:paraId="0C0978A9" w14:textId="77777777" w:rsidR="007A1E38" w:rsidRDefault="007A1E38">
      <w:r>
        <w:continuationSeparator/>
      </w:r>
    </w:p>
    <w:p w14:paraId="6266992D" w14:textId="77777777" w:rsidR="007A1E38" w:rsidRDefault="007A1E38"/>
    <w:p w14:paraId="150F2C84" w14:textId="77777777" w:rsidR="007A1E38" w:rsidRDefault="007A1E38"/>
  </w:endnote>
  <w:endnote w:type="continuationNotice" w:id="1">
    <w:p w14:paraId="5971BE8B" w14:textId="77777777" w:rsidR="007A1E38" w:rsidRDefault="007A1E38">
      <w:pPr>
        <w:pStyle w:val="Footer"/>
      </w:pPr>
    </w:p>
    <w:p w14:paraId="7BA7CBB6" w14:textId="77777777" w:rsidR="007A1E38" w:rsidRDefault="007A1E38"/>
    <w:p w14:paraId="6F3F0791" w14:textId="77777777" w:rsidR="007A1E38" w:rsidRDefault="007A1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A875" w14:textId="151E8296" w:rsidR="002A193C" w:rsidRDefault="002A19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6711" w14:textId="77777777" w:rsidR="007953E6" w:rsidRDefault="007953E6" w:rsidP="007953E6">
    <w:pPr>
      <w:pStyle w:val="Header"/>
      <w:tabs>
        <w:tab w:val="clear" w:pos="4820"/>
      </w:tabs>
      <w:jc w:val="left"/>
    </w:pPr>
    <w:r>
      <w:rPr>
        <w:noProof/>
      </w:rPr>
      <w:drawing>
        <wp:inline distT="0" distB="0" distL="0" distR="0" wp14:anchorId="73CDD057" wp14:editId="39BE904B">
          <wp:extent cx="1120140" cy="564389"/>
          <wp:effectExtent l="0" t="0" r="3810" b="7620"/>
          <wp:docPr id="5" name="Picture 5" descr="Jobs + Skills Summ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Jobs + Skills Summi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175" cy="570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  <w:lang w:eastAsia="en-AU"/>
      </w:rPr>
      <w:drawing>
        <wp:inline distT="0" distB="0" distL="0" distR="0" wp14:anchorId="5EB25C4B" wp14:editId="7B8B9B49">
          <wp:extent cx="830825" cy="651510"/>
          <wp:effectExtent l="0" t="0" r="7620" b="0"/>
          <wp:docPr id="6" name="Picture 6" descr="Australian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 Logo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724" b="15609"/>
                  <a:stretch/>
                </pic:blipFill>
                <pic:spPr bwMode="auto">
                  <a:xfrm>
                    <a:off x="0" y="0"/>
                    <a:ext cx="833445" cy="653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</w:p>
  <w:p w14:paraId="579DD433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C042" w14:textId="77777777" w:rsidR="007A1E38" w:rsidRDefault="007A1E38">
      <w:r>
        <w:separator/>
      </w:r>
    </w:p>
    <w:p w14:paraId="76BC5C05" w14:textId="77777777" w:rsidR="007A1E38" w:rsidRDefault="007A1E38"/>
    <w:p w14:paraId="332326ED" w14:textId="77777777" w:rsidR="007A1E38" w:rsidRDefault="007A1E38"/>
  </w:footnote>
  <w:footnote w:type="continuationSeparator" w:id="0">
    <w:p w14:paraId="19FB8D1C" w14:textId="77777777" w:rsidR="007A1E38" w:rsidRDefault="007A1E38">
      <w:r>
        <w:continuationSeparator/>
      </w:r>
    </w:p>
    <w:p w14:paraId="62611BCC" w14:textId="77777777" w:rsidR="007A1E38" w:rsidRDefault="007A1E38"/>
    <w:p w14:paraId="42745CE4" w14:textId="77777777" w:rsidR="007A1E38" w:rsidRDefault="007A1E38"/>
  </w:footnote>
  <w:footnote w:type="continuationNotice" w:id="1">
    <w:p w14:paraId="2F829D23" w14:textId="77777777" w:rsidR="007A1E38" w:rsidRDefault="007A1E38">
      <w:pPr>
        <w:pStyle w:val="Footer"/>
      </w:pPr>
    </w:p>
    <w:p w14:paraId="40D32633" w14:textId="77777777" w:rsidR="007A1E38" w:rsidRDefault="007A1E38"/>
    <w:p w14:paraId="7F6D4E3C" w14:textId="77777777" w:rsidR="007A1E38" w:rsidRDefault="007A1E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C982" w14:textId="13B15535" w:rsidR="002A193C" w:rsidRDefault="002A1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4065" w14:textId="02304760" w:rsidR="002A193C" w:rsidRDefault="007953E6" w:rsidP="007953E6">
    <w:pPr>
      <w:pStyle w:val="Header"/>
      <w:tabs>
        <w:tab w:val="clear" w:pos="4820"/>
      </w:tabs>
    </w:pPr>
    <w:r>
      <w:rPr>
        <w:noProof/>
        <w:lang w:eastAsia="en-AU"/>
      </w:rPr>
      <w:drawing>
        <wp:inline distT="0" distB="0" distL="0" distR="0" wp14:anchorId="47CAA605" wp14:editId="444FD7FF">
          <wp:extent cx="830825" cy="651510"/>
          <wp:effectExtent l="0" t="0" r="7620" b="0"/>
          <wp:docPr id="1" name="Picture 1" descr="Australian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724" b="15609"/>
                  <a:stretch/>
                </pic:blipFill>
                <pic:spPr bwMode="auto">
                  <a:xfrm>
                    <a:off x="0" y="0"/>
                    <a:ext cx="833445" cy="653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CC3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18C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E744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3FEE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58C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328D5"/>
    <w:multiLevelType w:val="multilevel"/>
    <w:tmpl w:val="BE78A4F8"/>
    <w:numStyleLink w:val="Numberlist"/>
  </w:abstractNum>
  <w:abstractNum w:abstractNumId="13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B103637"/>
    <w:multiLevelType w:val="multilevel"/>
    <w:tmpl w:val="BE78A4F8"/>
    <w:numStyleLink w:val="Numberlist"/>
  </w:abstractNum>
  <w:abstractNum w:abstractNumId="15" w15:restartNumberingAfterBreak="0">
    <w:nsid w:val="394A15FE"/>
    <w:multiLevelType w:val="multilevel"/>
    <w:tmpl w:val="F36C17E8"/>
    <w:numStyleLink w:val="Headinglist"/>
  </w:abstractNum>
  <w:abstractNum w:abstractNumId="16" w15:restartNumberingAfterBreak="0">
    <w:nsid w:val="414F4729"/>
    <w:multiLevelType w:val="multilevel"/>
    <w:tmpl w:val="23887CA2"/>
    <w:numStyleLink w:val="List1"/>
  </w:abstractNum>
  <w:abstractNum w:abstractNumId="17" w15:restartNumberingAfterBreak="0">
    <w:nsid w:val="486800B4"/>
    <w:multiLevelType w:val="multilevel"/>
    <w:tmpl w:val="23887CA2"/>
    <w:numStyleLink w:val="List1"/>
  </w:abstractNum>
  <w:abstractNum w:abstractNumId="18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B55D0"/>
    <w:multiLevelType w:val="hybridMultilevel"/>
    <w:tmpl w:val="A3F8EEC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96159DC"/>
    <w:multiLevelType w:val="multilevel"/>
    <w:tmpl w:val="BE78A4F8"/>
    <w:numStyleLink w:val="Numberlist"/>
  </w:abstractNum>
  <w:abstractNum w:abstractNumId="21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3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12966"/>
    <w:multiLevelType w:val="multilevel"/>
    <w:tmpl w:val="23887CA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6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C10A1"/>
    <w:multiLevelType w:val="multilevel"/>
    <w:tmpl w:val="BE78A4F8"/>
    <w:numStyleLink w:val="Numberlist"/>
  </w:abstractNum>
  <w:abstractNum w:abstractNumId="28" w15:restartNumberingAfterBreak="0">
    <w:nsid w:val="733934B7"/>
    <w:multiLevelType w:val="multilevel"/>
    <w:tmpl w:val="23887CA2"/>
    <w:numStyleLink w:val="List1"/>
  </w:abstractNum>
  <w:num w:numId="1" w16cid:durableId="1171791816">
    <w:abstractNumId w:val="7"/>
  </w:num>
  <w:num w:numId="2" w16cid:durableId="1667321647">
    <w:abstractNumId w:val="17"/>
  </w:num>
  <w:num w:numId="3" w16cid:durableId="59796415">
    <w:abstractNumId w:val="18"/>
  </w:num>
  <w:num w:numId="4" w16cid:durableId="1913806772">
    <w:abstractNumId w:val="10"/>
  </w:num>
  <w:num w:numId="5" w16cid:durableId="2037268471">
    <w:abstractNumId w:val="24"/>
  </w:num>
  <w:num w:numId="6" w16cid:durableId="1355770275">
    <w:abstractNumId w:val="25"/>
  </w:num>
  <w:num w:numId="7" w16cid:durableId="2033527157">
    <w:abstractNumId w:val="8"/>
  </w:num>
  <w:num w:numId="8" w16cid:durableId="1882862685">
    <w:abstractNumId w:val="13"/>
  </w:num>
  <w:num w:numId="9" w16cid:durableId="179634464">
    <w:abstractNumId w:val="15"/>
  </w:num>
  <w:num w:numId="10" w16cid:durableId="19015584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9057158">
    <w:abstractNumId w:val="6"/>
  </w:num>
  <w:num w:numId="12" w16cid:durableId="1162504366">
    <w:abstractNumId w:val="4"/>
  </w:num>
  <w:num w:numId="13" w16cid:durableId="306473293">
    <w:abstractNumId w:val="3"/>
  </w:num>
  <w:num w:numId="14" w16cid:durableId="1231303610">
    <w:abstractNumId w:val="2"/>
  </w:num>
  <w:num w:numId="15" w16cid:durableId="1486430518">
    <w:abstractNumId w:val="11"/>
  </w:num>
  <w:num w:numId="16" w16cid:durableId="52967123">
    <w:abstractNumId w:val="22"/>
  </w:num>
  <w:num w:numId="17" w16cid:durableId="6434383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1328216">
    <w:abstractNumId w:val="26"/>
  </w:num>
  <w:num w:numId="19" w16cid:durableId="1707943211">
    <w:abstractNumId w:val="1"/>
  </w:num>
  <w:num w:numId="20" w16cid:durableId="570045979">
    <w:abstractNumId w:val="0"/>
  </w:num>
  <w:num w:numId="21" w16cid:durableId="1679841556">
    <w:abstractNumId w:val="14"/>
  </w:num>
  <w:num w:numId="22" w16cid:durableId="959340878">
    <w:abstractNumId w:val="20"/>
  </w:num>
  <w:num w:numId="23" w16cid:durableId="17239849">
    <w:abstractNumId w:val="27"/>
  </w:num>
  <w:num w:numId="24" w16cid:durableId="1609504699">
    <w:abstractNumId w:val="12"/>
  </w:num>
  <w:num w:numId="25" w16cid:durableId="121310739">
    <w:abstractNumId w:val="16"/>
  </w:num>
  <w:num w:numId="26" w16cid:durableId="360508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4910102">
    <w:abstractNumId w:val="28"/>
  </w:num>
  <w:num w:numId="28" w16cid:durableId="286162399">
    <w:abstractNumId w:val="21"/>
  </w:num>
  <w:num w:numId="29" w16cid:durableId="1314989398">
    <w:abstractNumId w:val="23"/>
  </w:num>
  <w:num w:numId="30" w16cid:durableId="66652615">
    <w:abstractNumId w:val="9"/>
  </w:num>
  <w:num w:numId="31" w16cid:durableId="1990859383">
    <w:abstractNumId w:val="5"/>
  </w:num>
  <w:num w:numId="32" w16cid:durableId="1420517327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5D"/>
    <w:rsid w:val="000B670A"/>
    <w:rsid w:val="000B7301"/>
    <w:rsid w:val="000D6DD8"/>
    <w:rsid w:val="00112B86"/>
    <w:rsid w:val="00125BD2"/>
    <w:rsid w:val="00136E14"/>
    <w:rsid w:val="001567E9"/>
    <w:rsid w:val="00163EFF"/>
    <w:rsid w:val="00183612"/>
    <w:rsid w:val="001A1F79"/>
    <w:rsid w:val="001C3583"/>
    <w:rsid w:val="001D17A3"/>
    <w:rsid w:val="001D77BC"/>
    <w:rsid w:val="00237D77"/>
    <w:rsid w:val="00262394"/>
    <w:rsid w:val="002A193C"/>
    <w:rsid w:val="002A7136"/>
    <w:rsid w:val="003126D9"/>
    <w:rsid w:val="00357095"/>
    <w:rsid w:val="00396339"/>
    <w:rsid w:val="003A4B4A"/>
    <w:rsid w:val="003D44DC"/>
    <w:rsid w:val="00473964"/>
    <w:rsid w:val="0048569E"/>
    <w:rsid w:val="00486C20"/>
    <w:rsid w:val="00497863"/>
    <w:rsid w:val="004B312B"/>
    <w:rsid w:val="004C6C47"/>
    <w:rsid w:val="005D43CD"/>
    <w:rsid w:val="005F0E4D"/>
    <w:rsid w:val="0070435D"/>
    <w:rsid w:val="007405CB"/>
    <w:rsid w:val="00747452"/>
    <w:rsid w:val="007953E6"/>
    <w:rsid w:val="007A1E38"/>
    <w:rsid w:val="007B1F92"/>
    <w:rsid w:val="007C5B94"/>
    <w:rsid w:val="0082249A"/>
    <w:rsid w:val="00833933"/>
    <w:rsid w:val="008977A5"/>
    <w:rsid w:val="008A3190"/>
    <w:rsid w:val="008D1B48"/>
    <w:rsid w:val="00935EFF"/>
    <w:rsid w:val="009679F4"/>
    <w:rsid w:val="00991227"/>
    <w:rsid w:val="009D405C"/>
    <w:rsid w:val="00A26D23"/>
    <w:rsid w:val="00A86A66"/>
    <w:rsid w:val="00A9002C"/>
    <w:rsid w:val="00AA70E3"/>
    <w:rsid w:val="00AB0FBE"/>
    <w:rsid w:val="00AF5211"/>
    <w:rsid w:val="00B01FB8"/>
    <w:rsid w:val="00B5282D"/>
    <w:rsid w:val="00BD2275"/>
    <w:rsid w:val="00C00AAC"/>
    <w:rsid w:val="00C27F14"/>
    <w:rsid w:val="00CE1238"/>
    <w:rsid w:val="00D06356"/>
    <w:rsid w:val="00D36729"/>
    <w:rsid w:val="00D45274"/>
    <w:rsid w:val="00D45E0E"/>
    <w:rsid w:val="00D666DC"/>
    <w:rsid w:val="00D80396"/>
    <w:rsid w:val="00D912A7"/>
    <w:rsid w:val="00DE5493"/>
    <w:rsid w:val="00E12536"/>
    <w:rsid w:val="00E362EF"/>
    <w:rsid w:val="00E43459"/>
    <w:rsid w:val="00E732BE"/>
    <w:rsid w:val="00EB74BB"/>
    <w:rsid w:val="00F046E8"/>
    <w:rsid w:val="00F35EE8"/>
    <w:rsid w:val="00F90D42"/>
    <w:rsid w:val="00FB088E"/>
    <w:rsid w:val="00F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AA7F4"/>
  <w15:docId w15:val="{597823C1-2CCC-442A-9DDE-1703FA40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locked="1" w:uiPriority="21" w:qFormat="1"/>
    <w:lsdException w:name="Subtle Reference" w:semiHidden="1" w:uiPriority="31" w:qFormat="1"/>
    <w:lsdException w:name="Intense Reference" w:locked="1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F4"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9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27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27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27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912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semiHidden/>
    <w:qFormat/>
    <w:rsid w:val="00B5282D"/>
    <w:pPr>
      <w:ind w:left="720"/>
      <w:contextualSpacing/>
    </w:pPr>
  </w:style>
  <w:style w:type="paragraph" w:styleId="Revision">
    <w:name w:val="Revision"/>
    <w:hidden/>
    <w:uiPriority w:val="99"/>
    <w:semiHidden/>
    <w:rsid w:val="00CE1238"/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/4.0/legalco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Print%20and%20web%20templates\Short_documen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F0405BB69FD4BBA3FA7D130FDA38B" ma:contentTypeVersion="13" ma:contentTypeDescription="Create a new document." ma:contentTypeScope="" ma:versionID="bcc0c33659c33f0632dc5d9e616a0c13">
  <xsd:schema xmlns:xsd="http://www.w3.org/2001/XMLSchema" xmlns:xs="http://www.w3.org/2001/XMLSchema" xmlns:p="http://schemas.microsoft.com/office/2006/metadata/properties" xmlns:ns2="0436b02c-bd53-427f-a4ee-ad498ac9cb32" xmlns:ns3="d1b690ee-1808-4306-a3b6-5d167d7c2d3e" xmlns:ns4="81c01dc6-2c49-4730-b140-874c95cac377" targetNamespace="http://schemas.microsoft.com/office/2006/metadata/properties" ma:root="true" ma:fieldsID="dbe28d70b9a62556f523a77372f7ef1a" ns2:_="" ns3:_="" ns4:_="">
    <xsd:import namespace="0436b02c-bd53-427f-a4ee-ad498ac9cb32"/>
    <xsd:import namespace="d1b690ee-1808-4306-a3b6-5d167d7c2d3e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6b02c-bd53-427f-a4ee-ad498ac9c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690ee-1808-4306-a3b6-5d167d7c2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006abf2-9dd9-4f2c-9f6e-10dc75c2cefd}" ma:internalName="TaxCatchAll" ma:showField="CatchAllData" ma:web="d1b690ee-1808-4306-a3b6-5d167d7c2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0436b02c-bd53-427f-a4ee-ad498ac9cb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867144-1A3A-469F-91B9-29B4C357A7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70BD41-D0CF-45AC-8454-86ACB2E5C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6b02c-bd53-427f-a4ee-ad498ac9cb32"/>
    <ds:schemaRef ds:uri="d1b690ee-1808-4306-a3b6-5d167d7c2d3e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81c01dc6-2c49-4730-b140-874c95cac377"/>
    <ds:schemaRef ds:uri="0436b02c-bd53-427f-a4ee-ad498ac9cb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Short_document_template</Template>
  <TotalTime>1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 Workforce Tripartite Statement</vt:lpstr>
    </vt:vector>
  </TitlesOfParts>
  <Company/>
  <LinksUpToDate>false</LinksUpToDate>
  <CharactersWithSpaces>3926</CharactersWithSpaces>
  <SharedDoc>false</SharedDoc>
  <HLinks>
    <vt:vector size="6" baseType="variant">
      <vt:variant>
        <vt:i4>5373952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https://creativecommons.org/licenses/by/4.0/legalcode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Agricultural Workforce Tripartite Statement</dc:title>
  <dc:subject/>
  <dc:creator>Department of Agriculture, Fisheries and Forestry</dc:creator>
  <cp:keywords/>
  <cp:lastModifiedBy>Nov, Amanda</cp:lastModifiedBy>
  <cp:revision>3</cp:revision>
  <cp:lastPrinted>2019-02-13T21:42:00Z</cp:lastPrinted>
  <dcterms:created xsi:type="dcterms:W3CDTF">2022-10-24T04:04:00Z</dcterms:created>
  <dcterms:modified xsi:type="dcterms:W3CDTF">2022-10-24T04:04:00Z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0x0101006C6F0405BB69FD4BBA3FA7D130FDA38B</vt:lpwstr>
  </property>
  <property fmtid="{D5CDD505-2E9C-101B-9397-08002B2CF9AE}" pid="3" name="_DocHome">
    <vt:i4>986778056</vt:i4>
  </property>
  <property fmtid="{D5CDD505-2E9C-101B-9397-08002B2CF9AE}" pid="4" name="MediaServiceImageTags">
    <vt:lpwstr/>
  </property>
</Properties>
</file>