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E03" w:rsidRPr="009E3E03" w:rsidRDefault="009E3E03" w:rsidP="009E3E03">
      <w:bookmarkStart w:id="0" w:name="Frontpage_Logo_Positiv"/>
      <w:bookmarkStart w:id="1" w:name="_GoBack"/>
      <w:bookmarkEnd w:id="1"/>
      <w:r>
        <w:rPr>
          <w:noProof/>
          <w:lang w:eastAsia="en-AU"/>
        </w:rPr>
        <w:drawing>
          <wp:anchor distT="0" distB="0" distL="114300" distR="114300" simplePos="0" relativeHeight="251663872" behindDoc="1" locked="0" layoutInCell="1" allowOverlap="1" wp14:anchorId="07047DA2" wp14:editId="15A1CFF7">
            <wp:simplePos x="0" y="0"/>
            <wp:positionH relativeFrom="margin">
              <wp:align>left</wp:align>
            </wp:positionH>
            <wp:positionV relativeFrom="paragraph">
              <wp:posOffset>434</wp:posOffset>
            </wp:positionV>
            <wp:extent cx="2085975" cy="914400"/>
            <wp:effectExtent l="0" t="0" r="0" b="0"/>
            <wp:wrapTight wrapText="bothSides">
              <wp:wrapPolygon edited="0">
                <wp:start x="0" y="0"/>
                <wp:lineTo x="0" y="8550"/>
                <wp:lineTo x="18937" y="8550"/>
                <wp:lineTo x="19332" y="5400"/>
                <wp:lineTo x="16964" y="1350"/>
                <wp:lineTo x="14597" y="0"/>
                <wp:lineTo x="0" y="0"/>
              </wp:wrapPolygon>
            </wp:wrapTight>
            <wp:docPr id="16" name="Frontpage_Logo_Positiv"/>
            <wp:cNvGraphicFramePr/>
            <a:graphic xmlns:a="http://schemas.openxmlformats.org/drawingml/2006/main">
              <a:graphicData uri="http://schemas.openxmlformats.org/drawingml/2006/picture">
                <pic:pic xmlns:pic="http://schemas.openxmlformats.org/drawingml/2006/picture">
                  <pic:nvPicPr>
                    <pic:cNvPr id="489565538" name="Frontpage_Logo_Positiv"/>
                    <pic:cNvPicPr/>
                  </pic:nvPicPr>
                  <pic:blipFill>
                    <a:blip r:embed="rId12" cstate="print">
                      <a:extLst>
                        <a:ext uri="{28A0092B-C50C-407E-A947-70E740481C1C}">
                          <a14:useLocalDpi xmlns:a14="http://schemas.microsoft.com/office/drawing/2010/main" val="0"/>
                        </a:ext>
                      </a:extLst>
                    </a:blip>
                    <a:srcRect/>
                    <a:stretch/>
                  </pic:blipFill>
                  <pic:spPr>
                    <a:xfrm>
                      <a:off x="0" y="0"/>
                      <a:ext cx="2085975" cy="914400"/>
                    </a:xfrm>
                    <a:prstGeom prst="rect">
                      <a:avLst/>
                    </a:prstGeom>
                  </pic:spPr>
                </pic:pic>
              </a:graphicData>
            </a:graphic>
            <wp14:sizeRelH relativeFrom="page">
              <wp14:pctWidth>0</wp14:pctWidth>
            </wp14:sizeRelH>
            <wp14:sizeRelV relativeFrom="page">
              <wp14:pctHeight>0</wp14:pctHeight>
            </wp14:sizeRelV>
          </wp:anchor>
        </w:drawing>
      </w:r>
      <w:bookmarkEnd w:id="0"/>
      <w:r w:rsidR="008B20E8" w:rsidRPr="008B20E8">
        <w:rPr>
          <w:noProof/>
          <w:lang w:eastAsia="en-AU"/>
        </w:rPr>
        <w:drawing>
          <wp:anchor distT="0" distB="0" distL="114300" distR="114300" simplePos="0" relativeHeight="251658244" behindDoc="0" locked="0" layoutInCell="1" allowOverlap="1" wp14:anchorId="3676B77A" wp14:editId="6807B59E">
            <wp:simplePos x="0" y="0"/>
            <wp:positionH relativeFrom="page">
              <wp:posOffset>431800</wp:posOffset>
            </wp:positionH>
            <wp:positionV relativeFrom="page">
              <wp:posOffset>431800</wp:posOffset>
            </wp:positionV>
            <wp:extent cx="3185786" cy="914400"/>
            <wp:effectExtent l="0" t="0" r="0" b="0"/>
            <wp:wrapNone/>
            <wp:docPr id="1" name="Frontpage_Logo_Negativ" descr="D:\Tortoise\DeloitteAU\Templafy\Graphics\White_Logo_Access_Economics.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rtoise\DeloitteAU\Templafy\Graphics\White_Logo_Access_Economics.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Ref4762251"/>
      <w:bookmarkStart w:id="3" w:name="LAN_ContentsRP"/>
      <w:bookmarkEnd w:id="2"/>
    </w:p>
    <w:p w:rsidR="009E3E03" w:rsidRPr="009E3E03" w:rsidRDefault="009E3E03" w:rsidP="009E3E03"/>
    <w:p w:rsidR="009E3E03" w:rsidRPr="009E3E03" w:rsidRDefault="009E3E03" w:rsidP="009E3E03"/>
    <w:p w:rsidR="009E3E03" w:rsidRPr="009E3E03" w:rsidRDefault="009E3E03" w:rsidP="009E3E03">
      <w:r>
        <w:rPr>
          <w:noProof/>
          <w:lang w:eastAsia="en-AU"/>
        </w:rPr>
        <w:drawing>
          <wp:anchor distT="0" distB="0" distL="114300" distR="114300" simplePos="0" relativeHeight="251664896" behindDoc="1" locked="0" layoutInCell="1" allowOverlap="1" wp14:anchorId="48F534BE" wp14:editId="3EC0CAB7">
            <wp:simplePos x="0" y="0"/>
            <wp:positionH relativeFrom="page">
              <wp:align>center</wp:align>
            </wp:positionH>
            <wp:positionV relativeFrom="paragraph">
              <wp:posOffset>15240</wp:posOffset>
            </wp:positionV>
            <wp:extent cx="4879340" cy="4879340"/>
            <wp:effectExtent l="0" t="0" r="0" b="0"/>
            <wp:wrapTight wrapText="bothSides">
              <wp:wrapPolygon edited="0">
                <wp:start x="10288" y="3120"/>
                <wp:lineTo x="9192" y="3373"/>
                <wp:lineTo x="6325" y="4301"/>
                <wp:lineTo x="6325" y="4638"/>
                <wp:lineTo x="5903" y="4976"/>
                <wp:lineTo x="4891" y="5988"/>
                <wp:lineTo x="3964" y="7337"/>
                <wp:lineTo x="3458" y="8686"/>
                <wp:lineTo x="3120" y="10035"/>
                <wp:lineTo x="3120" y="11385"/>
                <wp:lineTo x="3373" y="12734"/>
                <wp:lineTo x="3879" y="14083"/>
                <wp:lineTo x="4638" y="15433"/>
                <wp:lineTo x="5988" y="16782"/>
                <wp:lineTo x="6072" y="16951"/>
                <wp:lineTo x="8517" y="18131"/>
                <wp:lineTo x="9782" y="18469"/>
                <wp:lineTo x="11806" y="18469"/>
                <wp:lineTo x="13071" y="18131"/>
                <wp:lineTo x="15517" y="16951"/>
                <wp:lineTo x="15601" y="16782"/>
                <wp:lineTo x="16951" y="15433"/>
                <wp:lineTo x="17710" y="14083"/>
                <wp:lineTo x="18216" y="12734"/>
                <wp:lineTo x="18469" y="11385"/>
                <wp:lineTo x="18469" y="10035"/>
                <wp:lineTo x="18216" y="8686"/>
                <wp:lineTo x="17625" y="7337"/>
                <wp:lineTo x="16698" y="5988"/>
                <wp:lineTo x="15601" y="4891"/>
                <wp:lineTo x="15348" y="4385"/>
                <wp:lineTo x="12397" y="3373"/>
                <wp:lineTo x="11300" y="3120"/>
                <wp:lineTo x="10288" y="3120"/>
              </wp:wrapPolygon>
            </wp:wrapTight>
            <wp:docPr id="40" name="Picture 40" descr="This is the front page cover image. It shows a seedling in a pot from above." title="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79340" cy="487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3E03" w:rsidRPr="009E3E03" w:rsidRDefault="009E3E03" w:rsidP="009E3E03"/>
    <w:p w:rsidR="009E3E03" w:rsidRP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Default="009E3E03" w:rsidP="009E3E03"/>
    <w:p w:rsidR="009E3E03" w:rsidRPr="009E3E03" w:rsidRDefault="009E3E03" w:rsidP="009E3E03"/>
    <w:p w:rsidR="009E3E03" w:rsidRPr="009E3E03" w:rsidRDefault="009E3E03" w:rsidP="009E3E03"/>
    <w:p w:rsidR="00423DBC" w:rsidRPr="00423DBC" w:rsidRDefault="009E3E03" w:rsidP="002906EA">
      <w:pPr>
        <w:pStyle w:val="Documenttitle"/>
      </w:pPr>
      <w:r w:rsidRPr="00423DBC">
        <w:t>Agvet Chemicals – Market Drivers and Barriers</w:t>
      </w:r>
    </w:p>
    <w:p w:rsidR="00423DBC" w:rsidRDefault="009E3E03" w:rsidP="002906EA">
      <w:pPr>
        <w:pStyle w:val="Documentsubtitle"/>
      </w:pPr>
      <w:r w:rsidRPr="009E3E03">
        <w:t>Department of Agriculture</w:t>
      </w:r>
    </w:p>
    <w:p w:rsidR="009E3E03" w:rsidRPr="009E3E03" w:rsidRDefault="009E3E03" w:rsidP="009E3E03">
      <w:pPr>
        <w:pStyle w:val="Documenttitle"/>
        <w:rPr>
          <w:bCs w:val="0"/>
          <w:sz w:val="18"/>
          <w:szCs w:val="18"/>
        </w:rPr>
      </w:pPr>
      <w:r w:rsidRPr="009E3E03">
        <w:rPr>
          <w:b w:val="0"/>
          <w:sz w:val="18"/>
          <w:szCs w:val="18"/>
        </w:rPr>
        <w:t>July 2019</w:t>
      </w:r>
      <w:r w:rsidRPr="009E3E03">
        <w:rPr>
          <w:sz w:val="18"/>
          <w:szCs w:val="18"/>
        </w:rPr>
        <w:br w:type="page"/>
      </w:r>
    </w:p>
    <w:p w:rsidR="002268CC" w:rsidRDefault="002268CC" w:rsidP="002268CC">
      <w:pPr>
        <w:pStyle w:val="TOCHeading"/>
      </w:pPr>
      <w:r>
        <w:lastRenderedPageBreak/>
        <w:t>Contents</w:t>
      </w:r>
      <w:bookmarkEnd w:id="3"/>
    </w:p>
    <w:p w:rsidR="00474D46" w:rsidRDefault="00B81386">
      <w:pPr>
        <w:pStyle w:val="TOC1"/>
        <w:rPr>
          <w:rFonts w:asciiTheme="minorHAnsi" w:eastAsiaTheme="minorEastAsia" w:hAnsiTheme="minorHAnsi"/>
          <w:noProof/>
          <w:sz w:val="22"/>
          <w:szCs w:val="22"/>
          <w:lang w:eastAsia="en-AU"/>
        </w:rPr>
      </w:pPr>
      <w:r>
        <w:fldChar w:fldCharType="begin"/>
      </w:r>
      <w:r>
        <w:instrText xml:space="preserve"> TOC \o "1-2" \h \z \u </w:instrText>
      </w:r>
      <w:r>
        <w:fldChar w:fldCharType="separate"/>
      </w:r>
      <w:hyperlink w:anchor="_Toc14107313" w:history="1">
        <w:r w:rsidR="00474D46" w:rsidRPr="00013F8B">
          <w:rPr>
            <w:rStyle w:val="Hyperlink"/>
            <w:noProof/>
          </w:rPr>
          <w:t>Glossary</w:t>
        </w:r>
        <w:r w:rsidR="00474D46">
          <w:rPr>
            <w:noProof/>
            <w:webHidden/>
          </w:rPr>
          <w:tab/>
        </w:r>
        <w:r w:rsidR="00474D46">
          <w:rPr>
            <w:noProof/>
            <w:webHidden/>
          </w:rPr>
          <w:fldChar w:fldCharType="begin"/>
        </w:r>
        <w:r w:rsidR="00474D46">
          <w:rPr>
            <w:noProof/>
            <w:webHidden/>
          </w:rPr>
          <w:instrText xml:space="preserve"> PAGEREF _Toc14107313 \h </w:instrText>
        </w:r>
        <w:r w:rsidR="00474D46">
          <w:rPr>
            <w:noProof/>
            <w:webHidden/>
          </w:rPr>
        </w:r>
        <w:r w:rsidR="00474D46">
          <w:rPr>
            <w:noProof/>
            <w:webHidden/>
          </w:rPr>
          <w:fldChar w:fldCharType="separate"/>
        </w:r>
        <w:r w:rsidR="00474D46">
          <w:rPr>
            <w:noProof/>
            <w:webHidden/>
          </w:rPr>
          <w:t>i</w:t>
        </w:r>
        <w:r w:rsidR="00474D46">
          <w:rPr>
            <w:noProof/>
            <w:webHidden/>
          </w:rPr>
          <w:fldChar w:fldCharType="end"/>
        </w:r>
      </w:hyperlink>
    </w:p>
    <w:p w:rsidR="00474D46" w:rsidRDefault="00F171A2">
      <w:pPr>
        <w:pStyle w:val="TOC1"/>
        <w:rPr>
          <w:rFonts w:asciiTheme="minorHAnsi" w:eastAsiaTheme="minorEastAsia" w:hAnsiTheme="minorHAnsi"/>
          <w:noProof/>
          <w:sz w:val="22"/>
          <w:szCs w:val="22"/>
          <w:lang w:eastAsia="en-AU"/>
        </w:rPr>
      </w:pPr>
      <w:hyperlink w:anchor="_Toc14107314" w:history="1">
        <w:r w:rsidR="00474D46" w:rsidRPr="00013F8B">
          <w:rPr>
            <w:rStyle w:val="Hyperlink"/>
            <w:noProof/>
          </w:rPr>
          <w:t>Executive summary</w:t>
        </w:r>
        <w:r w:rsidR="00474D46">
          <w:rPr>
            <w:noProof/>
            <w:webHidden/>
          </w:rPr>
          <w:tab/>
        </w:r>
        <w:r w:rsidR="00474D46">
          <w:rPr>
            <w:noProof/>
            <w:webHidden/>
          </w:rPr>
          <w:fldChar w:fldCharType="begin"/>
        </w:r>
        <w:r w:rsidR="00474D46">
          <w:rPr>
            <w:noProof/>
            <w:webHidden/>
          </w:rPr>
          <w:instrText xml:space="preserve"> PAGEREF _Toc14107314 \h </w:instrText>
        </w:r>
        <w:r w:rsidR="00474D46">
          <w:rPr>
            <w:noProof/>
            <w:webHidden/>
          </w:rPr>
        </w:r>
        <w:r w:rsidR="00474D46">
          <w:rPr>
            <w:noProof/>
            <w:webHidden/>
          </w:rPr>
          <w:fldChar w:fldCharType="separate"/>
        </w:r>
        <w:r w:rsidR="00474D46">
          <w:rPr>
            <w:noProof/>
            <w:webHidden/>
          </w:rPr>
          <w:t>2</w:t>
        </w:r>
        <w:r w:rsidR="00474D46">
          <w:rPr>
            <w:noProof/>
            <w:webHidden/>
          </w:rPr>
          <w:fldChar w:fldCharType="end"/>
        </w:r>
      </w:hyperlink>
    </w:p>
    <w:p w:rsidR="00474D46" w:rsidRDefault="00F171A2">
      <w:pPr>
        <w:pStyle w:val="TOC1"/>
        <w:rPr>
          <w:rFonts w:asciiTheme="minorHAnsi" w:eastAsiaTheme="minorEastAsia" w:hAnsiTheme="minorHAnsi"/>
          <w:noProof/>
          <w:sz w:val="22"/>
          <w:szCs w:val="22"/>
          <w:lang w:eastAsia="en-AU"/>
        </w:rPr>
      </w:pPr>
      <w:hyperlink w:anchor="_Toc14107319" w:history="1">
        <w:r w:rsidR="00474D46" w:rsidRPr="00013F8B">
          <w:rPr>
            <w:rStyle w:val="Hyperlink"/>
            <w:noProof/>
            <w14:scene3d>
              <w14:camera w14:prst="orthographicFront"/>
              <w14:lightRig w14:rig="threePt" w14:dir="t">
                <w14:rot w14:lat="0" w14:lon="0" w14:rev="0"/>
              </w14:lightRig>
            </w14:scene3d>
          </w:rPr>
          <w:t>1</w:t>
        </w:r>
        <w:r w:rsidR="00474D46">
          <w:rPr>
            <w:rFonts w:asciiTheme="minorHAnsi" w:eastAsiaTheme="minorEastAsia" w:hAnsiTheme="minorHAnsi"/>
            <w:noProof/>
            <w:sz w:val="22"/>
            <w:szCs w:val="22"/>
            <w:lang w:eastAsia="en-AU"/>
          </w:rPr>
          <w:tab/>
        </w:r>
        <w:r w:rsidR="00474D46" w:rsidRPr="00013F8B">
          <w:rPr>
            <w:rStyle w:val="Hyperlink"/>
            <w:noProof/>
          </w:rPr>
          <w:t>Report Background</w:t>
        </w:r>
        <w:r w:rsidR="00474D46">
          <w:rPr>
            <w:noProof/>
            <w:webHidden/>
          </w:rPr>
          <w:tab/>
        </w:r>
        <w:r w:rsidR="00474D46">
          <w:rPr>
            <w:noProof/>
            <w:webHidden/>
          </w:rPr>
          <w:fldChar w:fldCharType="begin"/>
        </w:r>
        <w:r w:rsidR="00474D46">
          <w:rPr>
            <w:noProof/>
            <w:webHidden/>
          </w:rPr>
          <w:instrText xml:space="preserve"> PAGEREF _Toc14107319 \h </w:instrText>
        </w:r>
        <w:r w:rsidR="00474D46">
          <w:rPr>
            <w:noProof/>
            <w:webHidden/>
          </w:rPr>
        </w:r>
        <w:r w:rsidR="00474D46">
          <w:rPr>
            <w:noProof/>
            <w:webHidden/>
          </w:rPr>
          <w:fldChar w:fldCharType="separate"/>
        </w:r>
        <w:r w:rsidR="00474D46">
          <w:rPr>
            <w:noProof/>
            <w:webHidden/>
          </w:rPr>
          <w:t>5</w:t>
        </w:r>
        <w:r w:rsidR="00474D46">
          <w:rPr>
            <w:noProof/>
            <w:webHidden/>
          </w:rPr>
          <w:fldChar w:fldCharType="end"/>
        </w:r>
      </w:hyperlink>
    </w:p>
    <w:p w:rsidR="00474D46" w:rsidRDefault="00F171A2">
      <w:pPr>
        <w:pStyle w:val="TOC2"/>
        <w:tabs>
          <w:tab w:val="left" w:pos="1134"/>
        </w:tabs>
        <w:rPr>
          <w:rFonts w:asciiTheme="minorHAnsi" w:eastAsiaTheme="minorEastAsia" w:hAnsiTheme="minorHAnsi"/>
          <w:noProof/>
          <w:sz w:val="22"/>
          <w:szCs w:val="22"/>
          <w:lang w:eastAsia="en-AU"/>
        </w:rPr>
      </w:pPr>
      <w:hyperlink w:anchor="_Toc14107320" w:history="1">
        <w:r w:rsidR="00474D46" w:rsidRPr="00013F8B">
          <w:rPr>
            <w:rStyle w:val="Hyperlink"/>
            <w:noProof/>
          </w:rPr>
          <w:t>1.1</w:t>
        </w:r>
        <w:r w:rsidR="00474D46">
          <w:rPr>
            <w:rFonts w:asciiTheme="minorHAnsi" w:eastAsiaTheme="minorEastAsia" w:hAnsiTheme="minorHAnsi"/>
            <w:noProof/>
            <w:sz w:val="22"/>
            <w:szCs w:val="22"/>
            <w:lang w:eastAsia="en-AU"/>
          </w:rPr>
          <w:tab/>
        </w:r>
        <w:r w:rsidR="00474D46" w:rsidRPr="00013F8B">
          <w:rPr>
            <w:rStyle w:val="Hyperlink"/>
            <w:noProof/>
          </w:rPr>
          <w:t>Agvet chemicals are important for Australia’s agricultural competitiveness</w:t>
        </w:r>
        <w:r w:rsidR="00474D46">
          <w:rPr>
            <w:noProof/>
            <w:webHidden/>
          </w:rPr>
          <w:tab/>
        </w:r>
        <w:r w:rsidR="00474D46">
          <w:rPr>
            <w:noProof/>
            <w:webHidden/>
          </w:rPr>
          <w:fldChar w:fldCharType="begin"/>
        </w:r>
        <w:r w:rsidR="00474D46">
          <w:rPr>
            <w:noProof/>
            <w:webHidden/>
          </w:rPr>
          <w:instrText xml:space="preserve"> PAGEREF _Toc14107320 \h </w:instrText>
        </w:r>
        <w:r w:rsidR="00474D46">
          <w:rPr>
            <w:noProof/>
            <w:webHidden/>
          </w:rPr>
        </w:r>
        <w:r w:rsidR="00474D46">
          <w:rPr>
            <w:noProof/>
            <w:webHidden/>
          </w:rPr>
          <w:fldChar w:fldCharType="separate"/>
        </w:r>
        <w:r w:rsidR="00474D46">
          <w:rPr>
            <w:noProof/>
            <w:webHidden/>
          </w:rPr>
          <w:t>5</w:t>
        </w:r>
        <w:r w:rsidR="00474D46">
          <w:rPr>
            <w:noProof/>
            <w:webHidden/>
          </w:rPr>
          <w:fldChar w:fldCharType="end"/>
        </w:r>
      </w:hyperlink>
    </w:p>
    <w:p w:rsidR="00474D46" w:rsidRDefault="00F171A2">
      <w:pPr>
        <w:pStyle w:val="TOC2"/>
        <w:tabs>
          <w:tab w:val="left" w:pos="1134"/>
        </w:tabs>
        <w:rPr>
          <w:rFonts w:asciiTheme="minorHAnsi" w:eastAsiaTheme="minorEastAsia" w:hAnsiTheme="minorHAnsi"/>
          <w:noProof/>
          <w:sz w:val="22"/>
          <w:szCs w:val="22"/>
          <w:lang w:eastAsia="en-AU"/>
        </w:rPr>
      </w:pPr>
      <w:hyperlink w:anchor="_Toc14107321" w:history="1">
        <w:r w:rsidR="00474D46" w:rsidRPr="00013F8B">
          <w:rPr>
            <w:rStyle w:val="Hyperlink"/>
            <w:noProof/>
          </w:rPr>
          <w:t>1.2</w:t>
        </w:r>
        <w:r w:rsidR="00474D46">
          <w:rPr>
            <w:rFonts w:asciiTheme="minorHAnsi" w:eastAsiaTheme="minorEastAsia" w:hAnsiTheme="minorHAnsi"/>
            <w:noProof/>
            <w:sz w:val="22"/>
            <w:szCs w:val="22"/>
            <w:lang w:eastAsia="en-AU"/>
          </w:rPr>
          <w:tab/>
        </w:r>
        <w:r w:rsidR="00474D46" w:rsidRPr="00013F8B">
          <w:rPr>
            <w:rStyle w:val="Hyperlink"/>
            <w:noProof/>
          </w:rPr>
          <w:t>Agvet chemicals pose risks and require regulation</w:t>
        </w:r>
        <w:r w:rsidR="00474D46">
          <w:rPr>
            <w:noProof/>
            <w:webHidden/>
          </w:rPr>
          <w:tab/>
        </w:r>
        <w:r w:rsidR="00474D46">
          <w:rPr>
            <w:noProof/>
            <w:webHidden/>
          </w:rPr>
          <w:fldChar w:fldCharType="begin"/>
        </w:r>
        <w:r w:rsidR="00474D46">
          <w:rPr>
            <w:noProof/>
            <w:webHidden/>
          </w:rPr>
          <w:instrText xml:space="preserve"> PAGEREF _Toc14107321 \h </w:instrText>
        </w:r>
        <w:r w:rsidR="00474D46">
          <w:rPr>
            <w:noProof/>
            <w:webHidden/>
          </w:rPr>
        </w:r>
        <w:r w:rsidR="00474D46">
          <w:rPr>
            <w:noProof/>
            <w:webHidden/>
          </w:rPr>
          <w:fldChar w:fldCharType="separate"/>
        </w:r>
        <w:r w:rsidR="00474D46">
          <w:rPr>
            <w:noProof/>
            <w:webHidden/>
          </w:rPr>
          <w:t>5</w:t>
        </w:r>
        <w:r w:rsidR="00474D46">
          <w:rPr>
            <w:noProof/>
            <w:webHidden/>
          </w:rPr>
          <w:fldChar w:fldCharType="end"/>
        </w:r>
      </w:hyperlink>
    </w:p>
    <w:p w:rsidR="00474D46" w:rsidRDefault="00F171A2">
      <w:pPr>
        <w:pStyle w:val="TOC2"/>
        <w:tabs>
          <w:tab w:val="left" w:pos="1134"/>
        </w:tabs>
        <w:rPr>
          <w:rFonts w:asciiTheme="minorHAnsi" w:eastAsiaTheme="minorEastAsia" w:hAnsiTheme="minorHAnsi"/>
          <w:noProof/>
          <w:sz w:val="22"/>
          <w:szCs w:val="22"/>
          <w:lang w:eastAsia="en-AU"/>
        </w:rPr>
      </w:pPr>
      <w:hyperlink w:anchor="_Toc14107322" w:history="1">
        <w:r w:rsidR="00474D46" w:rsidRPr="00013F8B">
          <w:rPr>
            <w:rStyle w:val="Hyperlink"/>
            <w:noProof/>
          </w:rPr>
          <w:t>1.3</w:t>
        </w:r>
        <w:r w:rsidR="00474D46">
          <w:rPr>
            <w:rFonts w:asciiTheme="minorHAnsi" w:eastAsiaTheme="minorEastAsia" w:hAnsiTheme="minorHAnsi"/>
            <w:noProof/>
            <w:sz w:val="22"/>
            <w:szCs w:val="22"/>
            <w:lang w:eastAsia="en-AU"/>
          </w:rPr>
          <w:tab/>
        </w:r>
        <w:r w:rsidR="00474D46" w:rsidRPr="00013F8B">
          <w:rPr>
            <w:rStyle w:val="Hyperlink"/>
            <w:noProof/>
          </w:rPr>
          <w:t>Purpose of this report</w:t>
        </w:r>
        <w:r w:rsidR="00474D46">
          <w:rPr>
            <w:noProof/>
            <w:webHidden/>
          </w:rPr>
          <w:tab/>
        </w:r>
        <w:r w:rsidR="00474D46">
          <w:rPr>
            <w:noProof/>
            <w:webHidden/>
          </w:rPr>
          <w:fldChar w:fldCharType="begin"/>
        </w:r>
        <w:r w:rsidR="00474D46">
          <w:rPr>
            <w:noProof/>
            <w:webHidden/>
          </w:rPr>
          <w:instrText xml:space="preserve"> PAGEREF _Toc14107322 \h </w:instrText>
        </w:r>
        <w:r w:rsidR="00474D46">
          <w:rPr>
            <w:noProof/>
            <w:webHidden/>
          </w:rPr>
        </w:r>
        <w:r w:rsidR="00474D46">
          <w:rPr>
            <w:noProof/>
            <w:webHidden/>
          </w:rPr>
          <w:fldChar w:fldCharType="separate"/>
        </w:r>
        <w:r w:rsidR="00474D46">
          <w:rPr>
            <w:noProof/>
            <w:webHidden/>
          </w:rPr>
          <w:t>6</w:t>
        </w:r>
        <w:r w:rsidR="00474D46">
          <w:rPr>
            <w:noProof/>
            <w:webHidden/>
          </w:rPr>
          <w:fldChar w:fldCharType="end"/>
        </w:r>
      </w:hyperlink>
    </w:p>
    <w:p w:rsidR="00474D46" w:rsidRDefault="00F171A2">
      <w:pPr>
        <w:pStyle w:val="TOC2"/>
        <w:tabs>
          <w:tab w:val="left" w:pos="1134"/>
        </w:tabs>
        <w:rPr>
          <w:rFonts w:asciiTheme="minorHAnsi" w:eastAsiaTheme="minorEastAsia" w:hAnsiTheme="minorHAnsi"/>
          <w:noProof/>
          <w:sz w:val="22"/>
          <w:szCs w:val="22"/>
          <w:lang w:eastAsia="en-AU"/>
        </w:rPr>
      </w:pPr>
      <w:hyperlink w:anchor="_Toc14107323" w:history="1">
        <w:r w:rsidR="00474D46" w:rsidRPr="00013F8B">
          <w:rPr>
            <w:rStyle w:val="Hyperlink"/>
            <w:noProof/>
          </w:rPr>
          <w:t>1.4</w:t>
        </w:r>
        <w:r w:rsidR="00474D46">
          <w:rPr>
            <w:rFonts w:asciiTheme="minorHAnsi" w:eastAsiaTheme="minorEastAsia" w:hAnsiTheme="minorHAnsi"/>
            <w:noProof/>
            <w:sz w:val="22"/>
            <w:szCs w:val="22"/>
            <w:lang w:eastAsia="en-AU"/>
          </w:rPr>
          <w:tab/>
        </w:r>
        <w:r w:rsidR="00474D46" w:rsidRPr="00013F8B">
          <w:rPr>
            <w:rStyle w:val="Hyperlink"/>
            <w:noProof/>
          </w:rPr>
          <w:t>Scope</w:t>
        </w:r>
        <w:r w:rsidR="00474D46">
          <w:rPr>
            <w:noProof/>
            <w:webHidden/>
          </w:rPr>
          <w:tab/>
        </w:r>
        <w:r w:rsidR="00474D46">
          <w:rPr>
            <w:noProof/>
            <w:webHidden/>
          </w:rPr>
          <w:fldChar w:fldCharType="begin"/>
        </w:r>
        <w:r w:rsidR="00474D46">
          <w:rPr>
            <w:noProof/>
            <w:webHidden/>
          </w:rPr>
          <w:instrText xml:space="preserve"> PAGEREF _Toc14107323 \h </w:instrText>
        </w:r>
        <w:r w:rsidR="00474D46">
          <w:rPr>
            <w:noProof/>
            <w:webHidden/>
          </w:rPr>
        </w:r>
        <w:r w:rsidR="00474D46">
          <w:rPr>
            <w:noProof/>
            <w:webHidden/>
          </w:rPr>
          <w:fldChar w:fldCharType="separate"/>
        </w:r>
        <w:r w:rsidR="00474D46">
          <w:rPr>
            <w:noProof/>
            <w:webHidden/>
          </w:rPr>
          <w:t>7</w:t>
        </w:r>
        <w:r w:rsidR="00474D46">
          <w:rPr>
            <w:noProof/>
            <w:webHidden/>
          </w:rPr>
          <w:fldChar w:fldCharType="end"/>
        </w:r>
      </w:hyperlink>
    </w:p>
    <w:p w:rsidR="00474D46" w:rsidRDefault="00F171A2">
      <w:pPr>
        <w:pStyle w:val="TOC1"/>
        <w:rPr>
          <w:rFonts w:asciiTheme="minorHAnsi" w:eastAsiaTheme="minorEastAsia" w:hAnsiTheme="minorHAnsi"/>
          <w:noProof/>
          <w:sz w:val="22"/>
          <w:szCs w:val="22"/>
          <w:lang w:eastAsia="en-AU"/>
        </w:rPr>
      </w:pPr>
      <w:hyperlink w:anchor="_Toc14107324" w:history="1">
        <w:r w:rsidR="00474D46" w:rsidRPr="00013F8B">
          <w:rPr>
            <w:rStyle w:val="Hyperlink"/>
            <w:noProof/>
            <w14:scene3d>
              <w14:camera w14:prst="orthographicFront"/>
              <w14:lightRig w14:rig="threePt" w14:dir="t">
                <w14:rot w14:lat="0" w14:lon="0" w14:rev="0"/>
              </w14:lightRig>
            </w14:scene3d>
          </w:rPr>
          <w:t>2</w:t>
        </w:r>
        <w:r w:rsidR="00474D46">
          <w:rPr>
            <w:rFonts w:asciiTheme="minorHAnsi" w:eastAsiaTheme="minorEastAsia" w:hAnsiTheme="minorHAnsi"/>
            <w:noProof/>
            <w:sz w:val="22"/>
            <w:szCs w:val="22"/>
            <w:lang w:eastAsia="en-AU"/>
          </w:rPr>
          <w:tab/>
        </w:r>
        <w:r w:rsidR="00474D46" w:rsidRPr="00013F8B">
          <w:rPr>
            <w:rStyle w:val="Hyperlink"/>
            <w:noProof/>
          </w:rPr>
          <w:t>Priority agvet chemical market barriers and drivers</w:t>
        </w:r>
        <w:r w:rsidR="00474D46">
          <w:rPr>
            <w:noProof/>
            <w:webHidden/>
          </w:rPr>
          <w:tab/>
        </w:r>
        <w:r w:rsidR="00474D46">
          <w:rPr>
            <w:noProof/>
            <w:webHidden/>
          </w:rPr>
          <w:fldChar w:fldCharType="begin"/>
        </w:r>
        <w:r w:rsidR="00474D46">
          <w:rPr>
            <w:noProof/>
            <w:webHidden/>
          </w:rPr>
          <w:instrText xml:space="preserve"> PAGEREF _Toc14107324 \h </w:instrText>
        </w:r>
        <w:r w:rsidR="00474D46">
          <w:rPr>
            <w:noProof/>
            <w:webHidden/>
          </w:rPr>
        </w:r>
        <w:r w:rsidR="00474D46">
          <w:rPr>
            <w:noProof/>
            <w:webHidden/>
          </w:rPr>
          <w:fldChar w:fldCharType="separate"/>
        </w:r>
        <w:r w:rsidR="00474D46">
          <w:rPr>
            <w:noProof/>
            <w:webHidden/>
          </w:rPr>
          <w:t>8</w:t>
        </w:r>
        <w:r w:rsidR="00474D46">
          <w:rPr>
            <w:noProof/>
            <w:webHidden/>
          </w:rPr>
          <w:fldChar w:fldCharType="end"/>
        </w:r>
      </w:hyperlink>
    </w:p>
    <w:p w:rsidR="00474D46" w:rsidRDefault="00F171A2">
      <w:pPr>
        <w:pStyle w:val="TOC2"/>
        <w:tabs>
          <w:tab w:val="left" w:pos="1134"/>
        </w:tabs>
        <w:rPr>
          <w:rFonts w:asciiTheme="minorHAnsi" w:eastAsiaTheme="minorEastAsia" w:hAnsiTheme="minorHAnsi"/>
          <w:noProof/>
          <w:sz w:val="22"/>
          <w:szCs w:val="22"/>
          <w:lang w:eastAsia="en-AU"/>
        </w:rPr>
      </w:pPr>
      <w:hyperlink w:anchor="_Toc14107325" w:history="1">
        <w:r w:rsidR="00474D46" w:rsidRPr="00013F8B">
          <w:rPr>
            <w:rStyle w:val="Hyperlink"/>
            <w:noProof/>
          </w:rPr>
          <w:t>2.1</w:t>
        </w:r>
        <w:r w:rsidR="00474D46">
          <w:rPr>
            <w:rFonts w:asciiTheme="minorHAnsi" w:eastAsiaTheme="minorEastAsia" w:hAnsiTheme="minorHAnsi"/>
            <w:noProof/>
            <w:sz w:val="22"/>
            <w:szCs w:val="22"/>
            <w:lang w:eastAsia="en-AU"/>
          </w:rPr>
          <w:tab/>
        </w:r>
        <w:r w:rsidR="00474D46" w:rsidRPr="00013F8B">
          <w:rPr>
            <w:rStyle w:val="Hyperlink"/>
            <w:noProof/>
          </w:rPr>
          <w:t>Barriers</w:t>
        </w:r>
        <w:r w:rsidR="00474D46">
          <w:rPr>
            <w:noProof/>
            <w:webHidden/>
          </w:rPr>
          <w:tab/>
        </w:r>
        <w:r w:rsidR="00474D46">
          <w:rPr>
            <w:noProof/>
            <w:webHidden/>
          </w:rPr>
          <w:fldChar w:fldCharType="begin"/>
        </w:r>
        <w:r w:rsidR="00474D46">
          <w:rPr>
            <w:noProof/>
            <w:webHidden/>
          </w:rPr>
          <w:instrText xml:space="preserve"> PAGEREF _Toc14107325 \h </w:instrText>
        </w:r>
        <w:r w:rsidR="00474D46">
          <w:rPr>
            <w:noProof/>
            <w:webHidden/>
          </w:rPr>
        </w:r>
        <w:r w:rsidR="00474D46">
          <w:rPr>
            <w:noProof/>
            <w:webHidden/>
          </w:rPr>
          <w:fldChar w:fldCharType="separate"/>
        </w:r>
        <w:r w:rsidR="00474D46">
          <w:rPr>
            <w:noProof/>
            <w:webHidden/>
          </w:rPr>
          <w:t>9</w:t>
        </w:r>
        <w:r w:rsidR="00474D46">
          <w:rPr>
            <w:noProof/>
            <w:webHidden/>
          </w:rPr>
          <w:fldChar w:fldCharType="end"/>
        </w:r>
      </w:hyperlink>
    </w:p>
    <w:p w:rsidR="00474D46" w:rsidRDefault="00F171A2">
      <w:pPr>
        <w:pStyle w:val="TOC2"/>
        <w:tabs>
          <w:tab w:val="left" w:pos="1134"/>
        </w:tabs>
        <w:rPr>
          <w:rFonts w:asciiTheme="minorHAnsi" w:eastAsiaTheme="minorEastAsia" w:hAnsiTheme="minorHAnsi"/>
          <w:noProof/>
          <w:sz w:val="22"/>
          <w:szCs w:val="22"/>
          <w:lang w:eastAsia="en-AU"/>
        </w:rPr>
      </w:pPr>
      <w:hyperlink w:anchor="_Toc14107326" w:history="1">
        <w:r w:rsidR="00474D46" w:rsidRPr="00013F8B">
          <w:rPr>
            <w:rStyle w:val="Hyperlink"/>
            <w:noProof/>
          </w:rPr>
          <w:t>2.2</w:t>
        </w:r>
        <w:r w:rsidR="00474D46">
          <w:rPr>
            <w:rFonts w:asciiTheme="minorHAnsi" w:eastAsiaTheme="minorEastAsia" w:hAnsiTheme="minorHAnsi"/>
            <w:noProof/>
            <w:sz w:val="22"/>
            <w:szCs w:val="22"/>
            <w:lang w:eastAsia="en-AU"/>
          </w:rPr>
          <w:tab/>
        </w:r>
        <w:r w:rsidR="00474D46" w:rsidRPr="00013F8B">
          <w:rPr>
            <w:rStyle w:val="Hyperlink"/>
            <w:noProof/>
          </w:rPr>
          <w:t>Drivers</w:t>
        </w:r>
        <w:r w:rsidR="00474D46">
          <w:rPr>
            <w:noProof/>
            <w:webHidden/>
          </w:rPr>
          <w:tab/>
        </w:r>
        <w:r w:rsidR="00474D46">
          <w:rPr>
            <w:noProof/>
            <w:webHidden/>
          </w:rPr>
          <w:fldChar w:fldCharType="begin"/>
        </w:r>
        <w:r w:rsidR="00474D46">
          <w:rPr>
            <w:noProof/>
            <w:webHidden/>
          </w:rPr>
          <w:instrText xml:space="preserve"> PAGEREF _Toc14107326 \h </w:instrText>
        </w:r>
        <w:r w:rsidR="00474D46">
          <w:rPr>
            <w:noProof/>
            <w:webHidden/>
          </w:rPr>
        </w:r>
        <w:r w:rsidR="00474D46">
          <w:rPr>
            <w:noProof/>
            <w:webHidden/>
          </w:rPr>
          <w:fldChar w:fldCharType="separate"/>
        </w:r>
        <w:r w:rsidR="00474D46">
          <w:rPr>
            <w:noProof/>
            <w:webHidden/>
          </w:rPr>
          <w:t>17</w:t>
        </w:r>
        <w:r w:rsidR="00474D46">
          <w:rPr>
            <w:noProof/>
            <w:webHidden/>
          </w:rPr>
          <w:fldChar w:fldCharType="end"/>
        </w:r>
      </w:hyperlink>
    </w:p>
    <w:p w:rsidR="00474D46" w:rsidRDefault="00F171A2">
      <w:pPr>
        <w:pStyle w:val="TOC1"/>
        <w:rPr>
          <w:rFonts w:asciiTheme="minorHAnsi" w:eastAsiaTheme="minorEastAsia" w:hAnsiTheme="minorHAnsi"/>
          <w:noProof/>
          <w:sz w:val="22"/>
          <w:szCs w:val="22"/>
          <w:lang w:eastAsia="en-AU"/>
        </w:rPr>
      </w:pPr>
      <w:hyperlink w:anchor="_Toc14107327" w:history="1">
        <w:r w:rsidR="00474D46" w:rsidRPr="00013F8B">
          <w:rPr>
            <w:rStyle w:val="Hyperlink"/>
            <w:noProof/>
            <w14:scene3d>
              <w14:camera w14:prst="orthographicFront"/>
              <w14:lightRig w14:rig="threePt" w14:dir="t">
                <w14:rot w14:lat="0" w14:lon="0" w14:rev="0"/>
              </w14:lightRig>
            </w14:scene3d>
          </w:rPr>
          <w:t>3</w:t>
        </w:r>
        <w:r w:rsidR="00474D46">
          <w:rPr>
            <w:rFonts w:asciiTheme="minorHAnsi" w:eastAsiaTheme="minorEastAsia" w:hAnsiTheme="minorHAnsi"/>
            <w:noProof/>
            <w:sz w:val="22"/>
            <w:szCs w:val="22"/>
            <w:lang w:eastAsia="en-AU"/>
          </w:rPr>
          <w:tab/>
        </w:r>
        <w:r w:rsidR="00474D46" w:rsidRPr="00013F8B">
          <w:rPr>
            <w:rStyle w:val="Hyperlink"/>
            <w:noProof/>
          </w:rPr>
          <w:t>Recommendations</w:t>
        </w:r>
        <w:r w:rsidR="00474D46">
          <w:rPr>
            <w:noProof/>
            <w:webHidden/>
          </w:rPr>
          <w:tab/>
        </w:r>
        <w:r w:rsidR="00474D46">
          <w:rPr>
            <w:noProof/>
            <w:webHidden/>
          </w:rPr>
          <w:fldChar w:fldCharType="begin"/>
        </w:r>
        <w:r w:rsidR="00474D46">
          <w:rPr>
            <w:noProof/>
            <w:webHidden/>
          </w:rPr>
          <w:instrText xml:space="preserve"> PAGEREF _Toc14107327 \h </w:instrText>
        </w:r>
        <w:r w:rsidR="00474D46">
          <w:rPr>
            <w:noProof/>
            <w:webHidden/>
          </w:rPr>
        </w:r>
        <w:r w:rsidR="00474D46">
          <w:rPr>
            <w:noProof/>
            <w:webHidden/>
          </w:rPr>
          <w:fldChar w:fldCharType="separate"/>
        </w:r>
        <w:r w:rsidR="00474D46">
          <w:rPr>
            <w:noProof/>
            <w:webHidden/>
          </w:rPr>
          <w:t>19</w:t>
        </w:r>
        <w:r w:rsidR="00474D46">
          <w:rPr>
            <w:noProof/>
            <w:webHidden/>
          </w:rPr>
          <w:fldChar w:fldCharType="end"/>
        </w:r>
      </w:hyperlink>
    </w:p>
    <w:p w:rsidR="00474D46" w:rsidRDefault="00F171A2">
      <w:pPr>
        <w:pStyle w:val="TOC2"/>
        <w:tabs>
          <w:tab w:val="left" w:pos="1134"/>
        </w:tabs>
        <w:rPr>
          <w:rFonts w:asciiTheme="minorHAnsi" w:eastAsiaTheme="minorEastAsia" w:hAnsiTheme="minorHAnsi"/>
          <w:noProof/>
          <w:sz w:val="22"/>
          <w:szCs w:val="22"/>
          <w:lang w:eastAsia="en-AU"/>
        </w:rPr>
      </w:pPr>
      <w:hyperlink w:anchor="_Toc14107328" w:history="1">
        <w:r w:rsidR="00474D46" w:rsidRPr="00013F8B">
          <w:rPr>
            <w:rStyle w:val="Hyperlink"/>
            <w:noProof/>
          </w:rPr>
          <w:t>3.1</w:t>
        </w:r>
        <w:r w:rsidR="00474D46">
          <w:rPr>
            <w:rFonts w:asciiTheme="minorHAnsi" w:eastAsiaTheme="minorEastAsia" w:hAnsiTheme="minorHAnsi"/>
            <w:noProof/>
            <w:sz w:val="22"/>
            <w:szCs w:val="22"/>
            <w:lang w:eastAsia="en-AU"/>
          </w:rPr>
          <w:tab/>
        </w:r>
        <w:r w:rsidR="00474D46" w:rsidRPr="00013F8B">
          <w:rPr>
            <w:rStyle w:val="Hyperlink"/>
            <w:noProof/>
          </w:rPr>
          <w:t>Findings</w:t>
        </w:r>
        <w:r w:rsidR="00474D46">
          <w:rPr>
            <w:noProof/>
            <w:webHidden/>
          </w:rPr>
          <w:tab/>
        </w:r>
        <w:r w:rsidR="00474D46">
          <w:rPr>
            <w:noProof/>
            <w:webHidden/>
          </w:rPr>
          <w:fldChar w:fldCharType="begin"/>
        </w:r>
        <w:r w:rsidR="00474D46">
          <w:rPr>
            <w:noProof/>
            <w:webHidden/>
          </w:rPr>
          <w:instrText xml:space="preserve"> PAGEREF _Toc14107328 \h </w:instrText>
        </w:r>
        <w:r w:rsidR="00474D46">
          <w:rPr>
            <w:noProof/>
            <w:webHidden/>
          </w:rPr>
        </w:r>
        <w:r w:rsidR="00474D46">
          <w:rPr>
            <w:noProof/>
            <w:webHidden/>
          </w:rPr>
          <w:fldChar w:fldCharType="separate"/>
        </w:r>
        <w:r w:rsidR="00474D46">
          <w:rPr>
            <w:noProof/>
            <w:webHidden/>
          </w:rPr>
          <w:t>19</w:t>
        </w:r>
        <w:r w:rsidR="00474D46">
          <w:rPr>
            <w:noProof/>
            <w:webHidden/>
          </w:rPr>
          <w:fldChar w:fldCharType="end"/>
        </w:r>
      </w:hyperlink>
    </w:p>
    <w:p w:rsidR="00474D46" w:rsidRDefault="00F171A2">
      <w:pPr>
        <w:pStyle w:val="TOC2"/>
        <w:tabs>
          <w:tab w:val="left" w:pos="1134"/>
        </w:tabs>
        <w:rPr>
          <w:rFonts w:asciiTheme="minorHAnsi" w:eastAsiaTheme="minorEastAsia" w:hAnsiTheme="minorHAnsi"/>
          <w:noProof/>
          <w:sz w:val="22"/>
          <w:szCs w:val="22"/>
          <w:lang w:eastAsia="en-AU"/>
        </w:rPr>
      </w:pPr>
      <w:hyperlink w:anchor="_Toc14107329" w:history="1">
        <w:r w:rsidR="00474D46" w:rsidRPr="00013F8B">
          <w:rPr>
            <w:rStyle w:val="Hyperlink"/>
            <w:noProof/>
          </w:rPr>
          <w:t>3.2</w:t>
        </w:r>
        <w:r w:rsidR="00474D46">
          <w:rPr>
            <w:rFonts w:asciiTheme="minorHAnsi" w:eastAsiaTheme="minorEastAsia" w:hAnsiTheme="minorHAnsi"/>
            <w:noProof/>
            <w:sz w:val="22"/>
            <w:szCs w:val="22"/>
            <w:lang w:eastAsia="en-AU"/>
          </w:rPr>
          <w:tab/>
        </w:r>
        <w:r w:rsidR="00474D46" w:rsidRPr="00013F8B">
          <w:rPr>
            <w:rStyle w:val="Hyperlink"/>
            <w:noProof/>
          </w:rPr>
          <w:t>Recommendations</w:t>
        </w:r>
        <w:r w:rsidR="00474D46">
          <w:rPr>
            <w:noProof/>
            <w:webHidden/>
          </w:rPr>
          <w:tab/>
        </w:r>
        <w:r w:rsidR="00474D46">
          <w:rPr>
            <w:noProof/>
            <w:webHidden/>
          </w:rPr>
          <w:fldChar w:fldCharType="begin"/>
        </w:r>
        <w:r w:rsidR="00474D46">
          <w:rPr>
            <w:noProof/>
            <w:webHidden/>
          </w:rPr>
          <w:instrText xml:space="preserve"> PAGEREF _Toc14107329 \h </w:instrText>
        </w:r>
        <w:r w:rsidR="00474D46">
          <w:rPr>
            <w:noProof/>
            <w:webHidden/>
          </w:rPr>
        </w:r>
        <w:r w:rsidR="00474D46">
          <w:rPr>
            <w:noProof/>
            <w:webHidden/>
          </w:rPr>
          <w:fldChar w:fldCharType="separate"/>
        </w:r>
        <w:r w:rsidR="00474D46">
          <w:rPr>
            <w:noProof/>
            <w:webHidden/>
          </w:rPr>
          <w:t>19</w:t>
        </w:r>
        <w:r w:rsidR="00474D46">
          <w:rPr>
            <w:noProof/>
            <w:webHidden/>
          </w:rPr>
          <w:fldChar w:fldCharType="end"/>
        </w:r>
      </w:hyperlink>
    </w:p>
    <w:p w:rsidR="00474D46" w:rsidRDefault="00F171A2">
      <w:pPr>
        <w:pStyle w:val="TOC1"/>
        <w:tabs>
          <w:tab w:val="left" w:pos="1243"/>
        </w:tabs>
        <w:rPr>
          <w:rFonts w:asciiTheme="minorHAnsi" w:eastAsiaTheme="minorEastAsia" w:hAnsiTheme="minorHAnsi"/>
          <w:noProof/>
          <w:sz w:val="22"/>
          <w:szCs w:val="22"/>
          <w:lang w:eastAsia="en-AU"/>
        </w:rPr>
      </w:pPr>
      <w:hyperlink w:anchor="_Toc14107330" w:history="1">
        <w:r w:rsidR="00474D46" w:rsidRPr="00013F8B">
          <w:rPr>
            <w:rStyle w:val="Hyperlink"/>
            <w:noProof/>
          </w:rPr>
          <w:t>Appendix A</w:t>
        </w:r>
        <w:r w:rsidR="00474D46">
          <w:rPr>
            <w:rFonts w:asciiTheme="minorHAnsi" w:eastAsiaTheme="minorEastAsia" w:hAnsiTheme="minorHAnsi"/>
            <w:noProof/>
            <w:sz w:val="22"/>
            <w:szCs w:val="22"/>
            <w:lang w:eastAsia="en-AU"/>
          </w:rPr>
          <w:tab/>
        </w:r>
        <w:r w:rsidR="00474D46" w:rsidRPr="00013F8B">
          <w:rPr>
            <w:rStyle w:val="Hyperlink"/>
            <w:noProof/>
          </w:rPr>
          <w:t>Agvet Chemicals in Australia</w:t>
        </w:r>
        <w:r w:rsidR="00474D46">
          <w:rPr>
            <w:noProof/>
            <w:webHidden/>
          </w:rPr>
          <w:tab/>
        </w:r>
        <w:r w:rsidR="00474D46">
          <w:rPr>
            <w:noProof/>
            <w:webHidden/>
          </w:rPr>
          <w:fldChar w:fldCharType="begin"/>
        </w:r>
        <w:r w:rsidR="00474D46">
          <w:rPr>
            <w:noProof/>
            <w:webHidden/>
          </w:rPr>
          <w:instrText xml:space="preserve"> PAGEREF _Toc14107330 \h </w:instrText>
        </w:r>
        <w:r w:rsidR="00474D46">
          <w:rPr>
            <w:noProof/>
            <w:webHidden/>
          </w:rPr>
        </w:r>
        <w:r w:rsidR="00474D46">
          <w:rPr>
            <w:noProof/>
            <w:webHidden/>
          </w:rPr>
          <w:fldChar w:fldCharType="separate"/>
        </w:r>
        <w:r w:rsidR="00474D46">
          <w:rPr>
            <w:noProof/>
            <w:webHidden/>
          </w:rPr>
          <w:t>20</w:t>
        </w:r>
        <w:r w:rsidR="00474D46">
          <w:rPr>
            <w:noProof/>
            <w:webHidden/>
          </w:rPr>
          <w:fldChar w:fldCharType="end"/>
        </w:r>
      </w:hyperlink>
    </w:p>
    <w:p w:rsidR="00474D46" w:rsidRDefault="00F171A2">
      <w:pPr>
        <w:pStyle w:val="TOC1"/>
        <w:tabs>
          <w:tab w:val="left" w:pos="1243"/>
        </w:tabs>
        <w:rPr>
          <w:rFonts w:asciiTheme="minorHAnsi" w:eastAsiaTheme="minorEastAsia" w:hAnsiTheme="minorHAnsi"/>
          <w:noProof/>
          <w:sz w:val="22"/>
          <w:szCs w:val="22"/>
          <w:lang w:eastAsia="en-AU"/>
        </w:rPr>
      </w:pPr>
      <w:hyperlink w:anchor="_Toc14107333" w:history="1">
        <w:r w:rsidR="00474D46" w:rsidRPr="00013F8B">
          <w:rPr>
            <w:rStyle w:val="Hyperlink"/>
            <w:noProof/>
          </w:rPr>
          <w:t>Appendix B</w:t>
        </w:r>
        <w:r w:rsidR="00474D46">
          <w:rPr>
            <w:rFonts w:asciiTheme="minorHAnsi" w:eastAsiaTheme="minorEastAsia" w:hAnsiTheme="minorHAnsi"/>
            <w:noProof/>
            <w:sz w:val="22"/>
            <w:szCs w:val="22"/>
            <w:lang w:eastAsia="en-AU"/>
          </w:rPr>
          <w:tab/>
        </w:r>
        <w:r w:rsidR="00474D46" w:rsidRPr="00013F8B">
          <w:rPr>
            <w:rStyle w:val="Hyperlink"/>
            <w:noProof/>
          </w:rPr>
          <w:t>Examined and implemented policy options</w:t>
        </w:r>
        <w:r w:rsidR="00474D46">
          <w:rPr>
            <w:noProof/>
            <w:webHidden/>
          </w:rPr>
          <w:tab/>
        </w:r>
        <w:r w:rsidR="00474D46">
          <w:rPr>
            <w:noProof/>
            <w:webHidden/>
          </w:rPr>
          <w:fldChar w:fldCharType="begin"/>
        </w:r>
        <w:r w:rsidR="00474D46">
          <w:rPr>
            <w:noProof/>
            <w:webHidden/>
          </w:rPr>
          <w:instrText xml:space="preserve"> PAGEREF _Toc14107333 \h </w:instrText>
        </w:r>
        <w:r w:rsidR="00474D46">
          <w:rPr>
            <w:noProof/>
            <w:webHidden/>
          </w:rPr>
        </w:r>
        <w:r w:rsidR="00474D46">
          <w:rPr>
            <w:noProof/>
            <w:webHidden/>
          </w:rPr>
          <w:fldChar w:fldCharType="separate"/>
        </w:r>
        <w:r w:rsidR="00474D46">
          <w:rPr>
            <w:noProof/>
            <w:webHidden/>
          </w:rPr>
          <w:t>25</w:t>
        </w:r>
        <w:r w:rsidR="00474D46">
          <w:rPr>
            <w:noProof/>
            <w:webHidden/>
          </w:rPr>
          <w:fldChar w:fldCharType="end"/>
        </w:r>
      </w:hyperlink>
    </w:p>
    <w:p w:rsidR="00474D46" w:rsidRDefault="00F171A2">
      <w:pPr>
        <w:pStyle w:val="TOC1"/>
        <w:tabs>
          <w:tab w:val="left" w:pos="1246"/>
        </w:tabs>
        <w:rPr>
          <w:rFonts w:asciiTheme="minorHAnsi" w:eastAsiaTheme="minorEastAsia" w:hAnsiTheme="minorHAnsi"/>
          <w:noProof/>
          <w:sz w:val="22"/>
          <w:szCs w:val="22"/>
          <w:lang w:eastAsia="en-AU"/>
        </w:rPr>
      </w:pPr>
      <w:hyperlink w:anchor="_Toc14107336" w:history="1">
        <w:r w:rsidR="00474D46" w:rsidRPr="00013F8B">
          <w:rPr>
            <w:rStyle w:val="Hyperlink"/>
            <w:noProof/>
          </w:rPr>
          <w:t>Appendix C</w:t>
        </w:r>
        <w:r w:rsidR="00474D46">
          <w:rPr>
            <w:rFonts w:asciiTheme="minorHAnsi" w:eastAsiaTheme="minorEastAsia" w:hAnsiTheme="minorHAnsi"/>
            <w:noProof/>
            <w:sz w:val="22"/>
            <w:szCs w:val="22"/>
            <w:lang w:eastAsia="en-AU"/>
          </w:rPr>
          <w:tab/>
        </w:r>
        <w:r w:rsidR="00474D46" w:rsidRPr="00013F8B">
          <w:rPr>
            <w:rStyle w:val="Hyperlink"/>
            <w:noProof/>
          </w:rPr>
          <w:t>Other identified novel agvet chemical drivers and barriers</w:t>
        </w:r>
        <w:r w:rsidR="00474D46">
          <w:rPr>
            <w:noProof/>
            <w:webHidden/>
          </w:rPr>
          <w:tab/>
        </w:r>
        <w:r w:rsidR="00474D46">
          <w:rPr>
            <w:noProof/>
            <w:webHidden/>
          </w:rPr>
          <w:fldChar w:fldCharType="begin"/>
        </w:r>
        <w:r w:rsidR="00474D46">
          <w:rPr>
            <w:noProof/>
            <w:webHidden/>
          </w:rPr>
          <w:instrText xml:space="preserve"> PAGEREF _Toc14107336 \h </w:instrText>
        </w:r>
        <w:r w:rsidR="00474D46">
          <w:rPr>
            <w:noProof/>
            <w:webHidden/>
          </w:rPr>
        </w:r>
        <w:r w:rsidR="00474D46">
          <w:rPr>
            <w:noProof/>
            <w:webHidden/>
          </w:rPr>
          <w:fldChar w:fldCharType="separate"/>
        </w:r>
        <w:r w:rsidR="00474D46">
          <w:rPr>
            <w:noProof/>
            <w:webHidden/>
          </w:rPr>
          <w:t>31</w:t>
        </w:r>
        <w:r w:rsidR="00474D46">
          <w:rPr>
            <w:noProof/>
            <w:webHidden/>
          </w:rPr>
          <w:fldChar w:fldCharType="end"/>
        </w:r>
      </w:hyperlink>
    </w:p>
    <w:p w:rsidR="00474D46" w:rsidRDefault="00F171A2">
      <w:pPr>
        <w:pStyle w:val="TOC1"/>
        <w:tabs>
          <w:tab w:val="left" w:pos="1259"/>
        </w:tabs>
        <w:rPr>
          <w:rFonts w:asciiTheme="minorHAnsi" w:eastAsiaTheme="minorEastAsia" w:hAnsiTheme="minorHAnsi"/>
          <w:noProof/>
          <w:sz w:val="22"/>
          <w:szCs w:val="22"/>
          <w:lang w:eastAsia="en-AU"/>
        </w:rPr>
      </w:pPr>
      <w:hyperlink w:anchor="_Toc14107339" w:history="1">
        <w:r w:rsidR="00474D46" w:rsidRPr="00013F8B">
          <w:rPr>
            <w:rStyle w:val="Hyperlink"/>
            <w:noProof/>
          </w:rPr>
          <w:t>Appendix D</w:t>
        </w:r>
        <w:r w:rsidR="00474D46">
          <w:rPr>
            <w:rFonts w:asciiTheme="minorHAnsi" w:eastAsiaTheme="minorEastAsia" w:hAnsiTheme="minorHAnsi"/>
            <w:noProof/>
            <w:sz w:val="22"/>
            <w:szCs w:val="22"/>
            <w:lang w:eastAsia="en-AU"/>
          </w:rPr>
          <w:tab/>
        </w:r>
        <w:r w:rsidR="00474D46" w:rsidRPr="00013F8B">
          <w:rPr>
            <w:rStyle w:val="Hyperlink"/>
            <w:noProof/>
          </w:rPr>
          <w:t>Estimated Revenues of Agricultural Chemical Products</w:t>
        </w:r>
        <w:r w:rsidR="00474D46">
          <w:rPr>
            <w:noProof/>
            <w:webHidden/>
          </w:rPr>
          <w:tab/>
        </w:r>
        <w:r w:rsidR="00474D46">
          <w:rPr>
            <w:noProof/>
            <w:webHidden/>
          </w:rPr>
          <w:fldChar w:fldCharType="begin"/>
        </w:r>
        <w:r w:rsidR="00474D46">
          <w:rPr>
            <w:noProof/>
            <w:webHidden/>
          </w:rPr>
          <w:instrText xml:space="preserve"> PAGEREF _Toc14107339 \h </w:instrText>
        </w:r>
        <w:r w:rsidR="00474D46">
          <w:rPr>
            <w:noProof/>
            <w:webHidden/>
          </w:rPr>
        </w:r>
        <w:r w:rsidR="00474D46">
          <w:rPr>
            <w:noProof/>
            <w:webHidden/>
          </w:rPr>
          <w:fldChar w:fldCharType="separate"/>
        </w:r>
        <w:r w:rsidR="00474D46">
          <w:rPr>
            <w:noProof/>
            <w:webHidden/>
          </w:rPr>
          <w:t>36</w:t>
        </w:r>
        <w:r w:rsidR="00474D46">
          <w:rPr>
            <w:noProof/>
            <w:webHidden/>
          </w:rPr>
          <w:fldChar w:fldCharType="end"/>
        </w:r>
      </w:hyperlink>
    </w:p>
    <w:p w:rsidR="00474D46" w:rsidRDefault="00F171A2">
      <w:pPr>
        <w:pStyle w:val="TOC1"/>
        <w:tabs>
          <w:tab w:val="left" w:pos="1234"/>
        </w:tabs>
        <w:rPr>
          <w:rFonts w:asciiTheme="minorHAnsi" w:eastAsiaTheme="minorEastAsia" w:hAnsiTheme="minorHAnsi"/>
          <w:noProof/>
          <w:sz w:val="22"/>
          <w:szCs w:val="22"/>
          <w:lang w:eastAsia="en-AU"/>
        </w:rPr>
      </w:pPr>
      <w:hyperlink w:anchor="_Toc14107340" w:history="1">
        <w:r w:rsidR="00474D46" w:rsidRPr="00013F8B">
          <w:rPr>
            <w:rStyle w:val="Hyperlink"/>
            <w:noProof/>
          </w:rPr>
          <w:t>Appendix E</w:t>
        </w:r>
        <w:r w:rsidR="00474D46">
          <w:rPr>
            <w:rFonts w:asciiTheme="minorHAnsi" w:eastAsiaTheme="minorEastAsia" w:hAnsiTheme="minorHAnsi"/>
            <w:noProof/>
            <w:sz w:val="22"/>
            <w:szCs w:val="22"/>
            <w:lang w:eastAsia="en-AU"/>
          </w:rPr>
          <w:tab/>
        </w:r>
        <w:r w:rsidR="00474D46" w:rsidRPr="00013F8B">
          <w:rPr>
            <w:rStyle w:val="Hyperlink"/>
            <w:noProof/>
          </w:rPr>
          <w:t>International evaluation criteria comparison</w:t>
        </w:r>
        <w:r w:rsidR="00474D46">
          <w:rPr>
            <w:noProof/>
            <w:webHidden/>
          </w:rPr>
          <w:tab/>
        </w:r>
        <w:r w:rsidR="00474D46">
          <w:rPr>
            <w:noProof/>
            <w:webHidden/>
          </w:rPr>
          <w:fldChar w:fldCharType="begin"/>
        </w:r>
        <w:r w:rsidR="00474D46">
          <w:rPr>
            <w:noProof/>
            <w:webHidden/>
          </w:rPr>
          <w:instrText xml:space="preserve"> PAGEREF _Toc14107340 \h </w:instrText>
        </w:r>
        <w:r w:rsidR="00474D46">
          <w:rPr>
            <w:noProof/>
            <w:webHidden/>
          </w:rPr>
        </w:r>
        <w:r w:rsidR="00474D46">
          <w:rPr>
            <w:noProof/>
            <w:webHidden/>
          </w:rPr>
          <w:fldChar w:fldCharType="separate"/>
        </w:r>
        <w:r w:rsidR="00474D46">
          <w:rPr>
            <w:noProof/>
            <w:webHidden/>
          </w:rPr>
          <w:t>41</w:t>
        </w:r>
        <w:r w:rsidR="00474D46">
          <w:rPr>
            <w:noProof/>
            <w:webHidden/>
          </w:rPr>
          <w:fldChar w:fldCharType="end"/>
        </w:r>
      </w:hyperlink>
    </w:p>
    <w:p w:rsidR="00474D46" w:rsidRDefault="00F171A2">
      <w:pPr>
        <w:pStyle w:val="TOC1"/>
        <w:tabs>
          <w:tab w:val="left" w:pos="1223"/>
        </w:tabs>
        <w:rPr>
          <w:rFonts w:asciiTheme="minorHAnsi" w:eastAsiaTheme="minorEastAsia" w:hAnsiTheme="minorHAnsi"/>
          <w:noProof/>
          <w:sz w:val="22"/>
          <w:szCs w:val="22"/>
          <w:lang w:eastAsia="en-AU"/>
        </w:rPr>
      </w:pPr>
      <w:hyperlink w:anchor="_Toc14107341" w:history="1">
        <w:r w:rsidR="00474D46" w:rsidRPr="00013F8B">
          <w:rPr>
            <w:rStyle w:val="Hyperlink"/>
            <w:noProof/>
          </w:rPr>
          <w:t>Appendix F</w:t>
        </w:r>
        <w:r w:rsidR="00474D46">
          <w:rPr>
            <w:rFonts w:asciiTheme="minorHAnsi" w:eastAsiaTheme="minorEastAsia" w:hAnsiTheme="minorHAnsi"/>
            <w:noProof/>
            <w:sz w:val="22"/>
            <w:szCs w:val="22"/>
            <w:lang w:eastAsia="en-AU"/>
          </w:rPr>
          <w:tab/>
        </w:r>
        <w:r w:rsidR="00474D46" w:rsidRPr="00013F8B">
          <w:rPr>
            <w:rStyle w:val="Hyperlink"/>
            <w:noProof/>
          </w:rPr>
          <w:t>International registration time and statutory fees</w:t>
        </w:r>
        <w:r w:rsidR="00474D46">
          <w:rPr>
            <w:noProof/>
            <w:webHidden/>
          </w:rPr>
          <w:tab/>
        </w:r>
        <w:r w:rsidR="00474D46">
          <w:rPr>
            <w:noProof/>
            <w:webHidden/>
          </w:rPr>
          <w:fldChar w:fldCharType="begin"/>
        </w:r>
        <w:r w:rsidR="00474D46">
          <w:rPr>
            <w:noProof/>
            <w:webHidden/>
          </w:rPr>
          <w:instrText xml:space="preserve"> PAGEREF _Toc14107341 \h </w:instrText>
        </w:r>
        <w:r w:rsidR="00474D46">
          <w:rPr>
            <w:noProof/>
            <w:webHidden/>
          </w:rPr>
        </w:r>
        <w:r w:rsidR="00474D46">
          <w:rPr>
            <w:noProof/>
            <w:webHidden/>
          </w:rPr>
          <w:fldChar w:fldCharType="separate"/>
        </w:r>
        <w:r w:rsidR="00474D46">
          <w:rPr>
            <w:noProof/>
            <w:webHidden/>
          </w:rPr>
          <w:t>44</w:t>
        </w:r>
        <w:r w:rsidR="00474D46">
          <w:rPr>
            <w:noProof/>
            <w:webHidden/>
          </w:rPr>
          <w:fldChar w:fldCharType="end"/>
        </w:r>
      </w:hyperlink>
    </w:p>
    <w:p w:rsidR="00474D46" w:rsidRDefault="00F171A2">
      <w:pPr>
        <w:pStyle w:val="TOC1"/>
        <w:rPr>
          <w:rFonts w:asciiTheme="minorHAnsi" w:eastAsiaTheme="minorEastAsia" w:hAnsiTheme="minorHAnsi"/>
          <w:noProof/>
          <w:sz w:val="22"/>
          <w:szCs w:val="22"/>
          <w:lang w:eastAsia="en-AU"/>
        </w:rPr>
      </w:pPr>
      <w:hyperlink w:anchor="_Toc14107342" w:history="1">
        <w:r w:rsidR="00474D46" w:rsidRPr="00013F8B">
          <w:rPr>
            <w:rStyle w:val="Hyperlink"/>
            <w:noProof/>
          </w:rPr>
          <w:t>Limitation of our work</w:t>
        </w:r>
        <w:r w:rsidR="00474D46">
          <w:rPr>
            <w:noProof/>
            <w:webHidden/>
          </w:rPr>
          <w:tab/>
        </w:r>
        <w:r w:rsidR="00474D46">
          <w:rPr>
            <w:noProof/>
            <w:webHidden/>
          </w:rPr>
          <w:fldChar w:fldCharType="begin"/>
        </w:r>
        <w:r w:rsidR="00474D46">
          <w:rPr>
            <w:noProof/>
            <w:webHidden/>
          </w:rPr>
          <w:instrText xml:space="preserve"> PAGEREF _Toc14107342 \h </w:instrText>
        </w:r>
        <w:r w:rsidR="00474D46">
          <w:rPr>
            <w:noProof/>
            <w:webHidden/>
          </w:rPr>
        </w:r>
        <w:r w:rsidR="00474D46">
          <w:rPr>
            <w:noProof/>
            <w:webHidden/>
          </w:rPr>
          <w:fldChar w:fldCharType="separate"/>
        </w:r>
        <w:r w:rsidR="00474D46">
          <w:rPr>
            <w:noProof/>
            <w:webHidden/>
          </w:rPr>
          <w:t>47</w:t>
        </w:r>
        <w:r w:rsidR="00474D46">
          <w:rPr>
            <w:noProof/>
            <w:webHidden/>
          </w:rPr>
          <w:fldChar w:fldCharType="end"/>
        </w:r>
      </w:hyperlink>
    </w:p>
    <w:p w:rsidR="00A6563E" w:rsidRDefault="00B81386" w:rsidP="00FC6122">
      <w:pPr>
        <w:sectPr w:rsidR="00A6563E" w:rsidSect="005108DF">
          <w:headerReference w:type="even" r:id="rId15"/>
          <w:headerReference w:type="default" r:id="rId16"/>
          <w:footerReference w:type="default" r:id="rId17"/>
          <w:headerReference w:type="first" r:id="rId18"/>
          <w:pgSz w:w="11906" w:h="16838" w:code="9"/>
          <w:pgMar w:top="1985" w:right="3542" w:bottom="1134" w:left="680" w:header="680" w:footer="425" w:gutter="0"/>
          <w:cols w:space="284"/>
          <w:docGrid w:linePitch="360"/>
        </w:sectPr>
      </w:pPr>
      <w:r>
        <w:fldChar w:fldCharType="end"/>
      </w:r>
    </w:p>
    <w:p w:rsidR="00BF3260" w:rsidRDefault="00BF3260" w:rsidP="00BF3260">
      <w:pPr>
        <w:pStyle w:val="Heading1un-numbered"/>
      </w:pPr>
      <w:bookmarkStart w:id="4" w:name="_Toc462313127"/>
      <w:bookmarkStart w:id="5" w:name="_Toc462317836"/>
      <w:bookmarkStart w:id="6" w:name="_Toc462397801"/>
      <w:bookmarkStart w:id="7" w:name="_Toc463002428"/>
      <w:bookmarkStart w:id="8" w:name="_Toc472586340"/>
      <w:bookmarkStart w:id="9" w:name="_Toc482168118"/>
      <w:bookmarkStart w:id="10" w:name="_Toc482174905"/>
      <w:bookmarkStart w:id="11" w:name="_Toc866227"/>
      <w:bookmarkStart w:id="12" w:name="_Toc955495"/>
      <w:bookmarkStart w:id="13" w:name="_Toc1057202"/>
      <w:bookmarkStart w:id="14" w:name="_Toc2336582"/>
      <w:bookmarkStart w:id="15" w:name="_Toc4586245"/>
      <w:bookmarkStart w:id="16" w:name="_Toc4672717"/>
      <w:bookmarkStart w:id="17" w:name="_Toc4764864"/>
      <w:bookmarkStart w:id="18" w:name="_Toc6413731"/>
      <w:bookmarkStart w:id="19" w:name="_Toc12024305"/>
      <w:bookmarkStart w:id="20" w:name="_Toc14107313"/>
      <w:r>
        <w:t>Glossary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bl>
      <w:tblPr>
        <w:tblStyle w:val="Deloittetable"/>
        <w:tblW w:w="8559" w:type="dxa"/>
        <w:tblLayout w:type="fixed"/>
        <w:tblLook w:val="04A0" w:firstRow="1" w:lastRow="0" w:firstColumn="1" w:lastColumn="0" w:noHBand="0" w:noVBand="1"/>
      </w:tblPr>
      <w:tblGrid>
        <w:gridCol w:w="1740"/>
        <w:gridCol w:w="6819"/>
      </w:tblGrid>
      <w:tr w:rsidR="00144C3A" w:rsidRPr="00964F90" w:rsidTr="002906EA">
        <w:trPr>
          <w:cnfStyle w:val="100000000000" w:firstRow="1" w:lastRow="0" w:firstColumn="0" w:lastColumn="0" w:oddVBand="0" w:evenVBand="0" w:oddHBand="0" w:evenHBand="0" w:firstRowFirstColumn="0" w:firstRowLastColumn="0" w:lastRowFirstColumn="0" w:lastRowLastColumn="0"/>
          <w:cantSplit/>
          <w:tblHeader/>
        </w:trPr>
        <w:tc>
          <w:tcPr>
            <w:tcW w:w="1740" w:type="dxa"/>
          </w:tcPr>
          <w:p w:rsidR="00144C3A" w:rsidRPr="003E6E11" w:rsidRDefault="00B86FF3" w:rsidP="002D60F0">
            <w:pPr>
              <w:pStyle w:val="TabletextLeft"/>
              <w:rPr>
                <w:b/>
                <w:sz w:val="20"/>
                <w:szCs w:val="20"/>
              </w:rPr>
            </w:pPr>
            <w:r>
              <w:rPr>
                <w:b/>
                <w:sz w:val="20"/>
                <w:szCs w:val="20"/>
              </w:rPr>
              <w:t>Term</w:t>
            </w:r>
          </w:p>
        </w:tc>
        <w:tc>
          <w:tcPr>
            <w:tcW w:w="6819" w:type="dxa"/>
          </w:tcPr>
          <w:p w:rsidR="00144C3A" w:rsidRPr="003E6E11" w:rsidRDefault="00B86FF3" w:rsidP="002D60F0">
            <w:pPr>
              <w:pStyle w:val="TabletextLeft"/>
              <w:rPr>
                <w:b/>
                <w:sz w:val="20"/>
                <w:szCs w:val="20"/>
              </w:rPr>
            </w:pPr>
            <w:r>
              <w:rPr>
                <w:b/>
                <w:sz w:val="20"/>
                <w:szCs w:val="20"/>
              </w:rPr>
              <w:t>Description</w:t>
            </w:r>
          </w:p>
        </w:tc>
      </w:tr>
      <w:tr w:rsidR="00144C3A" w:rsidRPr="004B4D01" w:rsidTr="004B0E97">
        <w:trPr>
          <w:trHeight w:val="230"/>
        </w:trPr>
        <w:tc>
          <w:tcPr>
            <w:tcW w:w="1740" w:type="dxa"/>
          </w:tcPr>
          <w:p w:rsidR="00144C3A" w:rsidDel="00535614" w:rsidRDefault="00144C3A" w:rsidP="00144C3A">
            <w:pPr>
              <w:pStyle w:val="TabletextLeft"/>
            </w:pPr>
            <w:r w:rsidRPr="009051F7">
              <w:t>ABARES</w:t>
            </w:r>
          </w:p>
        </w:tc>
        <w:tc>
          <w:tcPr>
            <w:tcW w:w="6819" w:type="dxa"/>
          </w:tcPr>
          <w:p w:rsidR="00144C3A" w:rsidDel="00535614" w:rsidRDefault="00144C3A" w:rsidP="00144C3A">
            <w:pPr>
              <w:pStyle w:val="TabletextLeft"/>
            </w:pPr>
            <w:r w:rsidRPr="009051F7">
              <w:t>Australian Bureau of Agricultural and Resource Economics and Sciences</w:t>
            </w:r>
          </w:p>
        </w:tc>
      </w:tr>
      <w:tr w:rsidR="00146FDC" w:rsidRPr="004B4D01" w:rsidTr="004B0E97">
        <w:trPr>
          <w:trHeight w:val="230"/>
        </w:trPr>
        <w:tc>
          <w:tcPr>
            <w:tcW w:w="1740" w:type="dxa"/>
          </w:tcPr>
          <w:p w:rsidR="00146FDC" w:rsidRPr="009051F7" w:rsidRDefault="00146FDC" w:rsidP="00144C3A">
            <w:pPr>
              <w:pStyle w:val="TabletextLeft"/>
            </w:pPr>
            <w:r>
              <w:t>Active</w:t>
            </w:r>
            <w:r w:rsidR="00B86FF3">
              <w:t>/</w:t>
            </w:r>
            <w:r>
              <w:t>s</w:t>
            </w:r>
          </w:p>
        </w:tc>
        <w:tc>
          <w:tcPr>
            <w:tcW w:w="6819" w:type="dxa"/>
          </w:tcPr>
          <w:p w:rsidR="00146FDC" w:rsidRPr="009051F7" w:rsidRDefault="00146FDC" w:rsidP="00144C3A">
            <w:pPr>
              <w:pStyle w:val="TabletextLeft"/>
            </w:pPr>
            <w:r>
              <w:t xml:space="preserve">Active </w:t>
            </w:r>
            <w:r w:rsidR="0076327A">
              <w:t>constituent chemical</w:t>
            </w:r>
            <w:r w:rsidR="00BB3ECE">
              <w:t>/</w:t>
            </w:r>
            <w:r w:rsidR="0076327A">
              <w:t>s (of a chemical product)</w:t>
            </w:r>
          </w:p>
        </w:tc>
      </w:tr>
      <w:tr w:rsidR="00144C3A" w:rsidRPr="004B4D01" w:rsidTr="004B0E97">
        <w:trPr>
          <w:trHeight w:val="218"/>
        </w:trPr>
        <w:tc>
          <w:tcPr>
            <w:tcW w:w="1740" w:type="dxa"/>
          </w:tcPr>
          <w:p w:rsidR="00144C3A" w:rsidRDefault="00144C3A" w:rsidP="00144C3A">
            <w:pPr>
              <w:pStyle w:val="TabletextLeft"/>
            </w:pPr>
            <w:r w:rsidRPr="009051F7">
              <w:t>Agvet</w:t>
            </w:r>
          </w:p>
        </w:tc>
        <w:tc>
          <w:tcPr>
            <w:tcW w:w="6819" w:type="dxa"/>
          </w:tcPr>
          <w:p w:rsidR="00144C3A" w:rsidRDefault="00144C3A" w:rsidP="00144C3A">
            <w:pPr>
              <w:pStyle w:val="TabletextLeft"/>
            </w:pPr>
            <w:r w:rsidRPr="009051F7">
              <w:t>Agricultural and veterinary</w:t>
            </w:r>
          </w:p>
        </w:tc>
      </w:tr>
      <w:tr w:rsidR="00144C3A" w:rsidRPr="004B4D01" w:rsidTr="004B0E97">
        <w:trPr>
          <w:trHeight w:val="230"/>
        </w:trPr>
        <w:tc>
          <w:tcPr>
            <w:tcW w:w="1740" w:type="dxa"/>
          </w:tcPr>
          <w:p w:rsidR="00144C3A" w:rsidRDefault="00144C3A" w:rsidP="00144C3A">
            <w:pPr>
              <w:pStyle w:val="TabletextLeft"/>
            </w:pPr>
            <w:r w:rsidRPr="009051F7">
              <w:t>APVMA</w:t>
            </w:r>
          </w:p>
        </w:tc>
        <w:tc>
          <w:tcPr>
            <w:tcW w:w="6819" w:type="dxa"/>
          </w:tcPr>
          <w:p w:rsidR="00144C3A" w:rsidRDefault="00144C3A" w:rsidP="001D7E40">
            <w:pPr>
              <w:pStyle w:val="TabletextLeft"/>
            </w:pPr>
            <w:r w:rsidRPr="009051F7">
              <w:t xml:space="preserve">Australian Pesticides and Veterinary Medicines </w:t>
            </w:r>
            <w:r w:rsidR="00053002">
              <w:t>Authority</w:t>
            </w:r>
          </w:p>
        </w:tc>
      </w:tr>
      <w:tr w:rsidR="00034B13" w:rsidRPr="004B4D01" w:rsidTr="004B0E97">
        <w:trPr>
          <w:trHeight w:val="230"/>
        </w:trPr>
        <w:tc>
          <w:tcPr>
            <w:tcW w:w="1740" w:type="dxa"/>
          </w:tcPr>
          <w:p w:rsidR="00034B13" w:rsidRPr="009051F7" w:rsidRDefault="00034B13" w:rsidP="00144C3A">
            <w:pPr>
              <w:pStyle w:val="TabletextLeft"/>
            </w:pPr>
            <w:r>
              <w:t>CSIRO</w:t>
            </w:r>
          </w:p>
        </w:tc>
        <w:tc>
          <w:tcPr>
            <w:tcW w:w="6819" w:type="dxa"/>
          </w:tcPr>
          <w:p w:rsidR="00034B13" w:rsidRPr="009051F7" w:rsidRDefault="00034B13" w:rsidP="00144C3A">
            <w:pPr>
              <w:pStyle w:val="TabletextLeft"/>
            </w:pPr>
            <w:r>
              <w:t>Commonwealth Scientific and Industrial Research Organisation</w:t>
            </w:r>
          </w:p>
        </w:tc>
      </w:tr>
      <w:tr w:rsidR="00BA530E" w:rsidRPr="004B4D01" w:rsidTr="004B0E97">
        <w:trPr>
          <w:trHeight w:val="208"/>
        </w:trPr>
        <w:tc>
          <w:tcPr>
            <w:tcW w:w="1740" w:type="dxa"/>
          </w:tcPr>
          <w:p w:rsidR="00BA530E" w:rsidRDefault="0096686F" w:rsidP="00144C3A">
            <w:pPr>
              <w:pStyle w:val="TabletextLeft"/>
            </w:pPr>
            <w:r>
              <w:t>The Department</w:t>
            </w:r>
          </w:p>
        </w:tc>
        <w:tc>
          <w:tcPr>
            <w:tcW w:w="6819" w:type="dxa"/>
          </w:tcPr>
          <w:p w:rsidR="00BA530E" w:rsidRPr="009051F7" w:rsidRDefault="00BA530E" w:rsidP="00894B26">
            <w:pPr>
              <w:pStyle w:val="TabletextLeft"/>
            </w:pPr>
            <w:r>
              <w:t>Department of Agriculture</w:t>
            </w:r>
          </w:p>
        </w:tc>
      </w:tr>
      <w:tr w:rsidR="00144C3A" w:rsidRPr="004B4D01" w:rsidTr="004B0E97">
        <w:trPr>
          <w:trHeight w:val="230"/>
        </w:trPr>
        <w:tc>
          <w:tcPr>
            <w:tcW w:w="1740" w:type="dxa"/>
          </w:tcPr>
          <w:p w:rsidR="00144C3A" w:rsidRDefault="00144C3A" w:rsidP="00144C3A">
            <w:pPr>
              <w:pStyle w:val="TabletextLeft"/>
            </w:pPr>
            <w:r w:rsidRPr="009051F7">
              <w:t>EPA</w:t>
            </w:r>
          </w:p>
        </w:tc>
        <w:tc>
          <w:tcPr>
            <w:tcW w:w="6819" w:type="dxa"/>
          </w:tcPr>
          <w:p w:rsidR="00144C3A" w:rsidRDefault="00144C3A" w:rsidP="00144C3A">
            <w:pPr>
              <w:pStyle w:val="TabletextLeft"/>
            </w:pPr>
            <w:r w:rsidRPr="009051F7">
              <w:t>Environmental Protection Agency</w:t>
            </w:r>
          </w:p>
        </w:tc>
      </w:tr>
      <w:tr w:rsidR="00144C3A" w:rsidRPr="004B4D01" w:rsidTr="004B0E97">
        <w:trPr>
          <w:trHeight w:val="230"/>
        </w:trPr>
        <w:tc>
          <w:tcPr>
            <w:tcW w:w="1740" w:type="dxa"/>
          </w:tcPr>
          <w:p w:rsidR="00144C3A" w:rsidRDefault="00144C3A" w:rsidP="00144C3A">
            <w:pPr>
              <w:pStyle w:val="TabletextLeft"/>
            </w:pPr>
            <w:r w:rsidRPr="009051F7">
              <w:t>EU</w:t>
            </w:r>
          </w:p>
        </w:tc>
        <w:tc>
          <w:tcPr>
            <w:tcW w:w="6819" w:type="dxa"/>
          </w:tcPr>
          <w:p w:rsidR="00144C3A" w:rsidRDefault="00144C3A" w:rsidP="00144C3A">
            <w:pPr>
              <w:pStyle w:val="TabletextLeft"/>
            </w:pPr>
            <w:r w:rsidRPr="009051F7">
              <w:t>European Union</w:t>
            </w:r>
          </w:p>
        </w:tc>
      </w:tr>
      <w:tr w:rsidR="00144C3A" w:rsidRPr="004B4D01" w:rsidTr="004B0E97">
        <w:trPr>
          <w:trHeight w:val="230"/>
        </w:trPr>
        <w:tc>
          <w:tcPr>
            <w:tcW w:w="1740" w:type="dxa"/>
          </w:tcPr>
          <w:p w:rsidR="00144C3A" w:rsidRDefault="00144C3A" w:rsidP="00144C3A">
            <w:pPr>
              <w:pStyle w:val="TabletextLeft"/>
            </w:pPr>
            <w:r w:rsidRPr="009051F7">
              <w:t>FAO</w:t>
            </w:r>
          </w:p>
        </w:tc>
        <w:tc>
          <w:tcPr>
            <w:tcW w:w="6819" w:type="dxa"/>
          </w:tcPr>
          <w:p w:rsidR="00144C3A" w:rsidRDefault="000B0C13" w:rsidP="00144C3A">
            <w:pPr>
              <w:pStyle w:val="TabletextLeft"/>
            </w:pPr>
            <w:r>
              <w:t>(</w:t>
            </w:r>
            <w:r w:rsidR="00144C3A" w:rsidRPr="009051F7">
              <w:t>United Nations</w:t>
            </w:r>
            <w:r>
              <w:t>)</w:t>
            </w:r>
            <w:r w:rsidR="00144C3A" w:rsidRPr="009051F7">
              <w:t xml:space="preserve"> Food and Agriculture Organi</w:t>
            </w:r>
            <w:r w:rsidR="001D7E40">
              <w:t>z</w:t>
            </w:r>
            <w:r w:rsidR="00144C3A" w:rsidRPr="009051F7">
              <w:t>ation</w:t>
            </w:r>
          </w:p>
        </w:tc>
      </w:tr>
      <w:tr w:rsidR="000A2894" w:rsidRPr="004B4D01" w:rsidTr="004B0E97">
        <w:trPr>
          <w:trHeight w:val="218"/>
        </w:trPr>
        <w:tc>
          <w:tcPr>
            <w:tcW w:w="1740" w:type="dxa"/>
          </w:tcPr>
          <w:p w:rsidR="000A2894" w:rsidRDefault="000A2894" w:rsidP="00144C3A">
            <w:pPr>
              <w:pStyle w:val="TabletextLeft"/>
            </w:pPr>
            <w:r>
              <w:t>FHB</w:t>
            </w:r>
          </w:p>
        </w:tc>
        <w:tc>
          <w:tcPr>
            <w:tcW w:w="6819" w:type="dxa"/>
          </w:tcPr>
          <w:p w:rsidR="000A2894" w:rsidRPr="000A2894" w:rsidRDefault="000A2894" w:rsidP="00144C3A">
            <w:pPr>
              <w:pStyle w:val="TabletextLeft"/>
            </w:pPr>
            <w:r w:rsidRPr="00237DEA">
              <w:t>Fusarium head blight</w:t>
            </w:r>
          </w:p>
        </w:tc>
      </w:tr>
      <w:tr w:rsidR="00034B13" w:rsidRPr="004B4D01" w:rsidTr="004B0E97">
        <w:trPr>
          <w:trHeight w:val="230"/>
        </w:trPr>
        <w:tc>
          <w:tcPr>
            <w:tcW w:w="1740" w:type="dxa"/>
          </w:tcPr>
          <w:p w:rsidR="00034B13" w:rsidRPr="009051F7" w:rsidRDefault="00034B13" w:rsidP="00144C3A">
            <w:pPr>
              <w:pStyle w:val="TabletextLeft"/>
            </w:pPr>
            <w:r>
              <w:t>FTE</w:t>
            </w:r>
          </w:p>
        </w:tc>
        <w:tc>
          <w:tcPr>
            <w:tcW w:w="6819" w:type="dxa"/>
          </w:tcPr>
          <w:p w:rsidR="00034B13" w:rsidRPr="009051F7" w:rsidRDefault="00034B13" w:rsidP="00144C3A">
            <w:pPr>
              <w:pStyle w:val="TabletextLeft"/>
            </w:pPr>
            <w:r>
              <w:t>Full time equivalent</w:t>
            </w:r>
          </w:p>
        </w:tc>
      </w:tr>
      <w:tr w:rsidR="00423DBC" w:rsidRPr="004B4D01" w:rsidTr="004B0E97">
        <w:trPr>
          <w:trHeight w:val="230"/>
        </w:trPr>
        <w:tc>
          <w:tcPr>
            <w:tcW w:w="1740" w:type="dxa"/>
          </w:tcPr>
          <w:p w:rsidR="00423DBC" w:rsidRDefault="00423DBC" w:rsidP="00144C3A">
            <w:pPr>
              <w:pStyle w:val="TabletextLeft"/>
            </w:pPr>
            <w:r>
              <w:t>Ha</w:t>
            </w:r>
          </w:p>
        </w:tc>
        <w:tc>
          <w:tcPr>
            <w:tcW w:w="6819" w:type="dxa"/>
          </w:tcPr>
          <w:p w:rsidR="00423DBC" w:rsidRPr="00237DEA" w:rsidRDefault="00423DBC" w:rsidP="002D29B7">
            <w:pPr>
              <w:pStyle w:val="TabletextLeft"/>
            </w:pPr>
            <w:r>
              <w:t>Hectares</w:t>
            </w:r>
          </w:p>
        </w:tc>
      </w:tr>
      <w:tr w:rsidR="00423DBC" w:rsidRPr="004B4D01" w:rsidTr="004B0E97">
        <w:trPr>
          <w:trHeight w:val="218"/>
        </w:trPr>
        <w:tc>
          <w:tcPr>
            <w:tcW w:w="1740" w:type="dxa"/>
          </w:tcPr>
          <w:p w:rsidR="00423DBC" w:rsidRDefault="00423DBC" w:rsidP="00144C3A">
            <w:pPr>
              <w:pStyle w:val="TabletextLeft"/>
            </w:pPr>
            <w:r>
              <w:t>L</w:t>
            </w:r>
          </w:p>
        </w:tc>
        <w:tc>
          <w:tcPr>
            <w:tcW w:w="6819" w:type="dxa"/>
          </w:tcPr>
          <w:p w:rsidR="00423DBC" w:rsidRPr="00237DEA" w:rsidRDefault="00423DBC" w:rsidP="002D29B7">
            <w:pPr>
              <w:pStyle w:val="TabletextLeft"/>
            </w:pPr>
            <w:r>
              <w:t>Litres</w:t>
            </w:r>
          </w:p>
        </w:tc>
      </w:tr>
      <w:tr w:rsidR="000A2894" w:rsidRPr="004B4D01" w:rsidTr="004B0E97">
        <w:trPr>
          <w:trHeight w:val="230"/>
        </w:trPr>
        <w:tc>
          <w:tcPr>
            <w:tcW w:w="1740" w:type="dxa"/>
          </w:tcPr>
          <w:p w:rsidR="000A2894" w:rsidRDefault="004E4751" w:rsidP="00144C3A">
            <w:pPr>
              <w:pStyle w:val="TabletextLeft"/>
            </w:pPr>
            <w:r>
              <w:t xml:space="preserve">NZ </w:t>
            </w:r>
            <w:r w:rsidR="000A2894">
              <w:t>MPI</w:t>
            </w:r>
          </w:p>
        </w:tc>
        <w:tc>
          <w:tcPr>
            <w:tcW w:w="6819" w:type="dxa"/>
          </w:tcPr>
          <w:p w:rsidR="000A2894" w:rsidRPr="000A2894" w:rsidRDefault="004E4751" w:rsidP="002D29B7">
            <w:pPr>
              <w:pStyle w:val="TabletextLeft"/>
            </w:pPr>
            <w:r>
              <w:t xml:space="preserve">New Zealand </w:t>
            </w:r>
            <w:r w:rsidR="000A2894" w:rsidRPr="00237DEA">
              <w:t>Ministry of Primary Industries</w:t>
            </w:r>
          </w:p>
        </w:tc>
      </w:tr>
      <w:tr w:rsidR="00C20FFE" w:rsidRPr="004B4D01" w:rsidTr="004B0E97">
        <w:trPr>
          <w:trHeight w:val="230"/>
        </w:trPr>
        <w:tc>
          <w:tcPr>
            <w:tcW w:w="1740" w:type="dxa"/>
          </w:tcPr>
          <w:p w:rsidR="00C20FFE" w:rsidRPr="009051F7" w:rsidRDefault="00C20FFE" w:rsidP="00144C3A">
            <w:pPr>
              <w:pStyle w:val="TabletextLeft"/>
            </w:pPr>
            <w:r>
              <w:t>MRL</w:t>
            </w:r>
          </w:p>
        </w:tc>
        <w:tc>
          <w:tcPr>
            <w:tcW w:w="6819" w:type="dxa"/>
          </w:tcPr>
          <w:p w:rsidR="00C20FFE" w:rsidRPr="009051F7" w:rsidRDefault="00C20FFE" w:rsidP="002D29B7">
            <w:pPr>
              <w:pStyle w:val="TabletextLeft"/>
            </w:pPr>
            <w:r>
              <w:t>Maximum Residue Limit</w:t>
            </w:r>
          </w:p>
        </w:tc>
      </w:tr>
      <w:tr w:rsidR="00144C3A" w:rsidRPr="004B4D01" w:rsidTr="004B0E97">
        <w:trPr>
          <w:trHeight w:val="218"/>
        </w:trPr>
        <w:tc>
          <w:tcPr>
            <w:tcW w:w="1740" w:type="dxa"/>
          </w:tcPr>
          <w:p w:rsidR="00144C3A" w:rsidRDefault="00144C3A" w:rsidP="00144C3A">
            <w:pPr>
              <w:pStyle w:val="TabletextLeft"/>
            </w:pPr>
            <w:r w:rsidRPr="009051F7">
              <w:t>NRS</w:t>
            </w:r>
          </w:p>
        </w:tc>
        <w:tc>
          <w:tcPr>
            <w:tcW w:w="6819" w:type="dxa"/>
          </w:tcPr>
          <w:p w:rsidR="00144C3A" w:rsidRDefault="00144C3A" w:rsidP="002D29B7">
            <w:pPr>
              <w:pStyle w:val="TabletextLeft"/>
            </w:pPr>
            <w:r w:rsidRPr="009051F7">
              <w:t xml:space="preserve">National </w:t>
            </w:r>
            <w:r w:rsidR="002D29B7">
              <w:t>Registration</w:t>
            </w:r>
            <w:r w:rsidRPr="009051F7">
              <w:t xml:space="preserve"> Scheme</w:t>
            </w:r>
            <w:r w:rsidR="008D50B0">
              <w:t xml:space="preserve"> for Agricultural and Veterinary Chemicals</w:t>
            </w:r>
          </w:p>
        </w:tc>
      </w:tr>
      <w:tr w:rsidR="000A2894" w:rsidRPr="004B4D01" w:rsidTr="004B0E97">
        <w:trPr>
          <w:trHeight w:val="230"/>
        </w:trPr>
        <w:tc>
          <w:tcPr>
            <w:tcW w:w="1740" w:type="dxa"/>
          </w:tcPr>
          <w:p w:rsidR="000A2894" w:rsidRPr="009051F7" w:rsidRDefault="000A2894" w:rsidP="00144C3A">
            <w:pPr>
              <w:pStyle w:val="TabletextLeft"/>
            </w:pPr>
            <w:r>
              <w:t>NZ</w:t>
            </w:r>
          </w:p>
        </w:tc>
        <w:tc>
          <w:tcPr>
            <w:tcW w:w="6819" w:type="dxa"/>
          </w:tcPr>
          <w:p w:rsidR="000A2894" w:rsidRPr="009051F7" w:rsidRDefault="000A2894" w:rsidP="008D50B0">
            <w:pPr>
              <w:pStyle w:val="TabletextLeft"/>
            </w:pPr>
            <w:r>
              <w:t>New Zealand</w:t>
            </w:r>
          </w:p>
        </w:tc>
      </w:tr>
      <w:tr w:rsidR="00144C3A" w:rsidRPr="004B4D01" w:rsidTr="004B0E97">
        <w:trPr>
          <w:trHeight w:val="230"/>
        </w:trPr>
        <w:tc>
          <w:tcPr>
            <w:tcW w:w="1740" w:type="dxa"/>
          </w:tcPr>
          <w:p w:rsidR="00144C3A" w:rsidRDefault="00144C3A" w:rsidP="00144C3A">
            <w:pPr>
              <w:pStyle w:val="TabletextLeft"/>
            </w:pPr>
            <w:r w:rsidRPr="009051F7">
              <w:t>OECD</w:t>
            </w:r>
          </w:p>
        </w:tc>
        <w:tc>
          <w:tcPr>
            <w:tcW w:w="6819" w:type="dxa"/>
          </w:tcPr>
          <w:p w:rsidR="00144C3A" w:rsidRDefault="00144C3A" w:rsidP="008D50B0">
            <w:pPr>
              <w:pStyle w:val="TabletextLeft"/>
            </w:pPr>
            <w:r w:rsidRPr="009051F7">
              <w:t xml:space="preserve">Organisation for Economic </w:t>
            </w:r>
            <w:r w:rsidR="008D50B0" w:rsidRPr="009051F7">
              <w:t xml:space="preserve">Co-operation and </w:t>
            </w:r>
            <w:r w:rsidRPr="009051F7">
              <w:t>Development</w:t>
            </w:r>
          </w:p>
        </w:tc>
      </w:tr>
      <w:tr w:rsidR="00144C3A" w:rsidRPr="004B4D01" w:rsidTr="004B0E97">
        <w:trPr>
          <w:trHeight w:val="230"/>
        </w:trPr>
        <w:tc>
          <w:tcPr>
            <w:tcW w:w="1740" w:type="dxa"/>
          </w:tcPr>
          <w:p w:rsidR="00144C3A" w:rsidRDefault="00144C3A" w:rsidP="00144C3A">
            <w:pPr>
              <w:pStyle w:val="TabletextLeft"/>
            </w:pPr>
            <w:r w:rsidRPr="009051F7">
              <w:t>PMRA</w:t>
            </w:r>
          </w:p>
        </w:tc>
        <w:tc>
          <w:tcPr>
            <w:tcW w:w="6819" w:type="dxa"/>
          </w:tcPr>
          <w:p w:rsidR="00144C3A" w:rsidRDefault="00144C3A" w:rsidP="00144C3A">
            <w:pPr>
              <w:pStyle w:val="TabletextLeft"/>
            </w:pPr>
            <w:r w:rsidRPr="009051F7">
              <w:t>Pest Management and Regulatory Agency</w:t>
            </w:r>
          </w:p>
        </w:tc>
      </w:tr>
      <w:tr w:rsidR="00144C3A" w:rsidRPr="004B4D01" w:rsidTr="004B0E97">
        <w:trPr>
          <w:trHeight w:val="218"/>
        </w:trPr>
        <w:tc>
          <w:tcPr>
            <w:tcW w:w="1740" w:type="dxa"/>
          </w:tcPr>
          <w:p w:rsidR="00144C3A" w:rsidRDefault="00144C3A" w:rsidP="00144C3A">
            <w:pPr>
              <w:pStyle w:val="TabletextLeft"/>
            </w:pPr>
            <w:r w:rsidRPr="009051F7">
              <w:t>PRIA</w:t>
            </w:r>
          </w:p>
        </w:tc>
        <w:tc>
          <w:tcPr>
            <w:tcW w:w="6819" w:type="dxa"/>
          </w:tcPr>
          <w:p w:rsidR="00144C3A" w:rsidRDefault="00144C3A" w:rsidP="00144C3A">
            <w:pPr>
              <w:pStyle w:val="TabletextLeft"/>
            </w:pPr>
            <w:r w:rsidRPr="009051F7">
              <w:t>Pesticides Registration Improvement Extension Act</w:t>
            </w:r>
          </w:p>
        </w:tc>
      </w:tr>
      <w:tr w:rsidR="00034B13" w:rsidRPr="004B4D01" w:rsidTr="004B0E97">
        <w:trPr>
          <w:trHeight w:val="230"/>
        </w:trPr>
        <w:tc>
          <w:tcPr>
            <w:tcW w:w="1740" w:type="dxa"/>
          </w:tcPr>
          <w:p w:rsidR="00034B13" w:rsidRPr="009051F7" w:rsidRDefault="00034B13" w:rsidP="00144C3A">
            <w:pPr>
              <w:pStyle w:val="TabletextLeft"/>
            </w:pPr>
            <w:r>
              <w:t>R&amp;D</w:t>
            </w:r>
          </w:p>
        </w:tc>
        <w:tc>
          <w:tcPr>
            <w:tcW w:w="6819" w:type="dxa"/>
          </w:tcPr>
          <w:p w:rsidR="00034B13" w:rsidRPr="009051F7" w:rsidRDefault="00034B13" w:rsidP="00144C3A">
            <w:pPr>
              <w:pStyle w:val="TabletextLeft"/>
            </w:pPr>
            <w:r>
              <w:t>Research and development</w:t>
            </w:r>
          </w:p>
        </w:tc>
      </w:tr>
      <w:tr w:rsidR="00144C3A" w:rsidRPr="004B4D01" w:rsidTr="004B0E97">
        <w:trPr>
          <w:trHeight w:val="230"/>
        </w:trPr>
        <w:tc>
          <w:tcPr>
            <w:tcW w:w="1740" w:type="dxa"/>
          </w:tcPr>
          <w:p w:rsidR="00144C3A" w:rsidRDefault="00144C3A" w:rsidP="00144C3A">
            <w:pPr>
              <w:pStyle w:val="TabletextLeft"/>
            </w:pPr>
            <w:r w:rsidRPr="009051F7">
              <w:t>US</w:t>
            </w:r>
          </w:p>
        </w:tc>
        <w:tc>
          <w:tcPr>
            <w:tcW w:w="6819" w:type="dxa"/>
          </w:tcPr>
          <w:p w:rsidR="00144C3A" w:rsidRDefault="00144C3A" w:rsidP="00AD60E6">
            <w:pPr>
              <w:pStyle w:val="TabletextLeft"/>
            </w:pPr>
            <w:r w:rsidRPr="009051F7">
              <w:t>United States</w:t>
            </w:r>
            <w:r w:rsidR="00467003">
              <w:t xml:space="preserve"> of America</w:t>
            </w:r>
            <w:r w:rsidR="008D50B0">
              <w:t xml:space="preserve"> </w:t>
            </w:r>
          </w:p>
        </w:tc>
      </w:tr>
      <w:tr w:rsidR="004D4988" w:rsidRPr="004B4D01" w:rsidTr="004B0E97">
        <w:trPr>
          <w:trHeight w:val="218"/>
        </w:trPr>
        <w:tc>
          <w:tcPr>
            <w:tcW w:w="1740" w:type="dxa"/>
          </w:tcPr>
          <w:p w:rsidR="004D4988" w:rsidRPr="009051F7" w:rsidRDefault="004D4988" w:rsidP="00144C3A">
            <w:pPr>
              <w:pStyle w:val="TabletextLeft"/>
            </w:pPr>
            <w:r>
              <w:t>UK</w:t>
            </w:r>
          </w:p>
        </w:tc>
        <w:tc>
          <w:tcPr>
            <w:tcW w:w="6819" w:type="dxa"/>
          </w:tcPr>
          <w:p w:rsidR="004D4988" w:rsidRPr="009051F7" w:rsidRDefault="004D4988" w:rsidP="00144C3A">
            <w:pPr>
              <w:pStyle w:val="TabletextLeft"/>
            </w:pPr>
            <w:r>
              <w:t>United Kingdom</w:t>
            </w:r>
          </w:p>
        </w:tc>
      </w:tr>
      <w:tr w:rsidR="00144C3A" w:rsidRPr="004B4D01" w:rsidTr="004B0E97">
        <w:trPr>
          <w:trHeight w:val="461"/>
        </w:trPr>
        <w:tc>
          <w:tcPr>
            <w:tcW w:w="1740" w:type="dxa"/>
          </w:tcPr>
          <w:p w:rsidR="00144C3A" w:rsidRDefault="00144C3A" w:rsidP="00144C3A">
            <w:pPr>
              <w:pStyle w:val="TabletextLeft"/>
            </w:pPr>
            <w:r w:rsidRPr="009051F7">
              <w:t>VICH</w:t>
            </w:r>
          </w:p>
        </w:tc>
        <w:tc>
          <w:tcPr>
            <w:tcW w:w="6819" w:type="dxa"/>
          </w:tcPr>
          <w:p w:rsidR="00144C3A" w:rsidRDefault="00144C3A" w:rsidP="00144C3A">
            <w:pPr>
              <w:pStyle w:val="TabletextLeft"/>
            </w:pPr>
            <w:r w:rsidRPr="009051F7">
              <w:t>International Cooperation on Harmonisation of Technical Requirements for Registration of Veterinary Medicinal Products</w:t>
            </w:r>
          </w:p>
        </w:tc>
      </w:tr>
    </w:tbl>
    <w:p w:rsidR="00DA30BF" w:rsidRDefault="00DA30BF" w:rsidP="00672300"/>
    <w:p w:rsidR="00F9113D" w:rsidRPr="00672300" w:rsidRDefault="00F9113D" w:rsidP="00672300">
      <w:pPr>
        <w:sectPr w:rsidR="00F9113D" w:rsidRPr="00672300" w:rsidSect="00372238">
          <w:headerReference w:type="even" r:id="rId19"/>
          <w:headerReference w:type="default" r:id="rId20"/>
          <w:footerReference w:type="default" r:id="rId21"/>
          <w:headerReference w:type="first" r:id="rId22"/>
          <w:pgSz w:w="11906" w:h="16838" w:code="9"/>
          <w:pgMar w:top="1985" w:right="4281" w:bottom="1134" w:left="680" w:header="680" w:footer="425" w:gutter="0"/>
          <w:pgNumType w:fmt="lowerRoman" w:start="1"/>
          <w:cols w:space="284"/>
          <w:docGrid w:linePitch="360"/>
        </w:sectPr>
      </w:pPr>
    </w:p>
    <w:p w:rsidR="003C11FF" w:rsidRDefault="006858B8" w:rsidP="00F040C0">
      <w:pPr>
        <w:pStyle w:val="Heading1un-numbered"/>
      </w:pPr>
      <w:bookmarkStart w:id="21" w:name="_Toc6413732"/>
      <w:bookmarkStart w:id="22" w:name="_Toc12024306"/>
      <w:bookmarkStart w:id="23" w:name="_Toc14107314"/>
      <w:bookmarkStart w:id="24" w:name="_Toc215906318"/>
      <w:bookmarkStart w:id="25" w:name="_Toc227746675"/>
      <w:bookmarkStart w:id="26" w:name="_Toc227746679"/>
      <w:bookmarkStart w:id="27" w:name="_Toc227746683"/>
      <w:bookmarkStart w:id="28" w:name="_Toc227746687"/>
      <w:bookmarkStart w:id="29" w:name="_Toc227748309"/>
      <w:bookmarkStart w:id="30" w:name="_Toc227748327"/>
      <w:bookmarkStart w:id="31" w:name="_Toc227748331"/>
      <w:bookmarkStart w:id="32" w:name="_Toc227748335"/>
      <w:bookmarkStart w:id="33" w:name="_Toc227748374"/>
      <w:bookmarkStart w:id="34" w:name="_Toc227748378"/>
      <w:bookmarkStart w:id="35" w:name="_Toc227748382"/>
      <w:bookmarkStart w:id="36" w:name="_Toc227748494"/>
      <w:bookmarkStart w:id="37" w:name="_Toc227748498"/>
      <w:bookmarkStart w:id="38" w:name="_Toc228005205"/>
      <w:bookmarkStart w:id="39" w:name="_Toc228092496"/>
      <w:bookmarkStart w:id="40" w:name="_Toc228264951"/>
      <w:bookmarkStart w:id="41" w:name="_Toc228264973"/>
      <w:bookmarkStart w:id="42" w:name="_Toc228264977"/>
      <w:bookmarkStart w:id="43" w:name="_Toc228264981"/>
      <w:bookmarkStart w:id="44" w:name="_Toc228264985"/>
      <w:bookmarkStart w:id="45" w:name="_Toc228265215"/>
      <w:bookmarkStart w:id="46" w:name="_Toc288198024"/>
      <w:bookmarkStart w:id="47" w:name="_Toc448829185"/>
      <w:bookmarkStart w:id="48" w:name="_Toc456353381"/>
      <w:bookmarkStart w:id="49" w:name="_Toc462313128"/>
      <w:bookmarkStart w:id="50" w:name="_Toc462317837"/>
      <w:bookmarkStart w:id="51" w:name="_Toc462397802"/>
      <w:bookmarkStart w:id="52" w:name="_Toc463002429"/>
      <w:bookmarkStart w:id="53" w:name="_Toc472586341"/>
      <w:bookmarkStart w:id="54" w:name="_Toc482168119"/>
      <w:bookmarkStart w:id="55" w:name="_Toc482174906"/>
      <w:bookmarkStart w:id="56" w:name="_Toc866228"/>
      <w:bookmarkStart w:id="57" w:name="_Toc955496"/>
      <w:bookmarkStart w:id="58" w:name="_Toc1057203"/>
      <w:bookmarkStart w:id="59" w:name="_Toc2336583"/>
      <w:bookmarkStart w:id="60" w:name="_Toc4586246"/>
      <w:bookmarkStart w:id="61" w:name="_Toc4672718"/>
      <w:bookmarkStart w:id="62" w:name="_Ref4762260"/>
      <w:bookmarkStart w:id="63" w:name="_Ref4762264"/>
      <w:bookmarkStart w:id="64" w:name="_Toc4764865"/>
      <w:r>
        <w:t>E</w:t>
      </w:r>
      <w:r w:rsidR="003C11FF" w:rsidRPr="00B212B4">
        <w:t>xecutive</w:t>
      </w:r>
      <w:r w:rsidR="003C11FF" w:rsidRPr="000B136C">
        <w:t xml:space="preserve"> summary</w:t>
      </w:r>
      <w:bookmarkEnd w:id="21"/>
      <w:bookmarkEnd w:id="22"/>
      <w:bookmarkEnd w:id="23"/>
    </w:p>
    <w:p w:rsidR="004334F5" w:rsidRPr="00014B03" w:rsidRDefault="004334F5" w:rsidP="00065481">
      <w:pPr>
        <w:pStyle w:val="Heading2"/>
        <w:numPr>
          <w:ilvl w:val="0"/>
          <w:numId w:val="0"/>
        </w:numPr>
        <w:ind w:left="576" w:hanging="576"/>
      </w:pPr>
      <w:bookmarkStart w:id="65" w:name="_Toc6413733"/>
      <w:bookmarkStart w:id="66" w:name="_Toc12024307"/>
      <w:bookmarkStart w:id="67" w:name="_Toc12294080"/>
      <w:bookmarkStart w:id="68" w:name="_Toc13217609"/>
      <w:bookmarkStart w:id="69" w:name="_Toc14107315"/>
      <w:r w:rsidRPr="00014B03">
        <w:t>Background</w:t>
      </w:r>
      <w:bookmarkEnd w:id="65"/>
      <w:bookmarkEnd w:id="66"/>
      <w:bookmarkEnd w:id="67"/>
      <w:bookmarkEnd w:id="68"/>
      <w:bookmarkEnd w:id="69"/>
    </w:p>
    <w:p w:rsidR="004334F5" w:rsidRPr="00471FB0" w:rsidRDefault="004334F5" w:rsidP="004334F5">
      <w:r>
        <w:t>A</w:t>
      </w:r>
      <w:r w:rsidRPr="00687804">
        <w:t xml:space="preserve">gricultural chemicals and veterinary medicines (“agvet chemicals”) are the primary way in which </w:t>
      </w:r>
      <w:r>
        <w:t xml:space="preserve">agricultural </w:t>
      </w:r>
      <w:r w:rsidRPr="00687804">
        <w:t>businesses manage pests</w:t>
      </w:r>
      <w:r w:rsidRPr="00471FB0">
        <w:t>, weeds and livestock diseases.</w:t>
      </w:r>
    </w:p>
    <w:p w:rsidR="004334F5" w:rsidRDefault="004334F5" w:rsidP="004334F5">
      <w:pPr>
        <w:spacing w:after="160" w:line="259" w:lineRule="auto"/>
      </w:pPr>
      <w:r>
        <w:t xml:space="preserve">While agvet chemicals </w:t>
      </w:r>
      <w:r w:rsidR="006D1441">
        <w:t xml:space="preserve">are critical </w:t>
      </w:r>
      <w:r w:rsidR="006B0037">
        <w:t xml:space="preserve">to </w:t>
      </w:r>
      <w:r>
        <w:t>Australia’s agricultural competitiveness, the</w:t>
      </w:r>
      <w:r w:rsidR="006D1441">
        <w:t>ir</w:t>
      </w:r>
      <w:r>
        <w:t xml:space="preserve"> </w:t>
      </w:r>
      <w:r w:rsidR="006D1441">
        <w:t xml:space="preserve">use or misuse </w:t>
      </w:r>
      <w:r>
        <w:t xml:space="preserve">can </w:t>
      </w:r>
      <w:r w:rsidR="00236441">
        <w:t>pose</w:t>
      </w:r>
      <w:r w:rsidR="002F3964">
        <w:t xml:space="preserve"> </w:t>
      </w:r>
      <w:r>
        <w:t>a significant risk to human and animal health</w:t>
      </w:r>
      <w:r w:rsidR="0062343A">
        <w:t>,</w:t>
      </w:r>
      <w:r>
        <w:t xml:space="preserve"> and the environment. The</w:t>
      </w:r>
      <w:r w:rsidR="006D1441">
        <w:t>ir use in agricultural systems</w:t>
      </w:r>
      <w:r>
        <w:t xml:space="preserve"> can also </w:t>
      </w:r>
      <w:r w:rsidR="006D1441">
        <w:t xml:space="preserve">jeopardise </w:t>
      </w:r>
      <w:r>
        <w:t xml:space="preserve">international </w:t>
      </w:r>
      <w:r w:rsidRPr="00E42CE6">
        <w:t>trade and market access</w:t>
      </w:r>
      <w:r>
        <w:t xml:space="preserve">, as </w:t>
      </w:r>
      <w:r w:rsidR="00C93D45">
        <w:t>Australia’s</w:t>
      </w:r>
      <w:r w:rsidR="002F3964">
        <w:t xml:space="preserve"> trading partners</w:t>
      </w:r>
      <w:r w:rsidRPr="009122C6">
        <w:t xml:space="preserve"> have restrictions on the </w:t>
      </w:r>
      <w:r w:rsidR="002F3964">
        <w:t>presence</w:t>
      </w:r>
      <w:r w:rsidR="00492433">
        <w:t>,</w:t>
      </w:r>
      <w:r w:rsidR="002F3964" w:rsidRPr="009122C6">
        <w:t xml:space="preserve"> </w:t>
      </w:r>
      <w:r w:rsidR="00236441">
        <w:t>above established concentrations</w:t>
      </w:r>
      <w:r w:rsidR="00492433">
        <w:t>,</w:t>
      </w:r>
      <w:r w:rsidR="00236441">
        <w:t xml:space="preserve"> </w:t>
      </w:r>
      <w:r w:rsidRPr="009122C6">
        <w:t>of certain chemical residues on agricultural imports. For</w:t>
      </w:r>
      <w:r w:rsidRPr="009122C6" w:rsidDel="0089166A">
        <w:t xml:space="preserve"> </w:t>
      </w:r>
      <w:r w:rsidRPr="009122C6">
        <w:t>these reasons, agvet chemicals are regulated in Australia, as they are in other comparable markets.</w:t>
      </w:r>
    </w:p>
    <w:p w:rsidR="004334F5" w:rsidRDefault="004334F5" w:rsidP="004334F5">
      <w:pPr>
        <w:spacing w:after="160" w:line="259" w:lineRule="auto"/>
      </w:pPr>
      <w:r>
        <w:t xml:space="preserve">In Australia, the </w:t>
      </w:r>
      <w:r w:rsidRPr="00DE6A63">
        <w:t xml:space="preserve">Australian Pesticides and Veterinary Medicines Authority </w:t>
      </w:r>
      <w:r>
        <w:t xml:space="preserve">(APVMA) is </w:t>
      </w:r>
      <w:r w:rsidR="002F3964">
        <w:t xml:space="preserve">the </w:t>
      </w:r>
      <w:r>
        <w:t xml:space="preserve">independent agency </w:t>
      </w:r>
      <w:r w:rsidR="002F3964">
        <w:t xml:space="preserve">that </w:t>
      </w:r>
      <w:r>
        <w:t>is responsible for approving active constituent chemicals (</w:t>
      </w:r>
      <w:r w:rsidR="007D5BDA">
        <w:t>“</w:t>
      </w:r>
      <w:r>
        <w:t>actives</w:t>
      </w:r>
      <w:r w:rsidR="007D5BDA">
        <w:t>”</w:t>
      </w:r>
      <w:r>
        <w:t>), and the registration of agvet chemical products</w:t>
      </w:r>
      <w:r w:rsidR="00053002">
        <w:t>,</w:t>
      </w:r>
      <w:r w:rsidR="008D50B0">
        <w:t xml:space="preserve"> including novel (newly developed) products</w:t>
      </w:r>
      <w:r w:rsidR="00173295">
        <w:t>. Once registered, agvet chemical</w:t>
      </w:r>
      <w:r w:rsidR="00417609">
        <w:t xml:space="preserve"> products</w:t>
      </w:r>
      <w:r w:rsidR="00173295">
        <w:t xml:space="preserve"> </w:t>
      </w:r>
      <w:r w:rsidR="002F3964">
        <w:t>can</w:t>
      </w:r>
      <w:r w:rsidR="003D260A">
        <w:t xml:space="preserve"> </w:t>
      </w:r>
      <w:r w:rsidR="00173295">
        <w:t xml:space="preserve">be </w:t>
      </w:r>
      <w:r w:rsidR="00C93D45">
        <w:t xml:space="preserve">lawfully </w:t>
      </w:r>
      <w:r w:rsidR="00173295">
        <w:t>sold in Australia</w:t>
      </w:r>
      <w:r>
        <w:t>.</w:t>
      </w:r>
    </w:p>
    <w:p w:rsidR="002F3964" w:rsidRDefault="008D50B0" w:rsidP="004334F5">
      <w:pPr>
        <w:spacing w:after="160" w:line="259" w:lineRule="auto"/>
      </w:pPr>
      <w:r>
        <w:t xml:space="preserve">The scope of this study is limited to novel products, as lack of access to potentially useful </w:t>
      </w:r>
      <w:r w:rsidR="00E325A7">
        <w:t xml:space="preserve">new </w:t>
      </w:r>
      <w:r>
        <w:t>pest management solutions may put Australian farmers at a disadvantage</w:t>
      </w:r>
      <w:r w:rsidR="00E34B9F">
        <w:t xml:space="preserve"> to their international competitors</w:t>
      </w:r>
      <w:r>
        <w:t>.</w:t>
      </w:r>
    </w:p>
    <w:p w:rsidR="004334F5" w:rsidRPr="00014B03" w:rsidRDefault="004334F5" w:rsidP="00FF5A42">
      <w:pPr>
        <w:pStyle w:val="Heading2"/>
        <w:numPr>
          <w:ilvl w:val="0"/>
          <w:numId w:val="0"/>
        </w:numPr>
        <w:tabs>
          <w:tab w:val="left" w:pos="4425"/>
        </w:tabs>
        <w:ind w:left="576" w:hanging="576"/>
      </w:pPr>
      <w:bookmarkStart w:id="70" w:name="_Toc6413734"/>
      <w:bookmarkStart w:id="71" w:name="_Toc12024308"/>
      <w:bookmarkStart w:id="72" w:name="_Toc12294081"/>
      <w:bookmarkStart w:id="73" w:name="_Toc13217610"/>
      <w:bookmarkStart w:id="74" w:name="_Toc14107316"/>
      <w:r>
        <w:t>The purpose of our engagement</w:t>
      </w:r>
      <w:bookmarkEnd w:id="70"/>
      <w:bookmarkEnd w:id="71"/>
      <w:bookmarkEnd w:id="72"/>
      <w:bookmarkEnd w:id="73"/>
      <w:bookmarkEnd w:id="74"/>
    </w:p>
    <w:p w:rsidR="004334F5" w:rsidRDefault="004334F5" w:rsidP="004334F5">
      <w:r>
        <w:t>The Department of Agriculture</w:t>
      </w:r>
      <w:r w:rsidR="00D454B1">
        <w:t xml:space="preserve"> </w:t>
      </w:r>
      <w:r w:rsidR="00345AF6">
        <w:t xml:space="preserve">(the </w:t>
      </w:r>
      <w:r w:rsidR="00C170B9">
        <w:t>D</w:t>
      </w:r>
      <w:r w:rsidR="00345AF6">
        <w:t xml:space="preserve">epartment) </w:t>
      </w:r>
      <w:r>
        <w:t>engaged Deloitte to</w:t>
      </w:r>
      <w:r w:rsidR="00894B26">
        <w:t>:</w:t>
      </w:r>
    </w:p>
    <w:p w:rsidR="004A7A11" w:rsidRDefault="00E34B9F" w:rsidP="00FE6A25">
      <w:pPr>
        <w:pStyle w:val="ListParagraph"/>
        <w:numPr>
          <w:ilvl w:val="0"/>
          <w:numId w:val="25"/>
        </w:numPr>
      </w:pPr>
      <w:r>
        <w:t>Examine</w:t>
      </w:r>
      <w:r w:rsidR="004334F5">
        <w:t xml:space="preserve"> the full range of regulatory and non-regulatory drivers and barriers to the introduction of novel agvet chemicals to Australia;</w:t>
      </w:r>
    </w:p>
    <w:p w:rsidR="004A7A11" w:rsidRDefault="00E34B9F" w:rsidP="00FE6A25">
      <w:pPr>
        <w:pStyle w:val="ListParagraph"/>
        <w:numPr>
          <w:ilvl w:val="0"/>
          <w:numId w:val="25"/>
        </w:numPr>
      </w:pPr>
      <w:r>
        <w:t xml:space="preserve">Identify the drivers and barriers with the most significant effect on novel chemical availability in Australia; </w:t>
      </w:r>
      <w:r w:rsidR="004334F5">
        <w:t>and</w:t>
      </w:r>
    </w:p>
    <w:p w:rsidR="004334F5" w:rsidRDefault="004334F5" w:rsidP="00FE6A25">
      <w:pPr>
        <w:pStyle w:val="ListParagraph"/>
        <w:numPr>
          <w:ilvl w:val="0"/>
          <w:numId w:val="25"/>
        </w:numPr>
      </w:pPr>
      <w:r>
        <w:t xml:space="preserve">Investigate what </w:t>
      </w:r>
      <w:r w:rsidR="00E34B9F">
        <w:t xml:space="preserve">additional </w:t>
      </w:r>
      <w:r>
        <w:t xml:space="preserve">changes, if any, the Australian Government could make to facilitate greater </w:t>
      </w:r>
      <w:r w:rsidR="00E325A7">
        <w:t xml:space="preserve">and/or timelier </w:t>
      </w:r>
      <w:r>
        <w:t xml:space="preserve">access </w:t>
      </w:r>
      <w:r w:rsidR="00E325A7">
        <w:t xml:space="preserve">to </w:t>
      </w:r>
      <w:r>
        <w:t xml:space="preserve">novel agvet chemicals, </w:t>
      </w:r>
      <w:r w:rsidR="00364BF6">
        <w:t xml:space="preserve">while </w:t>
      </w:r>
      <w:r>
        <w:t>maintaining protection for human and animal health, the environment and Australia’s international trade interests.</w:t>
      </w:r>
      <w:r w:rsidR="004B0E97">
        <w:t xml:space="preserve"> It is important to note that the Department of Agriculture has an ongoing program of legislative reform aimed at streamlining the enabling agvet chemical legislation and improving the efficiency of the approval and regulation of chemicals.</w:t>
      </w:r>
    </w:p>
    <w:p w:rsidR="004334F5" w:rsidRPr="00014B03" w:rsidRDefault="007B5B04" w:rsidP="00065481">
      <w:pPr>
        <w:pStyle w:val="Heading2"/>
        <w:numPr>
          <w:ilvl w:val="0"/>
          <w:numId w:val="0"/>
        </w:numPr>
        <w:ind w:left="576" w:hanging="576"/>
      </w:pPr>
      <w:bookmarkStart w:id="75" w:name="_Toc6413735"/>
      <w:bookmarkStart w:id="76" w:name="_Toc12024309"/>
      <w:bookmarkStart w:id="77" w:name="_Toc12294082"/>
      <w:bookmarkStart w:id="78" w:name="_Toc13217611"/>
      <w:bookmarkStart w:id="79" w:name="_Toc14107317"/>
      <w:r>
        <w:t xml:space="preserve">Barriers </w:t>
      </w:r>
      <w:r w:rsidR="00E325A7">
        <w:t xml:space="preserve">to </w:t>
      </w:r>
      <w:r>
        <w:t>and drivers of</w:t>
      </w:r>
      <w:r w:rsidR="004334F5">
        <w:t xml:space="preserve"> the introduction of novel agvet chemicals to Australia</w:t>
      </w:r>
      <w:bookmarkEnd w:id="75"/>
      <w:bookmarkEnd w:id="76"/>
      <w:bookmarkEnd w:id="77"/>
      <w:bookmarkEnd w:id="78"/>
      <w:bookmarkEnd w:id="79"/>
    </w:p>
    <w:p w:rsidR="004A7A11" w:rsidRDefault="004334F5" w:rsidP="004334F5">
      <w:r>
        <w:t xml:space="preserve">Access to novel agvet chemicals in Australia is </w:t>
      </w:r>
      <w:r w:rsidR="00604200">
        <w:t xml:space="preserve">a function of </w:t>
      </w:r>
      <w:r>
        <w:t>both the demand for, and supply of, those products. The characteristics of the Australian market and its participants, and the properties of the chemicals themselves, can either be classed</w:t>
      </w:r>
      <w:r w:rsidR="00364BF6">
        <w:t xml:space="preserve"> as</w:t>
      </w:r>
      <w:r>
        <w:t xml:space="preserve"> </w:t>
      </w:r>
      <w:r w:rsidR="00FF5A42" w:rsidRPr="000B4D54">
        <w:rPr>
          <w:i/>
        </w:rPr>
        <w:t>drivers</w:t>
      </w:r>
      <w:r w:rsidR="00FF5A42">
        <w:t xml:space="preserve"> if they enhance access, or as</w:t>
      </w:r>
      <w:r w:rsidR="00FF5A42" w:rsidRPr="000B4D54">
        <w:rPr>
          <w:i/>
        </w:rPr>
        <w:t xml:space="preserve"> </w:t>
      </w:r>
      <w:r w:rsidRPr="000B4D54">
        <w:rPr>
          <w:i/>
        </w:rPr>
        <w:t>barriers</w:t>
      </w:r>
      <w:r>
        <w:t xml:space="preserve"> </w:t>
      </w:r>
      <w:r w:rsidR="00604200">
        <w:t>if they restrict access</w:t>
      </w:r>
      <w:r w:rsidR="00C94D93">
        <w:t>,</w:t>
      </w:r>
      <w:r w:rsidR="00C94D93" w:rsidRPr="00C94D93">
        <w:t xml:space="preserve"> </w:t>
      </w:r>
      <w:r w:rsidR="00C94D93">
        <w:t>to novel agvet chemicals</w:t>
      </w:r>
      <w:r w:rsidR="00604200">
        <w:t>.</w:t>
      </w:r>
    </w:p>
    <w:p w:rsidR="004A7A11" w:rsidRDefault="009733EC" w:rsidP="009733EC">
      <w:r>
        <w:t xml:space="preserve">Of the drivers we identify in the report, the most significant demand driver for novel agvet chemicals is </w:t>
      </w:r>
      <w:r w:rsidRPr="00E80F42">
        <w:rPr>
          <w:b/>
        </w:rPr>
        <w:t xml:space="preserve">the relative advantage that they have over </w:t>
      </w:r>
      <w:r>
        <w:rPr>
          <w:b/>
        </w:rPr>
        <w:t>other products</w:t>
      </w:r>
      <w:r w:rsidRPr="00E80F42">
        <w:rPr>
          <w:b/>
        </w:rPr>
        <w:t xml:space="preserve">. </w:t>
      </w:r>
      <w:r w:rsidRPr="00E80F42">
        <w:rPr>
          <w:color w:val="000000" w:themeColor="text1"/>
        </w:rPr>
        <w:t>Relative advantage may take many forms – it could reflect a lack of resistance from pests, improved efficacy for treating specific pests or diseases</w:t>
      </w:r>
      <w:r>
        <w:rPr>
          <w:color w:val="000000" w:themeColor="text1"/>
        </w:rPr>
        <w:t>, or cost-effectiveness</w:t>
      </w:r>
      <w:r w:rsidRPr="00E80F42">
        <w:rPr>
          <w:color w:val="000000" w:themeColor="text1"/>
        </w:rPr>
        <w:t xml:space="preserve">. The </w:t>
      </w:r>
      <w:r>
        <w:rPr>
          <w:color w:val="000000" w:themeColor="text1"/>
        </w:rPr>
        <w:t xml:space="preserve">most significant </w:t>
      </w:r>
      <w:r w:rsidRPr="00E80F42">
        <w:rPr>
          <w:color w:val="000000" w:themeColor="text1"/>
        </w:rPr>
        <w:t xml:space="preserve">supply driver is the </w:t>
      </w:r>
      <w:r w:rsidRPr="00E80F42">
        <w:rPr>
          <w:b/>
          <w:color w:val="000000" w:themeColor="text1"/>
        </w:rPr>
        <w:t xml:space="preserve">potential </w:t>
      </w:r>
      <w:r w:rsidRPr="00E80F42">
        <w:rPr>
          <w:b/>
        </w:rPr>
        <w:t xml:space="preserve">returns </w:t>
      </w:r>
      <w:r>
        <w:t xml:space="preserve">that chemical producers stand to make through the </w:t>
      </w:r>
      <w:r w:rsidRPr="000F344A">
        <w:t xml:space="preserve">introduction of novel </w:t>
      </w:r>
      <w:r>
        <w:t xml:space="preserve">agvet </w:t>
      </w:r>
      <w:r w:rsidRPr="000F344A">
        <w:t>chemical</w:t>
      </w:r>
      <w:r>
        <w:t>s into Australia</w:t>
      </w:r>
      <w:r w:rsidRPr="0096407F">
        <w:t>.</w:t>
      </w:r>
    </w:p>
    <w:p w:rsidR="004334F5" w:rsidRPr="00014B03" w:rsidRDefault="00C71DAD" w:rsidP="00933A2F">
      <w:r>
        <w:t xml:space="preserve">Of the </w:t>
      </w:r>
      <w:r w:rsidR="004334F5">
        <w:t>non-regulatory barriers</w:t>
      </w:r>
      <w:r>
        <w:t xml:space="preserve">, </w:t>
      </w:r>
      <w:r w:rsidR="00933A2F" w:rsidRPr="00933A2F">
        <w:rPr>
          <w:b/>
        </w:rPr>
        <w:t>t</w:t>
      </w:r>
      <w:r w:rsidR="004334F5" w:rsidRPr="00933A2F">
        <w:rPr>
          <w:b/>
        </w:rPr>
        <w:t>he relatively small size</w:t>
      </w:r>
      <w:r w:rsidR="00143DB9" w:rsidRPr="00933A2F">
        <w:rPr>
          <w:b/>
        </w:rPr>
        <w:t xml:space="preserve"> and volatility</w:t>
      </w:r>
      <w:r w:rsidR="004334F5" w:rsidRPr="00933A2F">
        <w:rPr>
          <w:b/>
        </w:rPr>
        <w:t xml:space="preserve"> of the Australian</w:t>
      </w:r>
      <w:r w:rsidR="00143DB9" w:rsidRPr="00933A2F">
        <w:rPr>
          <w:b/>
        </w:rPr>
        <w:t xml:space="preserve"> </w:t>
      </w:r>
      <w:r w:rsidR="00856AC9" w:rsidRPr="00933A2F">
        <w:rPr>
          <w:b/>
        </w:rPr>
        <w:t xml:space="preserve">market </w:t>
      </w:r>
      <w:r w:rsidR="000B0C13">
        <w:rPr>
          <w:b/>
        </w:rPr>
        <w:t>are</w:t>
      </w:r>
      <w:r w:rsidR="000B0C13" w:rsidRPr="00933A2F">
        <w:rPr>
          <w:b/>
        </w:rPr>
        <w:t xml:space="preserve"> </w:t>
      </w:r>
      <w:r w:rsidR="00856AC9" w:rsidRPr="00933A2F">
        <w:rPr>
          <w:b/>
        </w:rPr>
        <w:t>the most significant barrier</w:t>
      </w:r>
      <w:r w:rsidR="000B0C13">
        <w:rPr>
          <w:b/>
        </w:rPr>
        <w:t>s</w:t>
      </w:r>
      <w:r w:rsidR="00856AC9" w:rsidRPr="00933A2F">
        <w:rPr>
          <w:b/>
        </w:rPr>
        <w:t xml:space="preserve"> restricting access to novel agvet chemicals.</w:t>
      </w:r>
      <w:r w:rsidR="004334F5" w:rsidRPr="00933A2F">
        <w:rPr>
          <w:b/>
        </w:rPr>
        <w:t xml:space="preserve"> </w:t>
      </w:r>
      <w:r w:rsidR="004334F5">
        <w:t>Australia is a relatively small market for agvet chemicals</w:t>
      </w:r>
      <w:r w:rsidR="007B5B04">
        <w:t xml:space="preserve">, </w:t>
      </w:r>
      <w:r w:rsidR="004334F5">
        <w:t>account</w:t>
      </w:r>
      <w:r w:rsidR="007B5B04">
        <w:t>ing</w:t>
      </w:r>
      <w:r w:rsidR="004334F5">
        <w:t xml:space="preserve"> for less than 5</w:t>
      </w:r>
      <w:r w:rsidR="00E325A7">
        <w:t xml:space="preserve"> </w:t>
      </w:r>
      <w:r w:rsidR="00B7669F">
        <w:t>per cent</w:t>
      </w:r>
      <w:r w:rsidR="004334F5">
        <w:t xml:space="preserve"> of the volume of agricultural chemical sales across</w:t>
      </w:r>
      <w:r w:rsidR="00DB1FF1">
        <w:t xml:space="preserve"> countries in</w:t>
      </w:r>
      <w:r w:rsidR="004334F5">
        <w:t xml:space="preserve"> </w:t>
      </w:r>
      <w:r w:rsidR="00EC4BF9">
        <w:t>the Organisation for Economic Co-operation and Development (</w:t>
      </w:r>
      <w:r w:rsidR="004334F5">
        <w:t>OECD</w:t>
      </w:r>
      <w:r w:rsidR="00EC4BF9">
        <w:t>)</w:t>
      </w:r>
      <w:r w:rsidR="004334F5">
        <w:t xml:space="preserve">. </w:t>
      </w:r>
      <w:r w:rsidR="00D65092">
        <w:t xml:space="preserve">The small potential market size can reflect low planting areas or populations for some crop or animal species, or infrequency of certain pest or disease outbreaks in Australia. </w:t>
      </w:r>
      <w:r w:rsidR="007B5B04">
        <w:t xml:space="preserve">Australia’s market is also </w:t>
      </w:r>
      <w:r w:rsidR="00173295">
        <w:t xml:space="preserve">volatile relative to other </w:t>
      </w:r>
      <w:r w:rsidR="00065481">
        <w:t>international jurisdictions</w:t>
      </w:r>
      <w:r w:rsidR="00173295">
        <w:t xml:space="preserve">, reflecting </w:t>
      </w:r>
      <w:r w:rsidR="007B5B04">
        <w:t>year</w:t>
      </w:r>
      <w:r w:rsidR="00173295">
        <w:t xml:space="preserve">-on-year variations caused by </w:t>
      </w:r>
      <w:r w:rsidR="00E34B9F">
        <w:t xml:space="preserve">its </w:t>
      </w:r>
      <w:r w:rsidR="008263F1">
        <w:t>highly variable climate</w:t>
      </w:r>
      <w:r w:rsidR="00364BF6">
        <w:t xml:space="preserve"> and a greater exposure to international export markets</w:t>
      </w:r>
      <w:r w:rsidR="00173295">
        <w:t xml:space="preserve">. </w:t>
      </w:r>
      <w:r w:rsidR="00D65092">
        <w:t xml:space="preserve">Thus Australia’s </w:t>
      </w:r>
      <w:r w:rsidR="004334F5">
        <w:t xml:space="preserve">small </w:t>
      </w:r>
      <w:r w:rsidR="00364BF6">
        <w:t xml:space="preserve">and volatile </w:t>
      </w:r>
      <w:r w:rsidR="004334F5">
        <w:t xml:space="preserve">potential market </w:t>
      </w:r>
      <w:r w:rsidR="00604200">
        <w:t xml:space="preserve">for agvet chemicals </w:t>
      </w:r>
      <w:r w:rsidR="00BA0730">
        <w:t xml:space="preserve">is likely to </w:t>
      </w:r>
      <w:r w:rsidR="001752AF">
        <w:t>be a</w:t>
      </w:r>
      <w:r w:rsidR="004334F5">
        <w:t xml:space="preserve"> </w:t>
      </w:r>
      <w:r w:rsidR="00856AC9">
        <w:t xml:space="preserve">factor in some </w:t>
      </w:r>
      <w:r w:rsidR="004334F5">
        <w:t>chemical</w:t>
      </w:r>
      <w:r w:rsidR="00856AC9">
        <w:t xml:space="preserve"> suppliers’ decision</w:t>
      </w:r>
      <w:r w:rsidR="001752AF">
        <w:t>s</w:t>
      </w:r>
      <w:r w:rsidR="00856AC9">
        <w:t xml:space="preserve"> </w:t>
      </w:r>
      <w:r w:rsidR="001752AF">
        <w:t xml:space="preserve">not </w:t>
      </w:r>
      <w:r w:rsidR="00856AC9">
        <w:t xml:space="preserve">to </w:t>
      </w:r>
      <w:r w:rsidR="001752AF">
        <w:t xml:space="preserve">seek </w:t>
      </w:r>
      <w:r w:rsidR="00BA0730">
        <w:t xml:space="preserve">registration for </w:t>
      </w:r>
      <w:r w:rsidR="001752AF">
        <w:t xml:space="preserve">certain </w:t>
      </w:r>
      <w:r w:rsidR="00856AC9">
        <w:t>products in Australia</w:t>
      </w:r>
      <w:r w:rsidR="00D57E94">
        <w:t xml:space="preserve"> that they have registered overseas</w:t>
      </w:r>
      <w:r w:rsidR="00856AC9">
        <w:t>.</w:t>
      </w:r>
    </w:p>
    <w:p w:rsidR="00E80F42" w:rsidRDefault="00933A2F" w:rsidP="00933A2F">
      <w:r>
        <w:t>Another non-regulatory barrier</w:t>
      </w:r>
      <w:r w:rsidR="0086559B">
        <w:t xml:space="preserve"> is</w:t>
      </w:r>
      <w:r>
        <w:t xml:space="preserve"> </w:t>
      </w:r>
      <w:r w:rsidRPr="00933A2F">
        <w:rPr>
          <w:b/>
        </w:rPr>
        <w:t>h</w:t>
      </w:r>
      <w:r w:rsidR="004334F5" w:rsidRPr="00933A2F">
        <w:rPr>
          <w:b/>
        </w:rPr>
        <w:t xml:space="preserve">igh </w:t>
      </w:r>
      <w:r>
        <w:rPr>
          <w:b/>
        </w:rPr>
        <w:t>research and development (</w:t>
      </w:r>
      <w:r w:rsidR="0081276D" w:rsidRPr="00933A2F">
        <w:rPr>
          <w:b/>
        </w:rPr>
        <w:t>R&amp;D</w:t>
      </w:r>
      <w:r>
        <w:rPr>
          <w:b/>
        </w:rPr>
        <w:t>)</w:t>
      </w:r>
      <w:r w:rsidR="0081276D" w:rsidRPr="00933A2F">
        <w:rPr>
          <w:b/>
        </w:rPr>
        <w:t xml:space="preserve"> </w:t>
      </w:r>
      <w:r w:rsidR="004334F5" w:rsidRPr="00933A2F">
        <w:rPr>
          <w:b/>
        </w:rPr>
        <w:t>costs</w:t>
      </w:r>
      <w:r>
        <w:rPr>
          <w:b/>
        </w:rPr>
        <w:t xml:space="preserve">, which </w:t>
      </w:r>
      <w:r w:rsidR="0081276D" w:rsidRPr="00933A2F">
        <w:rPr>
          <w:b/>
        </w:rPr>
        <w:t xml:space="preserve">means that chemical producers </w:t>
      </w:r>
      <w:r w:rsidR="00C00EA4" w:rsidRPr="00933A2F">
        <w:rPr>
          <w:b/>
        </w:rPr>
        <w:t xml:space="preserve">prioritise </w:t>
      </w:r>
      <w:r w:rsidR="00ED00D2" w:rsidRPr="00933A2F">
        <w:rPr>
          <w:b/>
        </w:rPr>
        <w:t xml:space="preserve">the development of </w:t>
      </w:r>
      <w:r w:rsidR="00C00EA4" w:rsidRPr="00933A2F">
        <w:rPr>
          <w:b/>
        </w:rPr>
        <w:t xml:space="preserve">new </w:t>
      </w:r>
      <w:r w:rsidR="0081276D" w:rsidRPr="00933A2F">
        <w:rPr>
          <w:b/>
        </w:rPr>
        <w:t xml:space="preserve">agvet chemicals </w:t>
      </w:r>
      <w:r w:rsidR="006B0037" w:rsidRPr="00933A2F">
        <w:rPr>
          <w:b/>
        </w:rPr>
        <w:t xml:space="preserve">that </w:t>
      </w:r>
      <w:r w:rsidR="0081276D" w:rsidRPr="00933A2F">
        <w:rPr>
          <w:b/>
        </w:rPr>
        <w:t>treat pests and diseases with high global prevalence</w:t>
      </w:r>
      <w:r w:rsidR="00A87411" w:rsidRPr="00933A2F">
        <w:rPr>
          <w:b/>
        </w:rPr>
        <w:t>.</w:t>
      </w:r>
      <w:r>
        <w:rPr>
          <w:b/>
        </w:rPr>
        <w:t xml:space="preserve"> </w:t>
      </w:r>
      <w:r w:rsidR="00CB0CE4">
        <w:t>For novel agvet chemi</w:t>
      </w:r>
      <w:r>
        <w:t>cals</w:t>
      </w:r>
      <w:r w:rsidR="0086559B">
        <w:t>,</w:t>
      </w:r>
      <w:r>
        <w:t xml:space="preserve"> the </w:t>
      </w:r>
      <w:r w:rsidR="004334F5">
        <w:t xml:space="preserve">R&amp;D </w:t>
      </w:r>
      <w:r w:rsidR="00CB0CE4">
        <w:t xml:space="preserve">phase </w:t>
      </w:r>
      <w:r w:rsidR="004334F5">
        <w:t>requires a significant investment of time and resources. Some research suggests that the processes required to develop a new active con</w:t>
      </w:r>
      <w:r w:rsidR="004334F5" w:rsidRPr="00B34AFA">
        <w:t xml:space="preserve">stituent </w:t>
      </w:r>
      <w:r w:rsidR="004334F5">
        <w:t xml:space="preserve">can </w:t>
      </w:r>
      <w:r w:rsidR="004334F5" w:rsidRPr="00B34AFA">
        <w:t xml:space="preserve">take around 9 to 10 years, </w:t>
      </w:r>
      <w:r w:rsidR="00ED00D2">
        <w:t>and</w:t>
      </w:r>
      <w:r w:rsidR="004334F5" w:rsidRPr="00B34AFA">
        <w:t xml:space="preserve"> cost </w:t>
      </w:r>
      <w:r w:rsidR="0068177E">
        <w:t>approximately</w:t>
      </w:r>
      <w:r w:rsidR="0068177E" w:rsidRPr="00B34AFA">
        <w:t xml:space="preserve"> </w:t>
      </w:r>
      <w:r>
        <w:t>US</w:t>
      </w:r>
      <w:r w:rsidR="00035DDE">
        <w:t>$</w:t>
      </w:r>
      <w:r w:rsidR="004334F5" w:rsidRPr="00B34AFA">
        <w:t xml:space="preserve">250 million. </w:t>
      </w:r>
      <w:r w:rsidR="00CB0CE4">
        <w:t>S</w:t>
      </w:r>
      <w:r w:rsidR="004334F5">
        <w:t xml:space="preserve">uppliers recover these high costs by marketing products across </w:t>
      </w:r>
      <w:r w:rsidR="0068177E">
        <w:t xml:space="preserve">multiple </w:t>
      </w:r>
      <w:r w:rsidR="004334F5">
        <w:t xml:space="preserve">markets. </w:t>
      </w:r>
      <w:r w:rsidR="007D69F6">
        <w:t>This</w:t>
      </w:r>
      <w:r w:rsidR="004334F5">
        <w:t xml:space="preserve"> means that, </w:t>
      </w:r>
      <w:r w:rsidR="00CB0CE4">
        <w:t xml:space="preserve">in order </w:t>
      </w:r>
      <w:r w:rsidR="004334F5">
        <w:t>to</w:t>
      </w:r>
      <w:r w:rsidR="00CB0CE4">
        <w:t xml:space="preserve"> recover those costs and </w:t>
      </w:r>
      <w:r w:rsidR="004334F5">
        <w:t>generate a positive return on investment in R&amp;D, agvet chemical producers prioritise development of constituents and products that will treat pests and diseases with the highest global prevalence</w:t>
      </w:r>
      <w:r w:rsidR="00C71DAD">
        <w:t xml:space="preserve">, rather than those </w:t>
      </w:r>
      <w:r w:rsidR="002A6DB1">
        <w:t xml:space="preserve">that </w:t>
      </w:r>
      <w:r w:rsidR="00C71DAD">
        <w:t xml:space="preserve">could treat </w:t>
      </w:r>
      <w:r w:rsidR="004334F5" w:rsidRPr="00014B03">
        <w:t xml:space="preserve">pests and diseases that are </w:t>
      </w:r>
      <w:r w:rsidR="00ED00D2">
        <w:t xml:space="preserve">significant </w:t>
      </w:r>
      <w:r w:rsidR="00C71DAD">
        <w:t>in Australia but are less prevalent elsewhere</w:t>
      </w:r>
      <w:r w:rsidR="004334F5">
        <w:t>.</w:t>
      </w:r>
    </w:p>
    <w:p w:rsidR="00EE398F" w:rsidRPr="00F7334D" w:rsidRDefault="00A9088B" w:rsidP="00EE398F">
      <w:bookmarkStart w:id="80" w:name="_Toc6413736"/>
      <w:r>
        <w:t xml:space="preserve">Regulation of agvet chemicals also acts as a barrier </w:t>
      </w:r>
      <w:r w:rsidR="0011306B">
        <w:t xml:space="preserve">to the </w:t>
      </w:r>
      <w:r>
        <w:t xml:space="preserve">market by </w:t>
      </w:r>
      <w:r w:rsidR="0011306B">
        <w:t xml:space="preserve">actively </w:t>
      </w:r>
      <w:r>
        <w:t>restricting the actions of buyer</w:t>
      </w:r>
      <w:r w:rsidR="007F5EF3">
        <w:t>s</w:t>
      </w:r>
      <w:r>
        <w:t xml:space="preserve"> and/or sellers. </w:t>
      </w:r>
      <w:r w:rsidR="00EE398F" w:rsidRPr="00F7334D">
        <w:t xml:space="preserve">The time taken to register a product, </w:t>
      </w:r>
      <w:r w:rsidR="00EE398F">
        <w:t>as well as the statutory fee charged by regulatory bodies</w:t>
      </w:r>
      <w:r w:rsidR="00EE398F" w:rsidRPr="00F7334D">
        <w:t>, are regulatory burdens which may influence the decision</w:t>
      </w:r>
      <w:r w:rsidR="00EE398F">
        <w:t xml:space="preserve"> of chemical producers </w:t>
      </w:r>
      <w:r w:rsidR="007F5EF3">
        <w:t xml:space="preserve">when </w:t>
      </w:r>
      <w:r w:rsidR="00EE398F">
        <w:t xml:space="preserve">deciding whether or not to register </w:t>
      </w:r>
      <w:r w:rsidR="007F5EF3">
        <w:t xml:space="preserve">in </w:t>
      </w:r>
      <w:r w:rsidR="00EE398F">
        <w:t xml:space="preserve">individual countries. </w:t>
      </w:r>
      <w:r w:rsidR="00EE398F" w:rsidRPr="00F7334D">
        <w:t>Additionally, restrictions placed on the use of agvet chemicals</w:t>
      </w:r>
      <w:r w:rsidR="00EE398F">
        <w:t xml:space="preserve"> in Australia</w:t>
      </w:r>
      <w:r w:rsidR="00EE398F" w:rsidRPr="00F7334D">
        <w:t xml:space="preserve">, although necessary, can act </w:t>
      </w:r>
      <w:r w:rsidR="00EE398F">
        <w:t>as barriers by limiting the broad usage</w:t>
      </w:r>
      <w:r w:rsidR="00EE398F" w:rsidRPr="00F7334D">
        <w:t xml:space="preserve"> o</w:t>
      </w:r>
      <w:r w:rsidR="00EE398F">
        <w:t>f some</w:t>
      </w:r>
      <w:r w:rsidR="00EE398F" w:rsidRPr="00F7334D">
        <w:t xml:space="preserve"> agvet chemicals</w:t>
      </w:r>
      <w:r w:rsidR="00EE398F">
        <w:t>, effectively reducing the market size for that chemical.</w:t>
      </w:r>
    </w:p>
    <w:p w:rsidR="004A7A11" w:rsidRDefault="00C10EA5" w:rsidP="009733EC">
      <w:r>
        <w:t>A</w:t>
      </w:r>
      <w:r w:rsidR="0011306B">
        <w:t xml:space="preserve">s detailed by Pannell </w:t>
      </w:r>
      <w:r w:rsidR="00E21AD7">
        <w:t>(</w:t>
      </w:r>
      <w:r w:rsidR="0011306B">
        <w:t>1994</w:t>
      </w:r>
      <w:r w:rsidR="0030631E">
        <w:t>)</w:t>
      </w:r>
      <w:r w:rsidR="0011306B">
        <w:t>,</w:t>
      </w:r>
      <w:r w:rsidR="000D71C8">
        <w:t xml:space="preserve"> regulation of agvet chemicals is necessary in order to address a range of market failures that exist in pest and disease management. </w:t>
      </w:r>
      <w:r w:rsidR="00E21AD7">
        <w:t xml:space="preserve">Because of this, regulation, in and of itself </w:t>
      </w:r>
      <w:r w:rsidR="00F47FFE">
        <w:t>should</w:t>
      </w:r>
      <w:r w:rsidR="00E21AD7">
        <w:t xml:space="preserve"> not </w:t>
      </w:r>
      <w:r w:rsidR="00F47FFE">
        <w:t xml:space="preserve">be viewed </w:t>
      </w:r>
      <w:r w:rsidR="00E21AD7">
        <w:t>a</w:t>
      </w:r>
      <w:r w:rsidR="00F47FFE">
        <w:t xml:space="preserve">s </w:t>
      </w:r>
      <w:r w:rsidR="00E21AD7">
        <w:t xml:space="preserve">a barrier. Moreover </w:t>
      </w:r>
      <w:r w:rsidR="00A9088B">
        <w:t>a</w:t>
      </w:r>
      <w:r w:rsidR="009733EC">
        <w:t xml:space="preserve"> comparison of Australia’s regulatory system with that of the US, Canada </w:t>
      </w:r>
      <w:r w:rsidR="00484C48">
        <w:t xml:space="preserve">and </w:t>
      </w:r>
      <w:r w:rsidR="009733EC">
        <w:t xml:space="preserve">the EU shows that </w:t>
      </w:r>
      <w:r w:rsidR="009733EC" w:rsidRPr="00014B03">
        <w:t xml:space="preserve">Australia </w:t>
      </w:r>
      <w:r w:rsidR="009733EC">
        <w:t xml:space="preserve">is broadly </w:t>
      </w:r>
      <w:r w:rsidR="009733EC" w:rsidRPr="00014B03">
        <w:t xml:space="preserve">in-line with </w:t>
      </w:r>
      <w:r w:rsidR="00A9088B">
        <w:t>other developed</w:t>
      </w:r>
      <w:r w:rsidR="009733EC" w:rsidRPr="00014B03">
        <w:t xml:space="preserve"> markets </w:t>
      </w:r>
      <w:r w:rsidR="00A9088B">
        <w:t xml:space="preserve">for agvet chemicals </w:t>
      </w:r>
      <w:r w:rsidR="009733EC" w:rsidRPr="00014B03">
        <w:t>in terms</w:t>
      </w:r>
      <w:r w:rsidR="009733EC">
        <w:t xml:space="preserve"> of:</w:t>
      </w:r>
    </w:p>
    <w:p w:rsidR="004A7A11" w:rsidRDefault="0086559B" w:rsidP="00FE6A25">
      <w:pPr>
        <w:pStyle w:val="ListParagraph"/>
        <w:numPr>
          <w:ilvl w:val="0"/>
          <w:numId w:val="25"/>
        </w:numPr>
      </w:pPr>
      <w:r>
        <w:t>T</w:t>
      </w:r>
      <w:r w:rsidR="009733EC" w:rsidRPr="00933A2F">
        <w:t xml:space="preserve">he ‘burden of proof’ that the </w:t>
      </w:r>
      <w:r w:rsidR="00F66697" w:rsidRPr="00933A2F">
        <w:t xml:space="preserve">regulator </w:t>
      </w:r>
      <w:r w:rsidR="00933A2F">
        <w:t>places on manufacturers;</w:t>
      </w:r>
    </w:p>
    <w:p w:rsidR="004A7A11" w:rsidRDefault="0086559B" w:rsidP="00FE6A25">
      <w:pPr>
        <w:pStyle w:val="ListParagraph"/>
        <w:numPr>
          <w:ilvl w:val="0"/>
          <w:numId w:val="25"/>
        </w:numPr>
      </w:pPr>
      <w:r>
        <w:t>T</w:t>
      </w:r>
      <w:r w:rsidR="009733EC" w:rsidRPr="00933A2F">
        <w:t>he statutory fees charged for an assessment</w:t>
      </w:r>
      <w:r w:rsidR="00933A2F">
        <w:t>;</w:t>
      </w:r>
      <w:r w:rsidR="009733EC" w:rsidRPr="00933A2F">
        <w:t xml:space="preserve"> and</w:t>
      </w:r>
    </w:p>
    <w:p w:rsidR="00EE398F" w:rsidRDefault="0086559B" w:rsidP="00FE6A25">
      <w:pPr>
        <w:pStyle w:val="ListParagraph"/>
        <w:numPr>
          <w:ilvl w:val="0"/>
          <w:numId w:val="25"/>
        </w:numPr>
      </w:pPr>
      <w:r>
        <w:t>T</w:t>
      </w:r>
      <w:r w:rsidR="009733EC" w:rsidRPr="00933A2F">
        <w:t xml:space="preserve">he length of time taken to assess applications </w:t>
      </w:r>
      <w:r w:rsidR="001D5816" w:rsidRPr="00933A2F">
        <w:t xml:space="preserve">to </w:t>
      </w:r>
      <w:r w:rsidR="002A6DB1" w:rsidRPr="00933A2F">
        <w:t xml:space="preserve">approve an active constituent and </w:t>
      </w:r>
      <w:r w:rsidR="001D5816" w:rsidRPr="00933A2F">
        <w:t xml:space="preserve">register an </w:t>
      </w:r>
      <w:r w:rsidR="009733EC">
        <w:t>agvet chemical</w:t>
      </w:r>
      <w:r w:rsidR="002A6DB1">
        <w:t xml:space="preserve"> product</w:t>
      </w:r>
      <w:r w:rsidR="009733EC">
        <w:t>.</w:t>
      </w:r>
    </w:p>
    <w:p w:rsidR="00933A2F" w:rsidRDefault="00EE398F" w:rsidP="00286677">
      <w:r w:rsidRPr="00EE398F">
        <w:t>Since these markets collectively account for a substantial share of the global agvet chemical sales, regulatory burdens are therefore unlikely to be a significant impediment to the introduction of novel products in Australia, versus other markets.</w:t>
      </w:r>
    </w:p>
    <w:p w:rsidR="009733EC" w:rsidRDefault="009733EC" w:rsidP="009733EC">
      <w:r>
        <w:t xml:space="preserve">The Australian Government has made a number of reforms </w:t>
      </w:r>
      <w:r w:rsidR="00F47FFE">
        <w:t>aimed at</w:t>
      </w:r>
      <w:r>
        <w:t xml:space="preserve"> improving access to novel </w:t>
      </w:r>
      <w:r w:rsidR="00A84A97">
        <w:t xml:space="preserve">agvet </w:t>
      </w:r>
      <w:r>
        <w:t>chemi</w:t>
      </w:r>
      <w:r w:rsidR="00A84A97">
        <w:t>cal</w:t>
      </w:r>
      <w:r w:rsidR="00267625">
        <w:t>s</w:t>
      </w:r>
      <w:r>
        <w:t>. These reforms include</w:t>
      </w:r>
      <w:r w:rsidR="00A84A97">
        <w:t>:</w:t>
      </w:r>
    </w:p>
    <w:p w:rsidR="009733EC" w:rsidRDefault="009733EC" w:rsidP="00FE6A25">
      <w:pPr>
        <w:pStyle w:val="ListParagraph"/>
        <w:numPr>
          <w:ilvl w:val="0"/>
          <w:numId w:val="23"/>
        </w:numPr>
        <w:spacing w:after="0"/>
        <w:rPr>
          <w:b/>
        </w:rPr>
      </w:pPr>
      <w:r>
        <w:rPr>
          <w:b/>
        </w:rPr>
        <w:t>Introducing crop groupings</w:t>
      </w:r>
    </w:p>
    <w:p w:rsidR="004A7A11" w:rsidRDefault="009733EC" w:rsidP="009733EC">
      <w:pPr>
        <w:ind w:left="720"/>
      </w:pPr>
      <w:r>
        <w:t xml:space="preserve">Grouping indirectly </w:t>
      </w:r>
      <w:r w:rsidRPr="00CB0CE4">
        <w:rPr>
          <w:b/>
        </w:rPr>
        <w:t>increase</w:t>
      </w:r>
      <w:r>
        <w:rPr>
          <w:b/>
        </w:rPr>
        <w:t>s</w:t>
      </w:r>
      <w:r w:rsidRPr="00CB0CE4">
        <w:rPr>
          <w:b/>
        </w:rPr>
        <w:t xml:space="preserve"> the size of the potential Australian market for some novel agricultural chemicals</w:t>
      </w:r>
      <w:r>
        <w:rPr>
          <w:b/>
        </w:rPr>
        <w:t xml:space="preserve"> </w:t>
      </w:r>
      <w:r>
        <w:t>by aggregating the potential demand of a wider array of growers than would otherwise be the case, and increasing potential returns to the suppliers of agvet chemicals.</w:t>
      </w:r>
    </w:p>
    <w:p w:rsidR="009733EC" w:rsidRDefault="009733EC" w:rsidP="00FE6A25">
      <w:pPr>
        <w:pStyle w:val="ListParagraph"/>
        <w:numPr>
          <w:ilvl w:val="0"/>
          <w:numId w:val="23"/>
        </w:numPr>
        <w:spacing w:after="0"/>
        <w:rPr>
          <w:b/>
        </w:rPr>
      </w:pPr>
      <w:r>
        <w:rPr>
          <w:b/>
        </w:rPr>
        <w:t>Allowing information from trusted international regulators to support APVMA decisions</w:t>
      </w:r>
    </w:p>
    <w:p w:rsidR="009733EC" w:rsidRDefault="009733EC" w:rsidP="009733EC">
      <w:pPr>
        <w:ind w:left="720"/>
      </w:pPr>
      <w:r>
        <w:t xml:space="preserve">Since 2015, applicants have been able to request that the APVMA use the standards, data and assessments of other international organisations and regulators. Using these assessments can </w:t>
      </w:r>
      <w:r w:rsidRPr="00F7334D">
        <w:rPr>
          <w:b/>
        </w:rPr>
        <w:t xml:space="preserve">reduce the time taken, </w:t>
      </w:r>
      <w:r>
        <w:rPr>
          <w:b/>
        </w:rPr>
        <w:t xml:space="preserve">reduce </w:t>
      </w:r>
      <w:r w:rsidRPr="00F7334D">
        <w:rPr>
          <w:b/>
        </w:rPr>
        <w:t xml:space="preserve">information-gathering costs and </w:t>
      </w:r>
      <w:r>
        <w:rPr>
          <w:b/>
        </w:rPr>
        <w:t xml:space="preserve">lower </w:t>
      </w:r>
      <w:r w:rsidRPr="00F7334D">
        <w:rPr>
          <w:b/>
        </w:rPr>
        <w:t>statutory fees</w:t>
      </w:r>
      <w:r>
        <w:t xml:space="preserve"> for registering an agvet chemical.</w:t>
      </w:r>
    </w:p>
    <w:p w:rsidR="009733EC" w:rsidRDefault="009733EC" w:rsidP="00FE6A25">
      <w:pPr>
        <w:pStyle w:val="ListParagraph"/>
        <w:numPr>
          <w:ilvl w:val="0"/>
          <w:numId w:val="23"/>
        </w:numPr>
        <w:spacing w:after="0"/>
        <w:rPr>
          <w:b/>
        </w:rPr>
      </w:pPr>
      <w:r>
        <w:rPr>
          <w:b/>
        </w:rPr>
        <w:t>Participating in joint reviews</w:t>
      </w:r>
    </w:p>
    <w:p w:rsidR="009733EC" w:rsidRPr="006011F9" w:rsidRDefault="00D80F1D" w:rsidP="009733EC">
      <w:pPr>
        <w:ind w:left="720"/>
      </w:pPr>
      <w:r>
        <w:t>T</w:t>
      </w:r>
      <w:r w:rsidR="009733EC">
        <w:t xml:space="preserve">he APVMA </w:t>
      </w:r>
      <w:r>
        <w:t>participates</w:t>
      </w:r>
      <w:r w:rsidR="009733EC">
        <w:t xml:space="preserve"> in joint reviews, where multiple international </w:t>
      </w:r>
      <w:r w:rsidR="009733EC" w:rsidRPr="00CF09D2">
        <w:t xml:space="preserve">regulatory authorities </w:t>
      </w:r>
      <w:r w:rsidR="009733EC">
        <w:t>collaborate</w:t>
      </w:r>
      <w:r w:rsidR="009733EC" w:rsidRPr="00CF09D2">
        <w:t xml:space="preserve"> to review </w:t>
      </w:r>
      <w:r w:rsidR="009733EC">
        <w:t xml:space="preserve">a single application. Assessment work is split amongst review partners. </w:t>
      </w:r>
      <w:r w:rsidR="003D260A">
        <w:t>J</w:t>
      </w:r>
      <w:r w:rsidR="009733EC">
        <w:t xml:space="preserve">oint reviews can increase access to novel agvet chemicals primarily by </w:t>
      </w:r>
      <w:r w:rsidR="009733EC" w:rsidRPr="00CB0CE4">
        <w:rPr>
          <w:b/>
        </w:rPr>
        <w:t>reducing the cost of registering a product in multiple jurisdictions</w:t>
      </w:r>
      <w:r w:rsidR="009733EC" w:rsidRPr="0084688F">
        <w:rPr>
          <w:b/>
        </w:rPr>
        <w:t xml:space="preserve"> for registrants</w:t>
      </w:r>
      <w:r w:rsidR="009733EC">
        <w:rPr>
          <w:b/>
        </w:rPr>
        <w:t>.</w:t>
      </w:r>
    </w:p>
    <w:p w:rsidR="004334F5" w:rsidRDefault="004334F5" w:rsidP="00065481">
      <w:pPr>
        <w:pStyle w:val="Heading2un-numbered"/>
        <w:numPr>
          <w:ilvl w:val="0"/>
          <w:numId w:val="0"/>
        </w:numPr>
        <w:ind w:left="576" w:hanging="576"/>
      </w:pPr>
      <w:bookmarkStart w:id="81" w:name="_Toc12024310"/>
      <w:bookmarkStart w:id="82" w:name="_Toc12294083"/>
      <w:bookmarkStart w:id="83" w:name="_Toc13217612"/>
      <w:bookmarkStart w:id="84" w:name="_Toc14107318"/>
      <w:r>
        <w:t>Our recommendations</w:t>
      </w:r>
      <w:bookmarkEnd w:id="80"/>
      <w:bookmarkEnd w:id="81"/>
      <w:bookmarkEnd w:id="82"/>
      <w:bookmarkEnd w:id="83"/>
      <w:bookmarkEnd w:id="84"/>
    </w:p>
    <w:p w:rsidR="003231BE" w:rsidRPr="004F1727" w:rsidRDefault="003231BE" w:rsidP="003231BE">
      <w:pPr>
        <w:rPr>
          <w:rFonts w:asciiTheme="minorHAnsi" w:hAnsiTheme="minorHAnsi"/>
        </w:rPr>
      </w:pPr>
      <w:r>
        <w:rPr>
          <w:rFonts w:asciiTheme="minorHAnsi" w:hAnsiTheme="minorHAnsi"/>
        </w:rPr>
        <w:t xml:space="preserve">The findings presented in this report suggest that the </w:t>
      </w:r>
      <w:r w:rsidRPr="004F1727">
        <w:rPr>
          <w:rFonts w:asciiTheme="minorHAnsi" w:hAnsiTheme="minorHAnsi"/>
        </w:rPr>
        <w:t xml:space="preserve">small size and volatility of Australia’s agvet chemical market </w:t>
      </w:r>
      <w:r>
        <w:rPr>
          <w:rFonts w:asciiTheme="minorHAnsi" w:hAnsiTheme="minorHAnsi"/>
        </w:rPr>
        <w:t xml:space="preserve">are </w:t>
      </w:r>
      <w:r w:rsidRPr="004F1727">
        <w:rPr>
          <w:rFonts w:asciiTheme="minorHAnsi" w:hAnsiTheme="minorHAnsi"/>
        </w:rPr>
        <w:t>the most significant barrier</w:t>
      </w:r>
      <w:r>
        <w:rPr>
          <w:rFonts w:asciiTheme="minorHAnsi" w:hAnsiTheme="minorHAnsi"/>
        </w:rPr>
        <w:t>s</w:t>
      </w:r>
      <w:r w:rsidRPr="004F1727">
        <w:rPr>
          <w:rFonts w:asciiTheme="minorHAnsi" w:hAnsiTheme="minorHAnsi"/>
        </w:rPr>
        <w:t xml:space="preserve"> to entry for novel agvet chemicals. There are few (if any) levers available to the government that could significantly address this, though the government has undertaken a range of reforms that have indirectly ameliorated </w:t>
      </w:r>
      <w:r>
        <w:rPr>
          <w:rFonts w:asciiTheme="minorHAnsi" w:hAnsiTheme="minorHAnsi"/>
        </w:rPr>
        <w:t xml:space="preserve">these </w:t>
      </w:r>
      <w:r w:rsidRPr="004F1727">
        <w:rPr>
          <w:rFonts w:asciiTheme="minorHAnsi" w:hAnsiTheme="minorHAnsi"/>
        </w:rPr>
        <w:t>barrier</w:t>
      </w:r>
      <w:r>
        <w:rPr>
          <w:rFonts w:asciiTheme="minorHAnsi" w:hAnsiTheme="minorHAnsi"/>
        </w:rPr>
        <w:t>s</w:t>
      </w:r>
      <w:r w:rsidRPr="004F1727">
        <w:rPr>
          <w:rFonts w:asciiTheme="minorHAnsi" w:hAnsiTheme="minorHAnsi"/>
        </w:rPr>
        <w:t xml:space="preserve"> to some degree. Addressing the other barriers identified in this report is unlikely to have as significant an impact in improving access to novel agvet chemicals as increasing the size of the Australian market.</w:t>
      </w:r>
    </w:p>
    <w:p w:rsidR="004A7A11" w:rsidRDefault="003231BE" w:rsidP="003231BE">
      <w:pPr>
        <w:rPr>
          <w:rFonts w:asciiTheme="minorHAnsi" w:hAnsiTheme="minorHAnsi"/>
        </w:rPr>
      </w:pPr>
      <w:r w:rsidRPr="004F1727">
        <w:rPr>
          <w:rFonts w:asciiTheme="minorHAnsi" w:hAnsiTheme="minorHAnsi"/>
        </w:rPr>
        <w:t>In considering future policy options for increasing the availability of novel agvet chemicals, the government should explore ways to further leverage Australia’s reputation in agvet chemical regulation to drive cooperative partnerships with neighbouring agricultural markets with similar farming conditions and pest, weed and disease issues. This would likely make Australia an attractive market in which to seek registration of novel agvet chemicals.</w:t>
      </w:r>
    </w:p>
    <w:p w:rsidR="009C5370" w:rsidRPr="00666A40" w:rsidRDefault="003231BE" w:rsidP="005108DF">
      <w:r>
        <w:rPr>
          <w:rFonts w:asciiTheme="minorHAnsi" w:hAnsiTheme="minorHAnsi"/>
        </w:rPr>
        <w:t>However, any change in the status quo would require a detailed assessment of costs, benefits and risks of proposed options. This would include carefully assessing the risks that any proposed option would pose to human and animal health, the environment and international trade, as well as Australia’s unique environment and agricultural production systems.</w:t>
      </w:r>
    </w:p>
    <w:p w:rsidR="00BF3260" w:rsidRDefault="002D60F0" w:rsidP="00FE6A25">
      <w:pPr>
        <w:pStyle w:val="Heading1"/>
        <w:numPr>
          <w:ilvl w:val="0"/>
          <w:numId w:val="28"/>
        </w:numPr>
      </w:pPr>
      <w:bookmarkStart w:id="85" w:name="_Toc462313129"/>
      <w:bookmarkStart w:id="86" w:name="_Toc462317839"/>
      <w:bookmarkStart w:id="87" w:name="_Toc462397803"/>
      <w:bookmarkStart w:id="88" w:name="_Toc463002430"/>
      <w:bookmarkStart w:id="89" w:name="_Toc472586342"/>
      <w:bookmarkStart w:id="90" w:name="_Toc482168120"/>
      <w:bookmarkStart w:id="91" w:name="_Toc482174907"/>
      <w:bookmarkStart w:id="92" w:name="_Toc866229"/>
      <w:bookmarkStart w:id="93" w:name="_Toc955497"/>
      <w:bookmarkStart w:id="94" w:name="_Toc1057204"/>
      <w:bookmarkStart w:id="95" w:name="_Toc2336584"/>
      <w:bookmarkStart w:id="96" w:name="_Toc4586247"/>
      <w:bookmarkStart w:id="97" w:name="_Toc4672719"/>
      <w:bookmarkStart w:id="98" w:name="_Toc4764866"/>
      <w:bookmarkStart w:id="99" w:name="_Toc6413738"/>
      <w:bookmarkStart w:id="100" w:name="_Toc12024311"/>
      <w:bookmarkStart w:id="101" w:name="_Toc1410731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t>Report</w:t>
      </w:r>
      <w:r w:rsidR="00387B37">
        <w:t xml:space="preserve"> </w:t>
      </w:r>
      <w:r w:rsidR="00BF3260">
        <w:t>Background</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7A2C71" w:rsidRDefault="007A2C71" w:rsidP="007A2C71">
      <w:pPr>
        <w:pStyle w:val="Sectionintro"/>
      </w:pPr>
      <w:r>
        <w:t xml:space="preserve">This </w:t>
      </w:r>
      <w:r w:rsidR="000A1717">
        <w:t xml:space="preserve">chapter </w:t>
      </w:r>
      <w:r w:rsidR="00D763B3">
        <w:t xml:space="preserve">provides context for the report by </w:t>
      </w:r>
      <w:r w:rsidR="005C5269">
        <w:t>discuss</w:t>
      </w:r>
      <w:r w:rsidR="00D763B3">
        <w:t xml:space="preserve">ing </w:t>
      </w:r>
      <w:r w:rsidR="00AA1738">
        <w:t>the important</w:t>
      </w:r>
      <w:r w:rsidR="005C5269">
        <w:t xml:space="preserve"> role </w:t>
      </w:r>
      <w:r w:rsidR="00D763B3">
        <w:t xml:space="preserve">that </w:t>
      </w:r>
      <w:r w:rsidR="003430E8">
        <w:t>agricultural</w:t>
      </w:r>
      <w:r w:rsidR="005C5269">
        <w:t xml:space="preserve"> </w:t>
      </w:r>
      <w:r w:rsidR="0073747C">
        <w:t>chemicals</w:t>
      </w:r>
      <w:r w:rsidR="005C5269">
        <w:t xml:space="preserve"> </w:t>
      </w:r>
      <w:r w:rsidR="003430E8">
        <w:t xml:space="preserve">and veterinary medicines </w:t>
      </w:r>
      <w:r w:rsidR="005C5269">
        <w:t>play in Australian agriculture, the risks they present and the need for balanced regulation.</w:t>
      </w:r>
    </w:p>
    <w:p w:rsidR="00BC54B8" w:rsidRDefault="00BC54B8" w:rsidP="00FE6A25">
      <w:pPr>
        <w:pStyle w:val="Heading2"/>
        <w:numPr>
          <w:ilvl w:val="1"/>
          <w:numId w:val="26"/>
        </w:numPr>
      </w:pPr>
      <w:bookmarkStart w:id="102" w:name="_Toc955498"/>
      <w:bookmarkStart w:id="103" w:name="_Toc1057205"/>
      <w:bookmarkStart w:id="104" w:name="_Toc2336585"/>
      <w:bookmarkStart w:id="105" w:name="_Toc4449522"/>
      <w:bookmarkStart w:id="106" w:name="_Toc4545412"/>
      <w:bookmarkStart w:id="107" w:name="_Toc4586248"/>
      <w:bookmarkStart w:id="108" w:name="_Toc4672720"/>
      <w:bookmarkStart w:id="109" w:name="_Toc4764867"/>
      <w:bookmarkStart w:id="110" w:name="_Toc6413739"/>
      <w:bookmarkStart w:id="111" w:name="_Toc12024312"/>
      <w:bookmarkStart w:id="112" w:name="_Toc14107320"/>
      <w:r>
        <w:t>Agvet chemicals are important for Australia’s agricultural competitiveness</w:t>
      </w:r>
      <w:bookmarkEnd w:id="102"/>
      <w:bookmarkEnd w:id="103"/>
      <w:bookmarkEnd w:id="104"/>
      <w:bookmarkEnd w:id="105"/>
      <w:bookmarkEnd w:id="106"/>
      <w:bookmarkEnd w:id="107"/>
      <w:bookmarkEnd w:id="108"/>
      <w:bookmarkEnd w:id="109"/>
      <w:bookmarkEnd w:id="110"/>
      <w:bookmarkEnd w:id="111"/>
      <w:bookmarkEnd w:id="112"/>
    </w:p>
    <w:p w:rsidR="00194720" w:rsidRPr="00471FB0" w:rsidRDefault="00194720" w:rsidP="00340B57">
      <w:r>
        <w:t>A</w:t>
      </w:r>
      <w:r w:rsidRPr="00687804">
        <w:t xml:space="preserve">gricultural chemicals and veterinary medicines (“agvet chemicals”) are the primary way in which </w:t>
      </w:r>
      <w:r>
        <w:t xml:space="preserve">agricultural </w:t>
      </w:r>
      <w:r w:rsidRPr="00687804">
        <w:t>businesses manage pests</w:t>
      </w:r>
      <w:r w:rsidRPr="00471FB0">
        <w:t>, weeds and disease</w:t>
      </w:r>
      <w:r w:rsidR="00A87411">
        <w:t>s</w:t>
      </w:r>
      <w:r w:rsidRPr="00471FB0">
        <w:t>.</w:t>
      </w:r>
    </w:p>
    <w:p w:rsidR="00F61354" w:rsidRDefault="001F3DB3" w:rsidP="001C2B8B">
      <w:r>
        <w:t xml:space="preserve">Agvet chemicals are critical </w:t>
      </w:r>
      <w:r w:rsidR="00D02A8D">
        <w:t>to</w:t>
      </w:r>
      <w:r>
        <w:t xml:space="preserve"> Australia’s agricultural competitiveness.</w:t>
      </w:r>
      <w:r w:rsidR="00C81465">
        <w:t xml:space="preserve"> </w:t>
      </w:r>
      <w:r w:rsidR="00EE4CBB" w:rsidRPr="00EE4CBB">
        <w:t xml:space="preserve">Deloitte Access Economics </w:t>
      </w:r>
      <w:r w:rsidR="0030631E">
        <w:t>(</w:t>
      </w:r>
      <w:r w:rsidR="00EE4CBB" w:rsidRPr="00EE4CBB">
        <w:t>2018)</w:t>
      </w:r>
      <w:r w:rsidR="00EE4CBB">
        <w:rPr>
          <w:rFonts w:asciiTheme="majorHAnsi" w:hAnsiTheme="majorHAnsi"/>
        </w:rPr>
        <w:t xml:space="preserve"> </w:t>
      </w:r>
      <w:r w:rsidR="00F61354" w:rsidRPr="00DD2775">
        <w:t>found</w:t>
      </w:r>
      <w:r w:rsidR="00F61354">
        <w:t xml:space="preserve"> that </w:t>
      </w:r>
      <w:r w:rsidR="00AB159E">
        <w:t>a</w:t>
      </w:r>
      <w:r w:rsidR="00AA0A53">
        <w:t>gricultural chemical</w:t>
      </w:r>
      <w:r w:rsidR="00BC0D99">
        <w:t>s</w:t>
      </w:r>
      <w:r w:rsidR="00C81465">
        <w:t xml:space="preserve"> applied </w:t>
      </w:r>
      <w:r w:rsidR="009D762A" w:rsidRPr="009D762A">
        <w:t xml:space="preserve">predominantly </w:t>
      </w:r>
      <w:r w:rsidR="00C81465">
        <w:t>to crops</w:t>
      </w:r>
      <w:r w:rsidR="00AB159E">
        <w:t xml:space="preserve"> </w:t>
      </w:r>
      <w:r w:rsidR="00F61354" w:rsidRPr="009D3509">
        <w:t xml:space="preserve">contribute </w:t>
      </w:r>
      <w:r w:rsidR="009A15B2" w:rsidRPr="009D3509">
        <w:t>around $</w:t>
      </w:r>
      <w:r w:rsidR="009A15B2" w:rsidRPr="00340B57">
        <w:t>2.3</w:t>
      </w:r>
      <w:r w:rsidR="009A15B2" w:rsidRPr="009D3509">
        <w:t xml:space="preserve"> billion</w:t>
      </w:r>
      <w:r w:rsidR="0067262A" w:rsidRPr="009D3509">
        <w:t xml:space="preserve"> and over 9,200 full time equivalent (FTE) jobs</w:t>
      </w:r>
      <w:r w:rsidR="009A15B2" w:rsidRPr="009D3509">
        <w:t xml:space="preserve"> to </w:t>
      </w:r>
      <w:r w:rsidR="00D42F23" w:rsidRPr="009D3509">
        <w:t>the Australian economy</w:t>
      </w:r>
      <w:r w:rsidR="009A15B2">
        <w:t>.</w:t>
      </w:r>
      <w:r w:rsidR="00BC54B8">
        <w:t xml:space="preserve"> </w:t>
      </w:r>
      <w:r w:rsidR="009A15B2">
        <w:t>Australia’s veterinary medicines</w:t>
      </w:r>
      <w:r w:rsidR="001C2B8B">
        <w:t xml:space="preserve"> industry </w:t>
      </w:r>
      <w:r w:rsidR="00D02A8D">
        <w:t xml:space="preserve">is </w:t>
      </w:r>
      <w:r w:rsidR="00AA1738">
        <w:t xml:space="preserve">also of </w:t>
      </w:r>
      <w:r w:rsidR="00BC54B8">
        <w:t>significant importance to Australia’s livestock industries.</w:t>
      </w:r>
      <w:r w:rsidR="001C2B8B">
        <w:t xml:space="preserve"> </w:t>
      </w:r>
      <w:r w:rsidR="00BC54B8">
        <w:t>ACIL Allen (2018)</w:t>
      </w:r>
      <w:r w:rsidR="00681AFF">
        <w:t xml:space="preserve"> </w:t>
      </w:r>
      <w:r w:rsidR="00BC54B8">
        <w:t xml:space="preserve">reported </w:t>
      </w:r>
      <w:r w:rsidR="00681AFF">
        <w:t xml:space="preserve">the industry </w:t>
      </w:r>
      <w:r w:rsidR="00F0673D">
        <w:t>contributed</w:t>
      </w:r>
      <w:r w:rsidR="00681AFF">
        <w:t xml:space="preserve"> 9,900 FTE jobs and $2.7 billion </w:t>
      </w:r>
      <w:r w:rsidR="00D42F23">
        <w:t>to the Australian economy</w:t>
      </w:r>
      <w:r w:rsidR="0030631E">
        <w:t>.</w:t>
      </w:r>
    </w:p>
    <w:p w:rsidR="006852C6" w:rsidRDefault="006852C6" w:rsidP="001C2B8B">
      <w:r>
        <w:t>For a detailed overview of the Australian agvet chemical</w:t>
      </w:r>
      <w:r w:rsidR="002A6DB1">
        <w:t>s</w:t>
      </w:r>
      <w:r>
        <w:t xml:space="preserve"> market, see</w:t>
      </w:r>
      <w:r w:rsidR="00B44DF2">
        <w:t xml:space="preserve"> </w:t>
      </w:r>
      <w:r w:rsidR="00B44DF2">
        <w:fldChar w:fldCharType="begin"/>
      </w:r>
      <w:r w:rsidR="00B44DF2">
        <w:instrText xml:space="preserve"> REF _Ref11264907 \r \h </w:instrText>
      </w:r>
      <w:r w:rsidR="00B44DF2">
        <w:fldChar w:fldCharType="separate"/>
      </w:r>
      <w:r w:rsidR="00D82E3C">
        <w:t>Appendix A</w:t>
      </w:r>
      <w:r w:rsidR="00B44DF2">
        <w:fldChar w:fldCharType="end"/>
      </w:r>
      <w:r w:rsidR="009A0C98">
        <w:t>.</w:t>
      </w:r>
    </w:p>
    <w:p w:rsidR="006B7536" w:rsidRDefault="00641D2C" w:rsidP="00FE6A25">
      <w:pPr>
        <w:pStyle w:val="Heading2"/>
        <w:numPr>
          <w:ilvl w:val="1"/>
          <w:numId w:val="26"/>
        </w:numPr>
      </w:pPr>
      <w:bookmarkStart w:id="113" w:name="_Toc955499"/>
      <w:bookmarkStart w:id="114" w:name="_Toc1057206"/>
      <w:bookmarkStart w:id="115" w:name="_Toc2336586"/>
      <w:bookmarkStart w:id="116" w:name="_Toc4449523"/>
      <w:bookmarkStart w:id="117" w:name="_Toc4545413"/>
      <w:bookmarkStart w:id="118" w:name="_Toc4586249"/>
      <w:bookmarkStart w:id="119" w:name="_Toc4672721"/>
      <w:bookmarkStart w:id="120" w:name="_Toc4764868"/>
      <w:bookmarkStart w:id="121" w:name="_Toc6413740"/>
      <w:bookmarkStart w:id="122" w:name="_Toc12024313"/>
      <w:bookmarkStart w:id="123" w:name="_Toc14107321"/>
      <w:r>
        <w:t>Agvet chemicals</w:t>
      </w:r>
      <w:r w:rsidR="006B7536" w:rsidRPr="00733B05">
        <w:t xml:space="preserve"> </w:t>
      </w:r>
      <w:r w:rsidR="00B5366A">
        <w:t xml:space="preserve">pose </w:t>
      </w:r>
      <w:r>
        <w:t>risks and require regulation</w:t>
      </w:r>
      <w:bookmarkEnd w:id="113"/>
      <w:bookmarkEnd w:id="114"/>
      <w:bookmarkEnd w:id="115"/>
      <w:bookmarkEnd w:id="116"/>
      <w:bookmarkEnd w:id="117"/>
      <w:bookmarkEnd w:id="118"/>
      <w:bookmarkEnd w:id="119"/>
      <w:bookmarkEnd w:id="120"/>
      <w:bookmarkEnd w:id="121"/>
      <w:bookmarkEnd w:id="122"/>
      <w:bookmarkEnd w:id="123"/>
    </w:p>
    <w:p w:rsidR="004A7A11" w:rsidRDefault="00C81465" w:rsidP="00912A37">
      <w:pPr>
        <w:spacing w:after="160" w:line="259" w:lineRule="auto"/>
      </w:pPr>
      <w:r>
        <w:t>A</w:t>
      </w:r>
      <w:r w:rsidR="00F0673D">
        <w:t>gvet chemicals</w:t>
      </w:r>
      <w:r>
        <w:t xml:space="preserve">, while important to maintaining </w:t>
      </w:r>
      <w:r w:rsidR="00BC54B8">
        <w:t>Australia’s agricultural competitiveness</w:t>
      </w:r>
      <w:r w:rsidR="00DE6A63">
        <w:t xml:space="preserve">, </w:t>
      </w:r>
      <w:r w:rsidR="00053002">
        <w:t xml:space="preserve">can </w:t>
      </w:r>
      <w:r w:rsidR="009D762A">
        <w:t xml:space="preserve">pose </w:t>
      </w:r>
      <w:r>
        <w:t>a significant risk to human and animal health</w:t>
      </w:r>
      <w:r w:rsidR="00226858">
        <w:t>,</w:t>
      </w:r>
      <w:r>
        <w:t xml:space="preserve"> and the environment. </w:t>
      </w:r>
      <w:r w:rsidR="004035CE">
        <w:t>This is because, b</w:t>
      </w:r>
      <w:r>
        <w:t xml:space="preserve">y design, agvet chemicals </w:t>
      </w:r>
      <w:r w:rsidR="005C1F7D">
        <w:t>interrupt</w:t>
      </w:r>
      <w:r w:rsidR="00196CE0">
        <w:t xml:space="preserve"> or otherwise affect</w:t>
      </w:r>
      <w:r w:rsidR="005C1F7D">
        <w:t xml:space="preserve"> </w:t>
      </w:r>
      <w:r w:rsidR="00EE5C0E">
        <w:t xml:space="preserve">the </w:t>
      </w:r>
      <w:r w:rsidR="005C1F7D">
        <w:t>biological and chemical processes of plants and animals</w:t>
      </w:r>
      <w:r>
        <w:t>.</w:t>
      </w:r>
      <w:r w:rsidR="00DE6A63">
        <w:t xml:space="preserve"> </w:t>
      </w:r>
      <w:r w:rsidR="001426C3">
        <w:t>They can also</w:t>
      </w:r>
      <w:r w:rsidR="00DE6A63">
        <w:t xml:space="preserve"> disrupt</w:t>
      </w:r>
      <w:r w:rsidR="00E42CE6" w:rsidRPr="00E42CE6">
        <w:t xml:space="preserve"> </w:t>
      </w:r>
      <w:r w:rsidR="005D0724">
        <w:t xml:space="preserve">international </w:t>
      </w:r>
      <w:r w:rsidR="00E42CE6" w:rsidRPr="00E42CE6">
        <w:t>trade and market access</w:t>
      </w:r>
      <w:r w:rsidR="005D0724">
        <w:t>,</w:t>
      </w:r>
      <w:r w:rsidR="0081123A">
        <w:t xml:space="preserve"> as </w:t>
      </w:r>
      <w:r w:rsidR="009D762A">
        <w:t>Australia’s trading partners</w:t>
      </w:r>
      <w:r w:rsidR="009D762A" w:rsidRPr="009122C6">
        <w:t xml:space="preserve"> have restrictions on the </w:t>
      </w:r>
      <w:r w:rsidR="009D762A">
        <w:t>presence</w:t>
      </w:r>
      <w:r w:rsidR="009D762A" w:rsidRPr="009122C6">
        <w:t xml:space="preserve"> </w:t>
      </w:r>
      <w:r w:rsidR="009D762A">
        <w:t xml:space="preserve">above established concentrations </w:t>
      </w:r>
      <w:r w:rsidR="009D762A" w:rsidRPr="009122C6">
        <w:t>of certain chemical residues on agricultural imports</w:t>
      </w:r>
      <w:r w:rsidR="009D762A">
        <w:t xml:space="preserve">. </w:t>
      </w:r>
      <w:r w:rsidR="00132B70">
        <w:t>A</w:t>
      </w:r>
      <w:r w:rsidR="006C2121">
        <w:t xml:space="preserve"> recent</w:t>
      </w:r>
      <w:r w:rsidR="00132B70">
        <w:t xml:space="preserve"> example </w:t>
      </w:r>
      <w:r w:rsidR="004035CE">
        <w:t xml:space="preserve">of </w:t>
      </w:r>
      <w:r>
        <w:t>a trad</w:t>
      </w:r>
      <w:r w:rsidR="004035CE">
        <w:t>e</w:t>
      </w:r>
      <w:r>
        <w:t xml:space="preserve"> disruption was </w:t>
      </w:r>
      <w:r w:rsidR="00132B70" w:rsidRPr="005C5BDA">
        <w:t>Japan</w:t>
      </w:r>
      <w:r w:rsidR="008B5190" w:rsidRPr="008B5190">
        <w:t>’s</w:t>
      </w:r>
      <w:r w:rsidR="00132B70">
        <w:t xml:space="preserve"> </w:t>
      </w:r>
      <w:r w:rsidR="003D3860">
        <w:t>rejection of</w:t>
      </w:r>
      <w:r w:rsidR="004B3EBB">
        <w:t xml:space="preserve"> </w:t>
      </w:r>
      <w:r w:rsidR="00132B70">
        <w:t xml:space="preserve">Australian </w:t>
      </w:r>
      <w:r w:rsidR="004B3EBB">
        <w:t>barley</w:t>
      </w:r>
      <w:r w:rsidR="00132B70">
        <w:t xml:space="preserve">, </w:t>
      </w:r>
      <w:r w:rsidR="004B3EBB">
        <w:t xml:space="preserve">after detecting </w:t>
      </w:r>
      <w:r w:rsidR="00236441">
        <w:t>a residue</w:t>
      </w:r>
      <w:r w:rsidR="0070588C">
        <w:t xml:space="preserve"> violation for the pesticide </w:t>
      </w:r>
      <w:proofErr w:type="spellStart"/>
      <w:r w:rsidR="006C2121" w:rsidRPr="00340B57">
        <w:rPr>
          <w:i/>
        </w:rPr>
        <w:t>azoxystrobin</w:t>
      </w:r>
      <w:proofErr w:type="spellEnd"/>
      <w:r w:rsidR="006C2121">
        <w:t xml:space="preserve"> </w:t>
      </w:r>
      <w:r w:rsidR="004B3EBB">
        <w:t xml:space="preserve">in a </w:t>
      </w:r>
      <w:r w:rsidR="006C2121">
        <w:t>2018</w:t>
      </w:r>
      <w:r w:rsidR="004B3EBB">
        <w:t xml:space="preserve"> shipment</w:t>
      </w:r>
      <w:r w:rsidR="00EE4CBB">
        <w:t xml:space="preserve"> </w:t>
      </w:r>
      <w:r w:rsidR="00EE4CBB" w:rsidRPr="00EE4CBB">
        <w:t xml:space="preserve">(Asada and </w:t>
      </w:r>
      <w:proofErr w:type="spellStart"/>
      <w:r w:rsidR="00EE4CBB" w:rsidRPr="00EE4CBB">
        <w:t>Sturmer</w:t>
      </w:r>
      <w:proofErr w:type="spellEnd"/>
      <w:r w:rsidR="00EE4CBB" w:rsidRPr="00EE4CBB">
        <w:t xml:space="preserve"> 2018)</w:t>
      </w:r>
      <w:r w:rsidR="00EE4CBB">
        <w:t>.</w:t>
      </w:r>
    </w:p>
    <w:p w:rsidR="001426C3" w:rsidRDefault="00C81465" w:rsidP="00DE6A63">
      <w:pPr>
        <w:spacing w:after="160" w:line="259" w:lineRule="auto"/>
      </w:pPr>
      <w:r>
        <w:t>In order to mitigate these risks</w:t>
      </w:r>
      <w:r w:rsidR="001F3DB3">
        <w:t xml:space="preserve">, </w:t>
      </w:r>
      <w:r w:rsidR="008251D9">
        <w:t xml:space="preserve">the </w:t>
      </w:r>
      <w:r w:rsidR="001426C3">
        <w:t>Australia</w:t>
      </w:r>
      <w:r>
        <w:t>n Government (</w:t>
      </w:r>
      <w:r w:rsidR="008251D9">
        <w:t xml:space="preserve">in partnership with </w:t>
      </w:r>
      <w:r>
        <w:rPr>
          <w:rFonts w:eastAsia="Verdana" w:cs="Verdana"/>
        </w:rPr>
        <w:t>the states and territories)</w:t>
      </w:r>
      <w:r w:rsidR="008251D9">
        <w:rPr>
          <w:rFonts w:eastAsia="Verdana" w:cs="Verdana"/>
        </w:rPr>
        <w:t xml:space="preserve"> regulates the supply of agvet chemicals </w:t>
      </w:r>
      <w:r w:rsidR="008251D9" w:rsidRPr="00BF2229">
        <w:rPr>
          <w:rFonts w:eastAsia="Verdana" w:cs="Verdana"/>
        </w:rPr>
        <w:t>through the National Registration System</w:t>
      </w:r>
      <w:r w:rsidR="001426C3" w:rsidRPr="00BF2229">
        <w:t xml:space="preserve"> </w:t>
      </w:r>
      <w:r w:rsidR="00042418" w:rsidRPr="00194720">
        <w:t>for Agricultural and Veterinary Chemicals</w:t>
      </w:r>
      <w:r w:rsidR="00053002">
        <w:t xml:space="preserve"> </w:t>
      </w:r>
      <w:r w:rsidR="00053002" w:rsidRPr="00BF2229">
        <w:t>(NRS)</w:t>
      </w:r>
      <w:r w:rsidR="008251D9" w:rsidRPr="00194720">
        <w:t xml:space="preserve">. The NRS is </w:t>
      </w:r>
      <w:r w:rsidR="00042418" w:rsidRPr="00194720">
        <w:t>partly</w:t>
      </w:r>
      <w:r w:rsidR="00912A37" w:rsidRPr="00194720">
        <w:t xml:space="preserve"> </w:t>
      </w:r>
      <w:r w:rsidR="00912A37" w:rsidRPr="00340B57">
        <w:t>administered</w:t>
      </w:r>
      <w:r w:rsidR="00912A37" w:rsidRPr="00BF2229">
        <w:t xml:space="preserve"> </w:t>
      </w:r>
      <w:r w:rsidR="00912A37">
        <w:t xml:space="preserve">by </w:t>
      </w:r>
      <w:r w:rsidR="00DE6A63">
        <w:t>the APVMA</w:t>
      </w:r>
      <w:r w:rsidR="009D762A">
        <w:t>, which</w:t>
      </w:r>
      <w:r w:rsidR="008251D9">
        <w:t xml:space="preserve"> sits within the portfolio of the Minister for Agriculture</w:t>
      </w:r>
      <w:r w:rsidR="00EE4CBB">
        <w:t xml:space="preserve"> </w:t>
      </w:r>
      <w:r w:rsidR="00EE4CBB" w:rsidRPr="00EE4CBB">
        <w:t>(Department of Agriculture 2015</w:t>
      </w:r>
      <w:r w:rsidR="00967C04">
        <w:t>a</w:t>
      </w:r>
      <w:r w:rsidR="00EE4CBB" w:rsidRPr="00EE4CBB">
        <w:t>)</w:t>
      </w:r>
      <w:r w:rsidR="00EE4CBB">
        <w:t>.</w:t>
      </w:r>
      <w:r w:rsidR="00DE6A63">
        <w:t xml:space="preserve"> </w:t>
      </w:r>
      <w:r w:rsidR="009842AC">
        <w:t>Among the APVMA’s roles and responsibilities is the approval of novel active constituent</w:t>
      </w:r>
      <w:r w:rsidR="00146FDC">
        <w:t xml:space="preserve"> chemicals (</w:t>
      </w:r>
      <w:r w:rsidR="0096407F">
        <w:t>“</w:t>
      </w:r>
      <w:r w:rsidR="00146FDC">
        <w:t>actives</w:t>
      </w:r>
      <w:r w:rsidR="0096407F">
        <w:t>”</w:t>
      </w:r>
      <w:r w:rsidR="00146FDC">
        <w:t>)</w:t>
      </w:r>
      <w:r w:rsidR="009842AC">
        <w:t xml:space="preserve"> and the registration of </w:t>
      </w:r>
      <w:r w:rsidR="00146FDC">
        <w:t xml:space="preserve">agvet chemical </w:t>
      </w:r>
      <w:r w:rsidR="009842AC">
        <w:t>products.</w:t>
      </w:r>
    </w:p>
    <w:p w:rsidR="004A7A11" w:rsidRDefault="00BC0D99" w:rsidP="00BC0D99">
      <w:r>
        <w:t>In addition to its cooperative relationship with the state and territory governments, t</w:t>
      </w:r>
      <w:r w:rsidRPr="001E6F40">
        <w:t xml:space="preserve">he APVMA </w:t>
      </w:r>
      <w:r>
        <w:t xml:space="preserve">works with a range of other Australian and international organisations in </w:t>
      </w:r>
      <w:r w:rsidR="00A87411">
        <w:t xml:space="preserve">approving </w:t>
      </w:r>
      <w:r>
        <w:t xml:space="preserve">agvet chemicals </w:t>
      </w:r>
      <w:r w:rsidR="009D762A">
        <w:t xml:space="preserve">and registering agvet chemical products </w:t>
      </w:r>
      <w:r>
        <w:t xml:space="preserve">(see </w:t>
      </w:r>
      <w:r w:rsidR="007D5BDA">
        <w:fldChar w:fldCharType="begin"/>
      </w:r>
      <w:r w:rsidR="007D5BDA">
        <w:instrText xml:space="preserve"> REF _Ref8382971 \h </w:instrText>
      </w:r>
      <w:r w:rsidR="007D5BDA">
        <w:fldChar w:fldCharType="separate"/>
      </w:r>
      <w:r w:rsidR="00D82E3C">
        <w:t xml:space="preserve">Figure </w:t>
      </w:r>
      <w:r w:rsidR="00D82E3C">
        <w:rPr>
          <w:noProof/>
        </w:rPr>
        <w:t>1</w:t>
      </w:r>
      <w:r w:rsidR="00D82E3C">
        <w:t>.</w:t>
      </w:r>
      <w:r w:rsidR="00D82E3C">
        <w:rPr>
          <w:noProof/>
        </w:rPr>
        <w:t>1</w:t>
      </w:r>
      <w:r w:rsidR="007D5BDA">
        <w:fldChar w:fldCharType="end"/>
      </w:r>
      <w:r>
        <w:t>).</w:t>
      </w:r>
    </w:p>
    <w:p w:rsidR="00BC0D99" w:rsidRDefault="00BC0D99" w:rsidP="00BC0D99">
      <w:pPr>
        <w:pStyle w:val="Caption"/>
      </w:pPr>
      <w:bookmarkStart w:id="124" w:name="_Ref8382971"/>
      <w:bookmarkStart w:id="125" w:name="_Ref7527511"/>
      <w:r>
        <w:t xml:space="preserve">Figure </w:t>
      </w:r>
      <w:r>
        <w:fldChar w:fldCharType="begin"/>
      </w:r>
      <w:r>
        <w:instrText xml:space="preserve"> STYLEREF 1 \s </w:instrText>
      </w:r>
      <w:r>
        <w:fldChar w:fldCharType="separate"/>
      </w:r>
      <w:r w:rsidR="00D82E3C">
        <w:rPr>
          <w:noProof/>
        </w:rPr>
        <w:t>1</w:t>
      </w:r>
      <w:r>
        <w:fldChar w:fldCharType="end"/>
      </w:r>
      <w:r>
        <w:t>.</w:t>
      </w:r>
      <w:r>
        <w:fldChar w:fldCharType="begin"/>
      </w:r>
      <w:r>
        <w:instrText xml:space="preserve"> SEQ Figure \* ARABIC \s 1 </w:instrText>
      </w:r>
      <w:r>
        <w:fldChar w:fldCharType="separate"/>
      </w:r>
      <w:r w:rsidR="00D82E3C">
        <w:rPr>
          <w:noProof/>
        </w:rPr>
        <w:t>1</w:t>
      </w:r>
      <w:r>
        <w:fldChar w:fldCharType="end"/>
      </w:r>
      <w:bookmarkEnd w:id="124"/>
      <w:r>
        <w:t xml:space="preserve">: The </w:t>
      </w:r>
      <w:r w:rsidR="00C60274">
        <w:t xml:space="preserve">Australian </w:t>
      </w:r>
      <w:r>
        <w:t>agvet chemical environment</w:t>
      </w:r>
      <w:bookmarkEnd w:id="125"/>
    </w:p>
    <w:p w:rsidR="00C60274" w:rsidRPr="00C60274" w:rsidRDefault="00A24225" w:rsidP="00D13428">
      <w:pPr>
        <w:jc w:val="center"/>
      </w:pPr>
      <w:r>
        <w:object w:dxaOrig="8676" w:dyaOrig="5976" w14:anchorId="46269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describes the regulatory environment of the Australian agvet chemical market. It includes relevent policy makers, such as state and federal governments, regulatory bodies such as the APVMA, and stakeholders including farmers and the broader community. " style="width:435.3pt;height:297.45pt" o:ole="">
            <v:imagedata r:id="rId23" o:title=""/>
          </v:shape>
          <o:OLEObject Type="Embed" ProgID="Visio.Drawing.15" ShapeID="_x0000_i1025" DrawAspect="Content" ObjectID="_1638597193" r:id="rId24"/>
        </w:object>
      </w:r>
    </w:p>
    <w:p w:rsidR="009842AC" w:rsidRDefault="0013689E" w:rsidP="00FE6A25">
      <w:pPr>
        <w:pStyle w:val="Heading2"/>
        <w:numPr>
          <w:ilvl w:val="1"/>
          <w:numId w:val="26"/>
        </w:numPr>
      </w:pPr>
      <w:bookmarkStart w:id="126" w:name="_Toc955501"/>
      <w:bookmarkStart w:id="127" w:name="_Toc1057208"/>
      <w:bookmarkStart w:id="128" w:name="_Toc2336588"/>
      <w:bookmarkStart w:id="129" w:name="_Toc4449525"/>
      <w:bookmarkStart w:id="130" w:name="_Toc4545415"/>
      <w:bookmarkStart w:id="131" w:name="_Toc4586251"/>
      <w:bookmarkStart w:id="132" w:name="_Toc4672723"/>
      <w:bookmarkStart w:id="133" w:name="_Toc4764870"/>
      <w:bookmarkStart w:id="134" w:name="_Toc6413742"/>
      <w:bookmarkStart w:id="135" w:name="_Toc12024314"/>
      <w:bookmarkStart w:id="136" w:name="_Toc14107322"/>
      <w:r>
        <w:t>Purpose of this report</w:t>
      </w:r>
      <w:bookmarkEnd w:id="126"/>
      <w:bookmarkEnd w:id="127"/>
      <w:bookmarkEnd w:id="128"/>
      <w:bookmarkEnd w:id="129"/>
      <w:bookmarkEnd w:id="130"/>
      <w:bookmarkEnd w:id="131"/>
      <w:bookmarkEnd w:id="132"/>
      <w:bookmarkEnd w:id="133"/>
      <w:bookmarkEnd w:id="134"/>
      <w:bookmarkEnd w:id="135"/>
      <w:bookmarkEnd w:id="136"/>
    </w:p>
    <w:p w:rsidR="009D3509" w:rsidRDefault="009D3509" w:rsidP="00340B57">
      <w:r>
        <w:t>The Australian regulatory system has undergone several recent reviews</w:t>
      </w:r>
      <w:r w:rsidR="007A14C6">
        <w:t>, and reforms,</w:t>
      </w:r>
      <w:r>
        <w:t xml:space="preserve"> </w:t>
      </w:r>
      <w:r w:rsidR="0013689E">
        <w:t xml:space="preserve">aimed at improving </w:t>
      </w:r>
      <w:r>
        <w:t xml:space="preserve">the balance between the regulatory burden it imposes and the risks agvet chemicals pose to </w:t>
      </w:r>
      <w:r w:rsidR="00EA0D5F">
        <w:t>human and animal</w:t>
      </w:r>
      <w:r w:rsidR="00236441">
        <w:t xml:space="preserve"> </w:t>
      </w:r>
      <w:r>
        <w:t>health</w:t>
      </w:r>
      <w:r w:rsidR="007D5BDA">
        <w:t>,</w:t>
      </w:r>
      <w:r>
        <w:t xml:space="preserve"> the environment</w:t>
      </w:r>
      <w:r w:rsidR="007D5BDA">
        <w:t xml:space="preserve"> and trade</w:t>
      </w:r>
      <w:r w:rsidR="00EE4CBB">
        <w:t xml:space="preserve"> </w:t>
      </w:r>
      <w:r w:rsidR="005B6C3D" w:rsidRPr="005B6C3D">
        <w:rPr>
          <w:rFonts w:cs="Times New Roman"/>
          <w:szCs w:val="24"/>
        </w:rPr>
        <w:t>(Productivity Commission 2016)</w:t>
      </w:r>
      <w:r>
        <w:t xml:space="preserve">. </w:t>
      </w:r>
      <w:r w:rsidR="0013689E">
        <w:t xml:space="preserve">This </w:t>
      </w:r>
      <w:r w:rsidR="00D55D40">
        <w:t xml:space="preserve">followed </w:t>
      </w:r>
      <w:r w:rsidR="0013689E">
        <w:t>t</w:t>
      </w:r>
      <w:r>
        <w:t xml:space="preserve">he Australian </w:t>
      </w:r>
      <w:r w:rsidR="0013689E">
        <w:t>G</w:t>
      </w:r>
      <w:r>
        <w:t>overnment</w:t>
      </w:r>
      <w:r w:rsidR="0013689E">
        <w:t>’s commitment</w:t>
      </w:r>
      <w:r>
        <w:t xml:space="preserve"> to</w:t>
      </w:r>
      <w:r w:rsidR="0013689E">
        <w:t xml:space="preserve"> undertake</w:t>
      </w:r>
      <w:r>
        <w:t xml:space="preserve"> reform</w:t>
      </w:r>
      <w:r w:rsidR="0013689E">
        <w:t>s</w:t>
      </w:r>
      <w:r>
        <w:t xml:space="preserve"> </w:t>
      </w:r>
      <w:r w:rsidR="0013689E">
        <w:t>in the A</w:t>
      </w:r>
      <w:r>
        <w:t xml:space="preserve">gricultural </w:t>
      </w:r>
      <w:r w:rsidR="0013689E">
        <w:t>C</w:t>
      </w:r>
      <w:r>
        <w:t>ompeti</w:t>
      </w:r>
      <w:r w:rsidR="00C41857">
        <w:t>ti</w:t>
      </w:r>
      <w:r>
        <w:t xml:space="preserve">veness </w:t>
      </w:r>
      <w:r w:rsidR="0013689E">
        <w:t>W</w:t>
      </w:r>
      <w:r>
        <w:t xml:space="preserve">hite </w:t>
      </w:r>
      <w:r w:rsidR="0013689E">
        <w:t>P</w:t>
      </w:r>
      <w:r>
        <w:t>aper</w:t>
      </w:r>
      <w:r w:rsidR="00EE4CBB">
        <w:t xml:space="preserve"> </w:t>
      </w:r>
      <w:r w:rsidR="005B6C3D" w:rsidRPr="005B6C3D">
        <w:rPr>
          <w:rFonts w:cs="Times New Roman"/>
          <w:szCs w:val="24"/>
        </w:rPr>
        <w:t>(Australian Government 2015)</w:t>
      </w:r>
      <w:r>
        <w:t xml:space="preserve">. The </w:t>
      </w:r>
      <w:r w:rsidR="00C170B9">
        <w:t>D</w:t>
      </w:r>
      <w:r>
        <w:t xml:space="preserve">epartment has also consulted on and implemented </w:t>
      </w:r>
      <w:r w:rsidR="00F67B35">
        <w:t xml:space="preserve">a number of </w:t>
      </w:r>
      <w:r>
        <w:t>reforms</w:t>
      </w:r>
      <w:r w:rsidR="00F67B35">
        <w:t xml:space="preserve">, which are </w:t>
      </w:r>
      <w:r>
        <w:t>further detailed in</w:t>
      </w:r>
      <w:r w:rsidR="00B44DF2">
        <w:t xml:space="preserve"> </w:t>
      </w:r>
      <w:r w:rsidR="00B44DF2">
        <w:fldChar w:fldCharType="begin"/>
      </w:r>
      <w:r w:rsidR="00B44DF2">
        <w:instrText xml:space="preserve"> REF _Ref11264880 \r \h </w:instrText>
      </w:r>
      <w:r w:rsidR="00B44DF2">
        <w:fldChar w:fldCharType="separate"/>
      </w:r>
      <w:r w:rsidR="00D82E3C">
        <w:t>Appendix B</w:t>
      </w:r>
      <w:r w:rsidR="00B44DF2">
        <w:fldChar w:fldCharType="end"/>
      </w:r>
      <w:r>
        <w:t>.</w:t>
      </w:r>
    </w:p>
    <w:p w:rsidR="004A7A11" w:rsidRDefault="009D3509" w:rsidP="00340B57">
      <w:r>
        <w:t xml:space="preserve">During these consultations, one of </w:t>
      </w:r>
      <w:r w:rsidRPr="006B7536">
        <w:t xml:space="preserve">the concerns raised </w:t>
      </w:r>
      <w:r>
        <w:t xml:space="preserve">by stakeholders </w:t>
      </w:r>
      <w:r w:rsidRPr="006B7536">
        <w:t xml:space="preserve">is that Australian </w:t>
      </w:r>
      <w:r>
        <w:t>users of agvet chemicals</w:t>
      </w:r>
      <w:r w:rsidRPr="006B7536">
        <w:t xml:space="preserve"> cannot readily access </w:t>
      </w:r>
      <w:r>
        <w:t xml:space="preserve">the </w:t>
      </w:r>
      <w:r w:rsidRPr="006B7536">
        <w:t xml:space="preserve">novel </w:t>
      </w:r>
      <w:r>
        <w:t>products</w:t>
      </w:r>
      <w:r w:rsidRPr="006B7536">
        <w:t xml:space="preserve"> that are available in overseas markets</w:t>
      </w:r>
      <w:r>
        <w:t>,</w:t>
      </w:r>
      <w:r w:rsidRPr="006B7536">
        <w:t xml:space="preserve"> due to the</w:t>
      </w:r>
      <w:r w:rsidR="0013689E">
        <w:t xml:space="preserve"> time, </w:t>
      </w:r>
      <w:r w:rsidR="0013689E" w:rsidRPr="006B7536">
        <w:t>costs</w:t>
      </w:r>
      <w:r w:rsidRPr="006B7536">
        <w:t xml:space="preserve"> and</w:t>
      </w:r>
      <w:r w:rsidR="0013689E">
        <w:t>/or</w:t>
      </w:r>
      <w:r w:rsidRPr="006B7536">
        <w:t xml:space="preserve"> requirements </w:t>
      </w:r>
      <w:r w:rsidR="00053002">
        <w:t>(that is the ‘barriers’)</w:t>
      </w:r>
      <w:r w:rsidRPr="006B7536">
        <w:t xml:space="preserve"> </w:t>
      </w:r>
      <w:r w:rsidR="0013689E">
        <w:t xml:space="preserve">associated with </w:t>
      </w:r>
      <w:r w:rsidRPr="006B7536">
        <w:t xml:space="preserve">registering </w:t>
      </w:r>
      <w:r>
        <w:t xml:space="preserve">these products </w:t>
      </w:r>
      <w:r w:rsidRPr="006B7536">
        <w:t xml:space="preserve">in Australia </w:t>
      </w:r>
      <w:r>
        <w:t>with the APVMA.</w:t>
      </w:r>
    </w:p>
    <w:p w:rsidR="004A7A11" w:rsidRDefault="0050666F" w:rsidP="00802C4E">
      <w:r>
        <w:t xml:space="preserve">In order to further understand and potentially address these concerns, </w:t>
      </w:r>
      <w:r w:rsidR="00802C4E" w:rsidRPr="00802C4E">
        <w:t xml:space="preserve">the </w:t>
      </w:r>
      <w:r w:rsidR="00C170B9">
        <w:t>D</w:t>
      </w:r>
      <w:r w:rsidR="00802C4E" w:rsidRPr="00802C4E">
        <w:t xml:space="preserve">epartment </w:t>
      </w:r>
      <w:r>
        <w:t xml:space="preserve">engaged Deloitte </w:t>
      </w:r>
      <w:r w:rsidR="00802C4E" w:rsidRPr="00802C4E">
        <w:t>to</w:t>
      </w:r>
      <w:r w:rsidR="009D3509">
        <w:t>:</w:t>
      </w:r>
    </w:p>
    <w:p w:rsidR="004A7A11" w:rsidRDefault="0013689E" w:rsidP="00FE6A25">
      <w:pPr>
        <w:pStyle w:val="ListParagraph"/>
        <w:numPr>
          <w:ilvl w:val="0"/>
          <w:numId w:val="23"/>
        </w:numPr>
      </w:pPr>
      <w:r>
        <w:t>I</w:t>
      </w:r>
      <w:r w:rsidR="009D3509">
        <w:t xml:space="preserve">dentify and examine the full range of regulatory and non-regulatory drivers and barriers to the introduction of novel agvet chemicals to </w:t>
      </w:r>
      <w:r w:rsidR="00802C4E" w:rsidRPr="00802C4E">
        <w:t xml:space="preserve">the Australian market. </w:t>
      </w:r>
      <w:r w:rsidR="00562C33">
        <w:t xml:space="preserve">This includes novel products that contain novel actives that require approval by the APVMA, or novel uses for products that contain actives </w:t>
      </w:r>
      <w:r w:rsidR="0044684E">
        <w:t xml:space="preserve">that </w:t>
      </w:r>
      <w:r w:rsidR="00562C33">
        <w:t>the APVMA has previously approved.</w:t>
      </w:r>
    </w:p>
    <w:p w:rsidR="004A7A11" w:rsidRDefault="009D3509" w:rsidP="00FE6A25">
      <w:pPr>
        <w:pStyle w:val="ListParagraph"/>
        <w:numPr>
          <w:ilvl w:val="0"/>
          <w:numId w:val="23"/>
        </w:numPr>
      </w:pPr>
      <w:r>
        <w:t>Investigate what</w:t>
      </w:r>
      <w:r w:rsidR="00B30EE5">
        <w:t xml:space="preserve"> additional</w:t>
      </w:r>
      <w:r>
        <w:t xml:space="preserve"> changes, if any, the Australian Government could make to facilitate greater</w:t>
      </w:r>
      <w:r w:rsidR="000C1B02">
        <w:t xml:space="preserve"> and/or timelier</w:t>
      </w:r>
      <w:r>
        <w:t xml:space="preserve"> access </w:t>
      </w:r>
      <w:r w:rsidR="00C431A2">
        <w:t xml:space="preserve">to </w:t>
      </w:r>
      <w:r>
        <w:t>novel agvet chemicals,</w:t>
      </w:r>
      <w:r w:rsidR="00D51AF9">
        <w:t xml:space="preserve"> while</w:t>
      </w:r>
      <w:r>
        <w:t xml:space="preserve"> maintaining protection for human and animal health, the environment and Australia’s international trade interests.</w:t>
      </w:r>
    </w:p>
    <w:p w:rsidR="0050666F" w:rsidRDefault="0013689E" w:rsidP="00FE6A25">
      <w:pPr>
        <w:pStyle w:val="Heading2"/>
        <w:numPr>
          <w:ilvl w:val="1"/>
          <w:numId w:val="26"/>
        </w:numPr>
      </w:pPr>
      <w:bookmarkStart w:id="137" w:name="_Toc12024315"/>
      <w:bookmarkStart w:id="138" w:name="_Toc14107323"/>
      <w:r>
        <w:t>Scope</w:t>
      </w:r>
      <w:bookmarkEnd w:id="137"/>
      <w:bookmarkEnd w:id="138"/>
    </w:p>
    <w:p w:rsidR="00DA229B" w:rsidRDefault="0050666F" w:rsidP="007F069B">
      <w:r>
        <w:t xml:space="preserve">The scope of this </w:t>
      </w:r>
      <w:r w:rsidR="009842AC">
        <w:t xml:space="preserve">report is limited to agvet chemicals used in </w:t>
      </w:r>
      <w:r w:rsidR="00D14734">
        <w:t>agricultur</w:t>
      </w:r>
      <w:r w:rsidR="007A2C71">
        <w:t>al industries,</w:t>
      </w:r>
      <w:r w:rsidR="00D14734">
        <w:t xml:space="preserve"> </w:t>
      </w:r>
      <w:r w:rsidR="00562C33">
        <w:t xml:space="preserve">which </w:t>
      </w:r>
      <w:r w:rsidR="00DA229B">
        <w:t xml:space="preserve">includes </w:t>
      </w:r>
      <w:r w:rsidR="00D14734">
        <w:t xml:space="preserve">products that </w:t>
      </w:r>
      <w:r w:rsidR="00440237" w:rsidRPr="00440237">
        <w:t xml:space="preserve">support crop and plant production (agricultural chemicals) </w:t>
      </w:r>
      <w:r w:rsidR="00440237">
        <w:t>or</w:t>
      </w:r>
      <w:r w:rsidR="00440237" w:rsidRPr="00440237">
        <w:t xml:space="preserve"> livestock production (veterinary medicines).</w:t>
      </w:r>
      <w:r w:rsidR="009842AC">
        <w:t xml:space="preserve"> Products used in other sectors such as </w:t>
      </w:r>
      <w:r w:rsidR="003067B0">
        <w:t xml:space="preserve">for </w:t>
      </w:r>
      <w:r w:rsidR="00DA229B">
        <w:t>hou</w:t>
      </w:r>
      <w:r w:rsidR="009842AC">
        <w:t>sehold consumption or local government use</w:t>
      </w:r>
      <w:r w:rsidR="0089166A">
        <w:t>,</w:t>
      </w:r>
      <w:r w:rsidR="00DA229B">
        <w:t xml:space="preserve"> are considered out of scope, as are products for animals other than livestock, such as dogs, cats and other companion animals.</w:t>
      </w:r>
      <w:r w:rsidR="00D14734">
        <w:t xml:space="preserve"> For the purpose of this report, agvet chemicals </w:t>
      </w:r>
      <w:r w:rsidR="00BB1457">
        <w:t xml:space="preserve">have been defined </w:t>
      </w:r>
      <w:r>
        <w:t xml:space="preserve">and categorised </w:t>
      </w:r>
      <w:r w:rsidR="007D1E52">
        <w:t xml:space="preserve">in </w:t>
      </w:r>
      <w:r w:rsidR="007D1E52">
        <w:fldChar w:fldCharType="begin"/>
      </w:r>
      <w:r w:rsidR="007D1E52">
        <w:instrText xml:space="preserve"> REF _Ref8383222 \h </w:instrText>
      </w:r>
      <w:r w:rsidR="007D1E52">
        <w:fldChar w:fldCharType="separate"/>
      </w:r>
      <w:r w:rsidR="007D1E52">
        <w:t xml:space="preserve">Figure </w:t>
      </w:r>
      <w:r w:rsidR="007D1E52">
        <w:rPr>
          <w:noProof/>
        </w:rPr>
        <w:t>1</w:t>
      </w:r>
      <w:r w:rsidR="007D1E52">
        <w:t>.</w:t>
      </w:r>
      <w:r w:rsidR="007D1E52">
        <w:rPr>
          <w:noProof/>
        </w:rPr>
        <w:t>2</w:t>
      </w:r>
      <w:r w:rsidR="007D1E52">
        <w:fldChar w:fldCharType="end"/>
      </w:r>
      <w:r w:rsidR="00BB1457">
        <w:t>.</w:t>
      </w:r>
    </w:p>
    <w:p w:rsidR="004A7A11" w:rsidRDefault="007D5BDA" w:rsidP="007D5BDA">
      <w:pPr>
        <w:pStyle w:val="Caption"/>
      </w:pPr>
      <w:bookmarkStart w:id="139" w:name="_Ref8383222"/>
      <w:r>
        <w:t xml:space="preserve">Figure </w:t>
      </w:r>
      <w:r>
        <w:fldChar w:fldCharType="begin"/>
      </w:r>
      <w:r>
        <w:instrText xml:space="preserve"> STYLEREF 1 \s </w:instrText>
      </w:r>
      <w:r>
        <w:fldChar w:fldCharType="separate"/>
      </w:r>
      <w:r w:rsidR="00D82E3C">
        <w:rPr>
          <w:noProof/>
        </w:rPr>
        <w:t>1</w:t>
      </w:r>
      <w:r>
        <w:fldChar w:fldCharType="end"/>
      </w:r>
      <w:r>
        <w:t>.</w:t>
      </w:r>
      <w:r>
        <w:fldChar w:fldCharType="begin"/>
      </w:r>
      <w:r>
        <w:instrText xml:space="preserve"> SEQ Figure \* ARABIC \s 1 </w:instrText>
      </w:r>
      <w:r>
        <w:fldChar w:fldCharType="separate"/>
      </w:r>
      <w:r w:rsidR="00D82E3C">
        <w:rPr>
          <w:noProof/>
        </w:rPr>
        <w:t>2</w:t>
      </w:r>
      <w:r>
        <w:fldChar w:fldCharType="end"/>
      </w:r>
      <w:bookmarkEnd w:id="139"/>
      <w:r>
        <w:t xml:space="preserve">: </w:t>
      </w:r>
      <w:r w:rsidRPr="007D5BDA">
        <w:t>Hierarchy of terms used in this report (non-exhaustive)</w:t>
      </w:r>
    </w:p>
    <w:p w:rsidR="002D4F03" w:rsidRDefault="00054C85" w:rsidP="00387B37">
      <w:r>
        <w:rPr>
          <w:noProof/>
          <w:lang w:eastAsia="en-AU"/>
        </w:rPr>
        <mc:AlternateContent>
          <mc:Choice Requires="wps">
            <w:drawing>
              <wp:anchor distT="0" distB="0" distL="114300" distR="114300" simplePos="0" relativeHeight="251658752" behindDoc="0" locked="0" layoutInCell="1" allowOverlap="1" wp14:anchorId="52064F34" wp14:editId="57195362">
                <wp:simplePos x="0" y="0"/>
                <wp:positionH relativeFrom="margin">
                  <wp:posOffset>180340</wp:posOffset>
                </wp:positionH>
                <wp:positionV relativeFrom="paragraph">
                  <wp:posOffset>2484424</wp:posOffset>
                </wp:positionV>
                <wp:extent cx="2043486" cy="1546860"/>
                <wp:effectExtent l="0" t="0" r="13970" b="15240"/>
                <wp:wrapNone/>
                <wp:docPr id="18" name="Rounded Rectangle 18"/>
                <wp:cNvGraphicFramePr/>
                <a:graphic xmlns:a="http://schemas.openxmlformats.org/drawingml/2006/main">
                  <a:graphicData uri="http://schemas.microsoft.com/office/word/2010/wordprocessingShape">
                    <wps:wsp>
                      <wps:cNvSpPr/>
                      <wps:spPr bwMode="gray">
                        <a:xfrm>
                          <a:off x="0" y="0"/>
                          <a:ext cx="2043486" cy="1546860"/>
                        </a:xfrm>
                        <a:prstGeom prst="roundRect">
                          <a:avLst/>
                        </a:prstGeom>
                        <a:solidFill>
                          <a:schemeClr val="accent6">
                            <a:lumMod val="20000"/>
                            <a:lumOff val="80000"/>
                          </a:schemeClr>
                        </a:solidFill>
                        <a:ln w="19050" algn="ctr">
                          <a:solidFill>
                            <a:schemeClr val="tx1">
                              <a:lumMod val="95000"/>
                              <a:lumOff val="5000"/>
                            </a:schemeClr>
                          </a:solidFill>
                          <a:prstDash val="dash"/>
                          <a:miter lim="800000"/>
                          <a:headEnd/>
                          <a:tailEnd/>
                        </a:ln>
                      </wps:spPr>
                      <wps:txbx>
                        <w:txbxContent>
                          <w:p w:rsidR="00453CC1" w:rsidRPr="003430E8" w:rsidRDefault="00453CC1" w:rsidP="00054C85">
                            <w:pPr>
                              <w:jc w:val="center"/>
                              <w:rPr>
                                <w:b/>
                                <w:sz w:val="16"/>
                              </w:rPr>
                            </w:pPr>
                            <w:r w:rsidRPr="003430E8">
                              <w:rPr>
                                <w:b/>
                                <w:sz w:val="16"/>
                              </w:rPr>
                              <w:t>Out of Scope</w:t>
                            </w:r>
                          </w:p>
                          <w:p w:rsidR="00453CC1" w:rsidRPr="003430E8" w:rsidRDefault="00453CC1" w:rsidP="005C2405">
                            <w:pPr>
                              <w:pStyle w:val="ListParagraph"/>
                              <w:numPr>
                                <w:ilvl w:val="0"/>
                                <w:numId w:val="15"/>
                              </w:numPr>
                              <w:tabs>
                                <w:tab w:val="left" w:pos="142"/>
                              </w:tabs>
                              <w:ind w:left="0" w:firstLine="0"/>
                              <w:rPr>
                                <w:sz w:val="16"/>
                              </w:rPr>
                            </w:pPr>
                            <w:r w:rsidRPr="003430E8">
                              <w:rPr>
                                <w:sz w:val="16"/>
                              </w:rPr>
                              <w:t>Household consumer products</w:t>
                            </w:r>
                          </w:p>
                          <w:p w:rsidR="00453CC1" w:rsidRPr="003430E8" w:rsidRDefault="00453CC1" w:rsidP="005C2405">
                            <w:pPr>
                              <w:pStyle w:val="ListParagraph"/>
                              <w:numPr>
                                <w:ilvl w:val="0"/>
                                <w:numId w:val="15"/>
                              </w:numPr>
                              <w:tabs>
                                <w:tab w:val="left" w:pos="142"/>
                              </w:tabs>
                              <w:ind w:left="0" w:firstLine="0"/>
                              <w:rPr>
                                <w:b/>
                                <w:sz w:val="16"/>
                              </w:rPr>
                            </w:pPr>
                            <w:r w:rsidRPr="003430E8">
                              <w:rPr>
                                <w:sz w:val="16"/>
                              </w:rPr>
                              <w:t>Companion animal products</w:t>
                            </w:r>
                          </w:p>
                          <w:p w:rsidR="00453CC1" w:rsidRPr="003430E8" w:rsidRDefault="00453CC1" w:rsidP="005C2405">
                            <w:pPr>
                              <w:pStyle w:val="ListParagraph"/>
                              <w:numPr>
                                <w:ilvl w:val="0"/>
                                <w:numId w:val="15"/>
                              </w:numPr>
                              <w:tabs>
                                <w:tab w:val="left" w:pos="142"/>
                              </w:tabs>
                              <w:ind w:left="0" w:firstLine="0"/>
                              <w:rPr>
                                <w:b/>
                                <w:sz w:val="16"/>
                              </w:rPr>
                            </w:pPr>
                            <w:r w:rsidRPr="003430E8">
                              <w:rPr>
                                <w:sz w:val="16"/>
                              </w:rPr>
                              <w:t>Past point-of-sale use</w:t>
                            </w:r>
                          </w:p>
                          <w:p w:rsidR="00453CC1" w:rsidRPr="005C5BDA" w:rsidRDefault="00453CC1" w:rsidP="005C2405">
                            <w:pPr>
                              <w:pStyle w:val="ListParagraph"/>
                              <w:numPr>
                                <w:ilvl w:val="0"/>
                                <w:numId w:val="15"/>
                              </w:numPr>
                              <w:tabs>
                                <w:tab w:val="left" w:pos="142"/>
                              </w:tabs>
                              <w:ind w:left="0" w:firstLine="0"/>
                              <w:rPr>
                                <w:b/>
                                <w:sz w:val="16"/>
                              </w:rPr>
                            </w:pPr>
                            <w:r>
                              <w:rPr>
                                <w:sz w:val="16"/>
                              </w:rPr>
                              <w:t>Non-novel chemical products</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64F34" id="Rounded Rectangle 18" o:spid="_x0000_s1026" style="position:absolute;margin-left:14.2pt;margin-top:195.6pt;width:160.9pt;height:121.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" fillcolor="#e3e3e4 [665]" strokecolor="#0d0d0d [3069]" strokeweight="1.5pt">
                <v:stroke dashstyle="dash" joinstyle="miter"/>
                <v:textbox inset="7pt,7pt,7pt,7pt">
                  <w:txbxContent>
                    <w:p w:rsidR="00453CC1" w:rsidRPr="003430E8" w:rsidRDefault="00453CC1" w:rsidP="00054C85">
                      <w:pPr>
                        <w:jc w:val="center"/>
                        <w:rPr>
                          <w:b/>
                          <w:sz w:val="16"/>
                        </w:rPr>
                      </w:pPr>
                      <w:r w:rsidRPr="003430E8">
                        <w:rPr>
                          <w:b/>
                          <w:sz w:val="16"/>
                        </w:rPr>
                        <w:t>Out of Scope</w:t>
                      </w:r>
                    </w:p>
                    <w:p w:rsidR="00453CC1" w:rsidRPr="003430E8" w:rsidRDefault="00453CC1" w:rsidP="005C2405">
                      <w:pPr>
                        <w:pStyle w:val="ListParagraph"/>
                        <w:numPr>
                          <w:ilvl w:val="0"/>
                          <w:numId w:val="15"/>
                        </w:numPr>
                        <w:tabs>
                          <w:tab w:val="left" w:pos="142"/>
                        </w:tabs>
                        <w:ind w:left="0" w:firstLine="0"/>
                        <w:rPr>
                          <w:sz w:val="16"/>
                        </w:rPr>
                      </w:pPr>
                      <w:r w:rsidRPr="003430E8">
                        <w:rPr>
                          <w:sz w:val="16"/>
                        </w:rPr>
                        <w:t>Household consumer products</w:t>
                      </w:r>
                    </w:p>
                    <w:p w:rsidR="00453CC1" w:rsidRPr="003430E8" w:rsidRDefault="00453CC1" w:rsidP="005C2405">
                      <w:pPr>
                        <w:pStyle w:val="ListParagraph"/>
                        <w:numPr>
                          <w:ilvl w:val="0"/>
                          <w:numId w:val="15"/>
                        </w:numPr>
                        <w:tabs>
                          <w:tab w:val="left" w:pos="142"/>
                        </w:tabs>
                        <w:ind w:left="0" w:firstLine="0"/>
                        <w:rPr>
                          <w:b/>
                          <w:sz w:val="16"/>
                        </w:rPr>
                      </w:pPr>
                      <w:r w:rsidRPr="003430E8">
                        <w:rPr>
                          <w:sz w:val="16"/>
                        </w:rPr>
                        <w:t>Companion animal products</w:t>
                      </w:r>
                    </w:p>
                    <w:p w:rsidR="00453CC1" w:rsidRPr="003430E8" w:rsidRDefault="00453CC1" w:rsidP="005C2405">
                      <w:pPr>
                        <w:pStyle w:val="ListParagraph"/>
                        <w:numPr>
                          <w:ilvl w:val="0"/>
                          <w:numId w:val="15"/>
                        </w:numPr>
                        <w:tabs>
                          <w:tab w:val="left" w:pos="142"/>
                        </w:tabs>
                        <w:ind w:left="0" w:firstLine="0"/>
                        <w:rPr>
                          <w:b/>
                          <w:sz w:val="16"/>
                        </w:rPr>
                      </w:pPr>
                      <w:r w:rsidRPr="003430E8">
                        <w:rPr>
                          <w:sz w:val="16"/>
                        </w:rPr>
                        <w:t>Past point-of-sale use</w:t>
                      </w:r>
                    </w:p>
                    <w:p w:rsidR="00453CC1" w:rsidRPr="005C5BDA" w:rsidRDefault="00453CC1" w:rsidP="005C2405">
                      <w:pPr>
                        <w:pStyle w:val="ListParagraph"/>
                        <w:numPr>
                          <w:ilvl w:val="0"/>
                          <w:numId w:val="15"/>
                        </w:numPr>
                        <w:tabs>
                          <w:tab w:val="left" w:pos="142"/>
                        </w:tabs>
                        <w:ind w:left="0" w:firstLine="0"/>
                        <w:rPr>
                          <w:b/>
                          <w:sz w:val="16"/>
                        </w:rPr>
                      </w:pPr>
                      <w:r>
                        <w:rPr>
                          <w:sz w:val="16"/>
                        </w:rPr>
                        <w:t>Non-novel chemical products</w:t>
                      </w:r>
                    </w:p>
                  </w:txbxContent>
                </v:textbox>
                <w10:wrap anchorx="margin"/>
              </v:roundrect>
            </w:pict>
          </mc:Fallback>
        </mc:AlternateContent>
      </w:r>
      <w:r w:rsidR="002D4F03">
        <w:rPr>
          <w:noProof/>
          <w:lang w:eastAsia="en-AU"/>
        </w:rPr>
        <w:drawing>
          <wp:inline distT="0" distB="0" distL="0" distR="0" wp14:anchorId="01A0BA1C" wp14:editId="5E3120B9">
            <wp:extent cx="6361044" cy="4069080"/>
            <wp:effectExtent l="0" t="0" r="1905" b="26670"/>
            <wp:docPr id="13" name="Diagram 13" descr="This figure describes the terms included in scope for this report (veterinary medicines and agricultural chemicals) and those terms considered out of scope. " title="Alt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F7B3B" w:rsidRDefault="00266740" w:rsidP="00340B57">
      <w:pPr>
        <w:pStyle w:val="Heading1"/>
      </w:pPr>
      <w:bookmarkStart w:id="140" w:name="_Toc536199040"/>
      <w:bookmarkStart w:id="141" w:name="_Toc536199579"/>
      <w:bookmarkStart w:id="142" w:name="_Toc536202304"/>
      <w:bookmarkStart w:id="143" w:name="_Toc866248"/>
      <w:bookmarkStart w:id="144" w:name="_Toc955517"/>
      <w:bookmarkStart w:id="145" w:name="_Toc1057228"/>
      <w:bookmarkStart w:id="146" w:name="_Toc2336602"/>
      <w:bookmarkStart w:id="147" w:name="_Ref4559600"/>
      <w:bookmarkStart w:id="148" w:name="_Toc4586255"/>
      <w:bookmarkStart w:id="149" w:name="_Toc4672727"/>
      <w:bookmarkStart w:id="150" w:name="_Toc4764874"/>
      <w:bookmarkStart w:id="151" w:name="_Toc462317846"/>
      <w:bookmarkStart w:id="152" w:name="_Toc462397809"/>
      <w:bookmarkStart w:id="153" w:name="_Toc463002434"/>
      <w:bookmarkStart w:id="154" w:name="_Toc472586348"/>
      <w:bookmarkStart w:id="155" w:name="_Toc482168126"/>
      <w:bookmarkStart w:id="156" w:name="_Toc482174913"/>
      <w:r>
        <w:t xml:space="preserve"> </w:t>
      </w:r>
      <w:bookmarkStart w:id="157" w:name="_Toc6413743"/>
      <w:bookmarkStart w:id="158" w:name="_Toc12024316"/>
      <w:bookmarkStart w:id="159" w:name="_Toc14107324"/>
      <w:r w:rsidR="00B63D81">
        <w:t xml:space="preserve">Priority agvet chemical market </w:t>
      </w:r>
      <w:r w:rsidR="00F70B01">
        <w:t>barriers</w:t>
      </w:r>
      <w:r w:rsidR="00F70B01" w:rsidRPr="00A01028">
        <w:t xml:space="preserve"> </w:t>
      </w:r>
      <w:r w:rsidR="006F7B3B" w:rsidRPr="00A01028">
        <w:t xml:space="preserve">and </w:t>
      </w:r>
      <w:bookmarkEnd w:id="140"/>
      <w:bookmarkEnd w:id="141"/>
      <w:bookmarkEnd w:id="142"/>
      <w:bookmarkEnd w:id="143"/>
      <w:bookmarkEnd w:id="144"/>
      <w:bookmarkEnd w:id="145"/>
      <w:bookmarkEnd w:id="146"/>
      <w:bookmarkEnd w:id="147"/>
      <w:bookmarkEnd w:id="148"/>
      <w:bookmarkEnd w:id="149"/>
      <w:bookmarkEnd w:id="150"/>
      <w:bookmarkEnd w:id="157"/>
      <w:r w:rsidR="00F70B01">
        <w:t>drivers</w:t>
      </w:r>
      <w:bookmarkEnd w:id="158"/>
      <w:bookmarkEnd w:id="159"/>
    </w:p>
    <w:p w:rsidR="006F7B3B" w:rsidRPr="00F12F22" w:rsidRDefault="006F7B3B" w:rsidP="006F7B3B">
      <w:pPr>
        <w:pStyle w:val="Sectionintro"/>
      </w:pPr>
      <w:r>
        <w:t xml:space="preserve">This </w:t>
      </w:r>
      <w:r w:rsidR="000A1717">
        <w:t xml:space="preserve">chapter </w:t>
      </w:r>
      <w:r w:rsidR="00C52A5F">
        <w:t xml:space="preserve">outlines </w:t>
      </w:r>
      <w:r w:rsidR="000A346A">
        <w:t xml:space="preserve">the </w:t>
      </w:r>
      <w:r w:rsidR="00D81AAC">
        <w:t>priority</w:t>
      </w:r>
      <w:r w:rsidR="00D81AAC" w:rsidRPr="00B05CCE">
        <w:t xml:space="preserve"> </w:t>
      </w:r>
      <w:r w:rsidR="00F70B01">
        <w:t>barriers</w:t>
      </w:r>
      <w:r w:rsidR="00F70B01" w:rsidRPr="00B05CCE">
        <w:t xml:space="preserve"> </w:t>
      </w:r>
      <w:r w:rsidR="00F70B01">
        <w:t>to</w:t>
      </w:r>
      <w:r w:rsidR="00F70B01" w:rsidRPr="00B05CCE">
        <w:t xml:space="preserve"> </w:t>
      </w:r>
      <w:r w:rsidR="000A346A" w:rsidRPr="00B05CCE">
        <w:t xml:space="preserve">and </w:t>
      </w:r>
      <w:r w:rsidR="00F70B01">
        <w:t>driver</w:t>
      </w:r>
      <w:r w:rsidR="00B7669F">
        <w:t>s</w:t>
      </w:r>
      <w:r w:rsidR="00F70B01">
        <w:t xml:space="preserve"> of</w:t>
      </w:r>
      <w:r w:rsidR="000A346A">
        <w:t xml:space="preserve"> demand </w:t>
      </w:r>
      <w:r w:rsidR="00B63D81">
        <w:t xml:space="preserve">and supply </w:t>
      </w:r>
      <w:r w:rsidR="000A346A">
        <w:t>for novel agvet chemicals</w:t>
      </w:r>
      <w:r>
        <w:t xml:space="preserve"> </w:t>
      </w:r>
      <w:r w:rsidR="000A346A">
        <w:t>in Australia</w:t>
      </w:r>
      <w:r>
        <w:t>.</w:t>
      </w:r>
    </w:p>
    <w:p w:rsidR="00F70B01" w:rsidRDefault="00CD66D0" w:rsidP="00F040C0">
      <w:r>
        <w:t>Access to n</w:t>
      </w:r>
      <w:r w:rsidR="00C52A5F">
        <w:t xml:space="preserve">ovel agvet chemical products </w:t>
      </w:r>
      <w:r w:rsidR="00D83FE8">
        <w:t xml:space="preserve">in Australia </w:t>
      </w:r>
      <w:r w:rsidR="00C52A5F">
        <w:t xml:space="preserve">is influenced </w:t>
      </w:r>
      <w:r w:rsidR="00E23E0A">
        <w:t xml:space="preserve">by </w:t>
      </w:r>
      <w:r w:rsidR="00F74155">
        <w:t xml:space="preserve">a range of </w:t>
      </w:r>
      <w:r>
        <w:t xml:space="preserve">supply and demand </w:t>
      </w:r>
      <w:r w:rsidR="001446A7">
        <w:t xml:space="preserve">factors </w:t>
      </w:r>
      <w:r>
        <w:t xml:space="preserve">relating </w:t>
      </w:r>
      <w:r w:rsidR="00F74155">
        <w:t xml:space="preserve">to the market, its participants </w:t>
      </w:r>
      <w:r w:rsidR="00CE3CBB">
        <w:t>and/</w:t>
      </w:r>
      <w:r w:rsidR="00F74155">
        <w:t>or the</w:t>
      </w:r>
      <w:r w:rsidR="00C52A5F">
        <w:t xml:space="preserve"> properties of the</w:t>
      </w:r>
      <w:r w:rsidR="00F74155">
        <w:t xml:space="preserve"> chemicals themselves. </w:t>
      </w:r>
      <w:r w:rsidR="00F70B01">
        <w:t>These factors can be grouped into ‘barriers’ – those aspects that restrict or prevent supply or demand – or ‘drivers’ – those aspects of the market that support demand or supply.</w:t>
      </w:r>
    </w:p>
    <w:p w:rsidR="00CA7F28" w:rsidRDefault="00CD66D0" w:rsidP="00A31D56">
      <w:r>
        <w:t xml:space="preserve">This report identifies </w:t>
      </w:r>
      <w:r w:rsidR="002E1FE5">
        <w:t xml:space="preserve">12 </w:t>
      </w:r>
      <w:r w:rsidR="00CA7F28">
        <w:t xml:space="preserve">broad categories of </w:t>
      </w:r>
      <w:r w:rsidR="00F70B01">
        <w:t xml:space="preserve">barriers </w:t>
      </w:r>
      <w:r w:rsidR="00D81AAC">
        <w:t xml:space="preserve">and </w:t>
      </w:r>
      <w:r w:rsidR="00F70B01">
        <w:t>drivers</w:t>
      </w:r>
      <w:r w:rsidR="00CA7F28">
        <w:t xml:space="preserve">, </w:t>
      </w:r>
      <w:r>
        <w:t xml:space="preserve">which are summarised </w:t>
      </w:r>
      <w:r w:rsidR="00CA7F28">
        <w:t xml:space="preserve">in </w:t>
      </w:r>
      <w:r w:rsidR="00DA0AED">
        <w:fldChar w:fldCharType="begin"/>
      </w:r>
      <w:r w:rsidR="00DA0AED">
        <w:instrText xml:space="preserve"> REF _Ref4699517 \h </w:instrText>
      </w:r>
      <w:r w:rsidR="00DA0AED">
        <w:fldChar w:fldCharType="separate"/>
      </w:r>
      <w:r w:rsidR="00D82E3C">
        <w:t xml:space="preserve">Figure </w:t>
      </w:r>
      <w:r w:rsidR="00D82E3C">
        <w:rPr>
          <w:noProof/>
        </w:rPr>
        <w:t>2</w:t>
      </w:r>
      <w:r w:rsidR="00D82E3C">
        <w:t>.</w:t>
      </w:r>
      <w:r w:rsidR="00D82E3C">
        <w:rPr>
          <w:noProof/>
        </w:rPr>
        <w:t>1</w:t>
      </w:r>
      <w:r w:rsidR="00DA0AED">
        <w:fldChar w:fldCharType="end"/>
      </w:r>
      <w:r w:rsidR="00CA7F28">
        <w:t xml:space="preserve">. </w:t>
      </w:r>
      <w:r w:rsidR="00D763B3">
        <w:t>Of these, t</w:t>
      </w:r>
      <w:r w:rsidR="00CA7F28">
        <w:t xml:space="preserve">his </w:t>
      </w:r>
      <w:r>
        <w:t xml:space="preserve">chapter </w:t>
      </w:r>
      <w:r w:rsidR="00CA7F28">
        <w:t>describes the</w:t>
      </w:r>
      <w:r w:rsidR="00D763B3">
        <w:t xml:space="preserve"> five</w:t>
      </w:r>
      <w:r w:rsidR="00CA7F28">
        <w:t xml:space="preserve"> </w:t>
      </w:r>
      <w:r>
        <w:t xml:space="preserve">‘priority’ </w:t>
      </w:r>
      <w:r w:rsidR="00F70B01">
        <w:t>barriers</w:t>
      </w:r>
      <w:r w:rsidR="00CA7F28">
        <w:t xml:space="preserve"> </w:t>
      </w:r>
      <w:r w:rsidR="00F70B01">
        <w:t xml:space="preserve">and drivers </w:t>
      </w:r>
      <w:r w:rsidR="00CA7F28">
        <w:t xml:space="preserve">that </w:t>
      </w:r>
      <w:r>
        <w:t xml:space="preserve">appear to have </w:t>
      </w:r>
      <w:r w:rsidR="00CA7F28">
        <w:t xml:space="preserve">the most significant impact on </w:t>
      </w:r>
      <w:r>
        <w:t xml:space="preserve">access to </w:t>
      </w:r>
      <w:r w:rsidR="00CA7F28">
        <w:t>novel agvet chemicals</w:t>
      </w:r>
      <w:r>
        <w:t xml:space="preserve"> in Australia (bolded green </w:t>
      </w:r>
      <w:r w:rsidR="00C75A46">
        <w:t xml:space="preserve">and blue </w:t>
      </w:r>
      <w:r>
        <w:t xml:space="preserve">in </w:t>
      </w:r>
      <w:r w:rsidR="007D1E52">
        <w:fldChar w:fldCharType="begin"/>
      </w:r>
      <w:r w:rsidR="007D1E52">
        <w:instrText xml:space="preserve"> REF _Ref4699517 \h </w:instrText>
      </w:r>
      <w:r w:rsidR="007D1E52">
        <w:fldChar w:fldCharType="separate"/>
      </w:r>
      <w:r w:rsidR="007D1E52">
        <w:t xml:space="preserve">Figure </w:t>
      </w:r>
      <w:r w:rsidR="007D1E52">
        <w:rPr>
          <w:noProof/>
        </w:rPr>
        <w:t>2</w:t>
      </w:r>
      <w:r w:rsidR="007D1E52">
        <w:t>.</w:t>
      </w:r>
      <w:r w:rsidR="007D1E52">
        <w:rPr>
          <w:noProof/>
        </w:rPr>
        <w:t>1</w:t>
      </w:r>
      <w:r w:rsidR="007D1E52">
        <w:fldChar w:fldCharType="end"/>
      </w:r>
      <w:r>
        <w:t>)</w:t>
      </w:r>
      <w:r w:rsidR="00CA7F28">
        <w:t xml:space="preserve">, and those </w:t>
      </w:r>
      <w:r w:rsidR="0044684E">
        <w:t xml:space="preserve">that </w:t>
      </w:r>
      <w:r w:rsidR="00823083" w:rsidRPr="00034C03">
        <w:t xml:space="preserve">the </w:t>
      </w:r>
      <w:r>
        <w:t>Australian G</w:t>
      </w:r>
      <w:r w:rsidR="00823083" w:rsidRPr="00246AA0">
        <w:t xml:space="preserve">overnment </w:t>
      </w:r>
      <w:r w:rsidR="00CA7F28" w:rsidRPr="00246AA0">
        <w:t>is reasonably</w:t>
      </w:r>
      <w:r w:rsidR="00CA7F28" w:rsidRPr="00034C03">
        <w:t xml:space="preserve"> able to</w:t>
      </w:r>
      <w:r w:rsidR="000877D9" w:rsidRPr="00034C03">
        <w:t xml:space="preserve"> </w:t>
      </w:r>
      <w:r>
        <w:t>influence</w:t>
      </w:r>
      <w:r w:rsidR="00065481">
        <w:t xml:space="preserve"> through policy decisions or regulatory reforms</w:t>
      </w:r>
      <w:r>
        <w:t xml:space="preserve"> (bolded blue)</w:t>
      </w:r>
      <w:r w:rsidR="00823083">
        <w:t>.</w:t>
      </w:r>
      <w:r w:rsidR="007457B9">
        <w:t xml:space="preserve"> </w:t>
      </w:r>
      <w:r w:rsidR="00D81AAC">
        <w:t>The remaining</w:t>
      </w:r>
      <w:r w:rsidR="00CA7F28">
        <w:t xml:space="preserve"> barriers and drivers </w:t>
      </w:r>
      <w:r w:rsidR="00FC02FC">
        <w:t xml:space="preserve">identified </w:t>
      </w:r>
      <w:r w:rsidR="000462AE">
        <w:t xml:space="preserve">through this review </w:t>
      </w:r>
      <w:r w:rsidR="00FC02FC">
        <w:t xml:space="preserve">are </w:t>
      </w:r>
      <w:r>
        <w:t xml:space="preserve">described in more detail in </w:t>
      </w:r>
      <w:r w:rsidR="00FC02FC">
        <w:t xml:space="preserve">Appendix </w:t>
      </w:r>
      <w:r w:rsidR="00FE6A25">
        <w:t>C.</w:t>
      </w:r>
    </w:p>
    <w:p w:rsidR="004A7A11" w:rsidRDefault="00FD3831" w:rsidP="00FD3831">
      <w:pPr>
        <w:pStyle w:val="Caption"/>
      </w:pPr>
      <w:bookmarkStart w:id="160" w:name="_Ref4699517"/>
      <w:bookmarkStart w:id="161" w:name="_Toc4545006"/>
      <w:bookmarkStart w:id="162" w:name="_Toc2336571"/>
      <w:r>
        <w:t xml:space="preserve">Figure </w:t>
      </w:r>
      <w:r w:rsidR="00AD067E">
        <w:fldChar w:fldCharType="begin"/>
      </w:r>
      <w:r w:rsidR="00AD067E">
        <w:instrText xml:space="preserve"> STYLEREF 1 \s </w:instrText>
      </w:r>
      <w:r w:rsidR="00AD067E">
        <w:fldChar w:fldCharType="separate"/>
      </w:r>
      <w:r w:rsidR="00D82E3C">
        <w:rPr>
          <w:noProof/>
        </w:rPr>
        <w:t>2</w:t>
      </w:r>
      <w:r w:rsidR="00AD067E">
        <w:fldChar w:fldCharType="end"/>
      </w:r>
      <w:r w:rsidR="00AD067E">
        <w:t>.</w:t>
      </w:r>
      <w:r w:rsidR="00AD067E">
        <w:fldChar w:fldCharType="begin"/>
      </w:r>
      <w:r w:rsidR="00AD067E">
        <w:instrText xml:space="preserve"> SEQ Figure \* ARABIC \s 1 </w:instrText>
      </w:r>
      <w:r w:rsidR="00AD067E">
        <w:fldChar w:fldCharType="separate"/>
      </w:r>
      <w:r w:rsidR="00D82E3C">
        <w:rPr>
          <w:noProof/>
        </w:rPr>
        <w:t>1</w:t>
      </w:r>
      <w:r w:rsidR="00AD067E">
        <w:fldChar w:fldCharType="end"/>
      </w:r>
      <w:bookmarkEnd w:id="160"/>
      <w:r w:rsidR="00E12256">
        <w:t>:</w:t>
      </w:r>
      <w:r>
        <w:t xml:space="preserve"> </w:t>
      </w:r>
      <w:r w:rsidR="00B63D81">
        <w:t>Novel agvet chemicals market d</w:t>
      </w:r>
      <w:r>
        <w:t xml:space="preserve">rivers </w:t>
      </w:r>
      <w:r w:rsidR="00B63D81">
        <w:t>and barrier</w:t>
      </w:r>
      <w:bookmarkEnd w:id="161"/>
      <w:bookmarkEnd w:id="162"/>
    </w:p>
    <w:p w:rsidR="00870439" w:rsidRDefault="00B63D81" w:rsidP="00870439">
      <w:r w:rsidRPr="00EC481D">
        <w:rPr>
          <w:noProof/>
          <w:sz w:val="30"/>
          <w:szCs w:val="30"/>
          <w:lang w:eastAsia="en-AU"/>
        </w:rPr>
        <w:drawing>
          <wp:inline distT="0" distB="0" distL="0" distR="0" wp14:anchorId="2A0CDE7F" wp14:editId="3FE4794A">
            <wp:extent cx="6312535" cy="3419750"/>
            <wp:effectExtent l="19050" t="247650" r="12065" b="276225"/>
            <wp:docPr id="11" name="Diagram 11" descr="This figure describes the drivers and barriers identified that support the market for novel agvet chemicals. The figure is split into 4 quadrants with individual drivers or barriers populating each quadrant." title="Figur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4010E" w:rsidRDefault="0084010E">
      <w:pPr>
        <w:spacing w:after="0"/>
      </w:pPr>
      <w:r>
        <w:br w:type="page"/>
      </w:r>
    </w:p>
    <w:p w:rsidR="00FE5E5A" w:rsidRDefault="00FE5E5A" w:rsidP="00340B57">
      <w:pPr>
        <w:pStyle w:val="Heading2"/>
      </w:pPr>
      <w:bookmarkStart w:id="163" w:name="_Toc3547996"/>
      <w:bookmarkStart w:id="164" w:name="_Toc536199042"/>
      <w:bookmarkStart w:id="165" w:name="_Toc536199581"/>
      <w:bookmarkStart w:id="166" w:name="_Toc536202306"/>
      <w:bookmarkStart w:id="167" w:name="_Toc12024317"/>
      <w:bookmarkStart w:id="168" w:name="_Toc14107325"/>
      <w:bookmarkStart w:id="169" w:name="_Toc6413744"/>
      <w:bookmarkStart w:id="170" w:name="_Toc2336607"/>
      <w:bookmarkStart w:id="171" w:name="_Toc4449540"/>
      <w:bookmarkStart w:id="172" w:name="_Toc4545430"/>
      <w:bookmarkStart w:id="173" w:name="_Toc4586256"/>
      <w:bookmarkStart w:id="174" w:name="_Toc4672728"/>
      <w:bookmarkStart w:id="175" w:name="_Toc4764875"/>
      <w:bookmarkStart w:id="176" w:name="_Toc536199049"/>
      <w:bookmarkStart w:id="177" w:name="_Toc536199588"/>
      <w:bookmarkStart w:id="178" w:name="_Toc536202313"/>
      <w:bookmarkStart w:id="179" w:name="_Toc866254"/>
      <w:bookmarkStart w:id="180" w:name="_Toc955523"/>
      <w:bookmarkStart w:id="181" w:name="_Toc1057234"/>
      <w:bookmarkEnd w:id="163"/>
      <w:bookmarkEnd w:id="164"/>
      <w:bookmarkEnd w:id="165"/>
      <w:bookmarkEnd w:id="166"/>
      <w:r>
        <w:t>Barriers</w:t>
      </w:r>
      <w:bookmarkEnd w:id="167"/>
      <w:bookmarkEnd w:id="168"/>
    </w:p>
    <w:p w:rsidR="004A7A11" w:rsidRDefault="00D83FE8" w:rsidP="00B000CC">
      <w:r>
        <w:t xml:space="preserve">The </w:t>
      </w:r>
      <w:r w:rsidR="00B000CC">
        <w:t xml:space="preserve">three </w:t>
      </w:r>
      <w:r>
        <w:t xml:space="preserve">priority barriers </w:t>
      </w:r>
      <w:r w:rsidR="0044684E">
        <w:t xml:space="preserve">to </w:t>
      </w:r>
      <w:r>
        <w:t xml:space="preserve">novel agvet chemical </w:t>
      </w:r>
      <w:r w:rsidR="00B000CC">
        <w:t xml:space="preserve">access </w:t>
      </w:r>
      <w:r>
        <w:t>in Australia are:</w:t>
      </w:r>
    </w:p>
    <w:p w:rsidR="00D83FE8" w:rsidRDefault="00D83FE8" w:rsidP="00FE6A25">
      <w:pPr>
        <w:pStyle w:val="ListParagraph"/>
        <w:numPr>
          <w:ilvl w:val="0"/>
          <w:numId w:val="23"/>
        </w:numPr>
      </w:pPr>
      <w:r>
        <w:t>The relatively small size and volatility of the Australian market (supply barrier)</w:t>
      </w:r>
    </w:p>
    <w:p w:rsidR="00D83FE8" w:rsidRDefault="00D83FE8" w:rsidP="00FE6A25">
      <w:pPr>
        <w:pStyle w:val="ListParagraph"/>
        <w:numPr>
          <w:ilvl w:val="0"/>
          <w:numId w:val="23"/>
        </w:numPr>
      </w:pPr>
      <w:r>
        <w:t>High research and development</w:t>
      </w:r>
      <w:r w:rsidRPr="00E70E3C">
        <w:t xml:space="preserve"> costs</w:t>
      </w:r>
      <w:r>
        <w:t xml:space="preserve"> to </w:t>
      </w:r>
      <w:r w:rsidR="0044684E">
        <w:t xml:space="preserve">develop new </w:t>
      </w:r>
      <w:r>
        <w:t>agvet chemicals (supply barrier)</w:t>
      </w:r>
    </w:p>
    <w:p w:rsidR="00D83FE8" w:rsidRDefault="00D83FE8" w:rsidP="00FE6A25">
      <w:pPr>
        <w:pStyle w:val="ListParagraph"/>
        <w:numPr>
          <w:ilvl w:val="0"/>
          <w:numId w:val="23"/>
        </w:numPr>
      </w:pPr>
      <w:r>
        <w:t>Cost and time to register agvet chemicals (supply barrier)</w:t>
      </w:r>
    </w:p>
    <w:p w:rsidR="004A7A11" w:rsidRDefault="00E905DD" w:rsidP="00340B57">
      <w:r>
        <w:t>Of these,</w:t>
      </w:r>
      <w:r w:rsidR="004035CE">
        <w:t xml:space="preserve"> the</w:t>
      </w:r>
      <w:r>
        <w:t xml:space="preserve"> </w:t>
      </w:r>
      <w:r w:rsidR="00FE5E5A">
        <w:t xml:space="preserve">most significant barrier is the small size </w:t>
      </w:r>
      <w:r w:rsidR="0000096D">
        <w:t xml:space="preserve">and volatility </w:t>
      </w:r>
      <w:r w:rsidR="00FE5E5A">
        <w:t>of the Australian market</w:t>
      </w:r>
      <w:r w:rsidR="00D763B3">
        <w:t xml:space="preserve">, which distinguishes Australia from most other markets, especially those with whom Australia competes </w:t>
      </w:r>
      <w:r w:rsidR="002A6D1F">
        <w:t>to supply agricultural commodities for international trade.</w:t>
      </w:r>
      <w:r w:rsidR="00D763B3">
        <w:t xml:space="preserve"> By comparison, t</w:t>
      </w:r>
      <w:r w:rsidR="0000096D">
        <w:t>he other</w:t>
      </w:r>
      <w:r>
        <w:t xml:space="preserve"> two</w:t>
      </w:r>
      <w:r w:rsidR="0000096D">
        <w:t xml:space="preserve"> </w:t>
      </w:r>
      <w:r>
        <w:t xml:space="preserve">priority </w:t>
      </w:r>
      <w:r w:rsidR="0000096D">
        <w:t xml:space="preserve">barriers apply to </w:t>
      </w:r>
      <w:r>
        <w:t xml:space="preserve">most </w:t>
      </w:r>
      <w:r w:rsidR="0000096D">
        <w:t>other major markets</w:t>
      </w:r>
      <w:r>
        <w:t xml:space="preserve"> for agvet chemicals. </w:t>
      </w:r>
      <w:r w:rsidR="00DB7A86">
        <w:t>As such, Australia’s small and volatile market for agvet chemicals</w:t>
      </w:r>
      <w:r w:rsidR="00A16F26">
        <w:t xml:space="preserve"> (discussed in section 2.1.1)</w:t>
      </w:r>
      <w:r w:rsidR="00DB7A86">
        <w:t xml:space="preserve"> is likely</w:t>
      </w:r>
      <w:r w:rsidR="00B7669F">
        <w:t xml:space="preserve"> to be</w:t>
      </w:r>
      <w:r w:rsidR="00DB7A86">
        <w:t xml:space="preserve"> a significant factor in some chemical suppliers’ decision</w:t>
      </w:r>
      <w:r w:rsidR="00D51AF9">
        <w:t>s</w:t>
      </w:r>
      <w:r w:rsidR="00DB7A86">
        <w:t xml:space="preserve"> to register products in some markets, but not in Australia.</w:t>
      </w:r>
    </w:p>
    <w:p w:rsidR="00DB3CEC" w:rsidRDefault="00266740" w:rsidP="00340B57">
      <w:pPr>
        <w:pStyle w:val="Heading3"/>
      </w:pPr>
      <w:r w:rsidRPr="00E70E3C">
        <w:t xml:space="preserve">The </w:t>
      </w:r>
      <w:r>
        <w:t xml:space="preserve">relatively small </w:t>
      </w:r>
      <w:r w:rsidRPr="00E70E3C">
        <w:t xml:space="preserve">size </w:t>
      </w:r>
      <w:r w:rsidR="0091217B">
        <w:t xml:space="preserve">and volatility </w:t>
      </w:r>
      <w:r w:rsidRPr="00E70E3C">
        <w:t>of the Australian market</w:t>
      </w:r>
      <w:bookmarkEnd w:id="169"/>
    </w:p>
    <w:p w:rsidR="00266740" w:rsidRPr="00335D1F" w:rsidRDefault="00266740" w:rsidP="00266740">
      <w:r>
        <w:t>Australia is a relatively small market for agvet chemicals. According to the OECD, Australia accounts for less than 5</w:t>
      </w:r>
      <w:r w:rsidR="00685D79">
        <w:t> </w:t>
      </w:r>
      <w:r w:rsidR="00B7669F">
        <w:t>per cent</w:t>
      </w:r>
      <w:r>
        <w:t xml:space="preserve"> of the volume of agricultural chemical sales across its member states</w:t>
      </w:r>
      <w:r w:rsidR="0030631E">
        <w:t xml:space="preserve"> </w:t>
      </w:r>
      <w:r w:rsidR="00967C04">
        <w:rPr>
          <w:rFonts w:cs="Times New Roman"/>
          <w:szCs w:val="24"/>
        </w:rPr>
        <w:t>(OECD 2019</w:t>
      </w:r>
      <w:r w:rsidR="00EE4CBB" w:rsidRPr="00EE4CBB">
        <w:rPr>
          <w:rFonts w:cs="Times New Roman"/>
          <w:szCs w:val="24"/>
        </w:rPr>
        <w:t>)</w:t>
      </w:r>
      <w:r w:rsidR="0030631E">
        <w:rPr>
          <w:rFonts w:cs="Times New Roman"/>
          <w:szCs w:val="24"/>
        </w:rPr>
        <w:t>.</w:t>
      </w:r>
      <w:r>
        <w:t xml:space="preserve"> Sales in Australia are dwarfed by those </w:t>
      </w:r>
      <w:r w:rsidR="00D51AF9">
        <w:t xml:space="preserve">in </w:t>
      </w:r>
      <w:r w:rsidR="0044684E">
        <w:t xml:space="preserve">the </w:t>
      </w:r>
      <w:r>
        <w:t>US and EU</w:t>
      </w:r>
      <w:r w:rsidR="004B0E97">
        <w:t xml:space="preserve"> (although the EU is treated as a single market, some active constituents and products do require </w:t>
      </w:r>
      <w:r w:rsidR="004B0E97">
        <w:rPr>
          <w:rFonts w:eastAsia="Verdana" w:cs="Verdana"/>
        </w:rPr>
        <w:t>both EU and national-</w:t>
      </w:r>
      <w:r w:rsidR="004B0E97" w:rsidRPr="7D2CA7B5">
        <w:rPr>
          <w:rFonts w:eastAsia="Verdana" w:cs="Verdana"/>
        </w:rPr>
        <w:t>level authorisation</w:t>
      </w:r>
      <w:r w:rsidR="004B0E97">
        <w:t>)</w:t>
      </w:r>
      <w:r>
        <w:t xml:space="preserve">, which are each around </w:t>
      </w:r>
      <w:r w:rsidR="00D51AF9">
        <w:t>seven</w:t>
      </w:r>
      <w:r>
        <w:t> times that of Australia</w:t>
      </w:r>
      <w:r w:rsidR="005222C3">
        <w:t xml:space="preserve"> (Figure 2.2)</w:t>
      </w:r>
      <w:r>
        <w:t>.</w:t>
      </w:r>
      <w:r w:rsidR="00D763B3">
        <w:t xml:space="preserve"> </w:t>
      </w:r>
      <w:r>
        <w:t xml:space="preserve">This is </w:t>
      </w:r>
      <w:r w:rsidR="0096407F">
        <w:t>largely</w:t>
      </w:r>
      <w:r>
        <w:t xml:space="preserve"> because Australia accounts for a small share of global </w:t>
      </w:r>
      <w:r w:rsidR="00385E21">
        <w:t>cropping</w:t>
      </w:r>
      <w:r>
        <w:t xml:space="preserve">. </w:t>
      </w:r>
      <w:r w:rsidR="00385E21">
        <w:t>Australia’s share of the global value of crops was estimated at just 1.0</w:t>
      </w:r>
      <w:r w:rsidR="00D454B1">
        <w:t xml:space="preserve"> </w:t>
      </w:r>
      <w:r w:rsidR="00B7669F">
        <w:t>per cent</w:t>
      </w:r>
      <w:r w:rsidR="00385E21">
        <w:t xml:space="preserve"> in 2016</w:t>
      </w:r>
      <w:r w:rsidR="0030631E">
        <w:t xml:space="preserve"> </w:t>
      </w:r>
      <w:r w:rsidR="00EE4CBB" w:rsidRPr="00EE4CBB">
        <w:t>(</w:t>
      </w:r>
      <w:r w:rsidR="00967C04">
        <w:t>FAO 2019</w:t>
      </w:r>
      <w:r w:rsidR="00EE4CBB" w:rsidRPr="00EE4CBB">
        <w:t>)</w:t>
      </w:r>
      <w:r w:rsidR="0030631E">
        <w:t>.</w:t>
      </w:r>
    </w:p>
    <w:p w:rsidR="00266740" w:rsidRDefault="00266740" w:rsidP="00266740">
      <w:pPr>
        <w:pStyle w:val="Caption"/>
      </w:pPr>
      <w:r>
        <w:t xml:space="preserve">Figure </w:t>
      </w:r>
      <w:r w:rsidR="00AD067E">
        <w:fldChar w:fldCharType="begin"/>
      </w:r>
      <w:r w:rsidR="00AD067E">
        <w:instrText xml:space="preserve"> STYLEREF 1 \s </w:instrText>
      </w:r>
      <w:r w:rsidR="00AD067E">
        <w:fldChar w:fldCharType="separate"/>
      </w:r>
      <w:r w:rsidR="00D82E3C">
        <w:rPr>
          <w:noProof/>
        </w:rPr>
        <w:t>2</w:t>
      </w:r>
      <w:r w:rsidR="00AD067E">
        <w:fldChar w:fldCharType="end"/>
      </w:r>
      <w:r w:rsidR="00AD067E">
        <w:t>.</w:t>
      </w:r>
      <w:r w:rsidR="00AD067E">
        <w:fldChar w:fldCharType="begin"/>
      </w:r>
      <w:r w:rsidR="00AD067E">
        <w:instrText xml:space="preserve"> SEQ Figure \* ARABIC \s 1 </w:instrText>
      </w:r>
      <w:r w:rsidR="00AD067E">
        <w:fldChar w:fldCharType="separate"/>
      </w:r>
      <w:r w:rsidR="00D82E3C">
        <w:rPr>
          <w:noProof/>
        </w:rPr>
        <w:t>2</w:t>
      </w:r>
      <w:r w:rsidR="00AD067E">
        <w:fldChar w:fldCharType="end"/>
      </w:r>
      <w:r>
        <w:t>: Annual agricultural chemicals sales ‘000 tonnes of active ingredient, top 10 regions.</w:t>
      </w:r>
    </w:p>
    <w:p w:rsidR="00266740" w:rsidRDefault="00266740" w:rsidP="00266740">
      <w:r>
        <w:rPr>
          <w:noProof/>
          <w:lang w:eastAsia="en-AU"/>
        </w:rPr>
        <w:drawing>
          <wp:inline distT="0" distB="0" distL="0" distR="0" wp14:anchorId="52E794B3" wp14:editId="77537DA0">
            <wp:extent cx="5524500" cy="2194560"/>
            <wp:effectExtent l="0" t="0" r="0" b="0"/>
            <wp:docPr id="4" name="Chart 4" descr="This figure lists the top ten regions for agricultural chemical sales. The US is the largest at around 400,000 tonnes, followed by the EU at 360,000 tonnes. Australia is the 6th largest, at 100,000 tonnes." title="Figur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6740" w:rsidRPr="00330877" w:rsidRDefault="00266740" w:rsidP="00340B57">
      <w:pPr>
        <w:pStyle w:val="Source"/>
      </w:pPr>
      <w:r>
        <w:t xml:space="preserve">Source: </w:t>
      </w:r>
      <w:r w:rsidR="00967C04">
        <w:rPr>
          <w:rFonts w:cs="Times New Roman"/>
          <w:szCs w:val="24"/>
        </w:rPr>
        <w:t>OECD (2019)</w:t>
      </w:r>
    </w:p>
    <w:p w:rsidR="004A7A11" w:rsidRDefault="00B63F93" w:rsidP="00B63F93">
      <w:bookmarkStart w:id="182" w:name="_Toc2336598"/>
      <w:bookmarkStart w:id="183" w:name="_Toc4449535"/>
      <w:bookmarkStart w:id="184" w:name="_Toc4545425"/>
      <w:bookmarkEnd w:id="182"/>
      <w:bookmarkEnd w:id="183"/>
      <w:bookmarkEnd w:id="184"/>
      <w:r>
        <w:t>Australia also accounts for a small proportion of global livestock production (</w:t>
      </w:r>
      <w:r>
        <w:fldChar w:fldCharType="begin"/>
      </w:r>
      <w:r>
        <w:instrText xml:space="preserve"> REF _Ref2157002 \h </w:instrText>
      </w:r>
      <w:r>
        <w:fldChar w:fldCharType="separate"/>
      </w:r>
      <w:r w:rsidR="00D82E3C">
        <w:t xml:space="preserve">Figure </w:t>
      </w:r>
      <w:r w:rsidR="00D82E3C">
        <w:rPr>
          <w:noProof/>
        </w:rPr>
        <w:t>2</w:t>
      </w:r>
      <w:r w:rsidR="00D82E3C">
        <w:t>.</w:t>
      </w:r>
      <w:r w:rsidR="00D82E3C">
        <w:rPr>
          <w:noProof/>
        </w:rPr>
        <w:t>3</w:t>
      </w:r>
      <w:r>
        <w:fldChar w:fldCharType="end"/>
      </w:r>
      <w:r>
        <w:t>) with just 3.5</w:t>
      </w:r>
      <w:r w:rsidR="00D454B1">
        <w:t xml:space="preserve"> </w:t>
      </w:r>
      <w:r w:rsidR="00B7669F">
        <w:t>per cent</w:t>
      </w:r>
      <w:r>
        <w:t xml:space="preserve"> of the world’s </w:t>
      </w:r>
      <w:r w:rsidR="00086391">
        <w:t xml:space="preserve">ovine (sheep and goat) </w:t>
      </w:r>
      <w:r>
        <w:t>population and 1.7</w:t>
      </w:r>
      <w:r w:rsidR="00D454B1">
        <w:t xml:space="preserve"> </w:t>
      </w:r>
      <w:r w:rsidR="00B7669F">
        <w:t>per cent</w:t>
      </w:r>
      <w:r>
        <w:t xml:space="preserve"> of the </w:t>
      </w:r>
      <w:r w:rsidR="00086391">
        <w:t xml:space="preserve">bovine (cattle and buffalo) </w:t>
      </w:r>
      <w:r>
        <w:t xml:space="preserve">population. Australia’s pig and poultry animals </w:t>
      </w:r>
      <w:r w:rsidR="00B0475D">
        <w:t xml:space="preserve">make up </w:t>
      </w:r>
      <w:r>
        <w:t>less than 0.5</w:t>
      </w:r>
      <w:r w:rsidR="00D454B1">
        <w:t xml:space="preserve"> </w:t>
      </w:r>
      <w:r w:rsidR="00B7669F">
        <w:t>per cent</w:t>
      </w:r>
      <w:r>
        <w:t xml:space="preserve"> of the world total</w:t>
      </w:r>
      <w:r w:rsidR="007C7C43">
        <w:t xml:space="preserve"> </w:t>
      </w:r>
      <w:r w:rsidR="00EE4CBB" w:rsidRPr="00EE4CBB">
        <w:t>(</w:t>
      </w:r>
      <w:r w:rsidR="00967C04">
        <w:t>FAO 2019</w:t>
      </w:r>
      <w:r w:rsidR="00EE4CBB" w:rsidRPr="00EE4CBB">
        <w:t>)</w:t>
      </w:r>
      <w:r w:rsidR="007C7C43">
        <w:t>.</w:t>
      </w:r>
      <w:r>
        <w:t xml:space="preserve"> This indicates Australia is also a small market for veterinary medicines.</w:t>
      </w:r>
    </w:p>
    <w:p w:rsidR="004A7A11" w:rsidRDefault="00B0475D" w:rsidP="000C1B02">
      <w:pPr>
        <w:keepNext/>
        <w:widowControl w:val="0"/>
      </w:pPr>
      <w:r>
        <w:t xml:space="preserve">Within livestock classes in Australia, </w:t>
      </w:r>
      <w:r w:rsidR="004035CE">
        <w:t>species typically differ by area</w:t>
      </w:r>
      <w:r w:rsidR="00D51AF9">
        <w:t>,</w:t>
      </w:r>
      <w:r>
        <w:t xml:space="preserve"> </w:t>
      </w:r>
      <w:r w:rsidR="004035CE">
        <w:t xml:space="preserve">which </w:t>
      </w:r>
      <w:r>
        <w:t xml:space="preserve">can further reduce the potential market size for some veterinary medicines. </w:t>
      </w:r>
      <w:r w:rsidR="001879F2">
        <w:t>Similarly, p</w:t>
      </w:r>
      <w:r w:rsidR="00B63F93">
        <w:t xml:space="preserve">est and disease pressures </w:t>
      </w:r>
      <w:r>
        <w:t xml:space="preserve">can differ between northern and southern </w:t>
      </w:r>
      <w:r w:rsidR="001879F2">
        <w:t>Australia</w:t>
      </w:r>
      <w:r>
        <w:t xml:space="preserve">, or between high rainfall and semi-arid regions. </w:t>
      </w:r>
      <w:r w:rsidR="00C77E53">
        <w:t xml:space="preserve">This means that some </w:t>
      </w:r>
      <w:r>
        <w:t xml:space="preserve">parts of Australia will </w:t>
      </w:r>
      <w:r w:rsidR="00C77E53">
        <w:t xml:space="preserve">have </w:t>
      </w:r>
      <w:r w:rsidR="00B63F93">
        <w:t>specific demands for veterinary medicines</w:t>
      </w:r>
      <w:r w:rsidR="00EE4CBB">
        <w:t xml:space="preserve"> </w:t>
      </w:r>
      <w:r w:rsidR="00967C04">
        <w:rPr>
          <w:rFonts w:cs="Times New Roman"/>
          <w:szCs w:val="24"/>
        </w:rPr>
        <w:t>(OIE 2019a, 2019b</w:t>
      </w:r>
      <w:r w:rsidR="005B6C3D" w:rsidRPr="005B6C3D">
        <w:rPr>
          <w:rFonts w:cs="Times New Roman"/>
          <w:szCs w:val="24"/>
        </w:rPr>
        <w:t>)</w:t>
      </w:r>
      <w:r w:rsidR="00B63F93">
        <w:t xml:space="preserve">. </w:t>
      </w:r>
      <w:r w:rsidR="00086391">
        <w:t>For example, d</w:t>
      </w:r>
      <w:r w:rsidR="00B63F93">
        <w:t xml:space="preserve">ifferences </w:t>
      </w:r>
      <w:r w:rsidR="00D51AF9">
        <w:t>in</w:t>
      </w:r>
      <w:r>
        <w:t xml:space="preserve"> treatments may be required within </w:t>
      </w:r>
      <w:r w:rsidR="00086391">
        <w:t xml:space="preserve">breeds grown in different regions, such as </w:t>
      </w:r>
      <w:proofErr w:type="spellStart"/>
      <w:r w:rsidR="00B63F93" w:rsidRPr="007F60E3">
        <w:rPr>
          <w:i/>
        </w:rPr>
        <w:t>bos</w:t>
      </w:r>
      <w:proofErr w:type="spellEnd"/>
      <w:r w:rsidR="00B63F93" w:rsidRPr="007F60E3">
        <w:rPr>
          <w:i/>
        </w:rPr>
        <w:t xml:space="preserve"> </w:t>
      </w:r>
      <w:proofErr w:type="spellStart"/>
      <w:r w:rsidR="00B63F93" w:rsidRPr="007F60E3">
        <w:rPr>
          <w:i/>
        </w:rPr>
        <w:t>indicus</w:t>
      </w:r>
      <w:proofErr w:type="spellEnd"/>
      <w:r w:rsidR="00B63F93">
        <w:t xml:space="preserve"> cattle in northern Australia </w:t>
      </w:r>
      <w:r w:rsidR="00086391">
        <w:t xml:space="preserve">and </w:t>
      </w:r>
      <w:proofErr w:type="spellStart"/>
      <w:r w:rsidR="00B63F93" w:rsidRPr="007F60E3">
        <w:rPr>
          <w:i/>
        </w:rPr>
        <w:t>bos</w:t>
      </w:r>
      <w:proofErr w:type="spellEnd"/>
      <w:r w:rsidR="00FE0E25">
        <w:rPr>
          <w:i/>
        </w:rPr>
        <w:t xml:space="preserve"> </w:t>
      </w:r>
      <w:proofErr w:type="spellStart"/>
      <w:proofErr w:type="gramStart"/>
      <w:r w:rsidR="00FE0E25">
        <w:rPr>
          <w:i/>
        </w:rPr>
        <w:t>t</w:t>
      </w:r>
      <w:r w:rsidR="00B63F93" w:rsidRPr="007F60E3">
        <w:rPr>
          <w:i/>
        </w:rPr>
        <w:t>aurus</w:t>
      </w:r>
      <w:proofErr w:type="spellEnd"/>
      <w:proofErr w:type="gramEnd"/>
      <w:r w:rsidR="00B63F93">
        <w:t xml:space="preserve"> cattle in southern regions.</w:t>
      </w:r>
      <w:r w:rsidR="00086391">
        <w:t xml:space="preserve"> </w:t>
      </w:r>
      <w:proofErr w:type="spellStart"/>
      <w:r w:rsidR="00086391">
        <w:rPr>
          <w:i/>
        </w:rPr>
        <w:t>Bos</w:t>
      </w:r>
      <w:proofErr w:type="spellEnd"/>
      <w:r w:rsidR="00086391">
        <w:rPr>
          <w:i/>
        </w:rPr>
        <w:t xml:space="preserve"> </w:t>
      </w:r>
      <w:proofErr w:type="spellStart"/>
      <w:r w:rsidR="00086391">
        <w:rPr>
          <w:i/>
        </w:rPr>
        <w:t>indicus</w:t>
      </w:r>
      <w:proofErr w:type="spellEnd"/>
      <w:r w:rsidR="00086391">
        <w:rPr>
          <w:i/>
        </w:rPr>
        <w:t xml:space="preserve"> </w:t>
      </w:r>
      <w:r w:rsidR="00086391">
        <w:t xml:space="preserve">cattle are more likely to be treated with hormone growth </w:t>
      </w:r>
      <w:proofErr w:type="spellStart"/>
      <w:r w:rsidR="00086391">
        <w:t>promotants</w:t>
      </w:r>
      <w:proofErr w:type="spellEnd"/>
      <w:r w:rsidR="00086391">
        <w:t xml:space="preserve"> than </w:t>
      </w:r>
      <w:proofErr w:type="spellStart"/>
      <w:r w:rsidR="00086391" w:rsidRPr="007F60E3">
        <w:rPr>
          <w:i/>
        </w:rPr>
        <w:t>bos</w:t>
      </w:r>
      <w:proofErr w:type="spellEnd"/>
      <w:r w:rsidR="00086391" w:rsidRPr="007F60E3">
        <w:rPr>
          <w:i/>
        </w:rPr>
        <w:t xml:space="preserve"> </w:t>
      </w:r>
      <w:proofErr w:type="spellStart"/>
      <w:proofErr w:type="gramStart"/>
      <w:r w:rsidR="00086391">
        <w:rPr>
          <w:i/>
        </w:rPr>
        <w:t>t</w:t>
      </w:r>
      <w:r w:rsidR="00086391" w:rsidRPr="007F60E3">
        <w:rPr>
          <w:i/>
        </w:rPr>
        <w:t>aurus</w:t>
      </w:r>
      <w:proofErr w:type="spellEnd"/>
      <w:proofErr w:type="gramEnd"/>
      <w:r w:rsidR="00086391">
        <w:t xml:space="preserve"> cattle</w:t>
      </w:r>
      <w:r w:rsidR="007C7C43">
        <w:t xml:space="preserve"> </w:t>
      </w:r>
      <w:r w:rsidR="005B6C3D" w:rsidRPr="005B6C3D">
        <w:rPr>
          <w:rFonts w:cs="Times New Roman"/>
          <w:szCs w:val="24"/>
        </w:rPr>
        <w:t>(</w:t>
      </w:r>
      <w:r w:rsidR="00967C04">
        <w:rPr>
          <w:rFonts w:cs="Times New Roman"/>
          <w:szCs w:val="24"/>
        </w:rPr>
        <w:t>MLA</w:t>
      </w:r>
      <w:r w:rsidR="005B6C3D" w:rsidRPr="005B6C3D">
        <w:rPr>
          <w:rFonts w:cs="Times New Roman"/>
          <w:szCs w:val="24"/>
        </w:rPr>
        <w:t xml:space="preserve"> 2011)</w:t>
      </w:r>
      <w:r w:rsidR="00086391">
        <w:t>.</w:t>
      </w:r>
      <w:r w:rsidR="007C7C43">
        <w:t xml:space="preserve"> </w:t>
      </w:r>
    </w:p>
    <w:p w:rsidR="00B63F93" w:rsidRDefault="00B63F93" w:rsidP="00B63F93">
      <w:pPr>
        <w:pStyle w:val="Caption"/>
      </w:pPr>
      <w:bookmarkStart w:id="185" w:name="_Ref2157002"/>
      <w:bookmarkStart w:id="186" w:name="_Toc2336568"/>
      <w:bookmarkStart w:id="187" w:name="_Toc4545003"/>
      <w:r>
        <w:t xml:space="preserve">Figure </w:t>
      </w:r>
      <w:r w:rsidR="00AD067E">
        <w:fldChar w:fldCharType="begin"/>
      </w:r>
      <w:r w:rsidR="00AD067E">
        <w:instrText xml:space="preserve"> STYLEREF 1 \s </w:instrText>
      </w:r>
      <w:r w:rsidR="00AD067E">
        <w:fldChar w:fldCharType="separate"/>
      </w:r>
      <w:r w:rsidR="00D82E3C">
        <w:rPr>
          <w:noProof/>
        </w:rPr>
        <w:t>2</w:t>
      </w:r>
      <w:r w:rsidR="00AD067E">
        <w:fldChar w:fldCharType="end"/>
      </w:r>
      <w:r w:rsidR="00AD067E">
        <w:t>.</w:t>
      </w:r>
      <w:r w:rsidR="00AD067E">
        <w:fldChar w:fldCharType="begin"/>
      </w:r>
      <w:r w:rsidR="00AD067E">
        <w:instrText xml:space="preserve"> SEQ Figure \* ARABIC \s 1 </w:instrText>
      </w:r>
      <w:r w:rsidR="00AD067E">
        <w:fldChar w:fldCharType="separate"/>
      </w:r>
      <w:r w:rsidR="00D82E3C">
        <w:rPr>
          <w:noProof/>
        </w:rPr>
        <w:t>3</w:t>
      </w:r>
      <w:r w:rsidR="00AD067E">
        <w:fldChar w:fldCharType="end"/>
      </w:r>
      <w:bookmarkEnd w:id="185"/>
      <w:r>
        <w:t xml:space="preserve"> Australian share of global livestock population by species</w:t>
      </w:r>
      <w:bookmarkEnd w:id="186"/>
      <w:bookmarkEnd w:id="187"/>
    </w:p>
    <w:p w:rsidR="00B63F93" w:rsidRDefault="00B63F93" w:rsidP="00B63F93">
      <w:r>
        <w:rPr>
          <w:noProof/>
          <w:lang w:eastAsia="en-AU"/>
        </w:rPr>
        <w:drawing>
          <wp:inline distT="0" distB="0" distL="0" distR="0" wp14:anchorId="5A4A8E65" wp14:editId="20CEF8F0">
            <wp:extent cx="5455920" cy="2407920"/>
            <wp:effectExtent l="0" t="0" r="0" b="0"/>
            <wp:docPr id="52" name="Chart 52" descr="This Figure lists Australia's share of the world livestock population by species. Cattle and buffalo is 1.75%, pigs and poultry are both less than 0.5%, sheep and goats is around 3.4%." title="Figur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3F93" w:rsidRDefault="00B63F93" w:rsidP="00B63F93">
      <w:pPr>
        <w:pStyle w:val="Source"/>
      </w:pPr>
      <w:r>
        <w:t xml:space="preserve">Source: </w:t>
      </w:r>
      <w:r w:rsidR="00967C04">
        <w:t>FAO (2019)</w:t>
      </w:r>
    </w:p>
    <w:p w:rsidR="004A7A11" w:rsidRDefault="00266740" w:rsidP="00266740">
      <w:r w:rsidRPr="000F344A">
        <w:t>The small size of the market</w:t>
      </w:r>
      <w:r w:rsidR="002E5625">
        <w:t xml:space="preserve"> </w:t>
      </w:r>
      <w:r w:rsidR="00222DEB">
        <w:t xml:space="preserve">limits </w:t>
      </w:r>
      <w:r>
        <w:t xml:space="preserve">the </w:t>
      </w:r>
      <w:r w:rsidRPr="000F344A">
        <w:t xml:space="preserve">potential </w:t>
      </w:r>
      <w:r>
        <w:t>returns</w:t>
      </w:r>
      <w:r w:rsidR="00222DEB">
        <w:t xml:space="preserve"> that chemical producers can generate from registering and subsequently selling </w:t>
      </w:r>
      <w:r w:rsidR="002E5625" w:rsidRPr="000F344A">
        <w:t xml:space="preserve">novel </w:t>
      </w:r>
      <w:r w:rsidR="002E5625">
        <w:t xml:space="preserve">agvet </w:t>
      </w:r>
      <w:r w:rsidR="002E5625" w:rsidRPr="000F344A">
        <w:t>chemical</w:t>
      </w:r>
      <w:r w:rsidR="00D51AF9">
        <w:t xml:space="preserve"> product</w:t>
      </w:r>
      <w:r w:rsidR="00222DEB">
        <w:t>s in Australia</w:t>
      </w:r>
      <w:r w:rsidR="007C7C43">
        <w:t xml:space="preserve"> </w:t>
      </w:r>
      <w:r w:rsidR="00EE4CBB" w:rsidRPr="00EE4CBB">
        <w:t>(Gregg et al. 2010)</w:t>
      </w:r>
      <w:r w:rsidR="007C7C43">
        <w:rPr>
          <w:rFonts w:asciiTheme="majorHAnsi" w:hAnsiTheme="majorHAnsi"/>
        </w:rPr>
        <w:t>.</w:t>
      </w:r>
      <w:r>
        <w:t xml:space="preserve"> </w:t>
      </w:r>
      <w:r w:rsidR="00724B85">
        <w:t xml:space="preserve">A </w:t>
      </w:r>
      <w:r>
        <w:t>survey</w:t>
      </w:r>
      <w:r w:rsidRPr="000F344A">
        <w:t xml:space="preserve"> of </w:t>
      </w:r>
      <w:r>
        <w:t>veterinary</w:t>
      </w:r>
      <w:r w:rsidRPr="000F344A">
        <w:t xml:space="preserve"> medicine manufacturers</w:t>
      </w:r>
      <w:r w:rsidR="00724B85">
        <w:t xml:space="preserve"> found that</w:t>
      </w:r>
      <w:r w:rsidRPr="000F344A">
        <w:t xml:space="preserve"> the most negative aspect of the Australian market </w:t>
      </w:r>
      <w:r w:rsidR="00724B85">
        <w:t xml:space="preserve">was judged </w:t>
      </w:r>
      <w:r w:rsidR="00497FC9">
        <w:t xml:space="preserve">to be </w:t>
      </w:r>
      <w:r w:rsidRPr="000F344A">
        <w:t>its size</w:t>
      </w:r>
      <w:r w:rsidR="00724B85">
        <w:t>,</w:t>
      </w:r>
      <w:r>
        <w:t xml:space="preserve"> </w:t>
      </w:r>
      <w:r w:rsidR="00724B85">
        <w:t xml:space="preserve">with </w:t>
      </w:r>
      <w:r w:rsidRPr="000F344A">
        <w:t>88</w:t>
      </w:r>
      <w:r w:rsidR="00D454B1">
        <w:t xml:space="preserve"> </w:t>
      </w:r>
      <w:r w:rsidR="00B7669F">
        <w:t>per cent</w:t>
      </w:r>
      <w:r w:rsidRPr="000F344A">
        <w:t xml:space="preserve"> </w:t>
      </w:r>
      <w:r>
        <w:t xml:space="preserve">of </w:t>
      </w:r>
      <w:r w:rsidRPr="000F344A">
        <w:t xml:space="preserve">respondents </w:t>
      </w:r>
      <w:r w:rsidR="00724B85">
        <w:t xml:space="preserve">indicating </w:t>
      </w:r>
      <w:r w:rsidRPr="000F344A">
        <w:t>that s</w:t>
      </w:r>
      <w:r>
        <w:t xml:space="preserve">ales were </w:t>
      </w:r>
      <w:r w:rsidR="00724B85">
        <w:t xml:space="preserve">low </w:t>
      </w:r>
      <w:r>
        <w:t>at less than US</w:t>
      </w:r>
      <w:r w:rsidRPr="000F344A">
        <w:t>$100 million</w:t>
      </w:r>
      <w:r w:rsidR="00724B85">
        <w:t xml:space="preserve"> per annum</w:t>
      </w:r>
      <w:r w:rsidR="007C7C43">
        <w:t xml:space="preserve"> </w:t>
      </w:r>
      <w:r w:rsidR="00EE4CBB" w:rsidRPr="00EE4CBB">
        <w:t>(</w:t>
      </w:r>
      <w:proofErr w:type="spellStart"/>
      <w:r w:rsidR="00EE4CBB" w:rsidRPr="00EE4CBB">
        <w:t>HealthforAnimals</w:t>
      </w:r>
      <w:proofErr w:type="spellEnd"/>
      <w:r w:rsidR="00EE4CBB" w:rsidRPr="00EE4CBB">
        <w:t xml:space="preserve"> 2016)</w:t>
      </w:r>
      <w:r w:rsidR="007C7C43">
        <w:rPr>
          <w:rFonts w:asciiTheme="majorHAnsi" w:hAnsiTheme="majorHAnsi"/>
        </w:rPr>
        <w:t>.</w:t>
      </w:r>
      <w:r w:rsidR="002E5625">
        <w:t xml:space="preserve"> </w:t>
      </w:r>
      <w:r>
        <w:t>This is illustrated</w:t>
      </w:r>
      <w:r w:rsidR="007D2068">
        <w:t xml:space="preserve"> for agricultural chemical products and suppliers</w:t>
      </w:r>
      <w:r>
        <w:t xml:space="preserve"> in </w:t>
      </w:r>
      <w:r w:rsidR="00505BE6">
        <w:t xml:space="preserve">Box 1 </w:t>
      </w:r>
      <w:r w:rsidR="00FE6A25">
        <w:t>(details in Appendix D</w:t>
      </w:r>
      <w:r w:rsidR="00891BB4">
        <w:t xml:space="preserve">), which </w:t>
      </w:r>
      <w:r w:rsidR="00505BE6">
        <w:t xml:space="preserve">contains </w:t>
      </w:r>
      <w:r>
        <w:t xml:space="preserve">estimates </w:t>
      </w:r>
      <w:r w:rsidR="00505BE6">
        <w:t xml:space="preserve">of </w:t>
      </w:r>
      <w:r>
        <w:t xml:space="preserve">potential annual </w:t>
      </w:r>
      <w:r w:rsidR="00505BE6">
        <w:t xml:space="preserve">sales of </w:t>
      </w:r>
      <w:r>
        <w:t>selected agvet chemicals</w:t>
      </w:r>
      <w:r w:rsidR="00505BE6">
        <w:t xml:space="preserve"> </w:t>
      </w:r>
      <w:r w:rsidR="00497FC9">
        <w:t xml:space="preserve">that </w:t>
      </w:r>
      <w:r>
        <w:t>are not registered in Australia</w:t>
      </w:r>
      <w:r w:rsidR="00505BE6">
        <w:t>,</w:t>
      </w:r>
      <w:r>
        <w:t xml:space="preserve"> but are registered in the US.</w:t>
      </w:r>
    </w:p>
    <w:p w:rsidR="006A14FD" w:rsidRDefault="006A14FD">
      <w:pPr>
        <w:spacing w:after="0"/>
      </w:pPr>
      <w:r>
        <w:br w:type="page"/>
      </w:r>
    </w:p>
    <w:p w:rsidR="008443CA" w:rsidRDefault="008443CA" w:rsidP="009B7B58">
      <w:pPr>
        <w:spacing w:after="0"/>
      </w:pPr>
    </w:p>
    <w:tbl>
      <w:tblPr>
        <w:tblStyle w:val="GridTable1Light-Accent1"/>
        <w:tblpPr w:leftFromText="180" w:rightFromText="180" w:vertAnchor="text" w:tblpY="1"/>
        <w:tblOverlap w:val="never"/>
        <w:tblW w:w="0" w:type="auto"/>
        <w:tblLook w:val="04A0" w:firstRow="1" w:lastRow="0" w:firstColumn="1" w:lastColumn="0" w:noHBand="0" w:noVBand="1"/>
      </w:tblPr>
      <w:tblGrid>
        <w:gridCol w:w="10083"/>
      </w:tblGrid>
      <w:tr w:rsidR="00BE0F98" w:rsidTr="002906EA">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083" w:type="dxa"/>
          </w:tcPr>
          <w:p w:rsidR="00BE0F98" w:rsidRDefault="00BE0F98" w:rsidP="0007055C">
            <w:pPr>
              <w:pStyle w:val="Caption"/>
            </w:pPr>
            <w:bookmarkStart w:id="188" w:name="_Ref8383909"/>
            <w:r>
              <w:t xml:space="preserve">Box </w:t>
            </w:r>
            <w:r>
              <w:fldChar w:fldCharType="begin"/>
            </w:r>
            <w:r>
              <w:instrText xml:space="preserve"> SEQ Box \* ARABIC </w:instrText>
            </w:r>
            <w:r>
              <w:fldChar w:fldCharType="separate"/>
            </w:r>
            <w:r w:rsidR="00D82E3C">
              <w:rPr>
                <w:noProof/>
              </w:rPr>
              <w:t>1</w:t>
            </w:r>
            <w:r>
              <w:fldChar w:fldCharType="end"/>
            </w:r>
            <w:bookmarkEnd w:id="188"/>
            <w:r>
              <w:t xml:space="preserve"> Assessing the impact of market size on agvet chemicals </w:t>
            </w:r>
            <w:r w:rsidRPr="00194720">
              <w:t>not</w:t>
            </w:r>
            <w:r>
              <w:t xml:space="preserve"> registered in Australia</w:t>
            </w:r>
          </w:p>
          <w:p w:rsidR="00BE0F98" w:rsidRPr="00505BE6" w:rsidRDefault="00BE0F98" w:rsidP="00340B57">
            <w:pPr>
              <w:rPr>
                <w:b w:val="0"/>
              </w:rPr>
            </w:pPr>
            <w:r w:rsidRPr="00505BE6">
              <w:rPr>
                <w:b w:val="0"/>
              </w:rPr>
              <w:t xml:space="preserve">In order to assess the impact that market size has had on manufacturers’ decisions, Deloitte has calculated the potential market size of three agricultural chemicals that are not registered in Australia but are registered in the US. The details of this analysis are outlined in Appendix </w:t>
            </w:r>
            <w:r w:rsidR="00FE6A25">
              <w:rPr>
                <w:b w:val="0"/>
              </w:rPr>
              <w:t>D</w:t>
            </w:r>
            <w:r w:rsidRPr="00505BE6">
              <w:rPr>
                <w:b w:val="0"/>
              </w:rPr>
              <w:t>.</w:t>
            </w:r>
          </w:p>
          <w:p w:rsidR="004A7A11" w:rsidRDefault="002E1FE5" w:rsidP="00340B57">
            <w:pPr>
              <w:rPr>
                <w:b w:val="0"/>
              </w:rPr>
            </w:pPr>
            <w:r w:rsidRPr="005C2405">
              <w:fldChar w:fldCharType="begin"/>
            </w:r>
            <w:r w:rsidRPr="005C2405">
              <w:rPr>
                <w:b w:val="0"/>
              </w:rPr>
              <w:instrText xml:space="preserve"> REF _Ref8383944 \h  \* MERGEFORMAT </w:instrText>
            </w:r>
            <w:r w:rsidRPr="005C2405">
              <w:fldChar w:fldCharType="separate"/>
            </w:r>
            <w:r w:rsidR="00D82E3C" w:rsidRPr="007B7108">
              <w:rPr>
                <w:b w:val="0"/>
              </w:rPr>
              <w:t xml:space="preserve">Table </w:t>
            </w:r>
            <w:r w:rsidR="00D82E3C">
              <w:rPr>
                <w:b w:val="0"/>
                <w:noProof/>
              </w:rPr>
              <w:t>2</w:t>
            </w:r>
            <w:r w:rsidR="00D82E3C" w:rsidRPr="007B7108">
              <w:rPr>
                <w:b w:val="0"/>
                <w:noProof/>
              </w:rPr>
              <w:t>.</w:t>
            </w:r>
            <w:r w:rsidR="00D82E3C">
              <w:rPr>
                <w:b w:val="0"/>
                <w:noProof/>
              </w:rPr>
              <w:t>1</w:t>
            </w:r>
            <w:r w:rsidRPr="005C2405">
              <w:fldChar w:fldCharType="end"/>
            </w:r>
            <w:r>
              <w:rPr>
                <w:b w:val="0"/>
              </w:rPr>
              <w:t xml:space="preserve"> </w:t>
            </w:r>
            <w:r w:rsidR="00BE0F98" w:rsidRPr="00505BE6">
              <w:rPr>
                <w:b w:val="0"/>
              </w:rPr>
              <w:t xml:space="preserve">summarises the findings of this analysis. It demonstrates that the potential market size for each product is significantly higher in the US than it is in Australia. This </w:t>
            </w:r>
            <w:r w:rsidR="002A6D1F">
              <w:rPr>
                <w:b w:val="0"/>
              </w:rPr>
              <w:t>indicates</w:t>
            </w:r>
            <w:r w:rsidR="002A6D1F" w:rsidRPr="00505BE6">
              <w:rPr>
                <w:b w:val="0"/>
              </w:rPr>
              <w:t xml:space="preserve"> </w:t>
            </w:r>
            <w:r w:rsidR="00BE0F98" w:rsidRPr="00505BE6">
              <w:rPr>
                <w:b w:val="0"/>
              </w:rPr>
              <w:t>that potential returns on those products (which is the primary supply driver) are lower in Australia than they are in the US.</w:t>
            </w:r>
          </w:p>
          <w:p w:rsidR="00BE0F98" w:rsidRPr="00505BE6" w:rsidRDefault="00BE0F98" w:rsidP="00340B57">
            <w:pPr>
              <w:rPr>
                <w:b w:val="0"/>
              </w:rPr>
            </w:pPr>
            <w:r w:rsidRPr="00505BE6">
              <w:rPr>
                <w:b w:val="0"/>
              </w:rPr>
              <w:t xml:space="preserve">Because registering a product comes at a cost - industry has estimated that it costs up to $400,000 to satisfy the efficacy requirements alone to register a novel agvet </w:t>
            </w:r>
            <w:r w:rsidRPr="007C7C43">
              <w:rPr>
                <w:b w:val="0"/>
              </w:rPr>
              <w:t>chemical</w:t>
            </w:r>
            <w:r w:rsidR="007C7C43" w:rsidRPr="007C7C43">
              <w:rPr>
                <w:b w:val="0"/>
              </w:rPr>
              <w:t xml:space="preserve"> </w:t>
            </w:r>
            <w:r w:rsidR="00EE4CBB" w:rsidRPr="0030631E">
              <w:rPr>
                <w:b w:val="0"/>
              </w:rPr>
              <w:t>(</w:t>
            </w:r>
            <w:r w:rsidR="00967C04">
              <w:rPr>
                <w:b w:val="0"/>
              </w:rPr>
              <w:t>Department of Agriculture</w:t>
            </w:r>
            <w:r w:rsidR="00EE4CBB" w:rsidRPr="0030631E">
              <w:rPr>
                <w:b w:val="0"/>
              </w:rPr>
              <w:t xml:space="preserve"> 2015</w:t>
            </w:r>
            <w:r w:rsidR="00967C04">
              <w:rPr>
                <w:b w:val="0"/>
              </w:rPr>
              <w:t>b</w:t>
            </w:r>
            <w:r w:rsidR="00EE4CBB" w:rsidRPr="0030631E">
              <w:rPr>
                <w:b w:val="0"/>
              </w:rPr>
              <w:t>)</w:t>
            </w:r>
            <w:r w:rsidRPr="00505BE6">
              <w:rPr>
                <w:b w:val="0"/>
              </w:rPr>
              <w:t xml:space="preserve"> - it would be inherently more difficult to generate a positive return in Australia. Australia’s small market size means that it is </w:t>
            </w:r>
            <w:r w:rsidR="00497FC9">
              <w:rPr>
                <w:b w:val="0"/>
              </w:rPr>
              <w:t>more</w:t>
            </w:r>
            <w:r w:rsidR="00497FC9" w:rsidRPr="00505BE6">
              <w:rPr>
                <w:b w:val="0"/>
              </w:rPr>
              <w:t xml:space="preserve"> </w:t>
            </w:r>
            <w:r w:rsidRPr="00505BE6">
              <w:rPr>
                <w:b w:val="0"/>
              </w:rPr>
              <w:t xml:space="preserve">challenging to generate a positive return on investment in Australia for products such as </w:t>
            </w:r>
            <w:proofErr w:type="spellStart"/>
            <w:r w:rsidRPr="00505BE6">
              <w:rPr>
                <w:b w:val="0"/>
              </w:rPr>
              <w:t>Elumin</w:t>
            </w:r>
            <w:proofErr w:type="spellEnd"/>
            <w:r w:rsidRPr="00505BE6">
              <w:rPr>
                <w:b w:val="0"/>
              </w:rPr>
              <w:t xml:space="preserve"> and SHIELDEX 400SC, which have an estimated potential market size of less than $1 million per year.</w:t>
            </w:r>
          </w:p>
          <w:p w:rsidR="00BE0F98" w:rsidRDefault="00BE0F98" w:rsidP="00340B57">
            <w:pPr>
              <w:pStyle w:val="Caption"/>
              <w:rPr>
                <w:b w:val="0"/>
                <w:bCs w:val="0"/>
              </w:rPr>
            </w:pPr>
            <w:bookmarkStart w:id="189" w:name="_Ref8383944"/>
            <w:r w:rsidRPr="007B7108">
              <w:rPr>
                <w:b w:val="0"/>
              </w:rPr>
              <w:t xml:space="preserve">Table </w:t>
            </w:r>
            <w:r w:rsidRPr="005C2405">
              <w:fldChar w:fldCharType="begin"/>
            </w:r>
            <w:r w:rsidRPr="005C2405">
              <w:rPr>
                <w:b w:val="0"/>
              </w:rPr>
              <w:instrText xml:space="preserve"> STYLEREF 1 \s </w:instrText>
            </w:r>
            <w:r w:rsidRPr="005C2405">
              <w:fldChar w:fldCharType="separate"/>
            </w:r>
            <w:r w:rsidR="00D82E3C">
              <w:rPr>
                <w:b w:val="0"/>
                <w:noProof/>
              </w:rPr>
              <w:t>2</w:t>
            </w:r>
            <w:r w:rsidRPr="005C2405">
              <w:fldChar w:fldCharType="end"/>
            </w:r>
            <w:r w:rsidRPr="007B7108">
              <w:rPr>
                <w:b w:val="0"/>
              </w:rPr>
              <w:t>.</w:t>
            </w:r>
            <w:r w:rsidRPr="005C2405">
              <w:fldChar w:fldCharType="begin"/>
            </w:r>
            <w:r w:rsidRPr="007B7108">
              <w:rPr>
                <w:b w:val="0"/>
              </w:rPr>
              <w:instrText xml:space="preserve"> SEQ Table \* ARABIC \s 1 </w:instrText>
            </w:r>
            <w:r w:rsidRPr="005C2405">
              <w:fldChar w:fldCharType="separate"/>
            </w:r>
            <w:r w:rsidR="00D82E3C">
              <w:rPr>
                <w:b w:val="0"/>
                <w:noProof/>
              </w:rPr>
              <w:t>1</w:t>
            </w:r>
            <w:r w:rsidRPr="005C2405">
              <w:fldChar w:fldCharType="end"/>
            </w:r>
            <w:bookmarkEnd w:id="189"/>
            <w:r w:rsidRPr="007B7108">
              <w:rPr>
                <w:b w:val="0"/>
              </w:rPr>
              <w:t>: Esti</w:t>
            </w:r>
            <w:r w:rsidRPr="007B7108">
              <w:rPr>
                <w:b w:val="0"/>
                <w:bCs w:val="0"/>
              </w:rPr>
              <w:t>mated revenue of agricultural chemical products available in the US, but not Australia (in US$/yr.)</w:t>
            </w:r>
          </w:p>
          <w:tbl>
            <w:tblPr>
              <w:tblStyle w:val="Deloittetable"/>
              <w:tblW w:w="9398" w:type="dxa"/>
              <w:tblLook w:val="04A0" w:firstRow="1" w:lastRow="0" w:firstColumn="1" w:lastColumn="0" w:noHBand="0" w:noVBand="1"/>
            </w:tblPr>
            <w:tblGrid>
              <w:gridCol w:w="1436"/>
              <w:gridCol w:w="1636"/>
              <w:gridCol w:w="916"/>
              <w:gridCol w:w="2736"/>
              <w:gridCol w:w="1814"/>
              <w:gridCol w:w="860"/>
            </w:tblGrid>
            <w:tr w:rsidR="00A604E2" w:rsidRPr="00A604E2" w:rsidTr="00A24225">
              <w:trPr>
                <w:cnfStyle w:val="100000000000" w:firstRow="1" w:lastRow="0" w:firstColumn="0" w:lastColumn="0" w:oddVBand="0" w:evenVBand="0" w:oddHBand="0" w:evenHBand="0" w:firstRowFirstColumn="0" w:firstRowLastColumn="0" w:lastRowFirstColumn="0" w:lastRowLastColumn="0"/>
                <w:cantSplit/>
                <w:trHeight w:val="465"/>
                <w:tblHeader/>
              </w:trPr>
              <w:tc>
                <w:tcPr>
                  <w:tcW w:w="1436" w:type="dxa"/>
                  <w:vMerge w:val="restart"/>
                  <w:noWrap/>
                  <w:vAlign w:val="center"/>
                  <w:hideMark/>
                </w:tcPr>
                <w:p w:rsidR="00A604E2" w:rsidRPr="00A604E2" w:rsidRDefault="00A604E2" w:rsidP="00F171A2">
                  <w:pPr>
                    <w:framePr w:hSpace="180" w:wrap="around" w:vAnchor="text" w:hAnchor="text" w:y="1"/>
                    <w:spacing w:after="0"/>
                    <w:suppressOverlap/>
                    <w:jc w:val="center"/>
                    <w:rPr>
                      <w:rFonts w:eastAsia="Times New Roman" w:cs="Times New Roman"/>
                      <w:b/>
                      <w:bCs/>
                      <w:color w:val="000000"/>
                      <w:szCs w:val="17"/>
                      <w:lang w:eastAsia="en-AU"/>
                    </w:rPr>
                  </w:pPr>
                  <w:r w:rsidRPr="00A604E2">
                    <w:rPr>
                      <w:rFonts w:eastAsia="Times New Roman" w:cs="Times New Roman"/>
                      <w:b/>
                      <w:bCs/>
                      <w:color w:val="000000"/>
                      <w:szCs w:val="17"/>
                      <w:lang w:eastAsia="en-AU"/>
                    </w:rPr>
                    <w:t>Manufacturer</w:t>
                  </w:r>
                </w:p>
              </w:tc>
              <w:tc>
                <w:tcPr>
                  <w:tcW w:w="1636" w:type="dxa"/>
                  <w:vMerge w:val="restart"/>
                  <w:noWrap/>
                  <w:vAlign w:val="center"/>
                  <w:hideMark/>
                </w:tcPr>
                <w:p w:rsidR="00A604E2" w:rsidRPr="00A604E2" w:rsidRDefault="00A604E2" w:rsidP="00F171A2">
                  <w:pPr>
                    <w:framePr w:hSpace="180" w:wrap="around" w:vAnchor="text" w:hAnchor="text" w:y="1"/>
                    <w:spacing w:after="0" w:line="240" w:lineRule="auto"/>
                    <w:suppressOverlap/>
                    <w:jc w:val="center"/>
                    <w:rPr>
                      <w:rFonts w:eastAsia="Times New Roman" w:cs="Times New Roman"/>
                      <w:b/>
                      <w:bCs/>
                      <w:color w:val="000000"/>
                      <w:szCs w:val="17"/>
                      <w:lang w:eastAsia="en-AU"/>
                    </w:rPr>
                  </w:pPr>
                  <w:r w:rsidRPr="00A604E2">
                    <w:rPr>
                      <w:rFonts w:eastAsia="Times New Roman" w:cs="Times New Roman"/>
                      <w:b/>
                      <w:bCs/>
                      <w:color w:val="000000"/>
                      <w:szCs w:val="17"/>
                      <w:lang w:eastAsia="en-AU"/>
                    </w:rPr>
                    <w:t>Product</w:t>
                  </w:r>
                </w:p>
              </w:tc>
              <w:tc>
                <w:tcPr>
                  <w:tcW w:w="916" w:type="dxa"/>
                  <w:vMerge w:val="restart"/>
                  <w:noWrap/>
                  <w:vAlign w:val="center"/>
                  <w:hideMark/>
                </w:tcPr>
                <w:p w:rsidR="00A604E2" w:rsidRPr="00A604E2" w:rsidRDefault="00A604E2" w:rsidP="00F171A2">
                  <w:pPr>
                    <w:framePr w:hSpace="180" w:wrap="around" w:vAnchor="text" w:hAnchor="text" w:y="1"/>
                    <w:spacing w:after="0" w:line="240" w:lineRule="auto"/>
                    <w:suppressOverlap/>
                    <w:jc w:val="center"/>
                    <w:rPr>
                      <w:rFonts w:eastAsia="Times New Roman" w:cs="Times New Roman"/>
                      <w:b/>
                      <w:bCs/>
                      <w:color w:val="000000"/>
                      <w:szCs w:val="17"/>
                      <w:lang w:eastAsia="en-AU"/>
                    </w:rPr>
                  </w:pPr>
                  <w:r w:rsidRPr="00A604E2">
                    <w:rPr>
                      <w:rFonts w:eastAsia="Times New Roman" w:cs="Times New Roman"/>
                      <w:b/>
                      <w:bCs/>
                      <w:color w:val="000000"/>
                      <w:szCs w:val="17"/>
                      <w:lang w:eastAsia="en-AU"/>
                    </w:rPr>
                    <w:t>Group</w:t>
                  </w:r>
                </w:p>
              </w:tc>
              <w:tc>
                <w:tcPr>
                  <w:tcW w:w="2736" w:type="dxa"/>
                  <w:vMerge w:val="restart"/>
                  <w:noWrap/>
                  <w:vAlign w:val="center"/>
                  <w:hideMark/>
                </w:tcPr>
                <w:p w:rsidR="00A604E2" w:rsidRPr="00A604E2" w:rsidRDefault="00A604E2" w:rsidP="00F171A2">
                  <w:pPr>
                    <w:framePr w:hSpace="180" w:wrap="around" w:vAnchor="text" w:hAnchor="text" w:y="1"/>
                    <w:spacing w:after="0" w:line="240" w:lineRule="auto"/>
                    <w:ind w:left="120"/>
                    <w:suppressOverlap/>
                    <w:jc w:val="center"/>
                    <w:rPr>
                      <w:rFonts w:eastAsia="Times New Roman" w:cs="Times New Roman"/>
                      <w:b/>
                      <w:bCs/>
                      <w:color w:val="000000"/>
                      <w:szCs w:val="17"/>
                      <w:lang w:eastAsia="en-AU"/>
                    </w:rPr>
                  </w:pPr>
                  <w:r w:rsidRPr="00A604E2">
                    <w:rPr>
                      <w:rFonts w:eastAsia="Times New Roman" w:cs="Times New Roman"/>
                      <w:b/>
                      <w:bCs/>
                      <w:color w:val="000000"/>
                      <w:szCs w:val="17"/>
                      <w:lang w:eastAsia="en-AU"/>
                    </w:rPr>
                    <w:t>Treated crop(s)</w:t>
                  </w:r>
                </w:p>
              </w:tc>
              <w:tc>
                <w:tcPr>
                  <w:tcW w:w="2673" w:type="dxa"/>
                  <w:gridSpan w:val="2"/>
                  <w:hideMark/>
                </w:tcPr>
                <w:p w:rsidR="004A7A11" w:rsidRDefault="00A604E2" w:rsidP="00F171A2">
                  <w:pPr>
                    <w:framePr w:hSpace="180" w:wrap="around" w:vAnchor="text" w:hAnchor="text" w:y="1"/>
                    <w:spacing w:after="0" w:line="240" w:lineRule="auto"/>
                    <w:suppressOverlap/>
                    <w:jc w:val="center"/>
                    <w:rPr>
                      <w:rFonts w:eastAsia="Times New Roman" w:cs="Times New Roman"/>
                      <w:b/>
                      <w:bCs/>
                      <w:color w:val="000000"/>
                      <w:szCs w:val="17"/>
                      <w:lang w:eastAsia="en-AU"/>
                    </w:rPr>
                  </w:pPr>
                  <w:r w:rsidRPr="00A604E2">
                    <w:rPr>
                      <w:rFonts w:eastAsia="Times New Roman" w:cs="Times New Roman"/>
                      <w:b/>
                      <w:bCs/>
                      <w:color w:val="000000"/>
                      <w:szCs w:val="17"/>
                      <w:lang w:eastAsia="en-AU"/>
                    </w:rPr>
                    <w:t>Estimated potential annual</w:t>
                  </w:r>
                </w:p>
                <w:p w:rsidR="00A604E2" w:rsidRPr="00A604E2" w:rsidRDefault="00A604E2" w:rsidP="00F171A2">
                  <w:pPr>
                    <w:framePr w:hSpace="180" w:wrap="around" w:vAnchor="text" w:hAnchor="text" w:y="1"/>
                    <w:spacing w:after="0" w:line="240" w:lineRule="auto"/>
                    <w:suppressOverlap/>
                    <w:jc w:val="center"/>
                    <w:rPr>
                      <w:rFonts w:eastAsia="Times New Roman" w:cs="Times New Roman"/>
                      <w:b/>
                      <w:bCs/>
                      <w:color w:val="000000"/>
                      <w:szCs w:val="17"/>
                      <w:lang w:eastAsia="en-AU"/>
                    </w:rPr>
                  </w:pPr>
                  <w:r w:rsidRPr="00A604E2">
                    <w:rPr>
                      <w:rFonts w:eastAsia="Times New Roman" w:cs="Times New Roman"/>
                      <w:b/>
                      <w:bCs/>
                      <w:color w:val="000000"/>
                      <w:szCs w:val="17"/>
                      <w:lang w:eastAsia="en-AU"/>
                    </w:rPr>
                    <w:t>market size (</w:t>
                  </w:r>
                  <w:proofErr w:type="spellStart"/>
                  <w:r w:rsidRPr="00A604E2">
                    <w:rPr>
                      <w:rFonts w:eastAsia="Times New Roman" w:cs="Times New Roman"/>
                      <w:b/>
                      <w:bCs/>
                      <w:color w:val="000000"/>
                      <w:szCs w:val="17"/>
                      <w:lang w:eastAsia="en-AU"/>
                    </w:rPr>
                    <w:t>US$m</w:t>
                  </w:r>
                  <w:proofErr w:type="spellEnd"/>
                  <w:r w:rsidRPr="00A604E2">
                    <w:rPr>
                      <w:rFonts w:eastAsia="Times New Roman" w:cs="Times New Roman"/>
                      <w:b/>
                      <w:bCs/>
                      <w:color w:val="000000"/>
                      <w:szCs w:val="17"/>
                      <w:lang w:eastAsia="en-AU"/>
                    </w:rPr>
                    <w:t>)</w:t>
                  </w:r>
                </w:p>
              </w:tc>
            </w:tr>
            <w:tr w:rsidR="00A604E2" w:rsidRPr="00A604E2" w:rsidTr="00A24225">
              <w:trPr>
                <w:cantSplit/>
                <w:trHeight w:val="420"/>
                <w:tblHeader/>
              </w:trPr>
              <w:tc>
                <w:tcPr>
                  <w:tcW w:w="1436" w:type="dxa"/>
                  <w:vMerge/>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17"/>
                      <w:lang w:eastAsia="en-AU"/>
                    </w:rPr>
                  </w:pPr>
                </w:p>
              </w:tc>
              <w:tc>
                <w:tcPr>
                  <w:tcW w:w="1636" w:type="dxa"/>
                  <w:vMerge/>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17"/>
                      <w:lang w:eastAsia="en-AU"/>
                    </w:rPr>
                  </w:pPr>
                </w:p>
              </w:tc>
              <w:tc>
                <w:tcPr>
                  <w:tcW w:w="916" w:type="dxa"/>
                  <w:vMerge/>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17"/>
                      <w:lang w:eastAsia="en-AU"/>
                    </w:rPr>
                  </w:pPr>
                </w:p>
              </w:tc>
              <w:tc>
                <w:tcPr>
                  <w:tcW w:w="2736" w:type="dxa"/>
                  <w:vMerge/>
                  <w:hideMark/>
                </w:tcPr>
                <w:p w:rsidR="00A604E2" w:rsidRPr="00A604E2" w:rsidRDefault="00A604E2" w:rsidP="00F171A2">
                  <w:pPr>
                    <w:framePr w:hSpace="180" w:wrap="around" w:vAnchor="text" w:hAnchor="text" w:y="1"/>
                    <w:spacing w:after="0" w:line="240" w:lineRule="auto"/>
                    <w:ind w:left="120"/>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17"/>
                      <w:lang w:eastAsia="en-AU"/>
                    </w:rPr>
                  </w:pPr>
                </w:p>
              </w:tc>
              <w:tc>
                <w:tcPr>
                  <w:tcW w:w="1814" w:type="dxa"/>
                  <w:hideMark/>
                </w:tcPr>
                <w:p w:rsidR="004A7A11"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17"/>
                      <w:lang w:eastAsia="en-AU"/>
                    </w:rPr>
                  </w:pPr>
                  <w:r w:rsidRPr="00A604E2">
                    <w:rPr>
                      <w:rFonts w:eastAsia="Times New Roman" w:cs="Times New Roman"/>
                      <w:b/>
                      <w:bCs/>
                      <w:color w:val="000000"/>
                      <w:szCs w:val="17"/>
                      <w:lang w:eastAsia="en-AU"/>
                    </w:rPr>
                    <w:t>United</w:t>
                  </w:r>
                </w:p>
                <w:p w:rsidR="00A604E2" w:rsidRPr="00A604E2"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17"/>
                      <w:lang w:eastAsia="en-AU"/>
                    </w:rPr>
                  </w:pPr>
                  <w:r w:rsidRPr="00A604E2">
                    <w:rPr>
                      <w:rFonts w:eastAsia="Times New Roman" w:cs="Times New Roman"/>
                      <w:b/>
                      <w:bCs/>
                      <w:color w:val="000000"/>
                      <w:szCs w:val="17"/>
                      <w:lang w:eastAsia="en-AU"/>
                    </w:rPr>
                    <w:t>States</w:t>
                  </w:r>
                </w:p>
              </w:tc>
              <w:tc>
                <w:tcPr>
                  <w:tcW w:w="860" w:type="dxa"/>
                  <w:noWrap/>
                  <w:hideMark/>
                </w:tcPr>
                <w:p w:rsidR="00A604E2" w:rsidRPr="00A604E2"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17"/>
                      <w:lang w:eastAsia="en-AU"/>
                    </w:rPr>
                  </w:pPr>
                  <w:r w:rsidRPr="00A604E2">
                    <w:rPr>
                      <w:rFonts w:eastAsia="Times New Roman" w:cs="Times New Roman"/>
                      <w:b/>
                      <w:bCs/>
                      <w:color w:val="000000"/>
                      <w:szCs w:val="17"/>
                      <w:lang w:eastAsia="en-AU"/>
                    </w:rPr>
                    <w:t>Australia</w:t>
                  </w:r>
                </w:p>
              </w:tc>
            </w:tr>
            <w:tr w:rsidR="00A604E2" w:rsidRPr="00A604E2" w:rsidTr="00A24225">
              <w:trPr>
                <w:cantSplit/>
                <w:trHeight w:val="225"/>
                <w:tblHeader/>
              </w:trPr>
              <w:tc>
                <w:tcPr>
                  <w:tcW w:w="143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Summit Agro</w:t>
                  </w:r>
                </w:p>
              </w:tc>
              <w:tc>
                <w:tcPr>
                  <w:tcW w:w="163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SHIELDEX 400SC</w:t>
                  </w:r>
                </w:p>
              </w:tc>
              <w:tc>
                <w:tcPr>
                  <w:tcW w:w="91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Herbicide</w:t>
                  </w:r>
                </w:p>
              </w:tc>
              <w:tc>
                <w:tcPr>
                  <w:tcW w:w="2736" w:type="dxa"/>
                  <w:noWrap/>
                  <w:hideMark/>
                </w:tcPr>
                <w:p w:rsidR="00A604E2" w:rsidRPr="00A604E2" w:rsidRDefault="00A604E2" w:rsidP="00F171A2">
                  <w:pPr>
                    <w:framePr w:hSpace="180" w:wrap="around" w:vAnchor="text" w:hAnchor="text" w:y="1"/>
                    <w:spacing w:after="0" w:line="240" w:lineRule="auto"/>
                    <w:ind w:left="120"/>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Maize</w:t>
                  </w:r>
                </w:p>
              </w:tc>
              <w:tc>
                <w:tcPr>
                  <w:tcW w:w="1814" w:type="dxa"/>
                  <w:noWrap/>
                  <w:hideMark/>
                </w:tcPr>
                <w:p w:rsidR="00A604E2" w:rsidRPr="00A604E2"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$111.70</w:t>
                  </w:r>
                </w:p>
              </w:tc>
              <w:tc>
                <w:tcPr>
                  <w:tcW w:w="860" w:type="dxa"/>
                  <w:noWrap/>
                  <w:hideMark/>
                </w:tcPr>
                <w:p w:rsidR="00A604E2" w:rsidRPr="00A604E2"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$0.20</w:t>
                  </w:r>
                </w:p>
              </w:tc>
            </w:tr>
            <w:tr w:rsidR="00A604E2" w:rsidRPr="00A604E2" w:rsidTr="00A24225">
              <w:trPr>
                <w:cantSplit/>
                <w:trHeight w:val="225"/>
                <w:tblHeader/>
              </w:trPr>
              <w:tc>
                <w:tcPr>
                  <w:tcW w:w="143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 xml:space="preserve">BASF </w:t>
                  </w:r>
                </w:p>
              </w:tc>
              <w:tc>
                <w:tcPr>
                  <w:tcW w:w="163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proofErr w:type="spellStart"/>
                  <w:r w:rsidRPr="00A604E2">
                    <w:rPr>
                      <w:rFonts w:eastAsia="Times New Roman" w:cs="Times New Roman"/>
                      <w:color w:val="000000"/>
                      <w:szCs w:val="17"/>
                      <w:lang w:eastAsia="en-AU"/>
                    </w:rPr>
                    <w:t>Caramba</w:t>
                  </w:r>
                  <w:proofErr w:type="spellEnd"/>
                </w:p>
              </w:tc>
              <w:tc>
                <w:tcPr>
                  <w:tcW w:w="91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Fungicide</w:t>
                  </w:r>
                </w:p>
              </w:tc>
              <w:tc>
                <w:tcPr>
                  <w:tcW w:w="2736" w:type="dxa"/>
                  <w:noWrap/>
                  <w:hideMark/>
                </w:tcPr>
                <w:p w:rsidR="00A604E2" w:rsidRPr="00A604E2" w:rsidRDefault="00A604E2" w:rsidP="00F171A2">
                  <w:pPr>
                    <w:framePr w:hSpace="180" w:wrap="around" w:vAnchor="text" w:hAnchor="text" w:y="1"/>
                    <w:spacing w:after="0" w:line="240" w:lineRule="auto"/>
                    <w:ind w:left="120"/>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 xml:space="preserve">Cereals, soybeans, </w:t>
                  </w:r>
                  <w:proofErr w:type="spellStart"/>
                  <w:r w:rsidRPr="00A604E2">
                    <w:rPr>
                      <w:rFonts w:eastAsia="Times New Roman" w:cs="Times New Roman"/>
                      <w:color w:val="000000"/>
                      <w:szCs w:val="17"/>
                      <w:lang w:eastAsia="en-AU"/>
                    </w:rPr>
                    <w:t>sugarbeet</w:t>
                  </w:r>
                  <w:proofErr w:type="spellEnd"/>
                </w:p>
              </w:tc>
              <w:tc>
                <w:tcPr>
                  <w:tcW w:w="1814" w:type="dxa"/>
                  <w:noWrap/>
                  <w:hideMark/>
                </w:tcPr>
                <w:p w:rsidR="00A604E2" w:rsidRPr="00A604E2"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$1,072.60</w:t>
                  </w:r>
                </w:p>
              </w:tc>
              <w:tc>
                <w:tcPr>
                  <w:tcW w:w="860" w:type="dxa"/>
                  <w:noWrap/>
                  <w:hideMark/>
                </w:tcPr>
                <w:p w:rsidR="00A604E2" w:rsidRPr="00A604E2"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$411.10</w:t>
                  </w:r>
                </w:p>
              </w:tc>
            </w:tr>
            <w:tr w:rsidR="00A604E2" w:rsidRPr="00A604E2" w:rsidTr="00A24225">
              <w:trPr>
                <w:cantSplit/>
                <w:trHeight w:val="225"/>
                <w:tblHeader/>
              </w:trPr>
              <w:tc>
                <w:tcPr>
                  <w:tcW w:w="143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 xml:space="preserve">Valent </w:t>
                  </w:r>
                </w:p>
              </w:tc>
              <w:tc>
                <w:tcPr>
                  <w:tcW w:w="163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proofErr w:type="spellStart"/>
                  <w:r w:rsidRPr="00A604E2">
                    <w:rPr>
                      <w:rFonts w:eastAsia="Times New Roman" w:cs="Times New Roman"/>
                      <w:color w:val="000000"/>
                      <w:szCs w:val="17"/>
                      <w:lang w:eastAsia="en-AU"/>
                    </w:rPr>
                    <w:t>Elumin</w:t>
                  </w:r>
                  <w:proofErr w:type="spellEnd"/>
                </w:p>
              </w:tc>
              <w:tc>
                <w:tcPr>
                  <w:tcW w:w="916" w:type="dxa"/>
                  <w:noWrap/>
                  <w:hideMark/>
                </w:tcPr>
                <w:p w:rsidR="00A604E2" w:rsidRPr="00A604E2" w:rsidRDefault="00A604E2" w:rsidP="00F171A2">
                  <w:pPr>
                    <w:framePr w:hSpace="180" w:wrap="around" w:vAnchor="text" w:hAnchor="text" w:y="1"/>
                    <w:spacing w:after="0" w:line="240" w:lineRule="auto"/>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Herbicide</w:t>
                  </w:r>
                </w:p>
              </w:tc>
              <w:tc>
                <w:tcPr>
                  <w:tcW w:w="2736" w:type="dxa"/>
                  <w:noWrap/>
                  <w:hideMark/>
                </w:tcPr>
                <w:p w:rsidR="00A604E2" w:rsidRPr="00A604E2" w:rsidRDefault="00A604E2" w:rsidP="00F171A2">
                  <w:pPr>
                    <w:framePr w:hSpace="180" w:wrap="around" w:vAnchor="text" w:hAnchor="text" w:y="1"/>
                    <w:spacing w:after="0" w:line="240" w:lineRule="auto"/>
                    <w:ind w:left="120"/>
                    <w:suppressOverlap/>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Cucurbits</w:t>
                  </w:r>
                </w:p>
              </w:tc>
              <w:tc>
                <w:tcPr>
                  <w:tcW w:w="1814" w:type="dxa"/>
                  <w:noWrap/>
                  <w:hideMark/>
                </w:tcPr>
                <w:p w:rsidR="00A604E2" w:rsidRPr="00A604E2"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$4.40</w:t>
                  </w:r>
                </w:p>
              </w:tc>
              <w:tc>
                <w:tcPr>
                  <w:tcW w:w="860" w:type="dxa"/>
                  <w:noWrap/>
                  <w:hideMark/>
                </w:tcPr>
                <w:p w:rsidR="00A604E2" w:rsidRPr="00A604E2" w:rsidRDefault="00A604E2" w:rsidP="00F171A2">
                  <w:pPr>
                    <w:framePr w:hSpace="180" w:wrap="around" w:vAnchor="text" w:hAnchor="text" w:y="1"/>
                    <w:spacing w:after="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7"/>
                      <w:lang w:eastAsia="en-AU"/>
                    </w:rPr>
                  </w:pPr>
                  <w:r w:rsidRPr="00A604E2">
                    <w:rPr>
                      <w:rFonts w:eastAsia="Times New Roman" w:cs="Times New Roman"/>
                      <w:color w:val="000000"/>
                      <w:szCs w:val="17"/>
                      <w:lang w:eastAsia="en-AU"/>
                    </w:rPr>
                    <w:t>$0.40</w:t>
                  </w:r>
                </w:p>
              </w:tc>
            </w:tr>
          </w:tbl>
          <w:p w:rsidR="00BE0F98" w:rsidRPr="00A604E2" w:rsidRDefault="00BE0F98" w:rsidP="00A604E2"/>
          <w:p w:rsidR="00467003" w:rsidRDefault="00685D79" w:rsidP="002906EA">
            <w:pPr>
              <w:spacing w:before="240"/>
              <w:rPr>
                <w:b w:val="0"/>
              </w:rPr>
            </w:pPr>
            <w:r>
              <w:rPr>
                <w:b w:val="0"/>
              </w:rPr>
              <w:t>In contrast</w:t>
            </w:r>
            <w:r w:rsidR="00BE0F98" w:rsidRPr="00505BE6">
              <w:rPr>
                <w:b w:val="0"/>
              </w:rPr>
              <w:t xml:space="preserve">, BASF’s </w:t>
            </w:r>
            <w:proofErr w:type="spellStart"/>
            <w:r w:rsidR="00BE0F98" w:rsidRPr="00505BE6">
              <w:rPr>
                <w:b w:val="0"/>
              </w:rPr>
              <w:t>Caramba</w:t>
            </w:r>
            <w:proofErr w:type="spellEnd"/>
            <w:r w:rsidR="00BE0F98" w:rsidRPr="00505BE6">
              <w:rPr>
                <w:b w:val="0"/>
              </w:rPr>
              <w:t xml:space="preserve"> appears to have a relatively large potential market </w:t>
            </w:r>
            <w:r>
              <w:rPr>
                <w:b w:val="0"/>
              </w:rPr>
              <w:t xml:space="preserve">in Australia </w:t>
            </w:r>
            <w:r w:rsidR="00BE0F98" w:rsidRPr="00505BE6">
              <w:rPr>
                <w:b w:val="0"/>
              </w:rPr>
              <w:t>at $411 million</w:t>
            </w:r>
            <w:r>
              <w:rPr>
                <w:b w:val="0"/>
              </w:rPr>
              <w:t xml:space="preserve"> per annum. This is</w:t>
            </w:r>
            <w:r w:rsidR="00BE0F98" w:rsidRPr="00505BE6">
              <w:rPr>
                <w:b w:val="0"/>
              </w:rPr>
              <w:t xml:space="preserve"> because the product is applied to </w:t>
            </w:r>
            <w:r>
              <w:rPr>
                <w:b w:val="0"/>
              </w:rPr>
              <w:t xml:space="preserve">a broad grouping of </w:t>
            </w:r>
            <w:r w:rsidR="00BE0F98" w:rsidRPr="00505BE6">
              <w:rPr>
                <w:b w:val="0"/>
              </w:rPr>
              <w:t>cereal crops (namely wheat, barley and oats</w:t>
            </w:r>
            <w:r w:rsidRPr="00505BE6">
              <w:rPr>
                <w:b w:val="0"/>
              </w:rPr>
              <w:t>)</w:t>
            </w:r>
            <w:r>
              <w:rPr>
                <w:b w:val="0"/>
              </w:rPr>
              <w:t xml:space="preserve"> </w:t>
            </w:r>
            <w:r w:rsidR="00BB4C14">
              <w:rPr>
                <w:b w:val="0"/>
              </w:rPr>
              <w:t>that</w:t>
            </w:r>
            <w:r w:rsidR="00BB4C14" w:rsidRPr="00505BE6">
              <w:rPr>
                <w:b w:val="0"/>
              </w:rPr>
              <w:t xml:space="preserve"> </w:t>
            </w:r>
            <w:r w:rsidR="003E0539">
              <w:rPr>
                <w:b w:val="0"/>
              </w:rPr>
              <w:t xml:space="preserve">are </w:t>
            </w:r>
            <w:r w:rsidRPr="007C7C43">
              <w:rPr>
                <w:b w:val="0"/>
              </w:rPr>
              <w:t xml:space="preserve">grown throughout </w:t>
            </w:r>
            <w:r w:rsidR="00BE0F98" w:rsidRPr="007C7C43">
              <w:rPr>
                <w:b w:val="0"/>
              </w:rPr>
              <w:t xml:space="preserve">Australia. However, </w:t>
            </w:r>
            <w:proofErr w:type="spellStart"/>
            <w:r w:rsidR="00BE0F98" w:rsidRPr="007C7C43">
              <w:rPr>
                <w:b w:val="0"/>
              </w:rPr>
              <w:t>Caramba</w:t>
            </w:r>
            <w:proofErr w:type="spellEnd"/>
            <w:r w:rsidR="00BE0F98" w:rsidRPr="007C7C43">
              <w:rPr>
                <w:b w:val="0"/>
              </w:rPr>
              <w:t xml:space="preserve"> was developed to treat Fusarium head blight (FHB)</w:t>
            </w:r>
            <w:r w:rsidRPr="007C7C43">
              <w:rPr>
                <w:b w:val="0"/>
              </w:rPr>
              <w:t xml:space="preserve">. This </w:t>
            </w:r>
            <w:r w:rsidR="00BE0F98" w:rsidRPr="007C7C43">
              <w:rPr>
                <w:b w:val="0"/>
              </w:rPr>
              <w:t xml:space="preserve">disease </w:t>
            </w:r>
            <w:r w:rsidRPr="007C7C43">
              <w:rPr>
                <w:b w:val="0"/>
              </w:rPr>
              <w:t xml:space="preserve">is not </w:t>
            </w:r>
            <w:r w:rsidR="00BE0F98" w:rsidRPr="007C7C43">
              <w:rPr>
                <w:b w:val="0"/>
              </w:rPr>
              <w:t>common in Australia</w:t>
            </w:r>
            <w:r w:rsidRPr="007C7C43">
              <w:rPr>
                <w:b w:val="0"/>
              </w:rPr>
              <w:t xml:space="preserve">, occurring </w:t>
            </w:r>
            <w:r w:rsidR="00BE0F98" w:rsidRPr="007C7C43">
              <w:rPr>
                <w:b w:val="0"/>
              </w:rPr>
              <w:t xml:space="preserve">in </w:t>
            </w:r>
            <w:r w:rsidR="008C69A0" w:rsidRPr="007C7C43">
              <w:rPr>
                <w:b w:val="0"/>
              </w:rPr>
              <w:t xml:space="preserve">atypical </w:t>
            </w:r>
            <w:r w:rsidR="00BE0F98" w:rsidRPr="007C7C43">
              <w:rPr>
                <w:b w:val="0"/>
              </w:rPr>
              <w:t>‘wet years’, or when conditions are warm and humid</w:t>
            </w:r>
            <w:r w:rsidR="0030631E">
              <w:rPr>
                <w:b w:val="0"/>
              </w:rPr>
              <w:t xml:space="preserve"> </w:t>
            </w:r>
            <w:r w:rsidR="00EE4CBB" w:rsidRPr="00D44FC3">
              <w:rPr>
                <w:b w:val="0"/>
              </w:rPr>
              <w:t>(Thompson 2013)</w:t>
            </w:r>
            <w:r w:rsidR="0030631E" w:rsidRPr="00D44FC3">
              <w:rPr>
                <w:b w:val="0"/>
              </w:rPr>
              <w:t>.</w:t>
            </w:r>
            <w:r w:rsidR="00BE0F98" w:rsidRPr="007C7C43" w:rsidDel="001230E2">
              <w:rPr>
                <w:b w:val="0"/>
              </w:rPr>
              <w:t xml:space="preserve"> </w:t>
            </w:r>
            <w:r w:rsidRPr="007C7C43">
              <w:rPr>
                <w:b w:val="0"/>
              </w:rPr>
              <w:t xml:space="preserve">As such, the impacts of FHB are largely limited to </w:t>
            </w:r>
            <w:r w:rsidR="00F37F4F" w:rsidRPr="007C7C43">
              <w:rPr>
                <w:b w:val="0"/>
              </w:rPr>
              <w:t xml:space="preserve">Australia’s northern grains regions (i.e. northern NSW and Queensland), which </w:t>
            </w:r>
            <w:r w:rsidR="008C69A0" w:rsidRPr="007C7C43">
              <w:rPr>
                <w:b w:val="0"/>
              </w:rPr>
              <w:t xml:space="preserve">collectively </w:t>
            </w:r>
            <w:r w:rsidR="00F37F4F" w:rsidRPr="007C7C43">
              <w:rPr>
                <w:b w:val="0"/>
              </w:rPr>
              <w:t xml:space="preserve">account for </w:t>
            </w:r>
            <w:r w:rsidR="008C69A0" w:rsidRPr="007C7C43">
              <w:rPr>
                <w:b w:val="0"/>
              </w:rPr>
              <w:t>around</w:t>
            </w:r>
            <w:r w:rsidR="00F37F4F" w:rsidRPr="007C7C43">
              <w:rPr>
                <w:b w:val="0"/>
              </w:rPr>
              <w:t xml:space="preserve"> </w:t>
            </w:r>
            <w:r w:rsidR="008C69A0" w:rsidRPr="007C7C43">
              <w:rPr>
                <w:b w:val="0"/>
              </w:rPr>
              <w:t>10</w:t>
            </w:r>
            <w:r w:rsidR="00CE5B04" w:rsidRPr="007C7C43">
              <w:rPr>
                <w:b w:val="0"/>
              </w:rPr>
              <w:t xml:space="preserve"> per cent</w:t>
            </w:r>
            <w:r w:rsidR="00F37F4F" w:rsidRPr="007C7C43">
              <w:rPr>
                <w:b w:val="0"/>
              </w:rPr>
              <w:t xml:space="preserve"> of the total cereal </w:t>
            </w:r>
            <w:r w:rsidR="00CE5B04" w:rsidRPr="007C7C43">
              <w:rPr>
                <w:b w:val="0"/>
              </w:rPr>
              <w:t xml:space="preserve">cropping </w:t>
            </w:r>
            <w:r w:rsidR="007C7C43">
              <w:rPr>
                <w:b w:val="0"/>
              </w:rPr>
              <w:t xml:space="preserve">area in Australia </w:t>
            </w:r>
            <w:r w:rsidR="00916B38" w:rsidRPr="00D44FC3">
              <w:rPr>
                <w:b w:val="0"/>
              </w:rPr>
              <w:t>(ABARES 2018c; GRDC 2014)</w:t>
            </w:r>
            <w:r w:rsidR="0030631E" w:rsidRPr="00D44FC3">
              <w:rPr>
                <w:b w:val="0"/>
              </w:rPr>
              <w:t>.</w:t>
            </w:r>
            <w:r w:rsidR="00F37F4F" w:rsidRPr="007C7C43">
              <w:rPr>
                <w:b w:val="0"/>
              </w:rPr>
              <w:t xml:space="preserve"> </w:t>
            </w:r>
            <w:r w:rsidR="008C69A0" w:rsidRPr="007C7C43">
              <w:rPr>
                <w:b w:val="0"/>
              </w:rPr>
              <w:t>Th</w:t>
            </w:r>
            <w:r w:rsidR="00EF6FDD" w:rsidRPr="007C7C43">
              <w:rPr>
                <w:b w:val="0"/>
              </w:rPr>
              <w:t>e co</w:t>
            </w:r>
            <w:r w:rsidR="00EF6FDD">
              <w:rPr>
                <w:b w:val="0"/>
              </w:rPr>
              <w:t xml:space="preserve">nstrained effects of FHB are highlighted in </w:t>
            </w:r>
            <w:r w:rsidR="00EF6FDD">
              <w:fldChar w:fldCharType="begin"/>
            </w:r>
            <w:r w:rsidR="00EF6FDD">
              <w:rPr>
                <w:b w:val="0"/>
              </w:rPr>
              <w:instrText xml:space="preserve"> REF _Ref11916781 \h </w:instrText>
            </w:r>
            <w:r w:rsidR="00EF6FDD">
              <w:fldChar w:fldCharType="separate"/>
            </w:r>
            <w:r w:rsidR="00D82E3C" w:rsidRPr="007B7108">
              <w:rPr>
                <w:b w:val="0"/>
              </w:rPr>
              <w:t xml:space="preserve">Table </w:t>
            </w:r>
            <w:r w:rsidR="00D82E3C">
              <w:rPr>
                <w:b w:val="0"/>
                <w:noProof/>
              </w:rPr>
              <w:t>2</w:t>
            </w:r>
            <w:r w:rsidR="00D82E3C" w:rsidRPr="007B7108">
              <w:rPr>
                <w:b w:val="0"/>
              </w:rPr>
              <w:t>.</w:t>
            </w:r>
            <w:r w:rsidR="00D82E3C">
              <w:rPr>
                <w:b w:val="0"/>
                <w:noProof/>
              </w:rPr>
              <w:t>2</w:t>
            </w:r>
            <w:r w:rsidR="00EF6FDD">
              <w:fldChar w:fldCharType="end"/>
            </w:r>
            <w:r w:rsidR="002E0C13">
              <w:rPr>
                <w:b w:val="0"/>
              </w:rPr>
              <w:t>, with the disease developing in Australian on average in just 3.1</w:t>
            </w:r>
            <w:r w:rsidR="00CE5B04">
              <w:rPr>
                <w:b w:val="0"/>
              </w:rPr>
              <w:t xml:space="preserve"> per cent</w:t>
            </w:r>
            <w:r w:rsidR="002E0C13">
              <w:rPr>
                <w:b w:val="0"/>
              </w:rPr>
              <w:t xml:space="preserve"> of years, and in 2.7</w:t>
            </w:r>
            <w:r w:rsidR="00CE5B04">
              <w:rPr>
                <w:b w:val="0"/>
              </w:rPr>
              <w:t xml:space="preserve"> per cent</w:t>
            </w:r>
            <w:r w:rsidR="002E0C13">
              <w:rPr>
                <w:b w:val="0"/>
              </w:rPr>
              <w:t xml:space="preserve"> of area planted to barley.</w:t>
            </w:r>
          </w:p>
          <w:p w:rsidR="008C69A0" w:rsidRDefault="008C69A0" w:rsidP="008C69A0">
            <w:pPr>
              <w:pStyle w:val="Caption"/>
              <w:rPr>
                <w:b w:val="0"/>
                <w:bCs w:val="0"/>
              </w:rPr>
            </w:pPr>
            <w:bookmarkStart w:id="190" w:name="_Ref11916781"/>
            <w:r w:rsidRPr="007B7108">
              <w:rPr>
                <w:b w:val="0"/>
              </w:rPr>
              <w:t xml:space="preserve">Table </w:t>
            </w:r>
            <w:r w:rsidRPr="005C2405">
              <w:fldChar w:fldCharType="begin"/>
            </w:r>
            <w:r w:rsidRPr="005C2405">
              <w:rPr>
                <w:b w:val="0"/>
              </w:rPr>
              <w:instrText xml:space="preserve"> STYLEREF 1 \s </w:instrText>
            </w:r>
            <w:r w:rsidRPr="005C2405">
              <w:fldChar w:fldCharType="separate"/>
            </w:r>
            <w:r w:rsidR="00D82E3C">
              <w:rPr>
                <w:b w:val="0"/>
                <w:noProof/>
              </w:rPr>
              <w:t>2</w:t>
            </w:r>
            <w:r w:rsidRPr="005C2405">
              <w:fldChar w:fldCharType="end"/>
            </w:r>
            <w:r w:rsidRPr="007B7108">
              <w:rPr>
                <w:b w:val="0"/>
              </w:rPr>
              <w:t>.</w:t>
            </w:r>
            <w:r w:rsidRPr="005C2405">
              <w:fldChar w:fldCharType="begin"/>
            </w:r>
            <w:r w:rsidRPr="007B7108">
              <w:rPr>
                <w:b w:val="0"/>
              </w:rPr>
              <w:instrText xml:space="preserve"> SEQ Table \* ARABIC \s 1 </w:instrText>
            </w:r>
            <w:r w:rsidRPr="005C2405">
              <w:fldChar w:fldCharType="separate"/>
            </w:r>
            <w:r w:rsidR="00D82E3C">
              <w:rPr>
                <w:b w:val="0"/>
                <w:noProof/>
              </w:rPr>
              <w:t>2</w:t>
            </w:r>
            <w:r w:rsidRPr="005C2405">
              <w:fldChar w:fldCharType="end"/>
            </w:r>
            <w:bookmarkEnd w:id="190"/>
            <w:r w:rsidRPr="007B7108">
              <w:rPr>
                <w:b w:val="0"/>
              </w:rPr>
              <w:t xml:space="preserve">: </w:t>
            </w:r>
            <w:r w:rsidR="00EF6FDD">
              <w:rPr>
                <w:b w:val="0"/>
                <w:bCs w:val="0"/>
              </w:rPr>
              <w:t xml:space="preserve">Proportion of years and </w:t>
            </w:r>
            <w:r w:rsidR="002E0C13">
              <w:rPr>
                <w:b w:val="0"/>
                <w:bCs w:val="0"/>
              </w:rPr>
              <w:t xml:space="preserve">barley </w:t>
            </w:r>
            <w:r w:rsidR="00EF6FDD">
              <w:rPr>
                <w:b w:val="0"/>
                <w:bCs w:val="0"/>
              </w:rPr>
              <w:t xml:space="preserve">area where Fusarium head blight developed in Australian regions </w:t>
            </w:r>
          </w:p>
          <w:tbl>
            <w:tblPr>
              <w:tblStyle w:val="Deloittetable"/>
              <w:tblW w:w="0" w:type="auto"/>
              <w:tblCellMar>
                <w:top w:w="0" w:type="dxa"/>
                <w:bottom w:w="0" w:type="dxa"/>
              </w:tblCellMar>
              <w:tblLook w:val="04A0" w:firstRow="1" w:lastRow="0" w:firstColumn="1" w:lastColumn="0" w:noHBand="0" w:noVBand="1"/>
            </w:tblPr>
            <w:tblGrid>
              <w:gridCol w:w="1969"/>
              <w:gridCol w:w="1969"/>
              <w:gridCol w:w="1969"/>
              <w:gridCol w:w="1970"/>
              <w:gridCol w:w="1970"/>
            </w:tblGrid>
            <w:tr w:rsidR="00467003" w:rsidTr="00A24225">
              <w:trPr>
                <w:cnfStyle w:val="100000000000" w:firstRow="1" w:lastRow="0" w:firstColumn="0" w:lastColumn="0" w:oddVBand="0" w:evenVBand="0" w:oddHBand="0" w:evenHBand="0" w:firstRowFirstColumn="0" w:firstRowLastColumn="0" w:lastRowFirstColumn="0" w:lastRowLastColumn="0"/>
                <w:cantSplit/>
                <w:trHeight w:val="282"/>
                <w:tblHeader/>
              </w:trPr>
              <w:tc>
                <w:tcPr>
                  <w:tcW w:w="1969" w:type="dxa"/>
                </w:tcPr>
                <w:p w:rsidR="00467003" w:rsidRDefault="001924FB" w:rsidP="00F171A2">
                  <w:pPr>
                    <w:framePr w:hSpace="180" w:wrap="around" w:vAnchor="text" w:hAnchor="text" w:y="1"/>
                    <w:suppressOverlap/>
                    <w:rPr>
                      <w:b/>
                    </w:rPr>
                  </w:pPr>
                  <w:r>
                    <w:rPr>
                      <w:b/>
                    </w:rPr>
                    <w:t>Proportion (%) of:</w:t>
                  </w:r>
                </w:p>
              </w:tc>
              <w:tc>
                <w:tcPr>
                  <w:tcW w:w="1969" w:type="dxa"/>
                </w:tcPr>
                <w:p w:rsidR="00467003" w:rsidRDefault="00467003" w:rsidP="00F171A2">
                  <w:pPr>
                    <w:framePr w:hSpace="180" w:wrap="around" w:vAnchor="text" w:hAnchor="text" w:y="1"/>
                    <w:suppressOverlap/>
                    <w:jc w:val="center"/>
                    <w:rPr>
                      <w:b/>
                    </w:rPr>
                  </w:pPr>
                  <w:r>
                    <w:rPr>
                      <w:b/>
                    </w:rPr>
                    <w:t>Northern</w:t>
                  </w:r>
                </w:p>
              </w:tc>
              <w:tc>
                <w:tcPr>
                  <w:tcW w:w="1969" w:type="dxa"/>
                </w:tcPr>
                <w:p w:rsidR="00467003" w:rsidRDefault="00467003" w:rsidP="00F171A2">
                  <w:pPr>
                    <w:framePr w:hSpace="180" w:wrap="around" w:vAnchor="text" w:hAnchor="text" w:y="1"/>
                    <w:suppressOverlap/>
                    <w:jc w:val="center"/>
                    <w:rPr>
                      <w:b/>
                    </w:rPr>
                  </w:pPr>
                  <w:r>
                    <w:rPr>
                      <w:b/>
                    </w:rPr>
                    <w:t>Southern</w:t>
                  </w:r>
                </w:p>
              </w:tc>
              <w:tc>
                <w:tcPr>
                  <w:tcW w:w="1970" w:type="dxa"/>
                </w:tcPr>
                <w:p w:rsidR="00467003" w:rsidRDefault="00467003" w:rsidP="00F171A2">
                  <w:pPr>
                    <w:framePr w:hSpace="180" w:wrap="around" w:vAnchor="text" w:hAnchor="text" w:y="1"/>
                    <w:suppressOverlap/>
                    <w:jc w:val="center"/>
                    <w:rPr>
                      <w:b/>
                    </w:rPr>
                  </w:pPr>
                  <w:r>
                    <w:rPr>
                      <w:b/>
                    </w:rPr>
                    <w:t>Western</w:t>
                  </w:r>
                </w:p>
              </w:tc>
              <w:tc>
                <w:tcPr>
                  <w:tcW w:w="1970" w:type="dxa"/>
                </w:tcPr>
                <w:p w:rsidR="00467003" w:rsidRDefault="008C39DB" w:rsidP="00F171A2">
                  <w:pPr>
                    <w:framePr w:hSpace="180" w:wrap="around" w:vAnchor="text" w:hAnchor="text" w:y="1"/>
                    <w:suppressOverlap/>
                    <w:jc w:val="center"/>
                    <w:rPr>
                      <w:b/>
                    </w:rPr>
                  </w:pPr>
                  <w:r>
                    <w:rPr>
                      <w:b/>
                    </w:rPr>
                    <w:t>Aust</w:t>
                  </w:r>
                  <w:r w:rsidR="00467003">
                    <w:rPr>
                      <w:b/>
                    </w:rPr>
                    <w:t>ralia</w:t>
                  </w:r>
                </w:p>
              </w:tc>
            </w:tr>
            <w:tr w:rsidR="00467003" w:rsidTr="00A24225">
              <w:trPr>
                <w:cantSplit/>
                <w:trHeight w:val="282"/>
                <w:tblHeader/>
              </w:trPr>
              <w:tc>
                <w:tcPr>
                  <w:tcW w:w="1969" w:type="dxa"/>
                </w:tcPr>
                <w:p w:rsidR="00467003" w:rsidRDefault="001924FB" w:rsidP="00F171A2">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b/>
                    </w:rPr>
                  </w:pPr>
                  <w:r>
                    <w:rPr>
                      <w:b/>
                    </w:rPr>
                    <w:t>Years</w:t>
                  </w:r>
                  <w:r w:rsidR="00467003">
                    <w:rPr>
                      <w:b/>
                    </w:rPr>
                    <w:t xml:space="preserve"> </w:t>
                  </w:r>
                </w:p>
              </w:tc>
              <w:tc>
                <w:tcPr>
                  <w:tcW w:w="1969" w:type="dxa"/>
                </w:tcPr>
                <w:p w:rsidR="00467003" w:rsidRPr="00D13428" w:rsidRDefault="00467003" w:rsidP="00F171A2">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pPr>
                  <w:r w:rsidRPr="00D13428">
                    <w:t>15.3</w:t>
                  </w:r>
                </w:p>
              </w:tc>
              <w:tc>
                <w:tcPr>
                  <w:tcW w:w="1969" w:type="dxa"/>
                </w:tcPr>
                <w:p w:rsidR="00467003" w:rsidRPr="00D13428" w:rsidRDefault="00467003" w:rsidP="00F171A2">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pPr>
                  <w:r w:rsidRPr="00D13428">
                    <w:t>0</w:t>
                  </w:r>
                </w:p>
              </w:tc>
              <w:tc>
                <w:tcPr>
                  <w:tcW w:w="1970" w:type="dxa"/>
                </w:tcPr>
                <w:p w:rsidR="00467003" w:rsidRPr="00D13428" w:rsidRDefault="00467003" w:rsidP="00F171A2">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pPr>
                  <w:r w:rsidRPr="00D13428">
                    <w:t>5.4</w:t>
                  </w:r>
                </w:p>
              </w:tc>
              <w:tc>
                <w:tcPr>
                  <w:tcW w:w="1970" w:type="dxa"/>
                </w:tcPr>
                <w:p w:rsidR="00467003" w:rsidRPr="00D13428" w:rsidRDefault="00467003" w:rsidP="00F171A2">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pPr>
                  <w:r w:rsidRPr="00D13428">
                    <w:t>3.1</w:t>
                  </w:r>
                </w:p>
              </w:tc>
            </w:tr>
            <w:tr w:rsidR="00467003" w:rsidTr="00A24225">
              <w:trPr>
                <w:cantSplit/>
                <w:trHeight w:val="282"/>
                <w:tblHeader/>
              </w:trPr>
              <w:tc>
                <w:tcPr>
                  <w:tcW w:w="1969" w:type="dxa"/>
                </w:tcPr>
                <w:p w:rsidR="00467003" w:rsidRDefault="001924FB" w:rsidP="00F171A2">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b/>
                    </w:rPr>
                  </w:pPr>
                  <w:r>
                    <w:rPr>
                      <w:b/>
                    </w:rPr>
                    <w:t>Area</w:t>
                  </w:r>
                </w:p>
              </w:tc>
              <w:tc>
                <w:tcPr>
                  <w:tcW w:w="1969" w:type="dxa"/>
                </w:tcPr>
                <w:p w:rsidR="00467003" w:rsidRPr="00D13428" w:rsidRDefault="00467003" w:rsidP="00F171A2">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pPr>
                  <w:r w:rsidRPr="00D13428">
                    <w:t>8.6</w:t>
                  </w:r>
                </w:p>
              </w:tc>
              <w:tc>
                <w:tcPr>
                  <w:tcW w:w="1969" w:type="dxa"/>
                </w:tcPr>
                <w:p w:rsidR="00467003" w:rsidRPr="00D13428" w:rsidRDefault="00467003" w:rsidP="00F171A2">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pPr>
                  <w:r w:rsidRPr="00D13428">
                    <w:t>0</w:t>
                  </w:r>
                </w:p>
              </w:tc>
              <w:tc>
                <w:tcPr>
                  <w:tcW w:w="1970" w:type="dxa"/>
                </w:tcPr>
                <w:p w:rsidR="00467003" w:rsidRPr="00D13428" w:rsidRDefault="00467003" w:rsidP="00F171A2">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pPr>
                  <w:r w:rsidRPr="00D13428">
                    <w:t>6.8</w:t>
                  </w:r>
                </w:p>
              </w:tc>
              <w:tc>
                <w:tcPr>
                  <w:tcW w:w="1970" w:type="dxa"/>
                </w:tcPr>
                <w:p w:rsidR="00467003" w:rsidRPr="00D13428" w:rsidRDefault="00467003" w:rsidP="00F171A2">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pPr>
                  <w:r w:rsidRPr="00D13428">
                    <w:t>2.7</w:t>
                  </w:r>
                </w:p>
              </w:tc>
            </w:tr>
          </w:tbl>
          <w:p w:rsidR="00505BE6" w:rsidRPr="0030631E" w:rsidRDefault="007C7C43" w:rsidP="008E695A">
            <w:pPr>
              <w:pStyle w:val="Source"/>
              <w:rPr>
                <w:b w:val="0"/>
              </w:rPr>
            </w:pPr>
            <w:r w:rsidRPr="0030631E">
              <w:rPr>
                <w:b w:val="0"/>
              </w:rPr>
              <w:t xml:space="preserve">Source: </w:t>
            </w:r>
            <w:r w:rsidR="005B6C3D" w:rsidRPr="0030631E">
              <w:rPr>
                <w:rFonts w:cs="Times New Roman"/>
                <w:b w:val="0"/>
                <w:szCs w:val="24"/>
              </w:rPr>
              <w:t xml:space="preserve">GRDC </w:t>
            </w:r>
            <w:r w:rsidR="00FD75B9">
              <w:rPr>
                <w:rFonts w:cs="Times New Roman"/>
                <w:b w:val="0"/>
                <w:szCs w:val="24"/>
              </w:rPr>
              <w:t>(</w:t>
            </w:r>
            <w:r w:rsidR="005B6C3D" w:rsidRPr="0030631E">
              <w:rPr>
                <w:rFonts w:cs="Times New Roman"/>
                <w:b w:val="0"/>
                <w:szCs w:val="24"/>
              </w:rPr>
              <w:t>2009)</w:t>
            </w:r>
          </w:p>
          <w:p w:rsidR="00B6095C" w:rsidRDefault="00B6095C" w:rsidP="00B6095C">
            <w:pPr>
              <w:rPr>
                <w:b w:val="0"/>
              </w:rPr>
            </w:pPr>
            <w:r>
              <w:rPr>
                <w:b w:val="0"/>
              </w:rPr>
              <w:t xml:space="preserve">Estimates presented in </w:t>
            </w:r>
            <w:r w:rsidRPr="005C2405">
              <w:fldChar w:fldCharType="begin"/>
            </w:r>
            <w:r w:rsidRPr="005C2405">
              <w:rPr>
                <w:b w:val="0"/>
              </w:rPr>
              <w:instrText xml:space="preserve"> REF _Ref8383944 \h  \* MERGEFORMAT </w:instrText>
            </w:r>
            <w:r w:rsidRPr="005C2405">
              <w:fldChar w:fldCharType="separate"/>
            </w:r>
            <w:r w:rsidR="00D82E3C" w:rsidRPr="007B7108">
              <w:rPr>
                <w:b w:val="0"/>
              </w:rPr>
              <w:t xml:space="preserve">Table </w:t>
            </w:r>
            <w:r w:rsidR="00D82E3C">
              <w:rPr>
                <w:b w:val="0"/>
                <w:noProof/>
              </w:rPr>
              <w:t>2</w:t>
            </w:r>
            <w:r w:rsidR="00D82E3C" w:rsidRPr="007B7108">
              <w:rPr>
                <w:b w:val="0"/>
                <w:noProof/>
              </w:rPr>
              <w:t>.</w:t>
            </w:r>
            <w:r w:rsidR="00D82E3C">
              <w:rPr>
                <w:b w:val="0"/>
                <w:noProof/>
              </w:rPr>
              <w:t>1</w:t>
            </w:r>
            <w:r w:rsidRPr="005C2405">
              <w:fldChar w:fldCharType="end"/>
            </w:r>
            <w:r>
              <w:rPr>
                <w:b w:val="0"/>
              </w:rPr>
              <w:t xml:space="preserve"> </w:t>
            </w:r>
            <w:r w:rsidRPr="008E695A">
              <w:rPr>
                <w:b w:val="0"/>
              </w:rPr>
              <w:t xml:space="preserve">assume </w:t>
            </w:r>
            <w:r>
              <w:rPr>
                <w:b w:val="0"/>
              </w:rPr>
              <w:t xml:space="preserve">individual </w:t>
            </w:r>
            <w:r w:rsidRPr="008E695A">
              <w:rPr>
                <w:b w:val="0"/>
              </w:rPr>
              <w:t>chemical</w:t>
            </w:r>
            <w:r>
              <w:rPr>
                <w:b w:val="0"/>
              </w:rPr>
              <w:t>s</w:t>
            </w:r>
            <w:r w:rsidRPr="008E695A">
              <w:rPr>
                <w:b w:val="0"/>
              </w:rPr>
              <w:t xml:space="preserve"> </w:t>
            </w:r>
            <w:r>
              <w:rPr>
                <w:b w:val="0"/>
              </w:rPr>
              <w:t xml:space="preserve">are </w:t>
            </w:r>
            <w:r w:rsidRPr="008E695A">
              <w:rPr>
                <w:b w:val="0"/>
              </w:rPr>
              <w:t>able to capture the entire market once registered in Australia. However, this is unlikely to be the case</w:t>
            </w:r>
            <w:r>
              <w:rPr>
                <w:b w:val="0"/>
              </w:rPr>
              <w:t xml:space="preserve"> as </w:t>
            </w:r>
            <w:r w:rsidRPr="008E695A">
              <w:rPr>
                <w:b w:val="0"/>
              </w:rPr>
              <w:t xml:space="preserve">novel chemicals </w:t>
            </w:r>
            <w:r>
              <w:rPr>
                <w:b w:val="0"/>
              </w:rPr>
              <w:t>would</w:t>
            </w:r>
            <w:r w:rsidR="00D43252">
              <w:rPr>
                <w:b w:val="0"/>
              </w:rPr>
              <w:t xml:space="preserve"> most likely</w:t>
            </w:r>
            <w:r>
              <w:rPr>
                <w:b w:val="0"/>
              </w:rPr>
              <w:t xml:space="preserve"> </w:t>
            </w:r>
            <w:r w:rsidRPr="008E695A">
              <w:rPr>
                <w:b w:val="0"/>
              </w:rPr>
              <w:t xml:space="preserve">have to compete with already established products in the market. For example, BASF’s </w:t>
            </w:r>
            <w:proofErr w:type="spellStart"/>
            <w:r w:rsidRPr="008E695A">
              <w:rPr>
                <w:b w:val="0"/>
              </w:rPr>
              <w:t>Cara</w:t>
            </w:r>
            <w:r w:rsidR="003E0539">
              <w:rPr>
                <w:b w:val="0"/>
              </w:rPr>
              <w:t>mb</w:t>
            </w:r>
            <w:r w:rsidRPr="008E695A">
              <w:rPr>
                <w:b w:val="0"/>
              </w:rPr>
              <w:t>a</w:t>
            </w:r>
            <w:proofErr w:type="spellEnd"/>
            <w:r w:rsidRPr="008E695A">
              <w:rPr>
                <w:b w:val="0"/>
              </w:rPr>
              <w:t xml:space="preserve"> (used to treat Fusarium head blight), if registered</w:t>
            </w:r>
            <w:r>
              <w:rPr>
                <w:b w:val="0"/>
              </w:rPr>
              <w:t>,</w:t>
            </w:r>
            <w:r w:rsidRPr="008E695A">
              <w:rPr>
                <w:b w:val="0"/>
              </w:rPr>
              <w:t xml:space="preserve"> would enter a market where Bayer’s </w:t>
            </w:r>
            <w:proofErr w:type="spellStart"/>
            <w:r w:rsidRPr="008E695A">
              <w:rPr>
                <w:b w:val="0"/>
              </w:rPr>
              <w:t>Prosaro</w:t>
            </w:r>
            <w:proofErr w:type="spellEnd"/>
            <w:r w:rsidRPr="008E695A">
              <w:rPr>
                <w:b w:val="0"/>
              </w:rPr>
              <w:t xml:space="preserve"> 420SC is already </w:t>
            </w:r>
            <w:r>
              <w:rPr>
                <w:b w:val="0"/>
              </w:rPr>
              <w:t xml:space="preserve">registered in Australia to treat </w:t>
            </w:r>
            <w:r w:rsidRPr="0030631E">
              <w:rPr>
                <w:b w:val="0"/>
              </w:rPr>
              <w:t>FHB</w:t>
            </w:r>
            <w:r w:rsidR="007C7C43" w:rsidRPr="0030631E">
              <w:rPr>
                <w:b w:val="0"/>
              </w:rPr>
              <w:t xml:space="preserve"> </w:t>
            </w:r>
            <w:r w:rsidR="00EE4CBB" w:rsidRPr="0030631E">
              <w:rPr>
                <w:b w:val="0"/>
              </w:rPr>
              <w:t>(</w:t>
            </w:r>
            <w:proofErr w:type="spellStart"/>
            <w:r w:rsidR="00EE4CBB" w:rsidRPr="0030631E">
              <w:rPr>
                <w:b w:val="0"/>
              </w:rPr>
              <w:t>Tonneson</w:t>
            </w:r>
            <w:proofErr w:type="spellEnd"/>
            <w:r w:rsidR="00EE4CBB" w:rsidRPr="0030631E">
              <w:rPr>
                <w:b w:val="0"/>
              </w:rPr>
              <w:t xml:space="preserve"> 2017)</w:t>
            </w:r>
            <w:r w:rsidR="007C7C43" w:rsidRPr="0030631E">
              <w:rPr>
                <w:b w:val="0"/>
              </w:rPr>
              <w:t>.</w:t>
            </w:r>
            <w:r w:rsidRPr="008E695A">
              <w:rPr>
                <w:b w:val="0"/>
              </w:rPr>
              <w:t xml:space="preserve"> As such </w:t>
            </w:r>
            <w:r>
              <w:rPr>
                <w:b w:val="0"/>
              </w:rPr>
              <w:t xml:space="preserve">the </w:t>
            </w:r>
            <w:r w:rsidRPr="008E695A">
              <w:rPr>
                <w:b w:val="0"/>
              </w:rPr>
              <w:t xml:space="preserve">estimated potential market </w:t>
            </w:r>
            <w:r>
              <w:rPr>
                <w:b w:val="0"/>
              </w:rPr>
              <w:t xml:space="preserve">size presented </w:t>
            </w:r>
            <w:r w:rsidR="00C34756">
              <w:rPr>
                <w:b w:val="0"/>
              </w:rPr>
              <w:t xml:space="preserve">in </w:t>
            </w:r>
            <w:r w:rsidR="00C34756">
              <w:fldChar w:fldCharType="begin"/>
            </w:r>
            <w:r w:rsidR="00C34756">
              <w:rPr>
                <w:b w:val="0"/>
              </w:rPr>
              <w:instrText xml:space="preserve"> REF _Ref8383944 \h </w:instrText>
            </w:r>
            <w:r w:rsidR="00C34756">
              <w:fldChar w:fldCharType="separate"/>
            </w:r>
            <w:r w:rsidR="00C34756" w:rsidRPr="007B7108">
              <w:rPr>
                <w:b w:val="0"/>
              </w:rPr>
              <w:t xml:space="preserve">Table </w:t>
            </w:r>
            <w:r w:rsidR="00C34756">
              <w:rPr>
                <w:b w:val="0"/>
                <w:noProof/>
              </w:rPr>
              <w:t>2</w:t>
            </w:r>
            <w:r w:rsidR="00C34756" w:rsidRPr="007B7108">
              <w:rPr>
                <w:b w:val="0"/>
              </w:rPr>
              <w:t>.</w:t>
            </w:r>
            <w:r w:rsidR="00C34756">
              <w:rPr>
                <w:b w:val="0"/>
                <w:noProof/>
              </w:rPr>
              <w:t>1</w:t>
            </w:r>
            <w:r w:rsidR="00C34756">
              <w:fldChar w:fldCharType="end"/>
            </w:r>
            <w:r w:rsidR="00C34756">
              <w:rPr>
                <w:b w:val="0"/>
              </w:rPr>
              <w:t xml:space="preserve"> </w:t>
            </w:r>
            <w:r w:rsidRPr="008E695A">
              <w:rPr>
                <w:b w:val="0"/>
              </w:rPr>
              <w:t xml:space="preserve">should be treated as an upper bound indicator </w:t>
            </w:r>
            <w:r>
              <w:rPr>
                <w:b w:val="0"/>
              </w:rPr>
              <w:t>and</w:t>
            </w:r>
            <w:r w:rsidRPr="008E695A">
              <w:rPr>
                <w:b w:val="0"/>
              </w:rPr>
              <w:t xml:space="preserve"> </w:t>
            </w:r>
            <w:r w:rsidR="00CE5B04">
              <w:rPr>
                <w:b w:val="0"/>
              </w:rPr>
              <w:t xml:space="preserve">it is </w:t>
            </w:r>
            <w:r>
              <w:rPr>
                <w:b w:val="0"/>
              </w:rPr>
              <w:t xml:space="preserve">likely </w:t>
            </w:r>
            <w:r w:rsidR="00CE5B04">
              <w:rPr>
                <w:b w:val="0"/>
              </w:rPr>
              <w:t xml:space="preserve">that it </w:t>
            </w:r>
            <w:r w:rsidRPr="008E695A">
              <w:rPr>
                <w:b w:val="0"/>
              </w:rPr>
              <w:t>over</w:t>
            </w:r>
            <w:r>
              <w:rPr>
                <w:b w:val="0"/>
              </w:rPr>
              <w:t>-</w:t>
            </w:r>
            <w:r w:rsidRPr="008E695A">
              <w:rPr>
                <w:b w:val="0"/>
              </w:rPr>
              <w:t>estimates the potential revenue</w:t>
            </w:r>
            <w:r>
              <w:rPr>
                <w:b w:val="0"/>
              </w:rPr>
              <w:t xml:space="preserve"> for a particular agvet chemical, with the size of the market likely smaller than reported</w:t>
            </w:r>
            <w:r w:rsidRPr="008E695A">
              <w:rPr>
                <w:b w:val="0"/>
              </w:rPr>
              <w:t>.</w:t>
            </w:r>
          </w:p>
          <w:p w:rsidR="00BE0F98" w:rsidRPr="00505BE6" w:rsidRDefault="00505BE6" w:rsidP="00505BE6">
            <w:pPr>
              <w:rPr>
                <w:b w:val="0"/>
              </w:rPr>
            </w:pPr>
            <w:r>
              <w:rPr>
                <w:b w:val="0"/>
              </w:rPr>
              <w:t xml:space="preserve">In summary, the primary reason that these three products have not been registered in Australia is likely to be the limited </w:t>
            </w:r>
            <w:r w:rsidR="003E0539">
              <w:rPr>
                <w:b w:val="0"/>
              </w:rPr>
              <w:t xml:space="preserve">expected </w:t>
            </w:r>
            <w:r w:rsidR="005305D1">
              <w:rPr>
                <w:b w:val="0"/>
              </w:rPr>
              <w:t xml:space="preserve">return on investment that results from </w:t>
            </w:r>
            <w:r w:rsidR="00B94F63">
              <w:rPr>
                <w:b w:val="0"/>
              </w:rPr>
              <w:t>Australia’s small market size</w:t>
            </w:r>
            <w:r w:rsidR="00BE0F98" w:rsidRPr="00505BE6">
              <w:rPr>
                <w:b w:val="0"/>
              </w:rPr>
              <w:t>.</w:t>
            </w:r>
          </w:p>
        </w:tc>
      </w:tr>
    </w:tbl>
    <w:p w:rsidR="004A7A11" w:rsidRDefault="00266740" w:rsidP="002906EA">
      <w:pPr>
        <w:spacing w:before="240"/>
      </w:pPr>
      <w:r w:rsidRPr="00517FC1">
        <w:t xml:space="preserve">In addition to being small, the Australian market for agricultural inputs is relatively volatile. Australian agriculture is subject to more revenue variability than other </w:t>
      </w:r>
      <w:r w:rsidR="0033240E">
        <w:t>developed markets for agvet chemicals.</w:t>
      </w:r>
      <w:r w:rsidRPr="00517FC1">
        <w:t xml:space="preserve"> This is because of Australia's highly variable </w:t>
      </w:r>
      <w:r w:rsidR="00E929EC" w:rsidRPr="00517FC1">
        <w:t xml:space="preserve">climate </w:t>
      </w:r>
      <w:r w:rsidR="00E929EC">
        <w:t>(</w:t>
      </w:r>
      <w:r w:rsidRPr="00517FC1">
        <w:t xml:space="preserve">with lower mean rainfall and higher </w:t>
      </w:r>
      <w:r>
        <w:t xml:space="preserve">variation in </w:t>
      </w:r>
      <w:r w:rsidRPr="00517FC1">
        <w:t>rainfall</w:t>
      </w:r>
      <w:r w:rsidR="00E929EC">
        <w:t>)</w:t>
      </w:r>
      <w:r w:rsidR="00497FC9">
        <w:t>,</w:t>
      </w:r>
      <w:r w:rsidRPr="00517FC1">
        <w:t xml:space="preserve"> </w:t>
      </w:r>
      <w:r w:rsidR="0033240E">
        <w:t>and exposure to volatile export markets</w:t>
      </w:r>
      <w:r w:rsidR="0030631E">
        <w:t xml:space="preserve"> </w:t>
      </w:r>
      <w:r w:rsidR="00EE4CBB" w:rsidRPr="00EE4CBB">
        <w:rPr>
          <w:rFonts w:cs="Times New Roman"/>
          <w:szCs w:val="24"/>
        </w:rPr>
        <w:t xml:space="preserve">(ABARES </w:t>
      </w:r>
      <w:proofErr w:type="spellStart"/>
      <w:r w:rsidR="00EE4CBB" w:rsidRPr="00EE4CBB">
        <w:rPr>
          <w:rFonts w:cs="Times New Roman"/>
          <w:szCs w:val="24"/>
        </w:rPr>
        <w:t>n.d.</w:t>
      </w:r>
      <w:proofErr w:type="spellEnd"/>
      <w:r w:rsidR="00EE4CBB" w:rsidRPr="00EE4CBB">
        <w:rPr>
          <w:rFonts w:cs="Times New Roman"/>
          <w:szCs w:val="24"/>
        </w:rPr>
        <w:t>)</w:t>
      </w:r>
      <w:r w:rsidR="0030631E">
        <w:rPr>
          <w:rFonts w:cs="Times New Roman"/>
          <w:szCs w:val="24"/>
        </w:rPr>
        <w:t>.</w:t>
      </w:r>
      <w:r>
        <w:t xml:space="preserve"> This</w:t>
      </w:r>
      <w:r w:rsidR="00086391">
        <w:t xml:space="preserve"> not only affects dryland agriculture, it also affects the reliability of water sources for irrigated agriculture. </w:t>
      </w:r>
      <w:r w:rsidR="004F6E25">
        <w:t xml:space="preserve">During ‘bad’ years when crop plantings and/or profitability </w:t>
      </w:r>
      <w:r w:rsidR="00E929EC">
        <w:t xml:space="preserve">are </w:t>
      </w:r>
      <w:r w:rsidR="004F6E25">
        <w:t>low, expenditure on agvet chemicals is also likely to be lower than it would be during ‘good’ years.</w:t>
      </w:r>
    </w:p>
    <w:p w:rsidR="004F6E25" w:rsidRDefault="007B6EB9" w:rsidP="00AE08A1">
      <w:r>
        <w:fldChar w:fldCharType="begin"/>
      </w:r>
      <w:r>
        <w:instrText xml:space="preserve"> REF _Ref6417303 \h </w:instrText>
      </w:r>
      <w:r w:rsidR="004F6E25">
        <w:instrText xml:space="preserve"> \* MERGEFORMAT </w:instrText>
      </w:r>
      <w:r>
        <w:fldChar w:fldCharType="separate"/>
      </w:r>
      <w:r w:rsidR="00D82E3C">
        <w:t xml:space="preserve">Figure </w:t>
      </w:r>
      <w:r w:rsidR="00D82E3C">
        <w:rPr>
          <w:noProof/>
        </w:rPr>
        <w:t>2.4</w:t>
      </w:r>
      <w:r>
        <w:fldChar w:fldCharType="end"/>
      </w:r>
      <w:r>
        <w:t xml:space="preserve"> </w:t>
      </w:r>
      <w:r w:rsidR="00266740">
        <w:t xml:space="preserve">depicts annual variation in the total value of agricultural production for selected countries </w:t>
      </w:r>
      <w:r w:rsidR="00264F62">
        <w:t xml:space="preserve">between </w:t>
      </w:r>
      <w:r w:rsidR="00266740">
        <w:t>1960</w:t>
      </w:r>
      <w:r w:rsidR="00264F62">
        <w:t xml:space="preserve"> and 2017</w:t>
      </w:r>
      <w:r w:rsidR="00266740">
        <w:t xml:space="preserve">. </w:t>
      </w:r>
      <w:r w:rsidR="006F2BBF">
        <w:t xml:space="preserve">Deviations below trend in Australia are </w:t>
      </w:r>
      <w:r w:rsidR="00DC26C9">
        <w:t xml:space="preserve">significantly </w:t>
      </w:r>
      <w:r w:rsidR="006F2BBF">
        <w:t xml:space="preserve">larger in magnitude than other markets for agvet chemicals. </w:t>
      </w:r>
      <w:r w:rsidR="004F6E25">
        <w:t>As a result, agricultural incomes, and hence expenditure on inputs (or agvet chemical revenue from manufacturers’ point of view), are relatively more variable and risky.</w:t>
      </w:r>
    </w:p>
    <w:p w:rsidR="003062C2" w:rsidRPr="004F18A0" w:rsidRDefault="00266740" w:rsidP="004F18A0">
      <w:pPr>
        <w:pStyle w:val="Caption"/>
      </w:pPr>
      <w:bookmarkStart w:id="191" w:name="_Ref6417303"/>
      <w:r>
        <w:t xml:space="preserve">Figure </w:t>
      </w:r>
      <w:r w:rsidR="00AD067E">
        <w:fldChar w:fldCharType="begin"/>
      </w:r>
      <w:r w:rsidR="00AD067E">
        <w:instrText xml:space="preserve"> STYLEREF 1 \s </w:instrText>
      </w:r>
      <w:r w:rsidR="00AD067E">
        <w:fldChar w:fldCharType="separate"/>
      </w:r>
      <w:r w:rsidR="00D82E3C">
        <w:rPr>
          <w:noProof/>
        </w:rPr>
        <w:t>2</w:t>
      </w:r>
      <w:r w:rsidR="00AD067E">
        <w:fldChar w:fldCharType="end"/>
      </w:r>
      <w:r w:rsidR="00AD067E">
        <w:t>.</w:t>
      </w:r>
      <w:r w:rsidR="00AD067E">
        <w:fldChar w:fldCharType="begin"/>
      </w:r>
      <w:r w:rsidR="00AD067E">
        <w:instrText xml:space="preserve"> SEQ Figure \* ARABIC \s 1 </w:instrText>
      </w:r>
      <w:r w:rsidR="00AD067E">
        <w:fldChar w:fldCharType="separate"/>
      </w:r>
      <w:r w:rsidR="00D82E3C">
        <w:rPr>
          <w:noProof/>
        </w:rPr>
        <w:t>4</w:t>
      </w:r>
      <w:r w:rsidR="00AD067E">
        <w:fldChar w:fldCharType="end"/>
      </w:r>
      <w:bookmarkEnd w:id="191"/>
      <w:r>
        <w:t>: Varia</w:t>
      </w:r>
      <w:r w:rsidR="00AB73E5">
        <w:t>tion in the value of a</w:t>
      </w:r>
      <w:r>
        <w:t xml:space="preserve">gricultural production, selected </w:t>
      </w:r>
      <w:r w:rsidR="0033240E">
        <w:t xml:space="preserve">markets </w:t>
      </w:r>
      <w:r>
        <w:t>1960 to 2017</w:t>
      </w:r>
    </w:p>
    <w:p w:rsidR="00266740" w:rsidRPr="004F18A0" w:rsidRDefault="00B5320C" w:rsidP="004F18A0">
      <w:r>
        <w:rPr>
          <w:noProof/>
          <w:lang w:eastAsia="en-AU"/>
        </w:rPr>
        <w:drawing>
          <wp:inline distT="0" distB="0" distL="0" distR="0" wp14:anchorId="26084200" wp14:editId="0EC37A5E">
            <wp:extent cx="5486400" cy="3200400"/>
            <wp:effectExtent l="0" t="0" r="0" b="0"/>
            <wp:docPr id="1004560124" name="Chart 10" descr="This figure shows the annual variation in the value of agricultural production that occurs across countries. It demonstrates Australia typically deviates from trend growth to a larger degree than most other comparable markets" title="Figure 2.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10" descr="This figure shows the annual variation in the value of agricultural production that occurs across countries. It demonstrates Australia typically deviates from trend growth to a larger degree than most other comparable markets" title="Figure 2.4"/>
                    <pic:cNvPicPr>
                      <a:picLocks noGrp="1" noRot="1" noChangeAspect="1" noMove="1" noResize="1" noEditPoints="1" noAdjustHandles="1" noChangeArrowheads="1" noChangeShapeType="1"/>
                    </pic:cNvPicPr>
                  </pic:nvPicPr>
                  <pic:blipFill>
                    <a:blip r:embed="rId37"/>
                    <a:stretch>
                      <a:fillRect/>
                    </a:stretch>
                  </pic:blipFill>
                  <pic:spPr>
                    <a:xfrm>
                      <a:off x="0" y="0"/>
                      <a:ext cx="5486400" cy="3200400"/>
                    </a:xfrm>
                    <a:prstGeom prst="rect">
                      <a:avLst/>
                    </a:prstGeom>
                  </pic:spPr>
                </pic:pic>
              </a:graphicData>
            </a:graphic>
          </wp:inline>
        </w:drawing>
      </w:r>
    </w:p>
    <w:p w:rsidR="00266740" w:rsidRDefault="00266740" w:rsidP="00467003">
      <w:pPr>
        <w:pStyle w:val="Source"/>
        <w:spacing w:after="0"/>
      </w:pPr>
      <w:r>
        <w:t xml:space="preserve">Source: </w:t>
      </w:r>
      <w:r w:rsidR="00D44FC3">
        <w:rPr>
          <w:rFonts w:cs="Times New Roman"/>
          <w:szCs w:val="24"/>
        </w:rPr>
        <w:t>FAO</w:t>
      </w:r>
      <w:r w:rsidR="005B6C3D" w:rsidRPr="005B6C3D">
        <w:rPr>
          <w:rFonts w:cs="Times New Roman"/>
          <w:szCs w:val="24"/>
        </w:rPr>
        <w:t xml:space="preserve"> </w:t>
      </w:r>
      <w:r w:rsidR="0030631E">
        <w:rPr>
          <w:rFonts w:cs="Times New Roman"/>
          <w:szCs w:val="24"/>
        </w:rPr>
        <w:t>(</w:t>
      </w:r>
      <w:r w:rsidR="005B6C3D" w:rsidRPr="005B6C3D">
        <w:rPr>
          <w:rFonts w:cs="Times New Roman"/>
          <w:szCs w:val="24"/>
        </w:rPr>
        <w:t>201</w:t>
      </w:r>
      <w:r w:rsidR="00D44FC3">
        <w:rPr>
          <w:rFonts w:cs="Times New Roman"/>
          <w:szCs w:val="24"/>
        </w:rPr>
        <w:t>9</w:t>
      </w:r>
      <w:r w:rsidR="005B6C3D" w:rsidRPr="005B6C3D">
        <w:rPr>
          <w:rFonts w:cs="Times New Roman"/>
          <w:szCs w:val="24"/>
        </w:rPr>
        <w:t>)</w:t>
      </w:r>
    </w:p>
    <w:p w:rsidR="0033240E" w:rsidRPr="00642C02" w:rsidRDefault="0033240E" w:rsidP="0033240E">
      <w:pPr>
        <w:rPr>
          <w:iCs/>
          <w:color w:val="75787B" w:themeColor="accent6"/>
          <w:sz w:val="14"/>
        </w:rPr>
      </w:pPr>
      <w:r w:rsidRPr="00642C02">
        <w:rPr>
          <w:iCs/>
          <w:color w:val="75787B" w:themeColor="accent6"/>
          <w:sz w:val="14"/>
        </w:rPr>
        <w:t xml:space="preserve">Note: Deviation from trend is calculated by taking the </w:t>
      </w:r>
      <w:r w:rsidR="00B7669F">
        <w:rPr>
          <w:iCs/>
          <w:color w:val="75787B" w:themeColor="accent6"/>
          <w:sz w:val="14"/>
        </w:rPr>
        <w:t>percentage</w:t>
      </w:r>
      <w:r w:rsidRPr="00642C02">
        <w:rPr>
          <w:iCs/>
          <w:color w:val="75787B" w:themeColor="accent6"/>
          <w:sz w:val="14"/>
        </w:rPr>
        <w:t xml:space="preserve"> difference between actual </w:t>
      </w:r>
      <w:r w:rsidR="00612357">
        <w:rPr>
          <w:iCs/>
          <w:color w:val="75787B" w:themeColor="accent6"/>
          <w:sz w:val="14"/>
        </w:rPr>
        <w:t>agricultural production and the trend-adjusted average</w:t>
      </w:r>
      <w:r w:rsidRPr="00642C02">
        <w:rPr>
          <w:iCs/>
          <w:color w:val="75787B" w:themeColor="accent6"/>
          <w:sz w:val="14"/>
        </w:rPr>
        <w:t>. Trend</w:t>
      </w:r>
      <w:r w:rsidR="00612357">
        <w:rPr>
          <w:iCs/>
          <w:color w:val="75787B" w:themeColor="accent6"/>
          <w:sz w:val="14"/>
        </w:rPr>
        <w:t>s</w:t>
      </w:r>
      <w:r w:rsidRPr="00642C02">
        <w:rPr>
          <w:iCs/>
          <w:color w:val="75787B" w:themeColor="accent6"/>
          <w:sz w:val="14"/>
        </w:rPr>
        <w:t xml:space="preserve"> are estimated using a </w:t>
      </w:r>
      <w:proofErr w:type="spellStart"/>
      <w:r w:rsidRPr="00642C02">
        <w:rPr>
          <w:iCs/>
          <w:color w:val="75787B" w:themeColor="accent6"/>
          <w:sz w:val="14"/>
        </w:rPr>
        <w:t>Hodrick</w:t>
      </w:r>
      <w:proofErr w:type="spellEnd"/>
      <w:r w:rsidRPr="00642C02">
        <w:rPr>
          <w:iCs/>
          <w:color w:val="75787B" w:themeColor="accent6"/>
          <w:sz w:val="14"/>
        </w:rPr>
        <w:t>-Prescott smoothing filter.</w:t>
      </w:r>
    </w:p>
    <w:p w:rsidR="004A7A11" w:rsidRDefault="0081276D" w:rsidP="00266740">
      <w:pPr>
        <w:spacing w:after="0"/>
      </w:pPr>
      <w:r>
        <w:t>I</w:t>
      </w:r>
      <w:r w:rsidR="00266740">
        <w:t>nter-year va</w:t>
      </w:r>
      <w:r w:rsidR="00E801DD">
        <w:t xml:space="preserve">riability in </w:t>
      </w:r>
      <w:r w:rsidR="004607D3">
        <w:t xml:space="preserve">production and </w:t>
      </w:r>
      <w:r w:rsidR="00E801DD">
        <w:t xml:space="preserve">revenue </w:t>
      </w:r>
      <w:r>
        <w:t xml:space="preserve">can cause </w:t>
      </w:r>
      <w:r w:rsidR="00266740">
        <w:t xml:space="preserve">expenditure on inputs </w:t>
      </w:r>
      <w:r>
        <w:t xml:space="preserve">to </w:t>
      </w:r>
      <w:r w:rsidR="00266740">
        <w:t>vary significantly</w:t>
      </w:r>
      <w:r>
        <w:t xml:space="preserve"> from one year to the next</w:t>
      </w:r>
      <w:r w:rsidR="00266740">
        <w:t xml:space="preserve">. </w:t>
      </w:r>
      <w:r w:rsidR="00A65C3F">
        <w:t xml:space="preserve">This is demonstrated in </w:t>
      </w:r>
      <w:r w:rsidR="00E801DD">
        <w:fldChar w:fldCharType="begin"/>
      </w:r>
      <w:r w:rsidR="00E801DD">
        <w:instrText xml:space="preserve"> REF _Ref6420311 \h </w:instrText>
      </w:r>
      <w:r w:rsidR="00E801DD">
        <w:fldChar w:fldCharType="separate"/>
      </w:r>
      <w:r w:rsidR="00D82E3C">
        <w:t xml:space="preserve">Figure </w:t>
      </w:r>
      <w:r w:rsidR="00D82E3C">
        <w:rPr>
          <w:noProof/>
        </w:rPr>
        <w:t>2</w:t>
      </w:r>
      <w:r w:rsidR="00D82E3C">
        <w:t>.</w:t>
      </w:r>
      <w:r w:rsidR="00D82E3C">
        <w:rPr>
          <w:noProof/>
        </w:rPr>
        <w:t>5</w:t>
      </w:r>
      <w:r w:rsidR="00E801DD">
        <w:fldChar w:fldCharType="end"/>
      </w:r>
      <w:r w:rsidR="00A65C3F">
        <w:t xml:space="preserve">, which shows how </w:t>
      </w:r>
      <w:r w:rsidR="004532BF">
        <w:t xml:space="preserve">expenditure on agricultural chemicals, veterinary medicines and all other </w:t>
      </w:r>
      <w:r w:rsidR="00612357">
        <w:t xml:space="preserve">farm </w:t>
      </w:r>
      <w:r w:rsidR="004532BF">
        <w:t xml:space="preserve">costs </w:t>
      </w:r>
      <w:r w:rsidR="00A65C3F">
        <w:t xml:space="preserve">deviate from </w:t>
      </w:r>
      <w:r w:rsidR="00612357">
        <w:t xml:space="preserve">their </w:t>
      </w:r>
      <w:r w:rsidR="00A65C3F">
        <w:t>trend</w:t>
      </w:r>
      <w:r w:rsidR="00612357">
        <w:t>-adjusted averages</w:t>
      </w:r>
      <w:r w:rsidR="00A65C3F">
        <w:t>.</w:t>
      </w:r>
      <w:r w:rsidR="008A777A">
        <w:t xml:space="preserve"> </w:t>
      </w:r>
      <w:r w:rsidR="00612357">
        <w:t>It shows that d</w:t>
      </w:r>
      <w:r w:rsidR="00FB03FB">
        <w:t>ev</w:t>
      </w:r>
      <w:r w:rsidR="007F77E0">
        <w:t>i</w:t>
      </w:r>
      <w:r w:rsidR="00FB03FB">
        <w:t>ations from trend for agvet chemicals appear more negatively skewed than other farm costs</w:t>
      </w:r>
      <w:r w:rsidR="00612357">
        <w:t xml:space="preserve">. This </w:t>
      </w:r>
      <w:r w:rsidR="00787CD7">
        <w:t xml:space="preserve">means that farmers are more likely to significantly reduce their </w:t>
      </w:r>
      <w:r w:rsidR="00612357">
        <w:t xml:space="preserve">expenditure on agvet chemicals </w:t>
      </w:r>
      <w:r w:rsidR="00787CD7">
        <w:t>in any given year,</w:t>
      </w:r>
      <w:r w:rsidR="00787CD7" w:rsidRPr="00787CD7">
        <w:t xml:space="preserve"> </w:t>
      </w:r>
      <w:r w:rsidR="00787CD7">
        <w:t>relative to other farm expenditure items.</w:t>
      </w:r>
    </w:p>
    <w:p w:rsidR="00266740" w:rsidRDefault="00266740" w:rsidP="00266740">
      <w:pPr>
        <w:pStyle w:val="Caption"/>
      </w:pPr>
      <w:bookmarkStart w:id="192" w:name="_Ref6420311"/>
      <w:r>
        <w:t xml:space="preserve">Figure </w:t>
      </w:r>
      <w:r w:rsidR="00AD067E">
        <w:fldChar w:fldCharType="begin"/>
      </w:r>
      <w:r w:rsidR="00AD067E">
        <w:instrText xml:space="preserve"> STYLEREF 1 \s </w:instrText>
      </w:r>
      <w:r w:rsidR="00AD067E">
        <w:fldChar w:fldCharType="separate"/>
      </w:r>
      <w:r w:rsidR="00D82E3C">
        <w:rPr>
          <w:noProof/>
        </w:rPr>
        <w:t>2</w:t>
      </w:r>
      <w:r w:rsidR="00AD067E">
        <w:fldChar w:fldCharType="end"/>
      </w:r>
      <w:r w:rsidR="00AD067E">
        <w:t>.</w:t>
      </w:r>
      <w:r w:rsidR="00AD067E">
        <w:fldChar w:fldCharType="begin"/>
      </w:r>
      <w:r w:rsidR="00AD067E">
        <w:instrText xml:space="preserve"> SEQ Figure \* ARABIC \s 1 </w:instrText>
      </w:r>
      <w:r w:rsidR="00AD067E">
        <w:fldChar w:fldCharType="separate"/>
      </w:r>
      <w:r w:rsidR="00D82E3C">
        <w:rPr>
          <w:noProof/>
        </w:rPr>
        <w:t>5</w:t>
      </w:r>
      <w:r w:rsidR="00AD067E">
        <w:fldChar w:fldCharType="end"/>
      </w:r>
      <w:bookmarkEnd w:id="192"/>
      <w:r>
        <w:t xml:space="preserve">: </w:t>
      </w:r>
      <w:r w:rsidR="0033240E">
        <w:t>V</w:t>
      </w:r>
      <w:r>
        <w:t xml:space="preserve">ariation in </w:t>
      </w:r>
      <w:r w:rsidR="00787CD7">
        <w:t xml:space="preserve">annual </w:t>
      </w:r>
      <w:r w:rsidR="002B02EC">
        <w:t>farm costs</w:t>
      </w:r>
      <w:r w:rsidR="00787CD7">
        <w:t xml:space="preserve"> from the trend-adjusted average</w:t>
      </w:r>
      <w:r>
        <w:t>, Australia, 1990 to 2017</w:t>
      </w:r>
    </w:p>
    <w:p w:rsidR="004035CE" w:rsidRDefault="00B5320C" w:rsidP="004035CE">
      <w:r>
        <w:rPr>
          <w:noProof/>
          <w:lang w:eastAsia="en-AU"/>
        </w:rPr>
        <w:drawing>
          <wp:inline distT="0" distB="0" distL="0" distR="0" wp14:anchorId="45D08A09" wp14:editId="72F0DB61">
            <wp:extent cx="5486400" cy="3200400"/>
            <wp:effectExtent l="0" t="0" r="0" b="0"/>
            <wp:docPr id="9797243" name="Chart 8" descr="This figure shows the annual variation in farm expenditure on agricultural chemicals, veterinary medicines and other costs of production. It demonstrates that agricultural chemicals and veterinary medicines expenditure varies more signficantly than other costs. " title="Figure 2.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Chart 8" descr="This figure shows the annual variation in farm expenditure on agricultural chemicals, veterinary medicines and other costs of production. It demonstrates that agricultural chemicals and veterinary medicines expenditure varies more signficantly than other costs. " title="Figure 2.5"/>
                    <pic:cNvPicPr>
                      <a:picLocks noGrp="1" noRot="1" noChangeAspect="1" noMove="1" noResize="1" noEditPoints="1" noAdjustHandles="1" noChangeArrowheads="1" noChangeShapeType="1"/>
                    </pic:cNvPicPr>
                  </pic:nvPicPr>
                  <pic:blipFill>
                    <a:blip r:embed="rId38"/>
                    <a:stretch>
                      <a:fillRect/>
                    </a:stretch>
                  </pic:blipFill>
                  <pic:spPr>
                    <a:xfrm>
                      <a:off x="0" y="0"/>
                      <a:ext cx="5486400" cy="3200400"/>
                    </a:xfrm>
                    <a:prstGeom prst="rect">
                      <a:avLst/>
                    </a:prstGeom>
                  </pic:spPr>
                </pic:pic>
              </a:graphicData>
            </a:graphic>
          </wp:inline>
        </w:drawing>
      </w:r>
    </w:p>
    <w:p w:rsidR="00266740" w:rsidRDefault="00266740" w:rsidP="00763F0B">
      <w:pPr>
        <w:pStyle w:val="Source"/>
        <w:spacing w:after="0"/>
      </w:pPr>
      <w:r>
        <w:t xml:space="preserve">Source: </w:t>
      </w:r>
      <w:r w:rsidR="00916B38" w:rsidRPr="00916B38">
        <w:t xml:space="preserve">ABARES </w:t>
      </w:r>
      <w:r w:rsidR="0030631E">
        <w:t>(</w:t>
      </w:r>
      <w:r w:rsidR="00916B38" w:rsidRPr="00916B38">
        <w:t>2018c)</w:t>
      </w:r>
    </w:p>
    <w:p w:rsidR="002B02EC" w:rsidRPr="004D60B7" w:rsidRDefault="002B02EC" w:rsidP="00763F0B">
      <w:pPr>
        <w:spacing w:line="240" w:lineRule="auto"/>
      </w:pPr>
      <w:r w:rsidRPr="0033240E">
        <w:rPr>
          <w:iCs/>
          <w:color w:val="75787B" w:themeColor="accent6"/>
          <w:sz w:val="14"/>
        </w:rPr>
        <w:t xml:space="preserve">Note: </w:t>
      </w:r>
      <w:r w:rsidR="0033240E" w:rsidRPr="0033240E">
        <w:rPr>
          <w:iCs/>
          <w:color w:val="75787B" w:themeColor="accent6"/>
          <w:sz w:val="14"/>
        </w:rPr>
        <w:t xml:space="preserve">Deviation from trend is calculated by taking the </w:t>
      </w:r>
      <w:r w:rsidR="00B7669F">
        <w:rPr>
          <w:iCs/>
          <w:color w:val="75787B" w:themeColor="accent6"/>
          <w:sz w:val="14"/>
        </w:rPr>
        <w:t>percentage</w:t>
      </w:r>
      <w:r w:rsidR="00B7669F" w:rsidRPr="0033240E">
        <w:rPr>
          <w:iCs/>
          <w:color w:val="75787B" w:themeColor="accent6"/>
          <w:sz w:val="14"/>
        </w:rPr>
        <w:t xml:space="preserve"> </w:t>
      </w:r>
      <w:r w:rsidR="0033240E" w:rsidRPr="0033240E">
        <w:rPr>
          <w:iCs/>
          <w:color w:val="75787B" w:themeColor="accent6"/>
          <w:sz w:val="14"/>
        </w:rPr>
        <w:t>difference between</w:t>
      </w:r>
      <w:r w:rsidRPr="0033240E">
        <w:rPr>
          <w:iCs/>
          <w:color w:val="75787B" w:themeColor="accent6"/>
          <w:sz w:val="14"/>
        </w:rPr>
        <w:t xml:space="preserve"> actual </w:t>
      </w:r>
      <w:r w:rsidR="0033240E" w:rsidRPr="0033240E">
        <w:rPr>
          <w:iCs/>
          <w:color w:val="75787B" w:themeColor="accent6"/>
          <w:sz w:val="14"/>
        </w:rPr>
        <w:t>farm costs</w:t>
      </w:r>
      <w:r w:rsidR="00DA0138">
        <w:rPr>
          <w:iCs/>
          <w:color w:val="75787B" w:themeColor="accent6"/>
          <w:sz w:val="14"/>
        </w:rPr>
        <w:t xml:space="preserve"> and the trend adjusted average</w:t>
      </w:r>
      <w:r w:rsidRPr="0033240E">
        <w:rPr>
          <w:iCs/>
          <w:color w:val="75787B" w:themeColor="accent6"/>
          <w:sz w:val="14"/>
        </w:rPr>
        <w:t>. Trend</w:t>
      </w:r>
      <w:r w:rsidR="00DA0138">
        <w:rPr>
          <w:iCs/>
          <w:color w:val="75787B" w:themeColor="accent6"/>
          <w:sz w:val="14"/>
        </w:rPr>
        <w:t xml:space="preserve">s are </w:t>
      </w:r>
      <w:r w:rsidRPr="0033240E">
        <w:rPr>
          <w:iCs/>
          <w:color w:val="75787B" w:themeColor="accent6"/>
          <w:sz w:val="14"/>
        </w:rPr>
        <w:t xml:space="preserve">estimated using a </w:t>
      </w:r>
      <w:proofErr w:type="spellStart"/>
      <w:r w:rsidRPr="0033240E">
        <w:rPr>
          <w:iCs/>
          <w:color w:val="75787B" w:themeColor="accent6"/>
          <w:sz w:val="14"/>
        </w:rPr>
        <w:t>Ho</w:t>
      </w:r>
      <w:r w:rsidR="0033240E" w:rsidRPr="0033240E">
        <w:rPr>
          <w:iCs/>
          <w:color w:val="75787B" w:themeColor="accent6"/>
          <w:sz w:val="14"/>
        </w:rPr>
        <w:t>drick</w:t>
      </w:r>
      <w:proofErr w:type="spellEnd"/>
      <w:r w:rsidR="0033240E" w:rsidRPr="0033240E">
        <w:rPr>
          <w:iCs/>
          <w:color w:val="75787B" w:themeColor="accent6"/>
          <w:sz w:val="14"/>
        </w:rPr>
        <w:t>-Prescott smoothing filter</w:t>
      </w:r>
      <w:r w:rsidRPr="0033240E">
        <w:rPr>
          <w:iCs/>
          <w:color w:val="75787B" w:themeColor="accent6"/>
          <w:sz w:val="14"/>
        </w:rPr>
        <w:t>.</w:t>
      </w:r>
    </w:p>
    <w:p w:rsidR="00266740" w:rsidRPr="00E70E3C" w:rsidRDefault="00E905DD" w:rsidP="00340B57">
      <w:pPr>
        <w:pStyle w:val="Heading3"/>
      </w:pPr>
      <w:bookmarkStart w:id="193" w:name="_Toc6413745"/>
      <w:r>
        <w:t>H</w:t>
      </w:r>
      <w:r w:rsidR="00266740">
        <w:t>igh research and development</w:t>
      </w:r>
      <w:r w:rsidR="00266740" w:rsidRPr="00E70E3C">
        <w:t xml:space="preserve"> costs</w:t>
      </w:r>
      <w:r w:rsidR="00266740">
        <w:t xml:space="preserve"> to create agvet chemicals</w:t>
      </w:r>
      <w:bookmarkEnd w:id="193"/>
    </w:p>
    <w:p w:rsidR="00266740" w:rsidRDefault="00C00EA4" w:rsidP="00266740">
      <w:r>
        <w:t>For novel agvet chemicals, the R&amp;D phase requires significant investment of time and resources</w:t>
      </w:r>
      <w:r w:rsidR="00266740">
        <w:t xml:space="preserve">. As such, R&amp;D </w:t>
      </w:r>
      <w:r w:rsidR="00B0475D">
        <w:t xml:space="preserve">in a novel agvet chemical </w:t>
      </w:r>
      <w:r w:rsidR="00266740">
        <w:t xml:space="preserve">is </w:t>
      </w:r>
      <w:r w:rsidR="004517AE">
        <w:t xml:space="preserve">seen </w:t>
      </w:r>
      <w:r w:rsidR="00266740">
        <w:t xml:space="preserve">as an investment </w:t>
      </w:r>
      <w:r w:rsidR="002F574E">
        <w:t xml:space="preserve">with higher risk, as well as a high </w:t>
      </w:r>
      <w:r w:rsidR="00B0475D">
        <w:t xml:space="preserve">potential </w:t>
      </w:r>
      <w:r w:rsidR="00266740">
        <w:t>re</w:t>
      </w:r>
      <w:r w:rsidR="002F574E">
        <w:t>turn</w:t>
      </w:r>
      <w:r w:rsidR="007C7C43">
        <w:t xml:space="preserve"> </w:t>
      </w:r>
      <w:r w:rsidR="00EE4CBB" w:rsidRPr="00EE4CBB">
        <w:t>(Gregg et al. 2010)</w:t>
      </w:r>
      <w:r w:rsidR="007C7C43">
        <w:rPr>
          <w:rFonts w:asciiTheme="majorHAnsi" w:hAnsiTheme="majorHAnsi"/>
        </w:rPr>
        <w:t>.</w:t>
      </w:r>
      <w:r w:rsidR="00266740">
        <w:t xml:space="preserve"> It includes the cost of running laboratory facilities for speculative or targeted chemical synthesis, analysis and formulation development, followed by biological screening against representative pest and weed species in glasshouses to discover ‘lead’ candidates which need further investigation to arrive at a few potential candidates for development. Preliminary toxicity, stability and manufacturing cost consideration, and field trials for biological efficacy under realistic conditions result in rejection of most of these candidates </w:t>
      </w:r>
      <w:r w:rsidR="006D0E57">
        <w:t xml:space="preserve">within </w:t>
      </w:r>
      <w:r w:rsidR="00266740">
        <w:t>two to three years of effort.</w:t>
      </w:r>
    </w:p>
    <w:p w:rsidR="00467003" w:rsidRDefault="00266740" w:rsidP="00266740">
      <w:r w:rsidRPr="00E32AB8">
        <w:t xml:space="preserve">In order to produce a successful active ingredient, around </w:t>
      </w:r>
      <w:r w:rsidRPr="000F3805">
        <w:t>160,000 chemicals must be initially synthesised</w:t>
      </w:r>
      <w:r w:rsidRPr="00E32AB8">
        <w:t xml:space="preserve">. From this, only a few are eligible to be developed, with ultimately only a single prospect registered. These processes take place </w:t>
      </w:r>
      <w:r w:rsidR="00E32AB8">
        <w:t xml:space="preserve">in R&amp;D sites globally, </w:t>
      </w:r>
      <w:r w:rsidRPr="00E32AB8">
        <w:t xml:space="preserve">over a period of </w:t>
      </w:r>
      <w:r w:rsidRPr="000F3805">
        <w:t xml:space="preserve">around </w:t>
      </w:r>
      <w:r w:rsidR="006D0E57">
        <w:t>nine</w:t>
      </w:r>
      <w:r w:rsidRPr="000F3805">
        <w:t xml:space="preserve"> to 10 years</w:t>
      </w:r>
      <w:r w:rsidRPr="00E32AB8">
        <w:t xml:space="preserve">, and at a </w:t>
      </w:r>
      <w:r w:rsidRPr="000F3805">
        <w:t xml:space="preserve">cost of around </w:t>
      </w:r>
      <w:r w:rsidR="00DC26C9">
        <w:t>US</w:t>
      </w:r>
      <w:r w:rsidR="008C39DB">
        <w:t>$</w:t>
      </w:r>
      <w:r w:rsidRPr="000F3805">
        <w:t>250 million</w:t>
      </w:r>
      <w:r w:rsidR="007C7C43">
        <w:t xml:space="preserve"> </w:t>
      </w:r>
      <w:r w:rsidR="00EE4CBB" w:rsidRPr="00EE4CBB">
        <w:t>(</w:t>
      </w:r>
      <w:proofErr w:type="spellStart"/>
      <w:r w:rsidR="00EE4CBB" w:rsidRPr="00EE4CBB">
        <w:t>Whitford</w:t>
      </w:r>
      <w:proofErr w:type="spellEnd"/>
      <w:r w:rsidR="00EE4CBB" w:rsidRPr="00EE4CBB">
        <w:t xml:space="preserve"> et al. 2006)</w:t>
      </w:r>
      <w:r w:rsidR="007C7C43">
        <w:rPr>
          <w:rFonts w:asciiTheme="majorHAnsi" w:hAnsiTheme="majorHAnsi"/>
        </w:rPr>
        <w:t>.</w:t>
      </w:r>
      <w:r w:rsidRPr="00E32AB8">
        <w:t xml:space="preserve"> R&amp;D costs account for the majority of costs (around 90</w:t>
      </w:r>
      <w:r w:rsidR="00D454B1">
        <w:t xml:space="preserve"> </w:t>
      </w:r>
      <w:r w:rsidR="00B7669F">
        <w:t>per cent</w:t>
      </w:r>
      <w:r w:rsidRPr="00E32AB8">
        <w:t>) in initially getting the product to market, and is estimated to account for 5</w:t>
      </w:r>
      <w:r w:rsidR="00D454B1">
        <w:t xml:space="preserve"> </w:t>
      </w:r>
      <w:r w:rsidR="00B7669F">
        <w:t>per cent</w:t>
      </w:r>
      <w:r w:rsidRPr="00E32AB8">
        <w:t xml:space="preserve"> of future revenue</w:t>
      </w:r>
      <w:r w:rsidR="007C7C43">
        <w:t xml:space="preserve"> </w:t>
      </w:r>
      <w:r w:rsidR="005B6C3D" w:rsidRPr="005B6C3D">
        <w:rPr>
          <w:rFonts w:cs="Times New Roman"/>
          <w:szCs w:val="24"/>
        </w:rPr>
        <w:t>(McDougall 2016)</w:t>
      </w:r>
      <w:r w:rsidRPr="00E32AB8">
        <w:t>.</w:t>
      </w:r>
      <w:r w:rsidR="009E0BA7">
        <w:t xml:space="preserve"> </w:t>
      </w:r>
      <w:r w:rsidR="0025036C">
        <w:t>It should also be noted that</w:t>
      </w:r>
      <w:r w:rsidR="00C00EA4">
        <w:t xml:space="preserve">, once a product has been developed, </w:t>
      </w:r>
      <w:r w:rsidR="0025036C">
        <w:t xml:space="preserve">these costs </w:t>
      </w:r>
      <w:r w:rsidR="00C00EA4">
        <w:t>can be recovered through global sales of that product (across multiple jurisdictions), rather than just through a single market</w:t>
      </w:r>
      <w:r w:rsidR="0025036C">
        <w:t>.</w:t>
      </w:r>
    </w:p>
    <w:p w:rsidR="00467003" w:rsidRDefault="00467003">
      <w:pPr>
        <w:spacing w:after="0"/>
      </w:pPr>
      <w:r>
        <w:br w:type="page"/>
      </w:r>
    </w:p>
    <w:p w:rsidR="00266740" w:rsidRDefault="00266740" w:rsidP="00266740">
      <w:pPr>
        <w:pStyle w:val="Caption"/>
      </w:pPr>
      <w:r>
        <w:t xml:space="preserve">Table </w:t>
      </w:r>
      <w:r>
        <w:fldChar w:fldCharType="begin"/>
      </w:r>
      <w:r>
        <w:instrText xml:space="preserve"> STYLEREF 1 \s </w:instrText>
      </w:r>
      <w:r>
        <w:fldChar w:fldCharType="separate"/>
      </w:r>
      <w:r w:rsidR="00D82E3C">
        <w:rPr>
          <w:noProof/>
        </w:rPr>
        <w:t>2</w:t>
      </w:r>
      <w:r>
        <w:fldChar w:fldCharType="end"/>
      </w:r>
      <w:r>
        <w:t>.</w:t>
      </w:r>
      <w:r>
        <w:fldChar w:fldCharType="begin"/>
      </w:r>
      <w:r>
        <w:instrText xml:space="preserve"> SEQ Table \* ARABIC \s 1 </w:instrText>
      </w:r>
      <w:r>
        <w:fldChar w:fldCharType="separate"/>
      </w:r>
      <w:r w:rsidR="00D82E3C">
        <w:rPr>
          <w:noProof/>
        </w:rPr>
        <w:t>3</w:t>
      </w:r>
      <w:r>
        <w:fldChar w:fldCharType="end"/>
      </w:r>
      <w:r>
        <w:t>: Number of different chemicals synthesised in the process of producing a successful active ingredient</w:t>
      </w:r>
    </w:p>
    <w:tbl>
      <w:tblPr>
        <w:tblStyle w:val="Deloittetable"/>
        <w:tblW w:w="6760" w:type="dxa"/>
        <w:tblLook w:val="04A0" w:firstRow="1" w:lastRow="0" w:firstColumn="1" w:lastColumn="0" w:noHBand="0" w:noVBand="1"/>
      </w:tblPr>
      <w:tblGrid>
        <w:gridCol w:w="2426"/>
        <w:gridCol w:w="603"/>
        <w:gridCol w:w="1388"/>
        <w:gridCol w:w="1388"/>
        <w:gridCol w:w="1388"/>
      </w:tblGrid>
      <w:tr w:rsidR="00266740" w:rsidRPr="000D62C7" w:rsidTr="00A24225">
        <w:trPr>
          <w:cnfStyle w:val="100000000000" w:firstRow="1" w:lastRow="0" w:firstColumn="0" w:lastColumn="0" w:oddVBand="0" w:evenVBand="0" w:oddHBand="0" w:evenHBand="0" w:firstRowFirstColumn="0" w:firstRowLastColumn="0" w:lastRowFirstColumn="0" w:lastRowLastColumn="0"/>
          <w:cantSplit/>
          <w:trHeight w:val="225"/>
          <w:tblHeader/>
        </w:trPr>
        <w:tc>
          <w:tcPr>
            <w:tcW w:w="2410" w:type="dxa"/>
            <w:noWrap/>
            <w:hideMark/>
          </w:tcPr>
          <w:p w:rsidR="00266740" w:rsidRPr="000D62C7" w:rsidRDefault="001924FB" w:rsidP="00075111">
            <w:pPr>
              <w:spacing w:after="0" w:line="240" w:lineRule="auto"/>
              <w:rPr>
                <w:rFonts w:asciiTheme="majorHAnsi" w:eastAsia="Times New Roman" w:hAnsiTheme="majorHAnsi" w:cs="Times New Roman"/>
                <w:b/>
                <w:lang w:eastAsia="en-AU"/>
              </w:rPr>
            </w:pPr>
            <w:r>
              <w:rPr>
                <w:rFonts w:asciiTheme="majorHAnsi" w:eastAsia="Times New Roman" w:hAnsiTheme="majorHAnsi" w:cs="Times New Roman"/>
                <w:b/>
                <w:lang w:eastAsia="en-AU"/>
              </w:rPr>
              <w:t>Phase</w:t>
            </w:r>
          </w:p>
        </w:tc>
        <w:tc>
          <w:tcPr>
            <w:tcW w:w="234" w:type="dxa"/>
            <w:noWrap/>
            <w:hideMark/>
          </w:tcPr>
          <w:p w:rsidR="00266740" w:rsidRPr="000D62C7" w:rsidRDefault="00266740" w:rsidP="00075111">
            <w:pPr>
              <w:spacing w:after="0" w:line="240" w:lineRule="auto"/>
              <w:jc w:val="right"/>
              <w:rPr>
                <w:rFonts w:asciiTheme="majorHAnsi" w:eastAsiaTheme="majorEastAsia" w:hAnsiTheme="majorHAnsi" w:cstheme="majorBidi"/>
                <w:b/>
                <w:color w:val="000000" w:themeColor="text1"/>
                <w:lang w:eastAsia="en-AU"/>
              </w:rPr>
            </w:pPr>
            <w:r w:rsidRPr="000D62C7">
              <w:rPr>
                <w:rFonts w:asciiTheme="majorHAnsi" w:eastAsiaTheme="majorEastAsia" w:hAnsiTheme="majorHAnsi" w:cstheme="majorBidi"/>
                <w:b/>
                <w:color w:val="000000" w:themeColor="text1"/>
                <w:lang w:eastAsia="en-AU"/>
              </w:rPr>
              <w:t>1995</w:t>
            </w:r>
          </w:p>
        </w:tc>
        <w:tc>
          <w:tcPr>
            <w:tcW w:w="1372" w:type="dxa"/>
            <w:noWrap/>
            <w:hideMark/>
          </w:tcPr>
          <w:p w:rsidR="00266740" w:rsidRPr="000D62C7" w:rsidRDefault="00266740" w:rsidP="00075111">
            <w:pPr>
              <w:spacing w:after="0" w:line="240" w:lineRule="auto"/>
              <w:jc w:val="right"/>
              <w:rPr>
                <w:rFonts w:asciiTheme="majorHAnsi" w:eastAsiaTheme="majorEastAsia" w:hAnsiTheme="majorHAnsi" w:cstheme="majorBidi"/>
                <w:b/>
                <w:color w:val="000000" w:themeColor="text1"/>
                <w:lang w:eastAsia="en-AU"/>
              </w:rPr>
            </w:pPr>
            <w:r w:rsidRPr="000D62C7">
              <w:rPr>
                <w:rFonts w:asciiTheme="majorHAnsi" w:eastAsiaTheme="majorEastAsia" w:hAnsiTheme="majorHAnsi" w:cstheme="majorBidi"/>
                <w:b/>
                <w:color w:val="000000" w:themeColor="text1"/>
                <w:lang w:eastAsia="en-AU"/>
              </w:rPr>
              <w:t>2000</w:t>
            </w:r>
          </w:p>
        </w:tc>
        <w:tc>
          <w:tcPr>
            <w:tcW w:w="1372" w:type="dxa"/>
            <w:noWrap/>
            <w:hideMark/>
          </w:tcPr>
          <w:p w:rsidR="00266740" w:rsidRPr="000D62C7" w:rsidRDefault="00266740" w:rsidP="00075111">
            <w:pPr>
              <w:spacing w:after="0" w:line="240" w:lineRule="auto"/>
              <w:jc w:val="right"/>
              <w:rPr>
                <w:rFonts w:asciiTheme="majorHAnsi" w:eastAsiaTheme="majorEastAsia" w:hAnsiTheme="majorHAnsi" w:cstheme="majorBidi"/>
                <w:b/>
                <w:color w:val="000000" w:themeColor="text1"/>
                <w:lang w:eastAsia="en-AU"/>
              </w:rPr>
            </w:pPr>
            <w:r w:rsidRPr="000D62C7">
              <w:rPr>
                <w:rFonts w:asciiTheme="majorHAnsi" w:eastAsiaTheme="majorEastAsia" w:hAnsiTheme="majorHAnsi" w:cstheme="majorBidi"/>
                <w:b/>
                <w:color w:val="000000" w:themeColor="text1"/>
                <w:lang w:eastAsia="en-AU"/>
              </w:rPr>
              <w:t>2005–08</w:t>
            </w:r>
          </w:p>
        </w:tc>
        <w:tc>
          <w:tcPr>
            <w:tcW w:w="1372" w:type="dxa"/>
            <w:noWrap/>
            <w:hideMark/>
          </w:tcPr>
          <w:p w:rsidR="00266740" w:rsidRPr="000D62C7" w:rsidRDefault="00266740" w:rsidP="00075111">
            <w:pPr>
              <w:spacing w:after="0" w:line="240" w:lineRule="auto"/>
              <w:jc w:val="right"/>
              <w:rPr>
                <w:rFonts w:asciiTheme="majorHAnsi" w:eastAsiaTheme="majorEastAsia" w:hAnsiTheme="majorHAnsi" w:cstheme="majorBidi"/>
                <w:b/>
                <w:color w:val="000000" w:themeColor="text1"/>
                <w:lang w:eastAsia="en-AU"/>
              </w:rPr>
            </w:pPr>
            <w:r w:rsidRPr="000D62C7">
              <w:rPr>
                <w:rFonts w:asciiTheme="majorHAnsi" w:eastAsiaTheme="majorEastAsia" w:hAnsiTheme="majorHAnsi" w:cstheme="majorBidi"/>
                <w:b/>
                <w:color w:val="000000" w:themeColor="text1"/>
                <w:lang w:eastAsia="en-AU"/>
              </w:rPr>
              <w:t>2010–14</w:t>
            </w:r>
          </w:p>
        </w:tc>
      </w:tr>
      <w:tr w:rsidR="00266740" w:rsidRPr="00CC3DE6" w:rsidTr="00091578">
        <w:trPr>
          <w:trHeight w:val="225"/>
        </w:trPr>
        <w:tc>
          <w:tcPr>
            <w:tcW w:w="2410" w:type="dxa"/>
            <w:noWrap/>
            <w:hideMark/>
          </w:tcPr>
          <w:p w:rsidR="00266740" w:rsidRPr="000D62C7" w:rsidRDefault="00266740" w:rsidP="001924FB">
            <w:pPr>
              <w:spacing w:after="0" w:line="240" w:lineRule="auto"/>
              <w:rPr>
                <w:rFonts w:asciiTheme="majorHAnsi" w:eastAsiaTheme="majorEastAsia" w:hAnsiTheme="majorHAnsi" w:cstheme="majorBidi"/>
                <w:b/>
                <w:color w:val="000000" w:themeColor="text1"/>
                <w:lang w:eastAsia="en-AU"/>
              </w:rPr>
            </w:pPr>
            <w:r w:rsidRPr="000D62C7">
              <w:rPr>
                <w:rFonts w:asciiTheme="majorHAnsi" w:eastAsiaTheme="majorEastAsia" w:hAnsiTheme="majorHAnsi" w:cstheme="majorBidi"/>
                <w:b/>
                <w:color w:val="000000" w:themeColor="text1"/>
                <w:lang w:eastAsia="en-AU"/>
              </w:rPr>
              <w:t>Research</w:t>
            </w:r>
            <w:r w:rsidR="00091578">
              <w:rPr>
                <w:rFonts w:asciiTheme="majorHAnsi" w:eastAsiaTheme="majorEastAsia" w:hAnsiTheme="majorHAnsi" w:cstheme="majorBidi"/>
                <w:b/>
                <w:color w:val="000000" w:themeColor="text1"/>
                <w:lang w:eastAsia="en-AU"/>
              </w:rPr>
              <w:t xml:space="preserve"> </w:t>
            </w:r>
          </w:p>
        </w:tc>
        <w:tc>
          <w:tcPr>
            <w:tcW w:w="234"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 xml:space="preserve">52,500 </w:t>
            </w:r>
          </w:p>
        </w:tc>
        <w:tc>
          <w:tcPr>
            <w:tcW w:w="1372"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 xml:space="preserve">139,429 </w:t>
            </w:r>
          </w:p>
        </w:tc>
        <w:tc>
          <w:tcPr>
            <w:tcW w:w="1372"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 xml:space="preserve">140,000 </w:t>
            </w:r>
          </w:p>
        </w:tc>
        <w:tc>
          <w:tcPr>
            <w:tcW w:w="1372"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 xml:space="preserve">159,574 </w:t>
            </w:r>
          </w:p>
        </w:tc>
      </w:tr>
      <w:tr w:rsidR="00266740" w:rsidRPr="00CC3DE6" w:rsidTr="00091578">
        <w:trPr>
          <w:trHeight w:val="225"/>
        </w:trPr>
        <w:tc>
          <w:tcPr>
            <w:tcW w:w="2410" w:type="dxa"/>
            <w:noWrap/>
            <w:hideMark/>
          </w:tcPr>
          <w:p w:rsidR="00266740" w:rsidRPr="000D62C7" w:rsidRDefault="00266740" w:rsidP="001924FB">
            <w:pPr>
              <w:spacing w:after="0" w:line="240" w:lineRule="auto"/>
              <w:rPr>
                <w:rFonts w:asciiTheme="majorHAnsi" w:eastAsiaTheme="majorEastAsia" w:hAnsiTheme="majorHAnsi" w:cstheme="majorBidi"/>
                <w:b/>
                <w:color w:val="000000" w:themeColor="text1"/>
                <w:lang w:eastAsia="en-AU"/>
              </w:rPr>
            </w:pPr>
            <w:r w:rsidRPr="000D62C7">
              <w:rPr>
                <w:rFonts w:asciiTheme="majorHAnsi" w:eastAsiaTheme="majorEastAsia" w:hAnsiTheme="majorHAnsi" w:cstheme="majorBidi"/>
                <w:b/>
                <w:color w:val="000000" w:themeColor="text1"/>
                <w:lang w:eastAsia="en-AU"/>
              </w:rPr>
              <w:t>Development</w:t>
            </w:r>
            <w:r w:rsidR="00091578">
              <w:rPr>
                <w:rFonts w:asciiTheme="majorHAnsi" w:eastAsiaTheme="majorEastAsia" w:hAnsiTheme="majorHAnsi" w:cstheme="majorBidi"/>
                <w:b/>
                <w:color w:val="000000" w:themeColor="text1"/>
                <w:lang w:eastAsia="en-AU"/>
              </w:rPr>
              <w:t xml:space="preserve"> </w:t>
            </w:r>
          </w:p>
        </w:tc>
        <w:tc>
          <w:tcPr>
            <w:tcW w:w="234"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4</w:t>
            </w:r>
          </w:p>
        </w:tc>
        <w:tc>
          <w:tcPr>
            <w:tcW w:w="1372"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2</w:t>
            </w:r>
          </w:p>
        </w:tc>
        <w:tc>
          <w:tcPr>
            <w:tcW w:w="1372" w:type="dxa"/>
            <w:noWrap/>
            <w:hideMark/>
          </w:tcPr>
          <w:p w:rsidR="00266740" w:rsidRPr="002279FA" w:rsidRDefault="00266740" w:rsidP="00075111">
            <w:pPr>
              <w:spacing w:after="0" w:line="240" w:lineRule="auto"/>
              <w:jc w:val="right"/>
              <w:rPr>
                <w:rFonts w:asciiTheme="majorHAnsi" w:eastAsia="Times New Roman" w:hAnsiTheme="majorHAnsi" w:cs="Times New Roman"/>
                <w:color w:val="000000"/>
                <w:lang w:eastAsia="en-AU"/>
              </w:rPr>
            </w:pPr>
            <w:r w:rsidRPr="002279FA">
              <w:rPr>
                <w:rFonts w:asciiTheme="majorHAnsi" w:eastAsia="Times New Roman" w:hAnsiTheme="majorHAnsi" w:cs="Times New Roman"/>
                <w:color w:val="000000"/>
                <w:lang w:eastAsia="en-AU"/>
              </w:rPr>
              <w:t>1.3</w:t>
            </w:r>
          </w:p>
        </w:tc>
        <w:tc>
          <w:tcPr>
            <w:tcW w:w="1372" w:type="dxa"/>
            <w:noWrap/>
            <w:hideMark/>
          </w:tcPr>
          <w:p w:rsidR="00266740" w:rsidRPr="002279FA" w:rsidRDefault="00266740" w:rsidP="00075111">
            <w:pPr>
              <w:spacing w:after="0" w:line="240" w:lineRule="auto"/>
              <w:jc w:val="right"/>
              <w:rPr>
                <w:rFonts w:asciiTheme="majorHAnsi" w:eastAsia="Times New Roman" w:hAnsiTheme="majorHAnsi" w:cs="Times New Roman"/>
                <w:color w:val="000000"/>
                <w:lang w:eastAsia="en-AU"/>
              </w:rPr>
            </w:pPr>
            <w:r w:rsidRPr="002279FA">
              <w:rPr>
                <w:rFonts w:asciiTheme="majorHAnsi" w:eastAsia="Times New Roman" w:hAnsiTheme="majorHAnsi" w:cs="Times New Roman"/>
                <w:color w:val="000000"/>
                <w:lang w:eastAsia="en-AU"/>
              </w:rPr>
              <w:t>1.5</w:t>
            </w:r>
          </w:p>
        </w:tc>
      </w:tr>
      <w:tr w:rsidR="00266740" w:rsidRPr="00CC3DE6" w:rsidTr="00091578">
        <w:trPr>
          <w:trHeight w:val="225"/>
        </w:trPr>
        <w:tc>
          <w:tcPr>
            <w:tcW w:w="2410" w:type="dxa"/>
            <w:noWrap/>
            <w:hideMark/>
          </w:tcPr>
          <w:p w:rsidR="00266740" w:rsidRPr="000D62C7" w:rsidRDefault="00266740" w:rsidP="00075111">
            <w:pPr>
              <w:spacing w:after="0" w:line="240" w:lineRule="auto"/>
              <w:rPr>
                <w:rFonts w:asciiTheme="majorHAnsi" w:eastAsiaTheme="majorEastAsia" w:hAnsiTheme="majorHAnsi" w:cstheme="majorBidi"/>
                <w:b/>
                <w:color w:val="000000" w:themeColor="text1"/>
                <w:lang w:eastAsia="en-AU"/>
              </w:rPr>
            </w:pPr>
            <w:r w:rsidRPr="000D62C7">
              <w:rPr>
                <w:rFonts w:asciiTheme="majorHAnsi" w:eastAsiaTheme="majorEastAsia" w:hAnsiTheme="majorHAnsi" w:cstheme="majorBidi"/>
                <w:b/>
                <w:color w:val="000000" w:themeColor="text1"/>
                <w:lang w:eastAsia="en-AU"/>
              </w:rPr>
              <w:t>Registration</w:t>
            </w:r>
          </w:p>
        </w:tc>
        <w:tc>
          <w:tcPr>
            <w:tcW w:w="234"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1</w:t>
            </w:r>
          </w:p>
        </w:tc>
        <w:tc>
          <w:tcPr>
            <w:tcW w:w="1372"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1</w:t>
            </w:r>
          </w:p>
        </w:tc>
        <w:tc>
          <w:tcPr>
            <w:tcW w:w="1372"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1</w:t>
            </w:r>
          </w:p>
        </w:tc>
        <w:tc>
          <w:tcPr>
            <w:tcW w:w="1372" w:type="dxa"/>
            <w:noWrap/>
            <w:hideMark/>
          </w:tcPr>
          <w:p w:rsidR="00266740" w:rsidRPr="002279FA" w:rsidRDefault="00266740" w:rsidP="00075111">
            <w:pPr>
              <w:spacing w:after="0" w:line="240" w:lineRule="auto"/>
              <w:jc w:val="right"/>
              <w:rPr>
                <w:rFonts w:asciiTheme="majorHAnsi" w:eastAsiaTheme="majorEastAsia" w:hAnsiTheme="majorHAnsi" w:cstheme="majorBidi"/>
                <w:color w:val="000000" w:themeColor="text1"/>
                <w:lang w:eastAsia="en-AU"/>
              </w:rPr>
            </w:pPr>
            <w:r w:rsidRPr="176226A2">
              <w:rPr>
                <w:rFonts w:asciiTheme="majorHAnsi" w:eastAsiaTheme="majorEastAsia" w:hAnsiTheme="majorHAnsi" w:cstheme="majorBidi"/>
                <w:color w:val="000000" w:themeColor="text1"/>
                <w:lang w:eastAsia="en-AU"/>
              </w:rPr>
              <w:t>1</w:t>
            </w:r>
          </w:p>
        </w:tc>
      </w:tr>
    </w:tbl>
    <w:p w:rsidR="00DC26C9" w:rsidRDefault="00266740" w:rsidP="0030631E">
      <w:pPr>
        <w:pStyle w:val="Source"/>
        <w:rPr>
          <w:szCs w:val="14"/>
        </w:rPr>
      </w:pPr>
      <w:r w:rsidRPr="1AEC276F">
        <w:rPr>
          <w:szCs w:val="14"/>
        </w:rPr>
        <w:t xml:space="preserve">Source: </w:t>
      </w:r>
      <w:r w:rsidR="005B6C3D" w:rsidRPr="005B6C3D">
        <w:t xml:space="preserve">McDougall </w:t>
      </w:r>
      <w:r w:rsidR="0030631E">
        <w:t>(</w:t>
      </w:r>
      <w:r w:rsidR="005B6C3D" w:rsidRPr="005B6C3D">
        <w:t>2016)</w:t>
      </w:r>
    </w:p>
    <w:p w:rsidR="004A7A11" w:rsidRDefault="00266740" w:rsidP="00266740">
      <w:r>
        <w:t xml:space="preserve">The cost and time </w:t>
      </w:r>
      <w:r w:rsidR="006D0E57">
        <w:t>to get</w:t>
      </w:r>
      <w:r>
        <w:t xml:space="preserve"> a chemical to market have been increasing. Compared to the mid-1990s, the number of chemicals synthesised to successfully develop an active ingredient has increased </w:t>
      </w:r>
      <w:r w:rsidR="00E53007">
        <w:t>three</w:t>
      </w:r>
      <w:r>
        <w:t>-fold</w:t>
      </w:r>
      <w:r w:rsidR="004B229C">
        <w:t xml:space="preserve"> (</w:t>
      </w:r>
      <w:r w:rsidR="00E53007">
        <w:t xml:space="preserve">see </w:t>
      </w:r>
      <w:r w:rsidR="00035DDE">
        <w:t>Table 2.3</w:t>
      </w:r>
      <w:r w:rsidR="004B229C">
        <w:t>)</w:t>
      </w:r>
      <w:r>
        <w:t xml:space="preserve">, </w:t>
      </w:r>
      <w:r w:rsidR="00E032D2">
        <w:t>with the time between first synthesis and first sale of a novel chemical expanding from 8 years 4 months to 11 years 4 months</w:t>
      </w:r>
      <w:r w:rsidR="007C7C43">
        <w:t xml:space="preserve"> </w:t>
      </w:r>
      <w:r w:rsidR="00EE4CBB" w:rsidRPr="00EE4CBB">
        <w:t>(</w:t>
      </w:r>
      <w:proofErr w:type="spellStart"/>
      <w:r w:rsidR="00EE4CBB" w:rsidRPr="00EE4CBB">
        <w:t>Whitford</w:t>
      </w:r>
      <w:proofErr w:type="spellEnd"/>
      <w:r w:rsidR="00EE4CBB" w:rsidRPr="00EE4CBB">
        <w:t xml:space="preserve"> et al. 2006)</w:t>
      </w:r>
      <w:r w:rsidR="007C7C43">
        <w:t>.</w:t>
      </w:r>
    </w:p>
    <w:p w:rsidR="00266740" w:rsidRDefault="00266740" w:rsidP="00266740">
      <w:r>
        <w:t>R&amp;D costs</w:t>
      </w:r>
      <w:r w:rsidR="00E032D2">
        <w:t xml:space="preserve"> in bringing a novel chemical to market </w:t>
      </w:r>
      <w:r w:rsidR="000F4923">
        <w:t>(excluding registration</w:t>
      </w:r>
      <w:r w:rsidR="006946AF">
        <w:t xml:space="preserve"> fees</w:t>
      </w:r>
      <w:r w:rsidR="000F4923">
        <w:t xml:space="preserve">) </w:t>
      </w:r>
      <w:r w:rsidR="00E032D2">
        <w:t xml:space="preserve">also </w:t>
      </w:r>
      <w:r>
        <w:t>increas</w:t>
      </w:r>
      <w:r w:rsidR="00E032D2">
        <w:t>ed</w:t>
      </w:r>
      <w:r>
        <w:t xml:space="preserve"> </w:t>
      </w:r>
      <w:r w:rsidR="00E032D2">
        <w:t xml:space="preserve">during this period </w:t>
      </w:r>
      <w:r>
        <w:t xml:space="preserve">by around </w:t>
      </w:r>
      <w:r w:rsidR="000F4923">
        <w:t>8</w:t>
      </w:r>
      <w:r>
        <w:t>0</w:t>
      </w:r>
      <w:r w:rsidR="00D454B1">
        <w:t xml:space="preserve"> </w:t>
      </w:r>
      <w:r w:rsidR="00B7669F">
        <w:t>per cent</w:t>
      </w:r>
      <w:r w:rsidR="00D44FC3">
        <w:t xml:space="preserve"> </w:t>
      </w:r>
      <w:r w:rsidR="00D44FC3" w:rsidRPr="005B6C3D">
        <w:rPr>
          <w:rFonts w:cs="Times New Roman"/>
          <w:szCs w:val="24"/>
        </w:rPr>
        <w:t>(McDougall 2016)</w:t>
      </w:r>
      <w:r>
        <w:t>.</w:t>
      </w:r>
      <w:r w:rsidR="00E032D2" w:rsidRPr="005C2405">
        <w:t xml:space="preserve"> </w:t>
      </w:r>
      <w:r>
        <w:t xml:space="preserve">Most of this increase </w:t>
      </w:r>
      <w:r w:rsidR="00E032D2">
        <w:t xml:space="preserve">was in the development phase where costs expanded </w:t>
      </w:r>
      <w:r w:rsidR="000F4923">
        <w:t>118</w:t>
      </w:r>
      <w:r w:rsidR="00CE5B04">
        <w:t xml:space="preserve"> per cent</w:t>
      </w:r>
      <w:r w:rsidR="00E032D2">
        <w:t xml:space="preserve"> to </w:t>
      </w:r>
      <w:r w:rsidR="000F4923">
        <w:t>a</w:t>
      </w:r>
      <w:r w:rsidR="00E032D2">
        <w:t xml:space="preserve">n average </w:t>
      </w:r>
      <w:r w:rsidR="000F4923">
        <w:t xml:space="preserve">of </w:t>
      </w:r>
      <w:r w:rsidR="003009F5">
        <w:t>US</w:t>
      </w:r>
      <w:r w:rsidR="00E032D2">
        <w:t>$1</w:t>
      </w:r>
      <w:r w:rsidR="000F4923">
        <w:t>46</w:t>
      </w:r>
      <w:r w:rsidR="00E032D2">
        <w:t xml:space="preserve"> million. </w:t>
      </w:r>
      <w:r w:rsidR="003009F5">
        <w:t xml:space="preserve">Higher development costs were largely driven by environmental chemistry testing and field trials, </w:t>
      </w:r>
      <w:r>
        <w:t>with manufacturers required to do increasingly numerous and complex testing of possible chemicals. These trials are undertaken in part to satisfy regulatory requirements to achieve registration in specific countries. Field trials are also undertaken to satisfy corporate liability requirements, as manufacturers increasingly consider the potential for legal challenges, negative publicity or brand damage</w:t>
      </w:r>
      <w:r w:rsidR="007C7C43">
        <w:t xml:space="preserve"> </w:t>
      </w:r>
      <w:r w:rsidR="00EE4CBB" w:rsidRPr="00EE4CBB">
        <w:t>(</w:t>
      </w:r>
      <w:proofErr w:type="spellStart"/>
      <w:r w:rsidR="00EE4CBB" w:rsidRPr="00EE4CBB">
        <w:t>Whitford</w:t>
      </w:r>
      <w:proofErr w:type="spellEnd"/>
      <w:r w:rsidR="00EE4CBB" w:rsidRPr="00EE4CBB">
        <w:t xml:space="preserve"> et al. 2006)</w:t>
      </w:r>
      <w:r w:rsidR="007C7C43">
        <w:t>.</w:t>
      </w:r>
      <w:r>
        <w:rPr>
          <w:vertAlign w:val="superscript"/>
        </w:rPr>
        <w:t xml:space="preserve"> </w:t>
      </w:r>
      <w:r>
        <w:t>Such risk reduction measures are similar to efforts to pre-empt future regulatory changes and uncertainty, further described in s</w:t>
      </w:r>
      <w:r w:rsidR="00E801DD">
        <w:t xml:space="preserve">ection </w:t>
      </w:r>
      <w:r w:rsidR="005F79C4">
        <w:t>2.1.3</w:t>
      </w:r>
      <w:r>
        <w:t>.</w:t>
      </w:r>
    </w:p>
    <w:p w:rsidR="004A7A11" w:rsidRDefault="000F4923" w:rsidP="00266740">
      <w:r>
        <w:t>Research costs associated with bringing a n</w:t>
      </w:r>
      <w:r w:rsidR="003009F5">
        <w:t xml:space="preserve">ovel </w:t>
      </w:r>
      <w:r>
        <w:t xml:space="preserve">chemical to market </w:t>
      </w:r>
      <w:r w:rsidR="003009F5">
        <w:t>increased by 50</w:t>
      </w:r>
      <w:r w:rsidR="00CE5B04">
        <w:t xml:space="preserve"> per cent</w:t>
      </w:r>
      <w:r w:rsidR="003009F5">
        <w:t xml:space="preserve"> over the same period to </w:t>
      </w:r>
      <w:r>
        <w:t xml:space="preserve">an average of </w:t>
      </w:r>
      <w:r w:rsidR="003009F5">
        <w:t>US$</w:t>
      </w:r>
      <w:r>
        <w:t>107</w:t>
      </w:r>
      <w:r w:rsidR="003009F5">
        <w:t xml:space="preserve"> million. </w:t>
      </w:r>
      <w:r>
        <w:t xml:space="preserve">This increase </w:t>
      </w:r>
      <w:r w:rsidR="003009F5">
        <w:t>was driven by higher expenditure on chemistry screening and synthesis which account</w:t>
      </w:r>
      <w:r>
        <w:t>s</w:t>
      </w:r>
      <w:r w:rsidR="003009F5">
        <w:t xml:space="preserve"> for around 90</w:t>
      </w:r>
      <w:r w:rsidR="00CE5B04">
        <w:t xml:space="preserve"> per cent</w:t>
      </w:r>
      <w:r w:rsidR="003009F5">
        <w:t xml:space="preserve"> of research costs. The increase in research costs</w:t>
      </w:r>
      <w:r w:rsidR="007E1FE0">
        <w:t>,</w:t>
      </w:r>
      <w:r w:rsidR="003009F5">
        <w:t xml:space="preserve"> while large</w:t>
      </w:r>
      <w:r w:rsidR="007E1FE0">
        <w:t>,</w:t>
      </w:r>
      <w:r w:rsidR="003009F5">
        <w:t xml:space="preserve"> is comparatively </w:t>
      </w:r>
      <w:r>
        <w:t>small next to the increase in development costs and the number of chemicals synthesised for each marketed active ingredient. This reflects recent improvements in research methodology</w:t>
      </w:r>
      <w:r w:rsidR="007E1FE0">
        <w:t>,</w:t>
      </w:r>
      <w:r>
        <w:t xml:space="preserve"> </w:t>
      </w:r>
      <w:r w:rsidR="007E1FE0">
        <w:t xml:space="preserve">for example </w:t>
      </w:r>
      <w:r w:rsidR="00375B83">
        <w:t>high throughput screening and c</w:t>
      </w:r>
      <w:r>
        <w:t>ombinatorial chemical synthesis — which allows manufacturers to synthesise larger numbers of molecules</w:t>
      </w:r>
      <w:r w:rsidR="00375B83">
        <w:t xml:space="preserve"> — and the use of genomics, which has facilitated the discovery of potential sites of activity within target organisms in addition to new actives</w:t>
      </w:r>
      <w:r w:rsidR="00D44FC3">
        <w:t xml:space="preserve"> </w:t>
      </w:r>
      <w:r w:rsidR="00D44FC3" w:rsidRPr="005B6C3D">
        <w:rPr>
          <w:rFonts w:cs="Times New Roman"/>
          <w:szCs w:val="24"/>
        </w:rPr>
        <w:t>(McDougall 2016)</w:t>
      </w:r>
      <w:r w:rsidR="00375B83">
        <w:t>.</w:t>
      </w:r>
      <w:r w:rsidR="00D44FC3">
        <w:t xml:space="preserve"> </w:t>
      </w:r>
    </w:p>
    <w:p w:rsidR="00266740" w:rsidRDefault="00E905DD" w:rsidP="00340B57">
      <w:pPr>
        <w:pStyle w:val="Heading3"/>
      </w:pPr>
      <w:bookmarkStart w:id="194" w:name="_Toc6413746"/>
      <w:r>
        <w:t>C</w:t>
      </w:r>
      <w:r w:rsidR="00266740">
        <w:t>ost and time to register agvet chemicals</w:t>
      </w:r>
      <w:bookmarkEnd w:id="194"/>
    </w:p>
    <w:p w:rsidR="004A7A11" w:rsidRDefault="009350DA" w:rsidP="005F79C4">
      <w:r>
        <w:t>P</w:t>
      </w:r>
      <w:r w:rsidRPr="001F1FA8">
        <w:t>reparing for registration</w:t>
      </w:r>
      <w:r>
        <w:t xml:space="preserve"> with the </w:t>
      </w:r>
      <w:r w:rsidR="00B12C9C">
        <w:t>APVMA</w:t>
      </w:r>
      <w:r w:rsidRPr="001F1FA8">
        <w:t xml:space="preserve"> is a complex process</w:t>
      </w:r>
      <w:r w:rsidRPr="001D7EDF">
        <w:t xml:space="preserve"> </w:t>
      </w:r>
      <w:r>
        <w:t xml:space="preserve">that </w:t>
      </w:r>
      <w:r w:rsidRPr="001D7EDF">
        <w:t>takes considerable time, resources, and expertise</w:t>
      </w:r>
      <w:r>
        <w:t>. Manufacturers are required to gather and submit detailed data and information to the APVMA that demonstrates the efficacy and safety of their product</w:t>
      </w:r>
      <w:r w:rsidR="007C7C43">
        <w:t xml:space="preserve"> </w:t>
      </w:r>
      <w:r w:rsidR="00EE4CBB" w:rsidRPr="00EE4CBB">
        <w:t>(</w:t>
      </w:r>
      <w:r w:rsidR="0030631E">
        <w:t>APVMA</w:t>
      </w:r>
      <w:r w:rsidR="00EE4CBB" w:rsidRPr="00EE4CBB">
        <w:t xml:space="preserve"> 2014</w:t>
      </w:r>
      <w:r w:rsidR="00FF02C5">
        <w:t>a</w:t>
      </w:r>
      <w:r w:rsidR="00EE4CBB" w:rsidRPr="00EE4CBB">
        <w:t>)</w:t>
      </w:r>
      <w:r w:rsidR="007C7C43">
        <w:rPr>
          <w:rFonts w:asciiTheme="majorHAnsi" w:hAnsiTheme="majorHAnsi"/>
        </w:rPr>
        <w:t>.</w:t>
      </w:r>
      <w:r>
        <w:t xml:space="preserve"> </w:t>
      </w:r>
      <w:r w:rsidR="005F79C4">
        <w:t>However, this is not a uniquely Australian barrier: the ‘burden of proof’ placed on manufacturers by Australia’s regulatory system is broadly in-line with that of other jurisdictions, suggesting that it is unlikely to be a significant impediment to the introduction of novel products in Australia, versus other countries (See Box 2).</w:t>
      </w:r>
    </w:p>
    <w:p w:rsidR="009350DA" w:rsidRDefault="009350DA" w:rsidP="009350DA">
      <w:r>
        <w:t>The burden of proof required of manufacturers depends on the type of chemical and the complexity of the application. In support of chemical safety assessments, the APVMA requires (for example):</w:t>
      </w:r>
    </w:p>
    <w:p w:rsidR="009350DA" w:rsidRDefault="009350DA" w:rsidP="009350DA">
      <w:pPr>
        <w:pStyle w:val="ListBullet3"/>
      </w:pPr>
      <w:r>
        <w:t>Physical/chemical properties and methods to generate data e.g. water solubility</w:t>
      </w:r>
    </w:p>
    <w:p w:rsidR="009350DA" w:rsidRDefault="009350DA" w:rsidP="009350DA">
      <w:pPr>
        <w:pStyle w:val="ListBullet3"/>
      </w:pPr>
      <w:r>
        <w:t>Detailed description of manufacturing processes (to assess potential presence of toxic substances)</w:t>
      </w:r>
    </w:p>
    <w:p w:rsidR="009350DA" w:rsidRPr="00FE38D9" w:rsidRDefault="009350DA" w:rsidP="009350DA">
      <w:pPr>
        <w:pStyle w:val="ListBullet3"/>
      </w:pPr>
      <w:r>
        <w:t>Identification of potential impurities</w:t>
      </w:r>
    </w:p>
    <w:p w:rsidR="009350DA" w:rsidRDefault="009350DA" w:rsidP="009350DA">
      <w:r>
        <w:t>The process involves a number of stakeholders including registration authorities</w:t>
      </w:r>
      <w:r w:rsidRPr="001D7EDF">
        <w:t xml:space="preserve">, </w:t>
      </w:r>
      <w:r>
        <w:t>manufacturers</w:t>
      </w:r>
      <w:r w:rsidRPr="001D7EDF">
        <w:t xml:space="preserve"> and various public interest groups</w:t>
      </w:r>
      <w:r>
        <w:t xml:space="preserve"> as public concerns grow over </w:t>
      </w:r>
      <w:r w:rsidRPr="00F040C0">
        <w:t>the health and environmental effects of chemicals in general. Between 2010 and 2014, total global registration costs were estimated to be around US$30 million on average for successful agricultural chemical products</w:t>
      </w:r>
      <w:r w:rsidR="007C7C43">
        <w:t xml:space="preserve"> </w:t>
      </w:r>
      <w:r w:rsidR="00EE4CBB" w:rsidRPr="0030631E">
        <w:t>(McDougall 2016)</w:t>
      </w:r>
      <w:r w:rsidR="007C7C43" w:rsidRPr="0030631E">
        <w:t>.</w:t>
      </w:r>
      <w:r w:rsidRPr="00F040C0">
        <w:t xml:space="preserve"> Registration costs, incorporating extra studies required to satisfy EU and US regulators, rose by </w:t>
      </w:r>
      <w:r w:rsidRPr="00340B57">
        <w:t>32</w:t>
      </w:r>
      <w:r w:rsidR="00D454B1">
        <w:t xml:space="preserve"> </w:t>
      </w:r>
      <w:r w:rsidR="00B7669F">
        <w:t>per cent</w:t>
      </w:r>
      <w:r w:rsidRPr="00F040C0">
        <w:t xml:space="preserve"> between the periods </w:t>
      </w:r>
      <w:r w:rsidRPr="00340B57">
        <w:t>2005–2008 and 2010–2014</w:t>
      </w:r>
      <w:r w:rsidRPr="00F040C0">
        <w:t>.</w:t>
      </w:r>
    </w:p>
    <w:p w:rsidR="004A7A11" w:rsidRDefault="00686AC8" w:rsidP="00266740">
      <w:r>
        <w:t>O</w:t>
      </w:r>
      <w:r w:rsidR="00266740">
        <w:t xml:space="preserve">ngoing and likely future changes </w:t>
      </w:r>
      <w:r w:rsidR="00266740" w:rsidRPr="00065481">
        <w:t xml:space="preserve">to regulatory requirements </w:t>
      </w:r>
      <w:r w:rsidR="009350DA" w:rsidRPr="00065481">
        <w:t xml:space="preserve">can also </w:t>
      </w:r>
      <w:r w:rsidR="00266740" w:rsidRPr="00065481">
        <w:t xml:space="preserve">create uncertainty and complexity for the industry. </w:t>
      </w:r>
      <w:r w:rsidR="00B01AA2" w:rsidRPr="00065481">
        <w:t xml:space="preserve">One study </w:t>
      </w:r>
      <w:r w:rsidR="00EF42D7">
        <w:t xml:space="preserve">in the European Union </w:t>
      </w:r>
      <w:r w:rsidR="00B01AA2" w:rsidRPr="00065481">
        <w:t>found that c</w:t>
      </w:r>
      <w:r w:rsidR="00266740" w:rsidRPr="00065481">
        <w:t xml:space="preserve">ompanies </w:t>
      </w:r>
      <w:r w:rsidR="00B01AA2" w:rsidRPr="00065481">
        <w:t xml:space="preserve">can </w:t>
      </w:r>
      <w:r w:rsidR="00650A08">
        <w:t xml:space="preserve">over-assure by conducting more </w:t>
      </w:r>
      <w:r w:rsidR="00266740" w:rsidRPr="00065481">
        <w:t xml:space="preserve">studies </w:t>
      </w:r>
      <w:r w:rsidR="00650A08">
        <w:t xml:space="preserve">than needed </w:t>
      </w:r>
      <w:r w:rsidR="00266740" w:rsidRPr="00065481">
        <w:t>to pre-empt possible future regulatory requirements</w:t>
      </w:r>
      <w:r w:rsidR="00F07927">
        <w:t xml:space="preserve"> </w:t>
      </w:r>
      <w:r w:rsidR="00EE4CBB" w:rsidRPr="00EE4CBB">
        <w:t>(Carroll 2016)</w:t>
      </w:r>
      <w:r w:rsidR="00F07927">
        <w:rPr>
          <w:szCs w:val="16"/>
        </w:rPr>
        <w:t>.</w:t>
      </w:r>
      <w:r w:rsidR="00266740" w:rsidRPr="00065481">
        <w:t xml:space="preserve"> </w:t>
      </w:r>
      <w:r w:rsidR="00EF42D7">
        <w:t>Similar research has not been undertaken in Australia.</w:t>
      </w:r>
    </w:p>
    <w:p w:rsidR="00266740" w:rsidRDefault="00267625" w:rsidP="00266740">
      <w:r>
        <w:t>S</w:t>
      </w:r>
      <w:r w:rsidR="00266740" w:rsidRPr="00065481">
        <w:t>cientific</w:t>
      </w:r>
      <w:r w:rsidR="00266740">
        <w:t xml:space="preserve"> tests are also continually improving due to technological advancements</w:t>
      </w:r>
      <w:r w:rsidR="00266740" w:rsidRPr="001D7EDF">
        <w:t xml:space="preserve"> </w:t>
      </w:r>
      <w:r w:rsidR="00266740">
        <w:t>and increasing scientific knowledge – providing greater precision, detection and assessment</w:t>
      </w:r>
      <w:r w:rsidR="00266740" w:rsidRPr="001D7EDF">
        <w:t xml:space="preserve">. </w:t>
      </w:r>
      <w:r w:rsidR="00266740">
        <w:t>I</w:t>
      </w:r>
      <w:r w:rsidR="00266740" w:rsidRPr="001D7EDF">
        <w:t xml:space="preserve">mproved </w:t>
      </w:r>
      <w:r w:rsidR="00266740">
        <w:t>hazard prediction</w:t>
      </w:r>
      <w:r w:rsidR="00266740" w:rsidRPr="001D7EDF">
        <w:t xml:space="preserve"> methods</w:t>
      </w:r>
      <w:r w:rsidR="00266740">
        <w:t>,</w:t>
      </w:r>
      <w:r w:rsidR="00266740" w:rsidRPr="001D7EDF">
        <w:t xml:space="preserve"> </w:t>
      </w:r>
      <w:r w:rsidR="00266740">
        <w:t>hazard reduction measures</w:t>
      </w:r>
      <w:r w:rsidR="00266740" w:rsidRPr="001D7EDF">
        <w:t xml:space="preserve"> and </w:t>
      </w:r>
      <w:r w:rsidR="00266740">
        <w:t xml:space="preserve">the </w:t>
      </w:r>
      <w:r w:rsidR="00266740" w:rsidRPr="001D7EDF">
        <w:t xml:space="preserve">broadening scope of relevant scientific knowledge </w:t>
      </w:r>
      <w:r w:rsidR="00266740">
        <w:t xml:space="preserve">have also </w:t>
      </w:r>
      <w:r w:rsidR="00266740" w:rsidRPr="001D7EDF">
        <w:t>contribute</w:t>
      </w:r>
      <w:r w:rsidR="00266740">
        <w:t>d</w:t>
      </w:r>
      <w:r w:rsidR="00266740" w:rsidRPr="001D7EDF">
        <w:t xml:space="preserve"> to changes and improvements in the registration process.</w:t>
      </w:r>
    </w:p>
    <w:tbl>
      <w:tblPr>
        <w:tblStyle w:val="GridTable1Light-Accent1"/>
        <w:tblpPr w:leftFromText="180" w:rightFromText="180" w:vertAnchor="text" w:tblpY="1"/>
        <w:tblOverlap w:val="never"/>
        <w:tblW w:w="0" w:type="auto"/>
        <w:tblLook w:val="04A0" w:firstRow="1" w:lastRow="0" w:firstColumn="1" w:lastColumn="0" w:noHBand="0" w:noVBand="1"/>
      </w:tblPr>
      <w:tblGrid>
        <w:gridCol w:w="10083"/>
      </w:tblGrid>
      <w:tr w:rsidR="00267625" w:rsidTr="001D7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3" w:type="dxa"/>
          </w:tcPr>
          <w:p w:rsidR="00267625" w:rsidRDefault="00267625" w:rsidP="001D7E40">
            <w:pPr>
              <w:pStyle w:val="Caption"/>
            </w:pPr>
            <w:r>
              <w:t xml:space="preserve">Box </w:t>
            </w:r>
            <w:r>
              <w:fldChar w:fldCharType="begin"/>
            </w:r>
            <w:r>
              <w:instrText xml:space="preserve"> SEQ Box \* ARABIC </w:instrText>
            </w:r>
            <w:r>
              <w:fldChar w:fldCharType="separate"/>
            </w:r>
            <w:r w:rsidR="00D82E3C">
              <w:rPr>
                <w:noProof/>
              </w:rPr>
              <w:t>2</w:t>
            </w:r>
            <w:r>
              <w:fldChar w:fldCharType="end"/>
            </w:r>
            <w:r>
              <w:t xml:space="preserve"> Comparing agvet chemical regulations across jurisdictions</w:t>
            </w:r>
          </w:p>
          <w:p w:rsidR="004A7A11" w:rsidRDefault="00267625" w:rsidP="001D7E40">
            <w:pPr>
              <w:rPr>
                <w:b w:val="0"/>
              </w:rPr>
            </w:pPr>
            <w:r>
              <w:rPr>
                <w:b w:val="0"/>
              </w:rPr>
              <w:t>C</w:t>
            </w:r>
            <w:r w:rsidRPr="000D0627">
              <w:rPr>
                <w:b w:val="0"/>
              </w:rPr>
              <w:t xml:space="preserve">ountries </w:t>
            </w:r>
            <w:r>
              <w:rPr>
                <w:b w:val="0"/>
              </w:rPr>
              <w:t xml:space="preserve">around the world regulate </w:t>
            </w:r>
            <w:r w:rsidR="00650A08">
              <w:rPr>
                <w:b w:val="0"/>
              </w:rPr>
              <w:t>agvet</w:t>
            </w:r>
            <w:r w:rsidR="00650A08" w:rsidRPr="000D0627">
              <w:rPr>
                <w:b w:val="0"/>
              </w:rPr>
              <w:t xml:space="preserve"> </w:t>
            </w:r>
            <w:r w:rsidRPr="000D0627">
              <w:rPr>
                <w:b w:val="0"/>
              </w:rPr>
              <w:t>chemical</w:t>
            </w:r>
            <w:r w:rsidR="00650A08">
              <w:rPr>
                <w:b w:val="0"/>
              </w:rPr>
              <w:t>s</w:t>
            </w:r>
            <w:r w:rsidR="00A2651F">
              <w:rPr>
                <w:b w:val="0"/>
              </w:rPr>
              <w:t xml:space="preserve"> </w:t>
            </w:r>
            <w:r>
              <w:rPr>
                <w:b w:val="0"/>
              </w:rPr>
              <w:t>in different ways</w:t>
            </w:r>
            <w:r w:rsidRPr="000D0627">
              <w:rPr>
                <w:b w:val="0"/>
              </w:rPr>
              <w:t xml:space="preserve">. </w:t>
            </w:r>
            <w:r>
              <w:rPr>
                <w:b w:val="0"/>
              </w:rPr>
              <w:t>This</w:t>
            </w:r>
            <w:r w:rsidRPr="000D0627">
              <w:rPr>
                <w:b w:val="0"/>
              </w:rPr>
              <w:t xml:space="preserve"> include</w:t>
            </w:r>
            <w:r>
              <w:rPr>
                <w:b w:val="0"/>
              </w:rPr>
              <w:t>s</w:t>
            </w:r>
            <w:r w:rsidRPr="000D0627">
              <w:rPr>
                <w:b w:val="0"/>
              </w:rPr>
              <w:t xml:space="preserve"> </w:t>
            </w:r>
            <w:r>
              <w:rPr>
                <w:b w:val="0"/>
              </w:rPr>
              <w:t xml:space="preserve">variations in </w:t>
            </w:r>
            <w:r w:rsidRPr="000D0627">
              <w:rPr>
                <w:b w:val="0"/>
              </w:rPr>
              <w:t>limits for agricultural chemical residues on food, product registration requirements, and use restrictions.</w:t>
            </w:r>
          </w:p>
          <w:p w:rsidR="00267625" w:rsidRPr="000D0627" w:rsidRDefault="00267625" w:rsidP="001D7E40">
            <w:pPr>
              <w:rPr>
                <w:b w:val="0"/>
              </w:rPr>
            </w:pPr>
            <w:r w:rsidRPr="0030631E">
              <w:rPr>
                <w:b w:val="0"/>
              </w:rPr>
              <w:t xml:space="preserve">The European Union, with its emphasis on the </w:t>
            </w:r>
            <w:r w:rsidRPr="0030631E">
              <w:rPr>
                <w:b w:val="0"/>
                <w:i/>
              </w:rPr>
              <w:t xml:space="preserve">hazard </w:t>
            </w:r>
            <w:r w:rsidRPr="0030631E">
              <w:rPr>
                <w:b w:val="0"/>
              </w:rPr>
              <w:t xml:space="preserve">presented by agvet chemicals (before </w:t>
            </w:r>
            <w:r w:rsidRPr="0030631E">
              <w:rPr>
                <w:b w:val="0"/>
                <w:i/>
              </w:rPr>
              <w:t xml:space="preserve">risk </w:t>
            </w:r>
            <w:r w:rsidRPr="0030631E">
              <w:rPr>
                <w:b w:val="0"/>
              </w:rPr>
              <w:t>is considered), is widely understood as the most burdensome international framework for agvet chemicals</w:t>
            </w:r>
            <w:r w:rsidR="00F07927" w:rsidRPr="0030631E">
              <w:rPr>
                <w:b w:val="0"/>
              </w:rPr>
              <w:t xml:space="preserve"> </w:t>
            </w:r>
            <w:r w:rsidR="00EE4CBB" w:rsidRPr="0030631E">
              <w:rPr>
                <w:b w:val="0"/>
              </w:rPr>
              <w:t>(McDougall 2016)</w:t>
            </w:r>
            <w:r w:rsidR="00F07927" w:rsidRPr="0030631E">
              <w:rPr>
                <w:b w:val="0"/>
              </w:rPr>
              <w:t>.</w:t>
            </w:r>
            <w:r w:rsidRPr="0030631E">
              <w:rPr>
                <w:b w:val="0"/>
              </w:rPr>
              <w:t xml:space="preserve"> This is because a risk based system takes into account the likely real-world exposures of people and the environment to a hazard. The EU system is also more complicated. In the EU, registration of actives is undertaken centrally</w:t>
            </w:r>
            <w:r w:rsidRPr="000D0627">
              <w:rPr>
                <w:b w:val="0"/>
              </w:rPr>
              <w:t xml:space="preserve">, </w:t>
            </w:r>
            <w:r>
              <w:rPr>
                <w:b w:val="0"/>
              </w:rPr>
              <w:t xml:space="preserve">while </w:t>
            </w:r>
            <w:r w:rsidRPr="000D0627">
              <w:rPr>
                <w:b w:val="0"/>
              </w:rPr>
              <w:t xml:space="preserve">products have to be separately registered in an EU </w:t>
            </w:r>
            <w:r>
              <w:rPr>
                <w:b w:val="0"/>
              </w:rPr>
              <w:t>member state to enter</w:t>
            </w:r>
            <w:r w:rsidRPr="000D0627">
              <w:rPr>
                <w:b w:val="0"/>
              </w:rPr>
              <w:t xml:space="preserve"> the market.</w:t>
            </w:r>
          </w:p>
          <w:p w:rsidR="004A7A11" w:rsidRDefault="00267625" w:rsidP="001D7E40">
            <w:pPr>
              <w:rPr>
                <w:b w:val="0"/>
              </w:rPr>
            </w:pPr>
            <w:r w:rsidRPr="000D0627">
              <w:rPr>
                <w:b w:val="0"/>
              </w:rPr>
              <w:t>At the other end of the spectrum is New Zealand</w:t>
            </w:r>
            <w:r w:rsidR="00650A08">
              <w:rPr>
                <w:b w:val="0"/>
              </w:rPr>
              <w:t>,</w:t>
            </w:r>
            <w:r w:rsidRPr="000D0627">
              <w:rPr>
                <w:b w:val="0"/>
              </w:rPr>
              <w:t xml:space="preserve"> </w:t>
            </w:r>
            <w:r w:rsidR="000C5632">
              <w:rPr>
                <w:b w:val="0"/>
              </w:rPr>
              <w:t>which seems</w:t>
            </w:r>
            <w:r w:rsidR="0074002A">
              <w:rPr>
                <w:b w:val="0"/>
              </w:rPr>
              <w:t xml:space="preserve"> </w:t>
            </w:r>
            <w:r w:rsidR="00D454B1">
              <w:rPr>
                <w:b w:val="0"/>
              </w:rPr>
              <w:t xml:space="preserve">on the surface </w:t>
            </w:r>
            <w:r w:rsidR="0074002A">
              <w:rPr>
                <w:b w:val="0"/>
              </w:rPr>
              <w:t xml:space="preserve">to </w:t>
            </w:r>
            <w:r w:rsidR="000C5632">
              <w:rPr>
                <w:b w:val="0"/>
              </w:rPr>
              <w:t>take</w:t>
            </w:r>
            <w:r w:rsidR="0074002A">
              <w:rPr>
                <w:b w:val="0"/>
              </w:rPr>
              <w:t xml:space="preserve"> a more streamlined approach to </w:t>
            </w:r>
            <w:r w:rsidR="000C5632">
              <w:rPr>
                <w:b w:val="0"/>
              </w:rPr>
              <w:t xml:space="preserve">elements of its agvet </w:t>
            </w:r>
            <w:r w:rsidR="0074002A">
              <w:rPr>
                <w:b w:val="0"/>
              </w:rPr>
              <w:t>chemical regulation.</w:t>
            </w:r>
            <w:r w:rsidRPr="000D0627">
              <w:rPr>
                <w:b w:val="0"/>
              </w:rPr>
              <w:t xml:space="preserve"> </w:t>
            </w:r>
            <w:r>
              <w:rPr>
                <w:b w:val="0"/>
              </w:rPr>
              <w:t>A</w:t>
            </w:r>
            <w:r w:rsidRPr="000D0627">
              <w:rPr>
                <w:b w:val="0"/>
              </w:rPr>
              <w:t xml:space="preserve">pplicants </w:t>
            </w:r>
            <w:r w:rsidR="00237A93">
              <w:rPr>
                <w:b w:val="0"/>
              </w:rPr>
              <w:t xml:space="preserve">seeking to register novel </w:t>
            </w:r>
            <w:r w:rsidR="00F94B41">
              <w:rPr>
                <w:b w:val="0"/>
              </w:rPr>
              <w:t>agricultural</w:t>
            </w:r>
            <w:r w:rsidR="000C469E">
              <w:rPr>
                <w:b w:val="0"/>
              </w:rPr>
              <w:t xml:space="preserve"> </w:t>
            </w:r>
            <w:r w:rsidR="00237A93">
              <w:rPr>
                <w:b w:val="0"/>
              </w:rPr>
              <w:t>chemicals</w:t>
            </w:r>
            <w:r w:rsidR="000C469E">
              <w:rPr>
                <w:b w:val="0"/>
              </w:rPr>
              <w:t xml:space="preserve"> submit an application to the Ministry of Primary Industries (MPI)</w:t>
            </w:r>
            <w:r w:rsidR="003D4291">
              <w:rPr>
                <w:b w:val="0"/>
              </w:rPr>
              <w:t xml:space="preserve"> to secure their data protection</w:t>
            </w:r>
            <w:r w:rsidR="000C469E">
              <w:rPr>
                <w:b w:val="0"/>
              </w:rPr>
              <w:t xml:space="preserve"> and then to the Environment Protection Authority (EPA) </w:t>
            </w:r>
            <w:r w:rsidR="003D4291">
              <w:rPr>
                <w:b w:val="0"/>
              </w:rPr>
              <w:t>and</w:t>
            </w:r>
            <w:r w:rsidR="000C469E">
              <w:rPr>
                <w:b w:val="0"/>
              </w:rPr>
              <w:t xml:space="preserve"> each agency perform</w:t>
            </w:r>
            <w:r w:rsidR="003D4291">
              <w:rPr>
                <w:b w:val="0"/>
              </w:rPr>
              <w:t>s</w:t>
            </w:r>
            <w:r w:rsidR="000C469E">
              <w:rPr>
                <w:b w:val="0"/>
              </w:rPr>
              <w:t xml:space="preserve"> its part of the evaluation; </w:t>
            </w:r>
            <w:r w:rsidR="00F448CD">
              <w:rPr>
                <w:b w:val="0"/>
              </w:rPr>
              <w:t>MPI assesses</w:t>
            </w:r>
            <w:r w:rsidR="00EC46F3">
              <w:rPr>
                <w:b w:val="0"/>
              </w:rPr>
              <w:t xml:space="preserve"> residues, chemistry, manufacture,</w:t>
            </w:r>
            <w:r w:rsidR="00F448CD">
              <w:rPr>
                <w:b w:val="0"/>
              </w:rPr>
              <w:t xml:space="preserve"> efficacy and trade implications and EPA assesses toxicity</w:t>
            </w:r>
            <w:r w:rsidR="00EC46F3">
              <w:rPr>
                <w:b w:val="0"/>
              </w:rPr>
              <w:t xml:space="preserve"> and environmental impacts</w:t>
            </w:r>
            <w:r w:rsidR="00F448CD">
              <w:rPr>
                <w:b w:val="0"/>
              </w:rPr>
              <w:t xml:space="preserve">. </w:t>
            </w:r>
            <w:r w:rsidR="000C469E">
              <w:rPr>
                <w:b w:val="0"/>
              </w:rPr>
              <w:t xml:space="preserve">Both agencies accept applications in the form of a regulatory assessment. </w:t>
            </w:r>
            <w:r w:rsidR="00EC46F3">
              <w:rPr>
                <w:b w:val="0"/>
              </w:rPr>
              <w:t>Generally applications provide MPI with assessments conducted by an external</w:t>
            </w:r>
            <w:r w:rsidR="00F448CD">
              <w:rPr>
                <w:b w:val="0"/>
              </w:rPr>
              <w:t xml:space="preserve"> assessor, </w:t>
            </w:r>
            <w:r w:rsidR="00EC46F3">
              <w:rPr>
                <w:b w:val="0"/>
              </w:rPr>
              <w:t>either</w:t>
            </w:r>
            <w:r w:rsidR="00F448CD">
              <w:rPr>
                <w:b w:val="0"/>
              </w:rPr>
              <w:t xml:space="preserve"> one who is accredited by </w:t>
            </w:r>
            <w:r w:rsidR="001C060D">
              <w:rPr>
                <w:b w:val="0"/>
              </w:rPr>
              <w:t>the regulator</w:t>
            </w:r>
            <w:r w:rsidR="00EC46F3">
              <w:rPr>
                <w:b w:val="0"/>
              </w:rPr>
              <w:t xml:space="preserve">, </w:t>
            </w:r>
            <w:r w:rsidR="00F448CD">
              <w:rPr>
                <w:b w:val="0"/>
              </w:rPr>
              <w:t xml:space="preserve">or another suitably qualified person (whose qualifications must be demonstrated to </w:t>
            </w:r>
            <w:r w:rsidR="001C060D">
              <w:rPr>
                <w:b w:val="0"/>
              </w:rPr>
              <w:t>the regulator</w:t>
            </w:r>
            <w:r w:rsidR="00F448CD">
              <w:rPr>
                <w:b w:val="0"/>
              </w:rPr>
              <w:t xml:space="preserve">). </w:t>
            </w:r>
            <w:r w:rsidR="00EC46F3">
              <w:rPr>
                <w:b w:val="0"/>
              </w:rPr>
              <w:t>The</w:t>
            </w:r>
            <w:r w:rsidR="00F448CD">
              <w:rPr>
                <w:b w:val="0"/>
              </w:rPr>
              <w:t xml:space="preserve"> EPA </w:t>
            </w:r>
            <w:r w:rsidR="00EC46F3">
              <w:rPr>
                <w:b w:val="0"/>
              </w:rPr>
              <w:t xml:space="preserve">has a statutory timeframe of </w:t>
            </w:r>
            <w:r w:rsidR="00D960BD">
              <w:rPr>
                <w:b w:val="0"/>
              </w:rPr>
              <w:t>10</w:t>
            </w:r>
            <w:r w:rsidR="001C060D">
              <w:rPr>
                <w:b w:val="0"/>
              </w:rPr>
              <w:t>0 </w:t>
            </w:r>
            <w:r w:rsidR="00D960BD">
              <w:rPr>
                <w:b w:val="0"/>
              </w:rPr>
              <w:t>working days,</w:t>
            </w:r>
            <w:r w:rsidR="00EC46F3">
              <w:rPr>
                <w:b w:val="0"/>
              </w:rPr>
              <w:t xml:space="preserve"> but </w:t>
            </w:r>
            <w:r w:rsidR="00D960BD">
              <w:rPr>
                <w:b w:val="0"/>
              </w:rPr>
              <w:t xml:space="preserve">“time-waiver” </w:t>
            </w:r>
            <w:r w:rsidR="001C060D">
              <w:rPr>
                <w:b w:val="0"/>
              </w:rPr>
              <w:t xml:space="preserve">(where the “clock” stops) </w:t>
            </w:r>
            <w:r w:rsidR="00D960BD">
              <w:rPr>
                <w:b w:val="0"/>
              </w:rPr>
              <w:t xml:space="preserve">can apply with the applicant’s consent (and in certain circumstances without their consent) meaning </w:t>
            </w:r>
            <w:r w:rsidR="00EC46F3">
              <w:rPr>
                <w:b w:val="0"/>
              </w:rPr>
              <w:t xml:space="preserve">the elapsed time </w:t>
            </w:r>
            <w:r w:rsidR="001C060D">
              <w:rPr>
                <w:b w:val="0"/>
              </w:rPr>
              <w:t xml:space="preserve">taken </w:t>
            </w:r>
            <w:r w:rsidR="00EC46F3">
              <w:rPr>
                <w:b w:val="0"/>
              </w:rPr>
              <w:t xml:space="preserve">for an assessment can be longer </w:t>
            </w:r>
            <w:r w:rsidR="00D960BD">
              <w:rPr>
                <w:b w:val="0"/>
              </w:rPr>
              <w:t xml:space="preserve">that the statutory timeframes </w:t>
            </w:r>
            <w:r w:rsidR="003D4291">
              <w:rPr>
                <w:b w:val="0"/>
              </w:rPr>
              <w:t>imply</w:t>
            </w:r>
            <w:r w:rsidR="00F448CD">
              <w:rPr>
                <w:b w:val="0"/>
              </w:rPr>
              <w:t>.</w:t>
            </w:r>
            <w:r w:rsidR="00D960BD">
              <w:rPr>
                <w:b w:val="0"/>
              </w:rPr>
              <w:t xml:space="preserve"> The 100 days starts when the EPA formally accepts the application.</w:t>
            </w:r>
            <w:r w:rsidR="00F448CD">
              <w:rPr>
                <w:b w:val="0"/>
              </w:rPr>
              <w:t xml:space="preserve"> MPI has </w:t>
            </w:r>
            <w:r w:rsidR="00933D1C">
              <w:rPr>
                <w:b w:val="0"/>
              </w:rPr>
              <w:t>a statutory timeframe of</w:t>
            </w:r>
            <w:r w:rsidR="00F448CD">
              <w:rPr>
                <w:b w:val="0"/>
              </w:rPr>
              <w:t xml:space="preserve"> 40 days</w:t>
            </w:r>
            <w:r w:rsidR="001C060D">
              <w:rPr>
                <w:b w:val="0"/>
              </w:rPr>
              <w:t>,</w:t>
            </w:r>
            <w:r w:rsidR="00F448CD">
              <w:rPr>
                <w:b w:val="0"/>
              </w:rPr>
              <w:t xml:space="preserve"> or seven days after the EPA finishes its assessment</w:t>
            </w:r>
            <w:r w:rsidR="00EC46F3">
              <w:rPr>
                <w:b w:val="0"/>
              </w:rPr>
              <w:t xml:space="preserve"> (for those applications that go to the EPA)</w:t>
            </w:r>
            <w:r w:rsidR="00F448CD">
              <w:rPr>
                <w:b w:val="0"/>
              </w:rPr>
              <w:t xml:space="preserve">. </w:t>
            </w:r>
            <w:r w:rsidR="00D5575D">
              <w:rPr>
                <w:b w:val="0"/>
              </w:rPr>
              <w:t xml:space="preserve"> Most veterinary medicines </w:t>
            </w:r>
            <w:r w:rsidR="00EC46F3">
              <w:rPr>
                <w:b w:val="0"/>
              </w:rPr>
              <w:t>don’t</w:t>
            </w:r>
            <w:r w:rsidR="00D5575D">
              <w:rPr>
                <w:b w:val="0"/>
              </w:rPr>
              <w:t xml:space="preserve"> require </w:t>
            </w:r>
            <w:r w:rsidR="00EC46F3">
              <w:rPr>
                <w:b w:val="0"/>
              </w:rPr>
              <w:t>a separate</w:t>
            </w:r>
            <w:r w:rsidR="00D5575D">
              <w:rPr>
                <w:b w:val="0"/>
              </w:rPr>
              <w:t xml:space="preserve"> </w:t>
            </w:r>
            <w:r w:rsidR="00EC46F3">
              <w:rPr>
                <w:b w:val="0"/>
              </w:rPr>
              <w:t>EPA</w:t>
            </w:r>
            <w:r w:rsidR="00D5575D">
              <w:rPr>
                <w:b w:val="0"/>
              </w:rPr>
              <w:t xml:space="preserve"> assessment</w:t>
            </w:r>
            <w:r w:rsidR="00EC46F3">
              <w:rPr>
                <w:b w:val="0"/>
              </w:rPr>
              <w:t xml:space="preserve"> because it has group standards</w:t>
            </w:r>
            <w:r w:rsidR="00D5575D">
              <w:rPr>
                <w:b w:val="0"/>
              </w:rPr>
              <w:t xml:space="preserve"> </w:t>
            </w:r>
            <w:r w:rsidR="00EC46F3">
              <w:rPr>
                <w:b w:val="0"/>
              </w:rPr>
              <w:t>t</w:t>
            </w:r>
            <w:r w:rsidR="001C060D">
              <w:rPr>
                <w:b w:val="0"/>
              </w:rPr>
              <w:t>hat cover the risks posed by tho</w:t>
            </w:r>
            <w:r w:rsidR="00EC46F3">
              <w:rPr>
                <w:b w:val="0"/>
              </w:rPr>
              <w:t>se chemicals. A</w:t>
            </w:r>
            <w:r w:rsidR="00D5575D">
              <w:rPr>
                <w:b w:val="0"/>
              </w:rPr>
              <w:t xml:space="preserve">pplications for agricultural chemicals that are the same or closely similar to a product that has already been approved can </w:t>
            </w:r>
            <w:r w:rsidR="00CD74CE">
              <w:rPr>
                <w:b w:val="0"/>
              </w:rPr>
              <w:t>be approved via a rapid route</w:t>
            </w:r>
            <w:r w:rsidR="00D5575D">
              <w:rPr>
                <w:b w:val="0"/>
              </w:rPr>
              <w:t xml:space="preserve">. </w:t>
            </w:r>
            <w:r w:rsidR="00F94B41">
              <w:rPr>
                <w:b w:val="0"/>
              </w:rPr>
              <w:t>Third party assessors</w:t>
            </w:r>
            <w:r w:rsidR="00CD74CE">
              <w:rPr>
                <w:b w:val="0"/>
              </w:rPr>
              <w:t xml:space="preserve"> may</w:t>
            </w:r>
            <w:r w:rsidR="00F94B41">
              <w:rPr>
                <w:b w:val="0"/>
              </w:rPr>
              <w:t xml:space="preserve"> charge </w:t>
            </w:r>
            <w:r w:rsidR="00CD74CE">
              <w:rPr>
                <w:b w:val="0"/>
              </w:rPr>
              <w:t>around</w:t>
            </w:r>
            <w:r w:rsidR="00F94B41">
              <w:rPr>
                <w:b w:val="0"/>
              </w:rPr>
              <w:t xml:space="preserve"> $150 </w:t>
            </w:r>
            <w:r w:rsidR="00CD74CE">
              <w:rPr>
                <w:b w:val="0"/>
              </w:rPr>
              <w:t>to</w:t>
            </w:r>
            <w:r w:rsidR="00F94B41">
              <w:rPr>
                <w:b w:val="0"/>
              </w:rPr>
              <w:t xml:space="preserve"> $250 per hour to complete a regulatory assessment and can finalise simple ones in around one week.</w:t>
            </w:r>
          </w:p>
          <w:p w:rsidR="004A7A11" w:rsidRDefault="00267625" w:rsidP="001D7E40">
            <w:pPr>
              <w:rPr>
                <w:b w:val="0"/>
              </w:rPr>
            </w:pPr>
            <w:r>
              <w:rPr>
                <w:b w:val="0"/>
              </w:rPr>
              <w:t xml:space="preserve">New Zealand’s system appears to </w:t>
            </w:r>
            <w:r w:rsidR="00F94B41">
              <w:rPr>
                <w:b w:val="0"/>
              </w:rPr>
              <w:t xml:space="preserve">be </w:t>
            </w:r>
            <w:r w:rsidR="00D5575D">
              <w:rPr>
                <w:b w:val="0"/>
              </w:rPr>
              <w:t>the most streamlined of all the systems examined</w:t>
            </w:r>
            <w:r>
              <w:rPr>
                <w:b w:val="0"/>
              </w:rPr>
              <w:t xml:space="preserve">, </w:t>
            </w:r>
            <w:r w:rsidR="00D5575D">
              <w:rPr>
                <w:b w:val="0"/>
              </w:rPr>
              <w:t>particularly for veterinary medicines and generic</w:t>
            </w:r>
            <w:r w:rsidR="003D4291">
              <w:rPr>
                <w:b w:val="0"/>
              </w:rPr>
              <w:t xml:space="preserve"> agricultural chemicals.</w:t>
            </w:r>
            <w:r w:rsidR="00D5575D">
              <w:rPr>
                <w:b w:val="0"/>
              </w:rPr>
              <w:t xml:space="preserve"> </w:t>
            </w:r>
            <w:r w:rsidR="003D4291">
              <w:rPr>
                <w:b w:val="0"/>
              </w:rPr>
              <w:t>H</w:t>
            </w:r>
            <w:r>
              <w:rPr>
                <w:b w:val="0"/>
              </w:rPr>
              <w:t>owever</w:t>
            </w:r>
            <w:r w:rsidR="00B32E28">
              <w:rPr>
                <w:b w:val="0"/>
              </w:rPr>
              <w:t>,</w:t>
            </w:r>
            <w:r>
              <w:rPr>
                <w:b w:val="0"/>
              </w:rPr>
              <w:t xml:space="preserve"> it is unclear if the registration process </w:t>
            </w:r>
            <w:r w:rsidR="00D5575D">
              <w:rPr>
                <w:b w:val="0"/>
              </w:rPr>
              <w:t xml:space="preserve">would be </w:t>
            </w:r>
            <w:r w:rsidR="00933D1C">
              <w:rPr>
                <w:b w:val="0"/>
              </w:rPr>
              <w:t xml:space="preserve">much </w:t>
            </w:r>
            <w:r>
              <w:rPr>
                <w:b w:val="0"/>
              </w:rPr>
              <w:t xml:space="preserve">quicker or </w:t>
            </w:r>
            <w:r w:rsidR="00933D1C">
              <w:rPr>
                <w:b w:val="0"/>
              </w:rPr>
              <w:t>cheaper</w:t>
            </w:r>
            <w:r>
              <w:rPr>
                <w:b w:val="0"/>
              </w:rPr>
              <w:t xml:space="preserve"> for </w:t>
            </w:r>
            <w:r w:rsidR="00F94B41">
              <w:rPr>
                <w:b w:val="0"/>
              </w:rPr>
              <w:t xml:space="preserve">novel agricultural chemical products, given the likelihood that they would require a </w:t>
            </w:r>
            <w:r w:rsidR="003D4291">
              <w:rPr>
                <w:b w:val="0"/>
              </w:rPr>
              <w:t xml:space="preserve">more complex </w:t>
            </w:r>
            <w:r w:rsidR="00F94B41">
              <w:rPr>
                <w:b w:val="0"/>
              </w:rPr>
              <w:t>efficacy assessment</w:t>
            </w:r>
            <w:r w:rsidR="003D4291">
              <w:rPr>
                <w:b w:val="0"/>
              </w:rPr>
              <w:t xml:space="preserve"> and a full toxicological assessment by the EPA</w:t>
            </w:r>
            <w:r>
              <w:rPr>
                <w:b w:val="0"/>
              </w:rPr>
              <w:t>.</w:t>
            </w:r>
          </w:p>
          <w:p w:rsidR="00C34756" w:rsidRPr="0030631E" w:rsidRDefault="00267625" w:rsidP="001D7E40">
            <w:pPr>
              <w:rPr>
                <w:b w:val="0"/>
              </w:rPr>
            </w:pPr>
            <w:r>
              <w:rPr>
                <w:b w:val="0"/>
              </w:rPr>
              <w:t xml:space="preserve">Overall, </w:t>
            </w:r>
            <w:r w:rsidRPr="00552D5E">
              <w:rPr>
                <w:b w:val="0"/>
              </w:rPr>
              <w:t xml:space="preserve">there is evidence to suggest that </w:t>
            </w:r>
            <w:r>
              <w:rPr>
                <w:b w:val="0"/>
              </w:rPr>
              <w:t xml:space="preserve">the costs and time of Australian </w:t>
            </w:r>
            <w:r w:rsidR="003D4291">
              <w:rPr>
                <w:b w:val="0"/>
              </w:rPr>
              <w:t xml:space="preserve">novel </w:t>
            </w:r>
            <w:r w:rsidR="00650A08">
              <w:rPr>
                <w:b w:val="0"/>
              </w:rPr>
              <w:t xml:space="preserve">product registrations </w:t>
            </w:r>
            <w:r>
              <w:rPr>
                <w:b w:val="0"/>
              </w:rPr>
              <w:t xml:space="preserve">are </w:t>
            </w:r>
            <w:r w:rsidRPr="0030631E">
              <w:rPr>
                <w:b w:val="0"/>
              </w:rPr>
              <w:t>broadly similar to those in other countries. Moreover, in a recent review of the APVMA’s assessment performance, the Reason Group found the APVMA faces similar challenges as other international regulatory bodies</w:t>
            </w:r>
            <w:r w:rsidR="00F07927" w:rsidRPr="0030631E">
              <w:rPr>
                <w:b w:val="0"/>
              </w:rPr>
              <w:t xml:space="preserve"> </w:t>
            </w:r>
            <w:r w:rsidR="00EE4CBB" w:rsidRPr="0030631E">
              <w:rPr>
                <w:b w:val="0"/>
              </w:rPr>
              <w:t>(Reason Group 2017)</w:t>
            </w:r>
            <w:r w:rsidR="00F07927" w:rsidRPr="0030631E">
              <w:rPr>
                <w:b w:val="0"/>
              </w:rPr>
              <w:t>.</w:t>
            </w:r>
            <w:r w:rsidRPr="0030631E">
              <w:rPr>
                <w:b w:val="0"/>
              </w:rPr>
              <w:t xml:space="preserve"> The process through which agricultural chemicals are registered in most jurisdictions broadly encompasses three processes</w:t>
            </w:r>
            <w:r w:rsidR="00C34756" w:rsidRPr="0030631E">
              <w:rPr>
                <w:b w:val="0"/>
              </w:rPr>
              <w:t xml:space="preserve"> (veterinary medicines are also assessed for animal welfare effects)</w:t>
            </w:r>
            <w:r w:rsidR="002906EA">
              <w:rPr>
                <w:b w:val="0"/>
              </w:rPr>
              <w:t>.</w:t>
            </w:r>
            <w:r w:rsidR="00C34756" w:rsidRPr="0030631E">
              <w:rPr>
                <w:b w:val="0"/>
              </w:rPr>
              <w:t xml:space="preserve"> </w:t>
            </w:r>
            <w:r w:rsidR="002906EA">
              <w:rPr>
                <w:b w:val="0"/>
              </w:rPr>
              <w:t>T</w:t>
            </w:r>
            <w:r w:rsidR="00C34756" w:rsidRPr="0030631E">
              <w:rPr>
                <w:b w:val="0"/>
              </w:rPr>
              <w:t>he</w:t>
            </w:r>
            <w:r w:rsidR="002906EA">
              <w:rPr>
                <w:b w:val="0"/>
              </w:rPr>
              <w:t>s</w:t>
            </w:r>
            <w:r w:rsidR="00C34756" w:rsidRPr="0030631E">
              <w:rPr>
                <w:b w:val="0"/>
              </w:rPr>
              <w:t>e are</w:t>
            </w:r>
            <w:r w:rsidRPr="0030631E">
              <w:rPr>
                <w:b w:val="0"/>
              </w:rPr>
              <w:t xml:space="preserve">: </w:t>
            </w:r>
          </w:p>
          <w:p w:rsidR="00C34756" w:rsidRPr="0030631E" w:rsidRDefault="00267625" w:rsidP="0030631E">
            <w:pPr>
              <w:pStyle w:val="ListParagraph"/>
              <w:numPr>
                <w:ilvl w:val="0"/>
                <w:numId w:val="38"/>
              </w:numPr>
              <w:rPr>
                <w:b w:val="0"/>
              </w:rPr>
            </w:pPr>
            <w:r w:rsidRPr="0030631E">
              <w:rPr>
                <w:b w:val="0"/>
              </w:rPr>
              <w:t xml:space="preserve">agronomical performance, </w:t>
            </w:r>
          </w:p>
          <w:p w:rsidR="00C34756" w:rsidRPr="0030631E" w:rsidRDefault="00267625" w:rsidP="0030631E">
            <w:pPr>
              <w:pStyle w:val="ListParagraph"/>
              <w:numPr>
                <w:ilvl w:val="0"/>
                <w:numId w:val="38"/>
              </w:numPr>
              <w:rPr>
                <w:b w:val="0"/>
              </w:rPr>
            </w:pPr>
            <w:r w:rsidRPr="0030631E">
              <w:rPr>
                <w:b w:val="0"/>
              </w:rPr>
              <w:t xml:space="preserve">human toxicology and </w:t>
            </w:r>
          </w:p>
          <w:p w:rsidR="00C34756" w:rsidRPr="0030631E" w:rsidRDefault="00267625" w:rsidP="0030631E">
            <w:pPr>
              <w:pStyle w:val="ListParagraph"/>
              <w:numPr>
                <w:ilvl w:val="0"/>
                <w:numId w:val="38"/>
              </w:numPr>
              <w:rPr>
                <w:b w:val="0"/>
              </w:rPr>
            </w:pPr>
            <w:r w:rsidRPr="0030631E">
              <w:rPr>
                <w:b w:val="0"/>
              </w:rPr>
              <w:t>environmental toxicology</w:t>
            </w:r>
          </w:p>
          <w:p w:rsidR="00267625" w:rsidRPr="0030631E" w:rsidRDefault="00267625" w:rsidP="001C0CDC">
            <w:pPr>
              <w:rPr>
                <w:b w:val="0"/>
              </w:rPr>
            </w:pPr>
            <w:r w:rsidRPr="0030631E">
              <w:rPr>
                <w:b w:val="0"/>
              </w:rPr>
              <w:t>The</w:t>
            </w:r>
            <w:r w:rsidR="00C34756" w:rsidRPr="0030631E">
              <w:rPr>
                <w:b w:val="0"/>
              </w:rPr>
              <w:t xml:space="preserve">se </w:t>
            </w:r>
            <w:r w:rsidRPr="0030631E">
              <w:rPr>
                <w:b w:val="0"/>
              </w:rPr>
              <w:t>processes are broadly similar across countries, with evidence to establish safety criteria for the US, EU, Australia and New Zealand all related to:</w:t>
            </w:r>
          </w:p>
          <w:p w:rsidR="00267625" w:rsidRPr="00267625" w:rsidRDefault="00267625" w:rsidP="00FE6A25">
            <w:pPr>
              <w:pStyle w:val="ListParagraph"/>
              <w:numPr>
                <w:ilvl w:val="0"/>
                <w:numId w:val="18"/>
              </w:numPr>
              <w:rPr>
                <w:b w:val="0"/>
              </w:rPr>
            </w:pPr>
            <w:r w:rsidRPr="00267625">
              <w:rPr>
                <w:b w:val="0"/>
              </w:rPr>
              <w:t>Physical and chemical properties</w:t>
            </w:r>
          </w:p>
          <w:p w:rsidR="00267625" w:rsidRPr="00267625" w:rsidRDefault="00267625" w:rsidP="00FE6A25">
            <w:pPr>
              <w:pStyle w:val="ListParagraph"/>
              <w:numPr>
                <w:ilvl w:val="0"/>
                <w:numId w:val="18"/>
              </w:numPr>
              <w:rPr>
                <w:b w:val="0"/>
              </w:rPr>
            </w:pPr>
            <w:r w:rsidRPr="00267625">
              <w:rPr>
                <w:b w:val="0"/>
              </w:rPr>
              <w:t>Stability</w:t>
            </w:r>
          </w:p>
          <w:p w:rsidR="00267625" w:rsidRPr="00267625" w:rsidRDefault="00267625" w:rsidP="00FE6A25">
            <w:pPr>
              <w:pStyle w:val="ListParagraph"/>
              <w:numPr>
                <w:ilvl w:val="0"/>
                <w:numId w:val="18"/>
              </w:numPr>
              <w:rPr>
                <w:b w:val="0"/>
              </w:rPr>
            </w:pPr>
            <w:r w:rsidRPr="00267625">
              <w:rPr>
                <w:b w:val="0"/>
              </w:rPr>
              <w:t>Manufacturing process</w:t>
            </w:r>
          </w:p>
          <w:p w:rsidR="00267625" w:rsidRPr="00267625" w:rsidRDefault="00267625" w:rsidP="00FE6A25">
            <w:pPr>
              <w:pStyle w:val="ListParagraph"/>
              <w:numPr>
                <w:ilvl w:val="0"/>
                <w:numId w:val="18"/>
              </w:numPr>
              <w:rPr>
                <w:b w:val="0"/>
              </w:rPr>
            </w:pPr>
            <w:r w:rsidRPr="00267625">
              <w:rPr>
                <w:b w:val="0"/>
              </w:rPr>
              <w:t>Toxicology</w:t>
            </w:r>
          </w:p>
          <w:p w:rsidR="00267625" w:rsidRPr="00267625" w:rsidRDefault="00267625" w:rsidP="00FE6A25">
            <w:pPr>
              <w:pStyle w:val="ListParagraph"/>
              <w:numPr>
                <w:ilvl w:val="0"/>
                <w:numId w:val="18"/>
              </w:numPr>
              <w:rPr>
                <w:b w:val="0"/>
              </w:rPr>
            </w:pPr>
            <w:r w:rsidRPr="00267625">
              <w:rPr>
                <w:b w:val="0"/>
              </w:rPr>
              <w:t>Batch analysis results.</w:t>
            </w:r>
          </w:p>
          <w:p w:rsidR="00267625" w:rsidRDefault="00267625" w:rsidP="001D7E40">
            <w:pPr>
              <w:rPr>
                <w:b w:val="0"/>
              </w:rPr>
            </w:pPr>
            <w:r w:rsidRPr="004A796A">
              <w:rPr>
                <w:b w:val="0"/>
              </w:rPr>
              <w:t>The mai</w:t>
            </w:r>
            <w:r>
              <w:rPr>
                <w:b w:val="0"/>
              </w:rPr>
              <w:t>n difference across countries is t</w:t>
            </w:r>
            <w:r w:rsidRPr="000D0627">
              <w:rPr>
                <w:b w:val="0"/>
              </w:rPr>
              <w:t xml:space="preserve">he relative weights attributed to each of these </w:t>
            </w:r>
            <w:r w:rsidR="00650A08">
              <w:rPr>
                <w:b w:val="0"/>
              </w:rPr>
              <w:t>aspects</w:t>
            </w:r>
            <w:r w:rsidR="00650A08" w:rsidRPr="000D0627">
              <w:rPr>
                <w:b w:val="0"/>
              </w:rPr>
              <w:t xml:space="preserve"> </w:t>
            </w:r>
            <w:r w:rsidRPr="000D0627">
              <w:rPr>
                <w:b w:val="0"/>
              </w:rPr>
              <w:t>for registration.</w:t>
            </w:r>
          </w:p>
          <w:p w:rsidR="00267625" w:rsidRDefault="00267625" w:rsidP="001D7E40">
            <w:pPr>
              <w:rPr>
                <w:b w:val="0"/>
              </w:rPr>
            </w:pPr>
            <w:r>
              <w:rPr>
                <w:b w:val="0"/>
              </w:rPr>
              <w:t xml:space="preserve">Another important difference is that, in Australia (like New Zealand), the trade impacts of agvet chemicals are considered as part of the </w:t>
            </w:r>
            <w:r w:rsidR="00BB4C14">
              <w:rPr>
                <w:b w:val="0"/>
              </w:rPr>
              <w:t xml:space="preserve">product </w:t>
            </w:r>
            <w:r>
              <w:rPr>
                <w:b w:val="0"/>
              </w:rPr>
              <w:t xml:space="preserve">registration process. This reflects the export orientation of Australia’s agricultural sectors. </w:t>
            </w:r>
            <w:r w:rsidR="003D4291">
              <w:rPr>
                <w:b w:val="0"/>
              </w:rPr>
              <w:t xml:space="preserve">Additionally, </w:t>
            </w:r>
            <w:r w:rsidR="000F7AFB">
              <w:rPr>
                <w:b w:val="0"/>
              </w:rPr>
              <w:t xml:space="preserve">In New Zealand, </w:t>
            </w:r>
            <w:r w:rsidR="003D4291">
              <w:rPr>
                <w:b w:val="0"/>
              </w:rPr>
              <w:t>i</w:t>
            </w:r>
            <w:r w:rsidR="00D960BD">
              <w:rPr>
                <w:b w:val="0"/>
              </w:rPr>
              <w:t xml:space="preserve">f the risks of a product are not negligible, </w:t>
            </w:r>
            <w:r w:rsidR="007E1DA4">
              <w:rPr>
                <w:b w:val="0"/>
              </w:rPr>
              <w:t>both MPI and EPA</w:t>
            </w:r>
            <w:r w:rsidR="00D5575D">
              <w:rPr>
                <w:b w:val="0"/>
              </w:rPr>
              <w:t xml:space="preserve"> </w:t>
            </w:r>
            <w:r w:rsidR="007E1DA4">
              <w:rPr>
                <w:b w:val="0"/>
              </w:rPr>
              <w:t>conduct</w:t>
            </w:r>
            <w:r w:rsidR="00D5575D">
              <w:rPr>
                <w:b w:val="0"/>
              </w:rPr>
              <w:t xml:space="preserve"> a benefits test </w:t>
            </w:r>
            <w:r w:rsidR="0016255E">
              <w:rPr>
                <w:b w:val="0"/>
              </w:rPr>
              <w:t>that</w:t>
            </w:r>
            <w:r w:rsidR="00D5575D">
              <w:rPr>
                <w:b w:val="0"/>
              </w:rPr>
              <w:t xml:space="preserve"> requires </w:t>
            </w:r>
            <w:r w:rsidR="0016255E">
              <w:rPr>
                <w:b w:val="0"/>
              </w:rPr>
              <w:t>applicants to</w:t>
            </w:r>
            <w:r w:rsidR="00D5575D">
              <w:rPr>
                <w:b w:val="0"/>
              </w:rPr>
              <w:t xml:space="preserve"> demonstrate </w:t>
            </w:r>
            <w:r w:rsidR="0016255E">
              <w:rPr>
                <w:b w:val="0"/>
              </w:rPr>
              <w:t xml:space="preserve">that the risks of their product are </w:t>
            </w:r>
            <w:r w:rsidR="00D960BD">
              <w:rPr>
                <w:b w:val="0"/>
              </w:rPr>
              <w:t>outweighed</w:t>
            </w:r>
            <w:r w:rsidR="0016255E">
              <w:rPr>
                <w:b w:val="0"/>
              </w:rPr>
              <w:t xml:space="preserve"> by its benefits</w:t>
            </w:r>
            <w:r w:rsidR="009A16CB">
              <w:rPr>
                <w:b w:val="0"/>
              </w:rPr>
              <w:t>.</w:t>
            </w:r>
          </w:p>
          <w:p w:rsidR="00267625" w:rsidRPr="00552D5E" w:rsidRDefault="00267625" w:rsidP="001D7E40">
            <w:pPr>
              <w:rPr>
                <w:b w:val="0"/>
              </w:rPr>
            </w:pPr>
            <w:r>
              <w:rPr>
                <w:b w:val="0"/>
              </w:rPr>
              <w:t xml:space="preserve">Appendix E contains a summary of the criteria that agvet chemical regulators assess in Australia, NZ, Canada, the US and the EU. </w:t>
            </w:r>
          </w:p>
        </w:tc>
      </w:tr>
    </w:tbl>
    <w:p w:rsidR="00266740" w:rsidRDefault="00266740" w:rsidP="00266740">
      <w:r>
        <w:t xml:space="preserve">In </w:t>
      </w:r>
      <w:r w:rsidR="00C9759D">
        <w:t xml:space="preserve">all comparable regulatory systems, in </w:t>
      </w:r>
      <w:r>
        <w:t xml:space="preserve">addition to the provision of supporting data and information, </w:t>
      </w:r>
      <w:r w:rsidR="00BE0F98">
        <w:t xml:space="preserve">applicants pay statutory fees </w:t>
      </w:r>
      <w:r>
        <w:t xml:space="preserve">to the </w:t>
      </w:r>
      <w:r w:rsidR="00C9759D">
        <w:t>regulator</w:t>
      </w:r>
      <w:r w:rsidR="00E2573F">
        <w:t>, adding to the cost of registration</w:t>
      </w:r>
      <w:r w:rsidR="00BE0F98">
        <w:t xml:space="preserve">. </w:t>
      </w:r>
      <w:r>
        <w:t>A</w:t>
      </w:r>
      <w:r w:rsidRPr="00EF7924">
        <w:t>pplication fee</w:t>
      </w:r>
      <w:r>
        <w:t>s</w:t>
      </w:r>
      <w:r w:rsidRPr="00EF7924">
        <w:t xml:space="preserve"> and assessment period</w:t>
      </w:r>
      <w:r>
        <w:t>s also</w:t>
      </w:r>
      <w:r w:rsidRPr="00EF7924">
        <w:t xml:space="preserve"> </w:t>
      </w:r>
      <w:r>
        <w:t>vary</w:t>
      </w:r>
      <w:r w:rsidRPr="00EF7924">
        <w:t xml:space="preserve"> depending on the complexity of the </w:t>
      </w:r>
      <w:r>
        <w:t>chemistry submitted for assessment</w:t>
      </w:r>
      <w:r w:rsidR="005C0F27">
        <w:t>.</w:t>
      </w:r>
      <w:r>
        <w:t xml:space="preserve"> </w:t>
      </w:r>
      <w:r w:rsidR="005C0F27">
        <w:t>I</w:t>
      </w:r>
      <w:r w:rsidR="00C9759D">
        <w:t xml:space="preserve">n Australia, </w:t>
      </w:r>
      <w:r w:rsidR="005C0F27">
        <w:t xml:space="preserve">fees </w:t>
      </w:r>
      <w:r>
        <w:t>can be broadly grouped into three categories:</w:t>
      </w:r>
    </w:p>
    <w:p w:rsidR="00507F66" w:rsidRPr="00262374" w:rsidRDefault="00266740" w:rsidP="00507F66">
      <w:pPr>
        <w:pStyle w:val="ListBullet3"/>
      </w:pPr>
      <w:r w:rsidRPr="00A77C72">
        <w:rPr>
          <w:b/>
        </w:rPr>
        <w:t>Approval of an active constituent</w:t>
      </w:r>
      <w:r w:rsidRPr="000C6C1C">
        <w:rPr>
          <w:b/>
        </w:rPr>
        <w:t xml:space="preserve"> in a chemical product</w:t>
      </w:r>
      <w:r>
        <w:t xml:space="preserve"> </w:t>
      </w:r>
      <w:r w:rsidRPr="000C6C1C">
        <w:t>and</w:t>
      </w:r>
      <w:r>
        <w:t xml:space="preserve"> </w:t>
      </w:r>
      <w:r w:rsidRPr="00A77C72">
        <w:rPr>
          <w:b/>
        </w:rPr>
        <w:t>registration of the associated chemical product</w:t>
      </w:r>
      <w:r>
        <w:t xml:space="preserve"> — costed at 18 months and $96,135</w:t>
      </w:r>
      <w:r w:rsidR="00507F66">
        <w:t xml:space="preserve"> (increases to 25 months if additional information or </w:t>
      </w:r>
      <w:r w:rsidR="00C10EA5" w:rsidRPr="00D15513">
        <w:t>clarification</w:t>
      </w:r>
      <w:r w:rsidR="00507F66">
        <w:t xml:space="preserve"> of submitted information is required)</w:t>
      </w:r>
    </w:p>
    <w:p w:rsidR="00D26EDF" w:rsidRPr="00971EDF" w:rsidRDefault="00266740" w:rsidP="00340B57">
      <w:pPr>
        <w:pStyle w:val="ListBullet3"/>
      </w:pPr>
      <w:r w:rsidRPr="00D26EDF">
        <w:rPr>
          <w:b/>
        </w:rPr>
        <w:t>Approval of an active constituent</w:t>
      </w:r>
      <w:r>
        <w:t xml:space="preserve"> — ranges from 7 </w:t>
      </w:r>
      <w:r w:rsidR="003C367E">
        <w:t>m</w:t>
      </w:r>
      <w:r>
        <w:t>onths and $3,155 to 14 months and $30,550, depending on the assessment requirements.</w:t>
      </w:r>
    </w:p>
    <w:p w:rsidR="004A7A11" w:rsidRDefault="00266740" w:rsidP="000C6C1C">
      <w:pPr>
        <w:pStyle w:val="ListBullet3"/>
      </w:pPr>
      <w:r w:rsidRPr="00D26EDF">
        <w:rPr>
          <w:b/>
        </w:rPr>
        <w:t>Registration of a chemical product</w:t>
      </w:r>
      <w:r w:rsidRPr="000C6C1C">
        <w:rPr>
          <w:b/>
        </w:rPr>
        <w:t xml:space="preserve"> containing an approved active constituent</w:t>
      </w:r>
      <w:r>
        <w:t xml:space="preserve"> and </w:t>
      </w:r>
      <w:r w:rsidRPr="000C6C1C">
        <w:rPr>
          <w:b/>
        </w:rPr>
        <w:t xml:space="preserve">approval of the product label </w:t>
      </w:r>
      <w:r>
        <w:t xml:space="preserve">— ranges between 2 </w:t>
      </w:r>
      <w:r w:rsidR="003C367E">
        <w:t>m</w:t>
      </w:r>
      <w:r>
        <w:t>onths and $1,595 and 18 months and $64,620, depending on the assessment requirements and the similarity of the proposed product to existing chemicals</w:t>
      </w:r>
      <w:r w:rsidR="004B0E97">
        <w:t xml:space="preserve"> (</w:t>
      </w:r>
      <w:r w:rsidR="004B0E97">
        <w:rPr>
          <w:szCs w:val="16"/>
        </w:rPr>
        <w:t>a</w:t>
      </w:r>
      <w:r w:rsidR="004B0E97" w:rsidRPr="00782BAC">
        <w:rPr>
          <w:szCs w:val="16"/>
        </w:rPr>
        <w:t xml:space="preserve"> modular fee and timeline structure is applied if the assessment requirements is less than full</w:t>
      </w:r>
      <w:r w:rsidR="004B0E97">
        <w:t>)</w:t>
      </w:r>
      <w:r>
        <w:t>.</w:t>
      </w:r>
      <w:r w:rsidR="004B0E97" w:rsidRPr="006C3B78" w:rsidDel="004B0E97">
        <w:rPr>
          <w:rStyle w:val="FootnoteReference"/>
        </w:rPr>
        <w:t xml:space="preserve"> </w:t>
      </w:r>
    </w:p>
    <w:p w:rsidR="004A7A11" w:rsidRDefault="009F6FEB" w:rsidP="009B5EBE">
      <w:pPr>
        <w:rPr>
          <w:rFonts w:asciiTheme="minorHAnsi" w:hAnsiTheme="minorHAnsi" w:cs="Arial"/>
          <w:shd w:val="clear" w:color="auto" w:fill="FFFFFF"/>
        </w:rPr>
      </w:pPr>
      <w:r w:rsidRPr="005C2405">
        <w:t xml:space="preserve">The APVMA’s statutory fees </w:t>
      </w:r>
      <w:r w:rsidR="007B538C" w:rsidRPr="005C2405">
        <w:t xml:space="preserve">are </w:t>
      </w:r>
      <w:r w:rsidR="00D43252">
        <w:t xml:space="preserve">set according to cost recovery principles, with fees </w:t>
      </w:r>
      <w:r w:rsidRPr="005C2405">
        <w:t>calculated</w:t>
      </w:r>
      <w:r w:rsidR="007B538C" w:rsidRPr="005C2405">
        <w:t xml:space="preserve"> </w:t>
      </w:r>
      <w:r w:rsidR="00266740" w:rsidRPr="005C2405">
        <w:t xml:space="preserve">to </w:t>
      </w:r>
      <w:r w:rsidR="007B538C" w:rsidRPr="005C2405">
        <w:t>pay for</w:t>
      </w:r>
      <w:r w:rsidR="00971EDF" w:rsidRPr="005C2405">
        <w:t xml:space="preserve"> the </w:t>
      </w:r>
      <w:r w:rsidR="007B538C" w:rsidRPr="005C2405">
        <w:t>resources required to assess and register agvet chemicals</w:t>
      </w:r>
      <w:r w:rsidR="009B5EBE" w:rsidRPr="005C2405">
        <w:t xml:space="preserve"> only</w:t>
      </w:r>
      <w:r w:rsidR="00D43252">
        <w:t xml:space="preserve">. </w:t>
      </w:r>
      <w:r w:rsidR="00F959DD">
        <w:t xml:space="preserve">A comparison of Australia’s regulatory system with that of the US, Canada, UK </w:t>
      </w:r>
      <w:r w:rsidR="00C9759D">
        <w:t xml:space="preserve">and </w:t>
      </w:r>
      <w:r w:rsidR="00F959DD">
        <w:t xml:space="preserve">the EU shows that </w:t>
      </w:r>
      <w:r w:rsidR="00F959DD" w:rsidRPr="00014B03">
        <w:t xml:space="preserve">Australia </w:t>
      </w:r>
      <w:r w:rsidR="00F959DD">
        <w:t xml:space="preserve">is broadly </w:t>
      </w:r>
      <w:r w:rsidR="00F959DD" w:rsidRPr="00014B03">
        <w:t>in-line wi</w:t>
      </w:r>
      <w:r w:rsidR="00F959DD">
        <w:t xml:space="preserve">th comparable overseas markets in terms of </w:t>
      </w:r>
      <w:r w:rsidR="00F959DD" w:rsidRPr="00CB0CE4">
        <w:t>the statutory fees charged for an assessment and the length of time taken to assess applications</w:t>
      </w:r>
      <w:r w:rsidR="00F959DD">
        <w:t>. Since these markets collectively account for a substantial share of global agvet chemical sales, time and costs are also unlikely to present a significant impediment to the introduction of novel products in Australia, versus other countries (Box 3).</w:t>
      </w:r>
    </w:p>
    <w:p w:rsidR="00DB7A86" w:rsidRDefault="00B351F8" w:rsidP="005C2405">
      <w:r>
        <w:rPr>
          <w:rFonts w:cs="Arial"/>
          <w:shd w:val="clear" w:color="auto" w:fill="FFFFFF"/>
        </w:rPr>
        <w:t>Furthermore, t</w:t>
      </w:r>
      <w:r w:rsidR="009B5EBE">
        <w:rPr>
          <w:rFonts w:cs="Arial"/>
          <w:shd w:val="clear" w:color="auto" w:fill="FFFFFF"/>
        </w:rPr>
        <w:t xml:space="preserve">here is, evidence to suggest that statutory fees (globally) represent a small proportion of the overall registration cost to manufacturers, and are therefore not a significant barrier. </w:t>
      </w:r>
      <w:r w:rsidR="009B5EBE" w:rsidRPr="0015432C">
        <w:t xml:space="preserve">McConnell (2016) </w:t>
      </w:r>
      <w:r w:rsidR="009B5EBE">
        <w:t xml:space="preserve">noted that </w:t>
      </w:r>
      <w:r w:rsidR="009B5EBE" w:rsidRPr="0015432C">
        <w:t>“Statutory registration fees represent only a small proportion of the overall registration process [for a manufacturer]”</w:t>
      </w:r>
      <w:r w:rsidR="00F07927">
        <w:t xml:space="preserve"> </w:t>
      </w:r>
      <w:r w:rsidR="005B6C3D" w:rsidRPr="005B6C3D">
        <w:rPr>
          <w:rFonts w:cs="Times New Roman"/>
          <w:szCs w:val="24"/>
        </w:rPr>
        <w:t>(McDougall 2016)</w:t>
      </w:r>
      <w:r w:rsidR="00F07927">
        <w:t>.</w:t>
      </w:r>
      <w:r w:rsidR="005C2405" w:rsidRPr="005C2405">
        <w:rPr>
          <w:rStyle w:val="FootnoteReference"/>
        </w:rPr>
        <w:t xml:space="preserve"> </w:t>
      </w:r>
    </w:p>
    <w:tbl>
      <w:tblPr>
        <w:tblStyle w:val="GridTable1Light-Accent1"/>
        <w:tblpPr w:leftFromText="180" w:rightFromText="180" w:vertAnchor="text" w:horzAnchor="margin" w:tblpY="161"/>
        <w:tblOverlap w:val="never"/>
        <w:tblW w:w="10320" w:type="dxa"/>
        <w:shd w:val="clear" w:color="auto" w:fill="FFFFFF" w:themeFill="background1"/>
        <w:tblLook w:val="04A0" w:firstRow="1" w:lastRow="0" w:firstColumn="1" w:lastColumn="0" w:noHBand="0" w:noVBand="1"/>
      </w:tblPr>
      <w:tblGrid>
        <w:gridCol w:w="10320"/>
      </w:tblGrid>
      <w:tr w:rsidR="00DB7A86" w:rsidTr="00B808B7">
        <w:trPr>
          <w:cnfStyle w:val="100000000000" w:firstRow="1" w:lastRow="0" w:firstColumn="0" w:lastColumn="0" w:oddVBand="0" w:evenVBand="0" w:oddHBand="0" w:evenHBand="0" w:firstRowFirstColumn="0" w:firstRowLastColumn="0" w:lastRowFirstColumn="0" w:lastRowLastColumn="0"/>
          <w:trHeight w:val="9482"/>
        </w:trPr>
        <w:tc>
          <w:tcPr>
            <w:cnfStyle w:val="001000000000" w:firstRow="0" w:lastRow="0" w:firstColumn="1" w:lastColumn="0" w:oddVBand="0" w:evenVBand="0" w:oddHBand="0" w:evenHBand="0" w:firstRowFirstColumn="0" w:firstRowLastColumn="0" w:lastRowFirstColumn="0" w:lastRowLastColumn="0"/>
            <w:tcW w:w="10320" w:type="dxa"/>
            <w:shd w:val="clear" w:color="auto" w:fill="FFFFFF" w:themeFill="background1"/>
          </w:tcPr>
          <w:p w:rsidR="00DB7A86" w:rsidRPr="00340B57" w:rsidRDefault="00DB7A86" w:rsidP="0007055C">
            <w:pPr>
              <w:pStyle w:val="Caption"/>
            </w:pPr>
            <w:r w:rsidRPr="00340B57">
              <w:t xml:space="preserve">Box </w:t>
            </w:r>
            <w:r w:rsidR="00BE0F98">
              <w:t>3</w:t>
            </w:r>
            <w:r w:rsidRPr="00340B57">
              <w:t xml:space="preserve"> Comparing statutory fees and application times across countries</w:t>
            </w:r>
          </w:p>
          <w:p w:rsidR="00DB7A86" w:rsidRPr="00340B57" w:rsidRDefault="00DB7A86" w:rsidP="0007055C">
            <w:pPr>
              <w:rPr>
                <w:b w:val="0"/>
              </w:rPr>
            </w:pPr>
            <w:r w:rsidRPr="000A765D">
              <w:rPr>
                <w:b w:val="0"/>
              </w:rPr>
              <w:t xml:space="preserve">Statutory fees and periods of time taken to complete applications differ widely across countries. This mainly reflects the different regulatory systems and the environments they operate in. Comparisons across countries </w:t>
            </w:r>
            <w:r w:rsidR="00B351F8">
              <w:rPr>
                <w:b w:val="0"/>
              </w:rPr>
              <w:t>are</w:t>
            </w:r>
            <w:r w:rsidR="00B351F8" w:rsidRPr="000A765D">
              <w:rPr>
                <w:b w:val="0"/>
              </w:rPr>
              <w:t xml:space="preserve"> </w:t>
            </w:r>
            <w:r w:rsidRPr="000A765D">
              <w:rPr>
                <w:b w:val="0"/>
              </w:rPr>
              <w:t xml:space="preserve">also difficult due to the multitude of pathways that are available in each country </w:t>
            </w:r>
            <w:r w:rsidR="00B351F8">
              <w:rPr>
                <w:b w:val="0"/>
              </w:rPr>
              <w:t>for</w:t>
            </w:r>
            <w:r w:rsidR="00B351F8" w:rsidRPr="000A765D">
              <w:rPr>
                <w:b w:val="0"/>
              </w:rPr>
              <w:t xml:space="preserve"> </w:t>
            </w:r>
            <w:r w:rsidRPr="000A765D">
              <w:rPr>
                <w:b w:val="0"/>
              </w:rPr>
              <w:t>registering novel agvet chemicals. In Australia alone there are more than 15 ways to register a novel active and/or product (</w:t>
            </w:r>
            <w:r w:rsidR="006852C6">
              <w:rPr>
                <w:b w:val="0"/>
              </w:rPr>
              <w:t xml:space="preserve">See </w:t>
            </w:r>
            <w:r w:rsidRPr="000A765D">
              <w:rPr>
                <w:b w:val="0"/>
              </w:rPr>
              <w:t xml:space="preserve">Appendix </w:t>
            </w:r>
            <w:r w:rsidR="00FE6A25">
              <w:rPr>
                <w:b w:val="0"/>
              </w:rPr>
              <w:t>F</w:t>
            </w:r>
            <w:r w:rsidRPr="000A765D">
              <w:rPr>
                <w:b w:val="0"/>
              </w:rPr>
              <w:t>).</w:t>
            </w:r>
          </w:p>
          <w:p w:rsidR="00DB7A86" w:rsidRPr="00340B57" w:rsidRDefault="00DB7A86" w:rsidP="0007055C">
            <w:pPr>
              <w:rPr>
                <w:b w:val="0"/>
              </w:rPr>
            </w:pPr>
            <w:r w:rsidRPr="000A765D">
              <w:rPr>
                <w:b w:val="0"/>
              </w:rPr>
              <w:t xml:space="preserve">Despite these differences in regulatory approaches, the costs and time frames imposed by Australia’s regulatory </w:t>
            </w:r>
            <w:r w:rsidR="008C4AEC">
              <w:rPr>
                <w:b w:val="0"/>
              </w:rPr>
              <w:t>system</w:t>
            </w:r>
            <w:r w:rsidR="008C4AEC" w:rsidRPr="000A765D">
              <w:rPr>
                <w:b w:val="0"/>
              </w:rPr>
              <w:t xml:space="preserve"> </w:t>
            </w:r>
            <w:r w:rsidRPr="000A765D">
              <w:rPr>
                <w:b w:val="0"/>
              </w:rPr>
              <w:t xml:space="preserve">compare favourably. This is illustrated in Figure </w:t>
            </w:r>
            <w:r w:rsidRPr="00340B57">
              <w:fldChar w:fldCharType="begin"/>
            </w:r>
            <w:r w:rsidRPr="000A765D">
              <w:rPr>
                <w:b w:val="0"/>
              </w:rPr>
              <w:instrText xml:space="preserve"> STYLEREF 1 \s </w:instrText>
            </w:r>
            <w:r w:rsidRPr="00340B57">
              <w:fldChar w:fldCharType="separate"/>
            </w:r>
            <w:r w:rsidR="00D82E3C">
              <w:rPr>
                <w:b w:val="0"/>
                <w:noProof/>
              </w:rPr>
              <w:t>2</w:t>
            </w:r>
            <w:r w:rsidRPr="00340B57">
              <w:fldChar w:fldCharType="end"/>
            </w:r>
            <w:r w:rsidRPr="000A765D">
              <w:rPr>
                <w:b w:val="0"/>
              </w:rPr>
              <w:t>.</w:t>
            </w:r>
            <w:r w:rsidRPr="00F07927">
              <w:rPr>
                <w:highlight w:val="yellow"/>
              </w:rPr>
              <w:fldChar w:fldCharType="begin"/>
            </w:r>
            <w:r w:rsidRPr="00F07927">
              <w:rPr>
                <w:b w:val="0"/>
                <w:highlight w:val="yellow"/>
              </w:rPr>
              <w:instrText xml:space="preserve"> SEQ Figure \* ARABIC \s 1 </w:instrText>
            </w:r>
            <w:r w:rsidRPr="00F07927">
              <w:rPr>
                <w:highlight w:val="yellow"/>
              </w:rPr>
              <w:fldChar w:fldCharType="separate"/>
            </w:r>
            <w:r w:rsidR="00F07927" w:rsidRPr="00F07927">
              <w:rPr>
                <w:b w:val="0"/>
                <w:noProof/>
                <w:highlight w:val="yellow"/>
              </w:rPr>
              <w:t>6</w:t>
            </w:r>
            <w:r w:rsidRPr="00F07927">
              <w:rPr>
                <w:highlight w:val="yellow"/>
              </w:rPr>
              <w:fldChar w:fldCharType="end"/>
            </w:r>
            <w:r w:rsidRPr="000A765D">
              <w:rPr>
                <w:b w:val="0"/>
              </w:rPr>
              <w:t xml:space="preserve">, which shows statutory fees and application processing periods for the approval of an active constituent and registration of the associated chemical product in Australia, Canada, the United Kingdom and the United States. Application times frames in Australia are around half </w:t>
            </w:r>
            <w:r w:rsidR="008C4AEC">
              <w:rPr>
                <w:b w:val="0"/>
              </w:rPr>
              <w:t>those</w:t>
            </w:r>
            <w:r w:rsidR="008C4AEC" w:rsidRPr="000A765D">
              <w:rPr>
                <w:b w:val="0"/>
              </w:rPr>
              <w:t xml:space="preserve"> </w:t>
            </w:r>
            <w:r w:rsidRPr="000A765D">
              <w:rPr>
                <w:b w:val="0"/>
              </w:rPr>
              <w:t xml:space="preserve">in the UK, while Australian application fees are around a third of </w:t>
            </w:r>
            <w:r w:rsidR="008C4AEC">
              <w:rPr>
                <w:b w:val="0"/>
              </w:rPr>
              <w:t>those</w:t>
            </w:r>
            <w:r w:rsidR="008C4AEC" w:rsidRPr="000A765D">
              <w:rPr>
                <w:b w:val="0"/>
              </w:rPr>
              <w:t xml:space="preserve"> </w:t>
            </w:r>
            <w:r w:rsidRPr="000A765D">
              <w:rPr>
                <w:b w:val="0"/>
              </w:rPr>
              <w:t>in the United States.</w:t>
            </w:r>
          </w:p>
          <w:p w:rsidR="004B0E97" w:rsidRDefault="00DB7A86" w:rsidP="00EF4446">
            <w:pPr>
              <w:pStyle w:val="Caption"/>
              <w:rPr>
                <w:b w:val="0"/>
                <w:bCs w:val="0"/>
              </w:rPr>
            </w:pPr>
            <w:r w:rsidRPr="005C2405">
              <w:rPr>
                <w:b w:val="0"/>
              </w:rPr>
              <w:t xml:space="preserve">Figure </w:t>
            </w:r>
            <w:r w:rsidRPr="005C2405">
              <w:fldChar w:fldCharType="begin"/>
            </w:r>
            <w:r w:rsidRPr="005C2405">
              <w:rPr>
                <w:b w:val="0"/>
              </w:rPr>
              <w:instrText xml:space="preserve"> STYLEREF 1 \s </w:instrText>
            </w:r>
            <w:r w:rsidRPr="005C2405">
              <w:fldChar w:fldCharType="separate"/>
            </w:r>
            <w:r w:rsidR="00D82E3C">
              <w:rPr>
                <w:b w:val="0"/>
                <w:noProof/>
              </w:rPr>
              <w:t>2</w:t>
            </w:r>
            <w:r w:rsidRPr="005C2405">
              <w:fldChar w:fldCharType="end"/>
            </w:r>
            <w:r w:rsidRPr="005C2405">
              <w:rPr>
                <w:b w:val="0"/>
              </w:rPr>
              <w:t>.</w:t>
            </w:r>
            <w:r w:rsidRPr="005C2405">
              <w:fldChar w:fldCharType="begin"/>
            </w:r>
            <w:r w:rsidRPr="005C2405">
              <w:rPr>
                <w:b w:val="0"/>
              </w:rPr>
              <w:instrText xml:space="preserve"> SEQ Figure \* ARABIC \s 1 </w:instrText>
            </w:r>
            <w:r w:rsidRPr="005C2405">
              <w:fldChar w:fldCharType="separate"/>
            </w:r>
            <w:r w:rsidR="00D82E3C">
              <w:rPr>
                <w:b w:val="0"/>
                <w:noProof/>
              </w:rPr>
              <w:t>7</w:t>
            </w:r>
            <w:r w:rsidRPr="005C2405">
              <w:fldChar w:fldCharType="end"/>
            </w:r>
            <w:r w:rsidRPr="005C2405">
              <w:rPr>
                <w:b w:val="0"/>
              </w:rPr>
              <w:t>: Indicative registration costs and time, selected countries</w:t>
            </w:r>
          </w:p>
          <w:p w:rsidR="00DB7A86" w:rsidRPr="005C2405" w:rsidRDefault="00DB7A86" w:rsidP="0007055C">
            <w:r w:rsidRPr="00552572">
              <w:rPr>
                <w:i/>
                <w:noProof/>
                <w:lang w:eastAsia="en-AU"/>
              </w:rPr>
              <w:drawing>
                <wp:inline distT="0" distB="0" distL="0" distR="0" wp14:anchorId="7BF4A27B" wp14:editId="632125C9">
                  <wp:extent cx="5096510" cy="2912533"/>
                  <wp:effectExtent l="0" t="0" r="8890" b="2540"/>
                  <wp:docPr id="63" name="Chart 63" descr="This figure is a scatter plot that compares fees (on the horizontal axis) and application processing periods (verticle axis) across Australia, Canada, the EU and US. It demonstrates that australia is realtively smaller and lower cost than the other countries." title="Figur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B7A86" w:rsidRDefault="00DB7A86" w:rsidP="005C2405">
            <w:pPr>
              <w:pStyle w:val="Source"/>
              <w:spacing w:before="0" w:after="0"/>
              <w:rPr>
                <w:b w:val="0"/>
              </w:rPr>
            </w:pPr>
            <w:r w:rsidRPr="00891BB4">
              <w:rPr>
                <w:b w:val="0"/>
              </w:rPr>
              <w:t>Source: APVMA; US EPA; Canada PMRA</w:t>
            </w:r>
            <w:r w:rsidR="0096686F" w:rsidRPr="00891BB4">
              <w:rPr>
                <w:b w:val="0"/>
              </w:rPr>
              <w:t>;</w:t>
            </w:r>
            <w:r w:rsidR="0096686F">
              <w:rPr>
                <w:b w:val="0"/>
              </w:rPr>
              <w:t xml:space="preserve"> OECD</w:t>
            </w:r>
          </w:p>
          <w:p w:rsidR="00F94F91" w:rsidRPr="00786116" w:rsidRDefault="00F94F91" w:rsidP="00EF4446">
            <w:pPr>
              <w:spacing w:after="0"/>
            </w:pPr>
            <w:r>
              <w:rPr>
                <w:b w:val="0"/>
                <w:iCs/>
                <w:color w:val="75787B" w:themeColor="accent6"/>
                <w:sz w:val="14"/>
              </w:rPr>
              <w:t xml:space="preserve">Note: </w:t>
            </w:r>
            <w:r w:rsidR="004B0E97">
              <w:rPr>
                <w:b w:val="0"/>
                <w:iCs/>
                <w:color w:val="75787B" w:themeColor="accent6"/>
                <w:sz w:val="14"/>
              </w:rPr>
              <w:t xml:space="preserve">Bubble size reflects the size of that region’s market for agricultural chemicals. </w:t>
            </w:r>
            <w:r w:rsidR="00E1308C">
              <w:rPr>
                <w:b w:val="0"/>
                <w:iCs/>
                <w:color w:val="75787B" w:themeColor="accent6"/>
                <w:sz w:val="14"/>
              </w:rPr>
              <w:t xml:space="preserve">Fees and Application processing periods in the United Kingdom are used as a proxy for the European Union; </w:t>
            </w:r>
            <w:r>
              <w:rPr>
                <w:b w:val="0"/>
                <w:iCs/>
                <w:color w:val="75787B" w:themeColor="accent6"/>
                <w:sz w:val="14"/>
              </w:rPr>
              <w:t xml:space="preserve">Bubble size indicates </w:t>
            </w:r>
            <w:r w:rsidR="00E1308C">
              <w:rPr>
                <w:b w:val="0"/>
                <w:iCs/>
                <w:color w:val="75787B" w:themeColor="accent6"/>
                <w:sz w:val="14"/>
              </w:rPr>
              <w:t>estimated tonnes of active ingredient sold in individual markets between 2012 and 2016 for herbicides, insecticides and fungicides</w:t>
            </w:r>
          </w:p>
        </w:tc>
      </w:tr>
    </w:tbl>
    <w:p w:rsidR="00D83FE8" w:rsidRDefault="00D83FE8" w:rsidP="00340B57">
      <w:pPr>
        <w:pStyle w:val="Heading2un-numbered"/>
      </w:pPr>
      <w:bookmarkStart w:id="195" w:name="_Toc12024318"/>
      <w:bookmarkStart w:id="196" w:name="_Toc14107326"/>
      <w:r w:rsidRPr="00340B57">
        <w:t>Drivers</w:t>
      </w:r>
      <w:bookmarkEnd w:id="195"/>
      <w:bookmarkEnd w:id="196"/>
    </w:p>
    <w:p w:rsidR="004A7A11" w:rsidRDefault="00E905DD" w:rsidP="00E905DD">
      <w:r>
        <w:t xml:space="preserve">The two </w:t>
      </w:r>
      <w:r w:rsidR="00B000CC">
        <w:t>priority</w:t>
      </w:r>
      <w:r>
        <w:t xml:space="preserve"> drivers for novel agvet chemical access in Australia are:</w:t>
      </w:r>
    </w:p>
    <w:p w:rsidR="00E905DD" w:rsidRDefault="00E905DD" w:rsidP="00FE6A25">
      <w:pPr>
        <w:pStyle w:val="ListParagraph"/>
        <w:numPr>
          <w:ilvl w:val="0"/>
          <w:numId w:val="23"/>
        </w:numPr>
      </w:pPr>
      <w:r>
        <w:t>The relative advantage of novel agvet chemicals (demand driver)</w:t>
      </w:r>
    </w:p>
    <w:p w:rsidR="00E905DD" w:rsidRDefault="00E905DD" w:rsidP="00FE6A25">
      <w:pPr>
        <w:pStyle w:val="ListParagraph"/>
        <w:numPr>
          <w:ilvl w:val="0"/>
          <w:numId w:val="23"/>
        </w:numPr>
      </w:pPr>
      <w:r>
        <w:t>Potential returns for chemical manufacturers (supply driver)</w:t>
      </w:r>
    </w:p>
    <w:p w:rsidR="004A7A11" w:rsidRDefault="00E905DD" w:rsidP="00340B57">
      <w:r>
        <w:t xml:space="preserve">In a relative sense, it is </w:t>
      </w:r>
      <w:r w:rsidR="00B040A2">
        <w:t xml:space="preserve">difficult </w:t>
      </w:r>
      <w:r>
        <w:t xml:space="preserve">to </w:t>
      </w:r>
      <w:r w:rsidR="003C367E">
        <w:t xml:space="preserve">determine </w:t>
      </w:r>
      <w:r>
        <w:t xml:space="preserve">which of these factors is more important than the other, since they are inextricably linked. </w:t>
      </w:r>
      <w:r w:rsidR="00B040A2">
        <w:t>Australian a</w:t>
      </w:r>
      <w:r>
        <w:t>gricultural producers will</w:t>
      </w:r>
      <w:r w:rsidR="00B040A2">
        <w:t xml:space="preserve"> only</w:t>
      </w:r>
      <w:r>
        <w:t xml:space="preserve"> demand a novel chemistry if it </w:t>
      </w:r>
      <w:r w:rsidR="003C367E">
        <w:t xml:space="preserve">offers </w:t>
      </w:r>
      <w:r>
        <w:t>a relative advantage over an existing agvet chemical product or pest/disease management strategy. Manufacturers will only generate a positive return</w:t>
      </w:r>
      <w:r w:rsidR="00B040A2">
        <w:t xml:space="preserve"> on registering and supplying a product in Australia</w:t>
      </w:r>
      <w:r>
        <w:t xml:space="preserve"> if </w:t>
      </w:r>
      <w:r w:rsidR="00B040A2">
        <w:t>there is sufficient demand for that product.</w:t>
      </w:r>
    </w:p>
    <w:p w:rsidR="004A7A11" w:rsidRDefault="000A765D" w:rsidP="00340B57">
      <w:r>
        <w:t xml:space="preserve">Each driver is described in more detail </w:t>
      </w:r>
      <w:r w:rsidR="007D1E52">
        <w:t>in the following sections</w:t>
      </w:r>
      <w:r>
        <w:t>.</w:t>
      </w:r>
    </w:p>
    <w:p w:rsidR="004A7A11" w:rsidRDefault="005E5436" w:rsidP="00340B57">
      <w:pPr>
        <w:pStyle w:val="Heading3un-numbered"/>
      </w:pPr>
      <w:bookmarkStart w:id="197" w:name="_Toc6413747"/>
      <w:r>
        <w:t>The r</w:t>
      </w:r>
      <w:r w:rsidR="0007087B">
        <w:t>elative advantage of novel agvet chemicals</w:t>
      </w:r>
      <w:bookmarkEnd w:id="170"/>
      <w:bookmarkEnd w:id="171"/>
      <w:bookmarkEnd w:id="172"/>
      <w:bookmarkEnd w:id="173"/>
      <w:bookmarkEnd w:id="174"/>
      <w:bookmarkEnd w:id="175"/>
      <w:bookmarkEnd w:id="197"/>
    </w:p>
    <w:p w:rsidR="00F04E3B" w:rsidRDefault="0007087B" w:rsidP="00F04E3B">
      <w:r>
        <w:t xml:space="preserve">Agricultural producers will only adopt </w:t>
      </w:r>
      <w:r w:rsidR="007945FF">
        <w:t xml:space="preserve">new technologies </w:t>
      </w:r>
      <w:r>
        <w:t>or management practice</w:t>
      </w:r>
      <w:r w:rsidR="007945FF">
        <w:t>s</w:t>
      </w:r>
      <w:r>
        <w:t xml:space="preserve"> if </w:t>
      </w:r>
      <w:r w:rsidR="003E07A0">
        <w:t xml:space="preserve">they </w:t>
      </w:r>
      <w:r>
        <w:t>provide them with some relative advantage over their existing system</w:t>
      </w:r>
      <w:r w:rsidR="003E07A0">
        <w:t>s</w:t>
      </w:r>
      <w:r>
        <w:t xml:space="preserve">. </w:t>
      </w:r>
      <w:r w:rsidR="00F04E3B">
        <w:t xml:space="preserve">The causal link between relative advantage and adoption of a new technology or management practice has been widely discussed in the international literature (see for example </w:t>
      </w:r>
      <w:proofErr w:type="spellStart"/>
      <w:r w:rsidR="00F04E3B">
        <w:t>Casell</w:t>
      </w:r>
      <w:proofErr w:type="spellEnd"/>
      <w:r w:rsidR="00F04E3B">
        <w:t xml:space="preserve"> et al</w:t>
      </w:r>
      <w:r w:rsidR="0030631E">
        <w:rPr>
          <w:rFonts w:cs="Times New Roman"/>
          <w:szCs w:val="24"/>
        </w:rPr>
        <w:t xml:space="preserve"> (</w:t>
      </w:r>
      <w:r w:rsidR="008806A8">
        <w:rPr>
          <w:rFonts w:cs="Times New Roman"/>
          <w:szCs w:val="24"/>
        </w:rPr>
        <w:t>1994</w:t>
      </w:r>
      <w:r w:rsidR="00EE4CBB" w:rsidRPr="00EE4CBB">
        <w:rPr>
          <w:rFonts w:cs="Times New Roman"/>
          <w:szCs w:val="24"/>
        </w:rPr>
        <w:t>)</w:t>
      </w:r>
      <w:r w:rsidR="00F04E3B">
        <w:t xml:space="preserve"> or </w:t>
      </w:r>
      <w:proofErr w:type="spellStart"/>
      <w:r w:rsidR="00F04E3B">
        <w:t>Kuehne</w:t>
      </w:r>
      <w:proofErr w:type="spellEnd"/>
      <w:r w:rsidR="00F04E3B">
        <w:t xml:space="preserve"> et al</w:t>
      </w:r>
      <w:r w:rsidR="0030631E">
        <w:t xml:space="preserve"> </w:t>
      </w:r>
      <w:r w:rsidR="00EE4CBB" w:rsidRPr="00EE4CBB">
        <w:t>(2017)</w:t>
      </w:r>
      <w:r w:rsidR="00F04E3B">
        <w:t>.</w:t>
      </w:r>
    </w:p>
    <w:p w:rsidR="004A7A11" w:rsidRDefault="00E4134C" w:rsidP="0007087B">
      <w:r>
        <w:t>The r</w:t>
      </w:r>
      <w:r w:rsidRPr="000105C4">
        <w:t xml:space="preserve">elative </w:t>
      </w:r>
      <w:r>
        <w:t>a</w:t>
      </w:r>
      <w:r w:rsidRPr="000105C4">
        <w:t xml:space="preserve">dvantage </w:t>
      </w:r>
      <w:r>
        <w:t xml:space="preserve">of a novel </w:t>
      </w:r>
      <w:r w:rsidR="00B040A2">
        <w:t xml:space="preserve">agvet </w:t>
      </w:r>
      <w:r>
        <w:t>chemical</w:t>
      </w:r>
      <w:r w:rsidR="00F04E3B">
        <w:t xml:space="preserve"> compared to existing</w:t>
      </w:r>
      <w:r w:rsidR="004607D3">
        <w:t xml:space="preserve"> chemicals (or other</w:t>
      </w:r>
      <w:r w:rsidR="00F04E3B">
        <w:t xml:space="preserve"> strategies</w:t>
      </w:r>
      <w:r w:rsidR="004607D3">
        <w:t>)</w:t>
      </w:r>
      <w:r>
        <w:t xml:space="preserve"> can be </w:t>
      </w:r>
      <w:r w:rsidR="00E64931">
        <w:t xml:space="preserve">shown </w:t>
      </w:r>
      <w:r>
        <w:t>through a range of factors, including</w:t>
      </w:r>
      <w:r w:rsidR="00F04E3B">
        <w:t>:</w:t>
      </w:r>
    </w:p>
    <w:p w:rsidR="00F04E3B" w:rsidRDefault="00E4134C" w:rsidP="00F04E3B">
      <w:pPr>
        <w:pStyle w:val="ListBullet3"/>
      </w:pPr>
      <w:r>
        <w:t>increased revenue</w:t>
      </w:r>
      <w:r w:rsidR="00F04E3B">
        <w:t xml:space="preserve"> resulting from reductions in yield losses</w:t>
      </w:r>
    </w:p>
    <w:p w:rsidR="00F04E3B" w:rsidRDefault="00E4134C" w:rsidP="00F04E3B">
      <w:pPr>
        <w:pStyle w:val="ListBullet3"/>
      </w:pPr>
      <w:r>
        <w:t>reduced uncertainty or risk</w:t>
      </w:r>
      <w:r w:rsidR="00F04E3B">
        <w:t xml:space="preserve"> as targeted pests and disease</w:t>
      </w:r>
      <w:r w:rsidR="003E07A0">
        <w:t>s</w:t>
      </w:r>
      <w:r w:rsidR="00F04E3B">
        <w:t xml:space="preserve"> are </w:t>
      </w:r>
      <w:r w:rsidR="003E07A0">
        <w:t xml:space="preserve">treated </w:t>
      </w:r>
      <w:r w:rsidR="00F04E3B">
        <w:t xml:space="preserve">with improved </w:t>
      </w:r>
      <w:r w:rsidR="00E64931">
        <w:t>efficiency</w:t>
      </w:r>
    </w:p>
    <w:p w:rsidR="00F04E3B" w:rsidRDefault="00E4134C" w:rsidP="00F04E3B">
      <w:pPr>
        <w:pStyle w:val="ListBullet3"/>
      </w:pPr>
      <w:r>
        <w:t xml:space="preserve">lower </w:t>
      </w:r>
      <w:r w:rsidRPr="000105C4">
        <w:t>environmental</w:t>
      </w:r>
      <w:r>
        <w:t xml:space="preserve"> impacts</w:t>
      </w:r>
    </w:p>
    <w:p w:rsidR="00F04E3B" w:rsidRDefault="00E4134C" w:rsidP="00F04E3B">
      <w:pPr>
        <w:pStyle w:val="ListBullet3"/>
      </w:pPr>
      <w:r>
        <w:t>reduced risk to animal or human health</w:t>
      </w:r>
    </w:p>
    <w:p w:rsidR="00572E68" w:rsidRDefault="00E4134C" w:rsidP="00572E68">
      <w:pPr>
        <w:pStyle w:val="ListBullet3"/>
      </w:pPr>
      <w:r>
        <w:t>lower costs</w:t>
      </w:r>
      <w:r w:rsidR="00F04E3B">
        <w:t xml:space="preserve"> through reduced application rates</w:t>
      </w:r>
      <w:r w:rsidR="004607D3">
        <w:t>, and</w:t>
      </w:r>
    </w:p>
    <w:p w:rsidR="004607D3" w:rsidRDefault="004607D3" w:rsidP="00572E68">
      <w:pPr>
        <w:pStyle w:val="ListBullet3"/>
      </w:pPr>
      <w:proofErr w:type="gramStart"/>
      <w:r>
        <w:t>reduced</w:t>
      </w:r>
      <w:proofErr w:type="gramEnd"/>
      <w:r>
        <w:t xml:space="preserve"> resistance, compared to other commonly used pesticides or medicines.</w:t>
      </w:r>
    </w:p>
    <w:p w:rsidR="00F04E3B" w:rsidRDefault="005C5BDA" w:rsidP="00F04E3B">
      <w:r>
        <w:t>T</w:t>
      </w:r>
      <w:r w:rsidR="00F04E3B" w:rsidRPr="00F04E3B">
        <w:t>h</w:t>
      </w:r>
      <w:r w:rsidR="00F04E3B">
        <w:t>e</w:t>
      </w:r>
      <w:r w:rsidR="00F04E3B" w:rsidRPr="00F04E3B">
        <w:t xml:space="preserve"> relationship </w:t>
      </w:r>
      <w:r w:rsidR="00F04E3B">
        <w:t xml:space="preserve">between novel chemistries </w:t>
      </w:r>
      <w:r w:rsidR="00E772A3">
        <w:t xml:space="preserve">and their relative advantage has been </w:t>
      </w:r>
      <w:r w:rsidR="00F04E3B">
        <w:t xml:space="preserve">identified as a driving factor in adoption. This includes a recent report </w:t>
      </w:r>
      <w:r w:rsidR="00F04E3B" w:rsidRPr="00F04E3B">
        <w:t xml:space="preserve">by </w:t>
      </w:r>
      <w:r w:rsidR="006E0AC3">
        <w:t>ABARES which found new control methods were the most important means of improv</w:t>
      </w:r>
      <w:r w:rsidR="00517FC1">
        <w:t xml:space="preserve">ing </w:t>
      </w:r>
      <w:r w:rsidR="00652062">
        <w:t xml:space="preserve">the </w:t>
      </w:r>
      <w:r w:rsidR="00517FC1">
        <w:t>management of pest</w:t>
      </w:r>
      <w:r w:rsidR="002069EA">
        <w:t>s</w:t>
      </w:r>
      <w:r w:rsidR="00517FC1">
        <w:t xml:space="preserve"> </w:t>
      </w:r>
      <w:r w:rsidR="00652062">
        <w:t xml:space="preserve">or </w:t>
      </w:r>
      <w:r w:rsidR="00517FC1">
        <w:t>weeds</w:t>
      </w:r>
      <w:r w:rsidR="00F07927">
        <w:t xml:space="preserve"> </w:t>
      </w:r>
      <w:r w:rsidR="008806A8">
        <w:rPr>
          <w:rFonts w:cs="Times New Roman"/>
          <w:szCs w:val="24"/>
        </w:rPr>
        <w:t>(</w:t>
      </w:r>
      <w:proofErr w:type="spellStart"/>
      <w:r w:rsidR="008806A8">
        <w:rPr>
          <w:rFonts w:cs="Times New Roman"/>
          <w:szCs w:val="24"/>
        </w:rPr>
        <w:t>Stenekes</w:t>
      </w:r>
      <w:proofErr w:type="spellEnd"/>
      <w:r w:rsidR="008806A8">
        <w:rPr>
          <w:rFonts w:cs="Times New Roman"/>
          <w:szCs w:val="24"/>
        </w:rPr>
        <w:t xml:space="preserve"> et al </w:t>
      </w:r>
      <w:r w:rsidR="005B6C3D" w:rsidRPr="005B6C3D">
        <w:rPr>
          <w:rFonts w:cs="Times New Roman"/>
          <w:szCs w:val="24"/>
        </w:rPr>
        <w:t>2017)</w:t>
      </w:r>
      <w:r w:rsidR="00517FC1">
        <w:t>. Similar results were reported by the</w:t>
      </w:r>
      <w:r w:rsidR="006E0AC3" w:rsidRPr="00F04E3B">
        <w:t xml:space="preserve"> </w:t>
      </w:r>
      <w:r w:rsidR="00D007BE">
        <w:t>Australian Competition and Consumer Commission (</w:t>
      </w:r>
      <w:r w:rsidR="00F04E3B" w:rsidRPr="00F04E3B">
        <w:t>ACCC</w:t>
      </w:r>
      <w:r w:rsidR="00D007BE">
        <w:t>)</w:t>
      </w:r>
      <w:r w:rsidR="00F04E3B" w:rsidRPr="00F04E3B">
        <w:t xml:space="preserve">, which </w:t>
      </w:r>
      <w:r w:rsidR="00517FC1">
        <w:t>found</w:t>
      </w:r>
      <w:r w:rsidR="00517FC1" w:rsidRPr="00F04E3B">
        <w:t xml:space="preserve"> </w:t>
      </w:r>
      <w:r w:rsidR="00F04E3B">
        <w:t xml:space="preserve">surveyed </w:t>
      </w:r>
      <w:r w:rsidR="00F04E3B" w:rsidRPr="00F04E3B">
        <w:t>farmers</w:t>
      </w:r>
      <w:r w:rsidR="00F04E3B">
        <w:t xml:space="preserve"> </w:t>
      </w:r>
      <w:r w:rsidR="003A4E45">
        <w:t xml:space="preserve">value </w:t>
      </w:r>
      <w:r w:rsidR="00F04E3B" w:rsidRPr="00F04E3B">
        <w:t xml:space="preserve">a novel chemical </w:t>
      </w:r>
      <w:r w:rsidR="003A4E45">
        <w:t xml:space="preserve">for </w:t>
      </w:r>
      <w:r w:rsidR="00F04E3B" w:rsidRPr="00F04E3B">
        <w:t xml:space="preserve">the benefits </w:t>
      </w:r>
      <w:r w:rsidR="002069EA">
        <w:t xml:space="preserve">it </w:t>
      </w:r>
      <w:r w:rsidR="00F04E3B" w:rsidRPr="00F04E3B">
        <w:t>pr</w:t>
      </w:r>
      <w:r w:rsidR="003A4E45">
        <w:t>ovide</w:t>
      </w:r>
      <w:r w:rsidR="002069EA">
        <w:t>s</w:t>
      </w:r>
      <w:r w:rsidR="00E64931">
        <w:t xml:space="preserve">, </w:t>
      </w:r>
      <w:r w:rsidR="003A4E45">
        <w:t>within a 10</w:t>
      </w:r>
      <w:r w:rsidR="001C060D">
        <w:t xml:space="preserve"> </w:t>
      </w:r>
      <w:r w:rsidR="00B7669F">
        <w:t>per cent</w:t>
      </w:r>
      <w:r w:rsidR="003A4E45">
        <w:t xml:space="preserve"> </w:t>
      </w:r>
      <w:r w:rsidR="00B07177">
        <w:t>price premium</w:t>
      </w:r>
      <w:r w:rsidR="00F07927">
        <w:t xml:space="preserve"> </w:t>
      </w:r>
      <w:r w:rsidR="00EE4CBB" w:rsidRPr="00EE4CBB">
        <w:t>(</w:t>
      </w:r>
      <w:r w:rsidR="0030631E">
        <w:t>ACCC</w:t>
      </w:r>
      <w:r w:rsidR="00EE4CBB" w:rsidRPr="00EE4CBB">
        <w:t xml:space="preserve"> 2016)</w:t>
      </w:r>
      <w:r w:rsidR="00F07927">
        <w:t>.</w:t>
      </w:r>
    </w:p>
    <w:p w:rsidR="004A7A11" w:rsidRDefault="00E905DD" w:rsidP="00340B57">
      <w:pPr>
        <w:pStyle w:val="Heading3un-numbered"/>
      </w:pPr>
      <w:r>
        <w:t>Potential r</w:t>
      </w:r>
      <w:r w:rsidR="00FE5E5A" w:rsidRPr="00EB72CA">
        <w:t xml:space="preserve">eturns </w:t>
      </w:r>
      <w:r>
        <w:t xml:space="preserve">for </w:t>
      </w:r>
      <w:r w:rsidR="00FE5E5A" w:rsidRPr="00EB72CA">
        <w:t xml:space="preserve">chemical </w:t>
      </w:r>
      <w:r>
        <w:t>manufacturers</w:t>
      </w:r>
    </w:p>
    <w:p w:rsidR="00FE5E5A" w:rsidRDefault="00FE5E5A" w:rsidP="00FE5E5A">
      <w:r>
        <w:t xml:space="preserve">The principal driver for the supply of agvet chemicals is the potential return </w:t>
      </w:r>
      <w:r w:rsidR="002069EA">
        <w:t>to</w:t>
      </w:r>
      <w:r>
        <w:t xml:space="preserve"> chemical </w:t>
      </w:r>
      <w:r w:rsidR="00B040A2">
        <w:t>manufacturers</w:t>
      </w:r>
      <w:r w:rsidR="00F07927">
        <w:t xml:space="preserve"> </w:t>
      </w:r>
      <w:r w:rsidR="00EE4CBB" w:rsidRPr="00EE4CBB">
        <w:t>(Gregg et al. 2010)</w:t>
      </w:r>
      <w:r w:rsidR="00F07927">
        <w:rPr>
          <w:rFonts w:asciiTheme="majorHAnsi" w:hAnsiTheme="majorHAnsi"/>
        </w:rPr>
        <w:t>.</w:t>
      </w:r>
      <w:r>
        <w:t xml:space="preserve"> New products must capture a percentage of the market and remain competitive for many years, which is why so much attention is focused on consumer and market information, and the awareness of a product. An active generally requires large/broad markets that can support sizeable sales and a substantial global sales force to serve the target markets. This is especially important since the cash flow for a new agricultural chemical can be negative for many years following its launch – often 10 or more years</w:t>
      </w:r>
      <w:r w:rsidR="00F07927">
        <w:t xml:space="preserve"> </w:t>
      </w:r>
      <w:r w:rsidR="00EE4CBB" w:rsidRPr="00EE4CBB">
        <w:t xml:space="preserve">(Sparks and </w:t>
      </w:r>
      <w:proofErr w:type="spellStart"/>
      <w:r w:rsidR="00EE4CBB" w:rsidRPr="00EE4CBB">
        <w:t>Lorsbach</w:t>
      </w:r>
      <w:proofErr w:type="spellEnd"/>
      <w:r w:rsidR="00EE4CBB" w:rsidRPr="00EE4CBB">
        <w:t xml:space="preserve"> 2016)</w:t>
      </w:r>
      <w:r w:rsidR="00F07927">
        <w:rPr>
          <w:rFonts w:asciiTheme="majorHAnsi" w:hAnsiTheme="majorHAnsi"/>
        </w:rPr>
        <w:t>.</w:t>
      </w:r>
    </w:p>
    <w:p w:rsidR="00FE5E5A" w:rsidRPr="00F04E3B" w:rsidRDefault="00FE5E5A" w:rsidP="00F04E3B">
      <w:r>
        <w:t>Consideration of potential profit is applicable throughout the product development stage, including research, development, manufacturing and registration</w:t>
      </w:r>
      <w:r w:rsidR="00F07927">
        <w:t xml:space="preserve"> </w:t>
      </w:r>
      <w:r w:rsidR="00EE4CBB" w:rsidRPr="00EE4CBB">
        <w:t>(</w:t>
      </w:r>
      <w:proofErr w:type="spellStart"/>
      <w:r w:rsidR="00EE4CBB" w:rsidRPr="00EE4CBB">
        <w:t>Whitford</w:t>
      </w:r>
      <w:proofErr w:type="spellEnd"/>
      <w:r w:rsidR="00EE4CBB" w:rsidRPr="00EE4CBB">
        <w:t xml:space="preserve"> et al. 2006)</w:t>
      </w:r>
      <w:r w:rsidR="00F07927">
        <w:rPr>
          <w:rFonts w:asciiTheme="majorHAnsi" w:hAnsiTheme="majorHAnsi"/>
        </w:rPr>
        <w:t>.</w:t>
      </w:r>
      <w:r>
        <w:t xml:space="preserve"> Agricultural chemical manufacturers must develop products that will generate a return on their investment, and it is important that the profit potential of an active and the resulting product be determined early in the discovery process. Losses can subsequently be limited if an active is deemed to not be promising or profitable early in its R&amp;D.</w:t>
      </w:r>
    </w:p>
    <w:p w:rsidR="00FC0EBA" w:rsidRPr="00E50A09" w:rsidRDefault="00981C59" w:rsidP="00C170B9">
      <w:pPr>
        <w:pStyle w:val="Heading1"/>
      </w:pPr>
      <w:bookmarkStart w:id="198" w:name="_Toc866259"/>
      <w:bookmarkStart w:id="199" w:name="_Toc955528"/>
      <w:bookmarkStart w:id="200" w:name="_Toc1057239"/>
      <w:bookmarkStart w:id="201" w:name="_Toc797253"/>
      <w:bookmarkStart w:id="202" w:name="_Toc797254"/>
      <w:bookmarkStart w:id="203" w:name="_Toc797255"/>
      <w:bookmarkStart w:id="204" w:name="_Toc797256"/>
      <w:bookmarkStart w:id="205" w:name="_Toc797257"/>
      <w:bookmarkStart w:id="206" w:name="_Toc797258"/>
      <w:bookmarkStart w:id="207" w:name="_Toc797259"/>
      <w:bookmarkStart w:id="208" w:name="_Toc797260"/>
      <w:bookmarkStart w:id="209" w:name="_Toc797261"/>
      <w:bookmarkStart w:id="210" w:name="_Toc797287"/>
      <w:bookmarkStart w:id="211" w:name="_Toc797288"/>
      <w:bookmarkStart w:id="212" w:name="_Toc797289"/>
      <w:bookmarkStart w:id="213" w:name="_Toc797303"/>
      <w:bookmarkStart w:id="214" w:name="_Toc797304"/>
      <w:bookmarkStart w:id="215" w:name="_Toc797305"/>
      <w:bookmarkStart w:id="216" w:name="_Toc797306"/>
      <w:bookmarkStart w:id="217" w:name="_Toc797307"/>
      <w:bookmarkStart w:id="218" w:name="_Toc797308"/>
      <w:bookmarkStart w:id="219" w:name="_Toc797309"/>
      <w:bookmarkStart w:id="220" w:name="_Toc797310"/>
      <w:bookmarkStart w:id="221" w:name="_Toc797311"/>
      <w:bookmarkStart w:id="222" w:name="_Toc797312"/>
      <w:bookmarkStart w:id="223" w:name="_Toc797313"/>
      <w:bookmarkStart w:id="224" w:name="_Toc797314"/>
      <w:bookmarkStart w:id="225" w:name="_Toc797315"/>
      <w:bookmarkStart w:id="226" w:name="_Toc797316"/>
      <w:bookmarkStart w:id="227" w:name="_Toc797317"/>
      <w:bookmarkStart w:id="228" w:name="_Toc797318"/>
      <w:bookmarkStart w:id="229" w:name="_Toc797319"/>
      <w:bookmarkStart w:id="230" w:name="_Toc797320"/>
      <w:bookmarkStart w:id="231" w:name="_Toc797324"/>
      <w:bookmarkStart w:id="232" w:name="_Toc797325"/>
      <w:bookmarkStart w:id="233" w:name="_Toc797326"/>
      <w:bookmarkStart w:id="234" w:name="_Toc797327"/>
      <w:bookmarkStart w:id="235" w:name="_Toc797328"/>
      <w:bookmarkStart w:id="236" w:name="_Toc797329"/>
      <w:bookmarkStart w:id="237" w:name="_Toc797333"/>
      <w:bookmarkStart w:id="238" w:name="_Toc797334"/>
      <w:bookmarkStart w:id="239" w:name="_Toc797335"/>
      <w:bookmarkStart w:id="240" w:name="_Toc797336"/>
      <w:bookmarkStart w:id="241" w:name="_Toc4586261"/>
      <w:bookmarkStart w:id="242" w:name="_Toc4672733"/>
      <w:bookmarkStart w:id="243" w:name="_Toc4764880"/>
      <w:bookmarkStart w:id="244" w:name="_Toc6413748"/>
      <w:bookmarkStart w:id="245" w:name="_Toc536199032"/>
      <w:bookmarkStart w:id="246" w:name="_Toc536199571"/>
      <w:bookmarkStart w:id="247" w:name="_Toc536199724"/>
      <w:bookmarkStart w:id="248" w:name="_Toc536202296"/>
      <w:bookmarkStart w:id="249" w:name="_Toc866233"/>
      <w:bookmarkStart w:id="250" w:name="_Toc955509"/>
      <w:bookmarkStart w:id="251" w:name="_Toc1057218"/>
      <w:bookmarkStart w:id="252" w:name="_Toc536199076"/>
      <w:bookmarkStart w:id="253" w:name="_Toc536199615"/>
      <w:bookmarkStart w:id="254" w:name="_Toc536202340"/>
      <w:bookmarkStart w:id="255" w:name="_Toc866271"/>
      <w:bookmarkStart w:id="256" w:name="_Toc955537"/>
      <w:bookmarkStart w:id="257" w:name="_Toc1057248"/>
      <w:bookmarkStart w:id="258" w:name="_Toc2336621"/>
      <w:bookmarkEnd w:id="176"/>
      <w:bookmarkEnd w:id="177"/>
      <w:bookmarkEnd w:id="178"/>
      <w:bookmarkEnd w:id="179"/>
      <w:bookmarkEnd w:id="180"/>
      <w:bookmarkEnd w:id="181"/>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t xml:space="preserve"> </w:t>
      </w:r>
      <w:bookmarkStart w:id="259" w:name="_Toc12024319"/>
      <w:bookmarkStart w:id="260" w:name="_Toc14107327"/>
      <w:bookmarkEnd w:id="241"/>
      <w:bookmarkEnd w:id="242"/>
      <w:bookmarkEnd w:id="243"/>
      <w:bookmarkEnd w:id="244"/>
      <w:r w:rsidR="00D91F0A">
        <w:t>Recommendations</w:t>
      </w:r>
      <w:bookmarkEnd w:id="259"/>
      <w:bookmarkEnd w:id="260"/>
    </w:p>
    <w:p w:rsidR="00C03908" w:rsidRDefault="00C03908" w:rsidP="00C03908">
      <w:pPr>
        <w:pStyle w:val="Sectionintro"/>
      </w:pPr>
      <w:r w:rsidRPr="007B7A10">
        <w:t xml:space="preserve">This </w:t>
      </w:r>
      <w:r w:rsidR="00E72F83">
        <w:t>c</w:t>
      </w:r>
      <w:r w:rsidR="00DA2288" w:rsidRPr="007B7A10">
        <w:t>hapter</w:t>
      </w:r>
      <w:r w:rsidR="00547417" w:rsidRPr="007B7A10" w:rsidDel="0009781C">
        <w:t xml:space="preserve"> </w:t>
      </w:r>
      <w:r w:rsidR="0009781C" w:rsidRPr="00267C8D">
        <w:t xml:space="preserve">suggests areas in which the government should focus future reforms to best </w:t>
      </w:r>
      <w:r w:rsidR="00A77D52">
        <w:t>target</w:t>
      </w:r>
      <w:r w:rsidR="00A77D52" w:rsidRPr="00267C8D">
        <w:t xml:space="preserve"> </w:t>
      </w:r>
      <w:r w:rsidR="00D91F0A" w:rsidRPr="00267C8D">
        <w:t>its work in facilitating</w:t>
      </w:r>
      <w:r w:rsidR="0009781C" w:rsidRPr="00267C8D">
        <w:t xml:space="preserve"> access to novel agvet chemicals.</w:t>
      </w:r>
    </w:p>
    <w:p w:rsidR="00CC76EF" w:rsidRDefault="00CC76EF" w:rsidP="00CC76EF">
      <w:pPr>
        <w:pStyle w:val="Heading2"/>
      </w:pPr>
      <w:bookmarkStart w:id="261" w:name="_Toc14107328"/>
      <w:r>
        <w:t>Findings</w:t>
      </w:r>
      <w:bookmarkEnd w:id="261"/>
    </w:p>
    <w:p w:rsidR="004A7A11" w:rsidRDefault="00CC76EF" w:rsidP="008F1752">
      <w:r>
        <w:t xml:space="preserve">This report investigated how access to novel agvet chemicals might be improved by analysing the market and its </w:t>
      </w:r>
      <w:r w:rsidR="004761FC">
        <w:t xml:space="preserve">regulatory and non-regulatory </w:t>
      </w:r>
      <w:r>
        <w:t>drivers and barriers. While multiple aspects of the market were found to significantly affect access, three supply barriers were discussed in detail due to</w:t>
      </w:r>
      <w:r w:rsidR="00864E14">
        <w:t xml:space="preserve"> their relat</w:t>
      </w:r>
      <w:r w:rsidR="008F1752">
        <w:t>ive importance: (1) t</w:t>
      </w:r>
      <w:r w:rsidR="00864E14">
        <w:t>he</w:t>
      </w:r>
      <w:r>
        <w:t xml:space="preserve"> size and volatili</w:t>
      </w:r>
      <w:r w:rsidR="00864E14">
        <w:t>ty of the Australian market</w:t>
      </w:r>
      <w:r w:rsidR="008F1752">
        <w:t>, (2) t</w:t>
      </w:r>
      <w:r>
        <w:t xml:space="preserve">he high R&amp;D costs associated </w:t>
      </w:r>
      <w:r w:rsidRPr="00340B57">
        <w:t>with</w:t>
      </w:r>
      <w:r w:rsidR="00864E14">
        <w:t xml:space="preserve"> novel agvet chemicals</w:t>
      </w:r>
      <w:r w:rsidR="008F1752">
        <w:t>,</w:t>
      </w:r>
      <w:r w:rsidR="00864E14">
        <w:t xml:space="preserve"> and </w:t>
      </w:r>
      <w:r w:rsidR="008F1752">
        <w:t>(3) t</w:t>
      </w:r>
      <w:r w:rsidR="00864E14" w:rsidRPr="00340B57">
        <w:t>he</w:t>
      </w:r>
      <w:r w:rsidRPr="00340B57">
        <w:t xml:space="preserve"> cost and time required to register novel agvet chemicals in Australia.</w:t>
      </w:r>
    </w:p>
    <w:p w:rsidR="004A7A11" w:rsidRDefault="006C3B78" w:rsidP="006C3B78">
      <w:r w:rsidRPr="00340B57">
        <w:t xml:space="preserve">The small size and volatility of the Australian market was found to be the most significant barrier that restricts access to novel agvet chemicals. </w:t>
      </w:r>
      <w:r>
        <w:rPr>
          <w:rFonts w:asciiTheme="minorHAnsi" w:hAnsiTheme="minorHAnsi"/>
        </w:rPr>
        <w:t xml:space="preserve">This is mainly because Australia accounts for a very small proportion of global agricultural production and is compounded by a relatively variable climate – which drives sharp changes in input expenditure between years. Because it is a small and volatile market, it is difficult for chemical manufacturers, particularly smaller manufacturers, to generate a return on their investment in Australia. </w:t>
      </w:r>
      <w:r>
        <w:t>In addition, the h</w:t>
      </w:r>
      <w:r w:rsidRPr="00340B57">
        <w:t>igh R&amp;D</w:t>
      </w:r>
      <w:r>
        <w:t xml:space="preserve"> costs</w:t>
      </w:r>
      <w:r w:rsidRPr="00340B57">
        <w:t xml:space="preserve"> </w:t>
      </w:r>
      <w:r>
        <w:t xml:space="preserve">associated with developing a new product for market </w:t>
      </w:r>
      <w:r w:rsidRPr="00340B57">
        <w:t xml:space="preserve">means that chemical producers prioritise new agvet chemicals </w:t>
      </w:r>
      <w:r>
        <w:t>that</w:t>
      </w:r>
      <w:r w:rsidRPr="00340B57">
        <w:t xml:space="preserve"> treat pests and diseases with high global prevalence, which are not always </w:t>
      </w:r>
      <w:r>
        <w:t xml:space="preserve">highly </w:t>
      </w:r>
      <w:r w:rsidRPr="00340B57">
        <w:t>prevalent in Australia.</w:t>
      </w:r>
    </w:p>
    <w:p w:rsidR="006C3B78" w:rsidRDefault="006C3B78" w:rsidP="006C3B78">
      <w:r>
        <w:t xml:space="preserve">While it is difficult to compare international regulatory systems, regulation of agvet chemicals in Australia was broadly in-line with comparable overseas markets; </w:t>
      </w:r>
      <w:r>
        <w:rPr>
          <w:rFonts w:asciiTheme="minorHAnsi" w:hAnsiTheme="minorHAnsi"/>
        </w:rPr>
        <w:t>in terms of the burden of proof placed on manufacturers, the statutory fees charged by the APVMA and registration time frames.</w:t>
      </w:r>
      <w:r w:rsidRPr="00340B57">
        <w:t xml:space="preserve"> </w:t>
      </w:r>
      <w:r>
        <w:t>However, t</w:t>
      </w:r>
      <w:r w:rsidRPr="00F7334D">
        <w:t xml:space="preserve">he time taken to register a product, </w:t>
      </w:r>
      <w:r>
        <w:t>as well as the statutory fees</w:t>
      </w:r>
      <w:r w:rsidRPr="00F7334D">
        <w:t xml:space="preserve">, are regulatory burdens </w:t>
      </w:r>
      <w:r>
        <w:t>that</w:t>
      </w:r>
      <w:r w:rsidRPr="00F7334D">
        <w:t xml:space="preserve"> may </w:t>
      </w:r>
      <w:r>
        <w:t>influence producer</w:t>
      </w:r>
      <w:r w:rsidR="00FB67B6">
        <w:t>s’ decisions</w:t>
      </w:r>
      <w:r>
        <w:t>, particularly when assessing these costs against the lower potential returns of the small Australian market.</w:t>
      </w:r>
    </w:p>
    <w:p w:rsidR="006C3B78" w:rsidRPr="00CC76EF" w:rsidRDefault="006C3B78" w:rsidP="006C3B78">
      <w:pPr>
        <w:pStyle w:val="Heading2un-numbered"/>
      </w:pPr>
      <w:bookmarkStart w:id="262" w:name="_Toc14107329"/>
      <w:r>
        <w:t>Recommendations</w:t>
      </w:r>
      <w:bookmarkEnd w:id="262"/>
    </w:p>
    <w:p w:rsidR="00864E14" w:rsidRPr="009733EC" w:rsidRDefault="006C3B78" w:rsidP="00864E14">
      <w:pPr>
        <w:rPr>
          <w:rFonts w:asciiTheme="minorHAnsi" w:hAnsiTheme="minorHAnsi"/>
        </w:rPr>
      </w:pPr>
      <w:r w:rsidRPr="00C170B9">
        <w:t xml:space="preserve">There are few (if any) levers that government can or should activate to </w:t>
      </w:r>
      <w:r>
        <w:t xml:space="preserve">address the most significant barrier identified as part of this report — </w:t>
      </w:r>
      <w:r w:rsidRPr="00C170B9">
        <w:t>the small size and volatility of the market in Australia</w:t>
      </w:r>
      <w:r>
        <w:t xml:space="preserve"> (as outlined in chapter 2). </w:t>
      </w:r>
      <w:r w:rsidR="00EF4446">
        <w:t xml:space="preserve">The Department of Agriculture has an ongoing program of legislative reform aimed at streamlining the enabling agvet chemical legislation and improving the efficiency of the approval and regulation of chemicals. </w:t>
      </w:r>
      <w:r w:rsidR="00864E14">
        <w:t>Any future reforms by the government – as part of the ongoing legislative reform program, or otherwise – should be prioritised based on their potential to offset the size of the Australian market.</w:t>
      </w:r>
      <w:r w:rsidR="00864E14" w:rsidRPr="00D91F0A">
        <w:t xml:space="preserve"> </w:t>
      </w:r>
      <w:r w:rsidR="00864E14">
        <w:t>This might include for example exploring ways to further develop cooperative partnerships with other agricultural markets or leveraging Australia’s strong international reputation in agvet chemical regulation — which would likely make Australia a</w:t>
      </w:r>
      <w:r w:rsidR="002C75B6">
        <w:t xml:space="preserve"> more</w:t>
      </w:r>
      <w:r w:rsidR="00864E14">
        <w:t xml:space="preserve"> attractive market in which to seek registration of novel agvet chemicals.</w:t>
      </w:r>
    </w:p>
    <w:p w:rsidR="00864E14" w:rsidRDefault="00864E14" w:rsidP="00864E14">
      <w:r>
        <w:t xml:space="preserve">Regulation of agvet chemicals by government is necessary. Because of the central role of government, options to address other barriers identified in this report focus on improving regulation. These options </w:t>
      </w:r>
      <w:r w:rsidDel="00787859">
        <w:t>are described in Appendix B</w:t>
      </w:r>
      <w:r>
        <w:t xml:space="preserve"> and have to a large extent previously been examined by the government</w:t>
      </w:r>
      <w:r w:rsidDel="00D34A52">
        <w:t xml:space="preserve">. </w:t>
      </w:r>
      <w:r w:rsidR="004761FC">
        <w:t>C</w:t>
      </w:r>
      <w:r>
        <w:t>ompared to</w:t>
      </w:r>
      <w:r w:rsidR="004761FC">
        <w:t xml:space="preserve"> and because of</w:t>
      </w:r>
      <w:r>
        <w:t xml:space="preserve"> the </w:t>
      </w:r>
      <w:r w:rsidR="004761FC">
        <w:t xml:space="preserve">unattractive </w:t>
      </w:r>
      <w:r>
        <w:t>size of the Australian market</w:t>
      </w:r>
      <w:r w:rsidR="004761FC">
        <w:t xml:space="preserve"> to some chemical manufacturers</w:t>
      </w:r>
      <w:r>
        <w:t xml:space="preserve">, addressing these other barriers is unlikely to have as significant an impact on improving access to novel agvet chemicals. It is also important to note that options that </w:t>
      </w:r>
      <w:r w:rsidR="00D903E8">
        <w:t xml:space="preserve">would </w:t>
      </w:r>
      <w:r>
        <w:t>reduce regulatory burden may have unintended consequences, including for example reducing the attractiveness of the market to manufacturers. This may ultimately reduce the supply of novel agvet chemicals to Australia.</w:t>
      </w:r>
    </w:p>
    <w:p w:rsidR="00A8322E" w:rsidRPr="004761FC" w:rsidRDefault="006C3B78" w:rsidP="001D0D3A">
      <w:pPr>
        <w:rPr>
          <w:rFonts w:asciiTheme="minorHAnsi" w:hAnsiTheme="minorHAnsi"/>
        </w:rPr>
      </w:pPr>
      <w:r>
        <w:t xml:space="preserve">For these reasons, </w:t>
      </w:r>
      <w:r w:rsidDel="00E62698">
        <w:rPr>
          <w:rFonts w:asciiTheme="minorHAnsi" w:hAnsiTheme="minorHAnsi"/>
        </w:rPr>
        <w:t xml:space="preserve">any </w:t>
      </w:r>
      <w:r>
        <w:rPr>
          <w:rFonts w:asciiTheme="minorHAnsi" w:hAnsiTheme="minorHAnsi"/>
        </w:rPr>
        <w:t xml:space="preserve">future </w:t>
      </w:r>
      <w:r w:rsidDel="00E62698">
        <w:rPr>
          <w:rFonts w:asciiTheme="minorHAnsi" w:hAnsiTheme="minorHAnsi"/>
        </w:rPr>
        <w:t>change</w:t>
      </w:r>
      <w:r>
        <w:rPr>
          <w:rFonts w:asciiTheme="minorHAnsi" w:hAnsiTheme="minorHAnsi"/>
        </w:rPr>
        <w:t>s to</w:t>
      </w:r>
      <w:r w:rsidDel="00E62698">
        <w:rPr>
          <w:rFonts w:asciiTheme="minorHAnsi" w:hAnsiTheme="minorHAnsi"/>
        </w:rPr>
        <w:t xml:space="preserve"> the status quo should </w:t>
      </w:r>
      <w:r w:rsidDel="00550426">
        <w:rPr>
          <w:rFonts w:asciiTheme="minorHAnsi" w:hAnsiTheme="minorHAnsi"/>
        </w:rPr>
        <w:t xml:space="preserve">give </w:t>
      </w:r>
      <w:r>
        <w:rPr>
          <w:rFonts w:asciiTheme="minorHAnsi" w:hAnsiTheme="minorHAnsi"/>
        </w:rPr>
        <w:t xml:space="preserve">significant consideration to the size of the Australian market, as well as the </w:t>
      </w:r>
      <w:r w:rsidDel="00E62698">
        <w:rPr>
          <w:rFonts w:asciiTheme="minorHAnsi" w:hAnsiTheme="minorHAnsi"/>
        </w:rPr>
        <w:t xml:space="preserve">costs, benefits and risks </w:t>
      </w:r>
      <w:r>
        <w:rPr>
          <w:rFonts w:asciiTheme="minorHAnsi" w:hAnsiTheme="minorHAnsi"/>
        </w:rPr>
        <w:t xml:space="preserve">of proposed options — this includes </w:t>
      </w:r>
      <w:r w:rsidDel="00E62698">
        <w:rPr>
          <w:rFonts w:asciiTheme="minorHAnsi" w:hAnsiTheme="minorHAnsi"/>
        </w:rPr>
        <w:t>assess</w:t>
      </w:r>
      <w:r>
        <w:rPr>
          <w:rFonts w:asciiTheme="minorHAnsi" w:hAnsiTheme="minorHAnsi"/>
        </w:rPr>
        <w:t>ing proposals</w:t>
      </w:r>
      <w:r w:rsidDel="00E62698">
        <w:rPr>
          <w:rFonts w:asciiTheme="minorHAnsi" w:hAnsiTheme="minorHAnsi"/>
        </w:rPr>
        <w:t xml:space="preserve"> </w:t>
      </w:r>
      <w:r w:rsidDel="00550426">
        <w:rPr>
          <w:rFonts w:asciiTheme="minorHAnsi" w:hAnsiTheme="minorHAnsi"/>
        </w:rPr>
        <w:t xml:space="preserve">in more detail </w:t>
      </w:r>
      <w:r w:rsidDel="00E62698">
        <w:rPr>
          <w:rFonts w:asciiTheme="minorHAnsi" w:hAnsiTheme="minorHAnsi"/>
        </w:rPr>
        <w:t xml:space="preserve">in a Regulatory Impact </w:t>
      </w:r>
      <w:r>
        <w:rPr>
          <w:rFonts w:asciiTheme="minorHAnsi" w:hAnsiTheme="minorHAnsi"/>
        </w:rPr>
        <w:t>Analysis</w:t>
      </w:r>
      <w:r w:rsidDel="00E62698">
        <w:rPr>
          <w:rFonts w:asciiTheme="minorHAnsi" w:hAnsiTheme="minorHAnsi"/>
        </w:rPr>
        <w:t xml:space="preserve"> (or similar).</w:t>
      </w:r>
      <w:bookmarkStart w:id="263" w:name="_Toc6413752"/>
      <w:bookmarkStart w:id="264" w:name="_Toc6413753"/>
      <w:bookmarkEnd w:id="151"/>
      <w:bookmarkEnd w:id="152"/>
      <w:bookmarkEnd w:id="153"/>
      <w:bookmarkEnd w:id="154"/>
      <w:bookmarkEnd w:id="155"/>
      <w:bookmarkEnd w:id="156"/>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63"/>
      <w:bookmarkEnd w:id="264"/>
    </w:p>
    <w:p w:rsidR="00A8322E" w:rsidRDefault="00B244D7" w:rsidP="00F07927">
      <w:pPr>
        <w:pStyle w:val="Heading1"/>
      </w:pPr>
      <w:r>
        <w:t xml:space="preserve"> Bibliography</w:t>
      </w:r>
    </w:p>
    <w:p w:rsidR="00611B1F" w:rsidRPr="00611B1F" w:rsidRDefault="00611B1F" w:rsidP="00611B1F">
      <w:pPr>
        <w:pStyle w:val="Bibliography"/>
      </w:pPr>
      <w:r w:rsidRPr="00611B1F">
        <w:t>ABARES. 2018a. “</w:t>
      </w:r>
      <w:hyperlink r:id="rId40" w:history="1">
        <w:r w:rsidRPr="00653D6D">
          <w:rPr>
            <w:rStyle w:val="Hyperlink"/>
          </w:rPr>
          <w:t>Agricultural Commodities</w:t>
        </w:r>
      </w:hyperlink>
      <w:r w:rsidRPr="00611B1F">
        <w:t>”</w:t>
      </w:r>
    </w:p>
    <w:p w:rsidR="00611B1F" w:rsidRPr="00611B1F" w:rsidRDefault="00611B1F" w:rsidP="004E4751">
      <w:pPr>
        <w:pStyle w:val="Bibliography"/>
      </w:pPr>
      <w:r w:rsidRPr="00611B1F">
        <w:t>———. 2018b. “</w:t>
      </w:r>
      <w:hyperlink r:id="rId41" w:history="1">
        <w:r w:rsidRPr="0030631E">
          <w:rPr>
            <w:rStyle w:val="Hyperlink"/>
          </w:rPr>
          <w:t>Agricultural Commodity Statistics</w:t>
        </w:r>
      </w:hyperlink>
      <w:r w:rsidRPr="00611B1F">
        <w:t>”</w:t>
      </w:r>
    </w:p>
    <w:p w:rsidR="00611B1F" w:rsidRDefault="00611B1F" w:rsidP="004E4751">
      <w:pPr>
        <w:pStyle w:val="Bibliography"/>
      </w:pPr>
      <w:r w:rsidRPr="00611B1F">
        <w:t>———. 2018c. “</w:t>
      </w:r>
      <w:proofErr w:type="spellStart"/>
      <w:r w:rsidR="00F171A2">
        <w:rPr>
          <w:rStyle w:val="Hyperlink"/>
        </w:rPr>
        <w:fldChar w:fldCharType="begin"/>
      </w:r>
      <w:r w:rsidR="00F171A2">
        <w:rPr>
          <w:rStyle w:val="Hyperlink"/>
        </w:rPr>
        <w:instrText xml:space="preserve"> HYPERLINK "http://apps.agriculture.gov.au/agsurf" </w:instrText>
      </w:r>
      <w:r w:rsidR="00F171A2">
        <w:rPr>
          <w:rStyle w:val="Hyperlink"/>
        </w:rPr>
        <w:fldChar w:fldCharType="separate"/>
      </w:r>
      <w:r w:rsidRPr="0030631E">
        <w:rPr>
          <w:rStyle w:val="Hyperlink"/>
        </w:rPr>
        <w:t>AgSurf</w:t>
      </w:r>
      <w:proofErr w:type="spellEnd"/>
      <w:r w:rsidRPr="0030631E">
        <w:rPr>
          <w:rStyle w:val="Hyperlink"/>
        </w:rPr>
        <w:t xml:space="preserve">: </w:t>
      </w:r>
      <w:proofErr w:type="spellStart"/>
      <w:r w:rsidRPr="0030631E">
        <w:rPr>
          <w:rStyle w:val="Hyperlink"/>
        </w:rPr>
        <w:t>Broadacre</w:t>
      </w:r>
      <w:proofErr w:type="spellEnd"/>
      <w:r w:rsidRPr="0030631E">
        <w:rPr>
          <w:rStyle w:val="Hyperlink"/>
        </w:rPr>
        <w:t xml:space="preserve"> and Dairy Databases</w:t>
      </w:r>
      <w:r w:rsidR="00F171A2">
        <w:rPr>
          <w:rStyle w:val="Hyperlink"/>
        </w:rPr>
        <w:fldChar w:fldCharType="end"/>
      </w:r>
      <w:r w:rsidRPr="00611B1F">
        <w:t>”</w:t>
      </w:r>
    </w:p>
    <w:p w:rsidR="00D44FC3" w:rsidRPr="00D44FC3" w:rsidRDefault="00D44FC3" w:rsidP="004E4751">
      <w:pPr>
        <w:spacing w:after="0"/>
      </w:pPr>
      <w:r w:rsidRPr="00611B1F">
        <w:t>———</w:t>
      </w:r>
      <w:r>
        <w:t xml:space="preserve">. </w:t>
      </w:r>
      <w:proofErr w:type="spellStart"/>
      <w:r>
        <w:t>n.d.</w:t>
      </w:r>
      <w:proofErr w:type="spellEnd"/>
      <w:r>
        <w:t xml:space="preserve"> “</w:t>
      </w:r>
      <w:hyperlink r:id="rId42" w:history="1">
        <w:r w:rsidRPr="00D44FC3">
          <w:rPr>
            <w:rStyle w:val="Hyperlink"/>
          </w:rPr>
          <w:t>Climate</w:t>
        </w:r>
      </w:hyperlink>
      <w:r>
        <w:t>”</w:t>
      </w:r>
    </w:p>
    <w:p w:rsidR="0094661D" w:rsidRPr="00611B1F" w:rsidRDefault="0094661D" w:rsidP="004E4751">
      <w:pPr>
        <w:pStyle w:val="Bibliography"/>
      </w:pPr>
      <w:r>
        <w:t>ACCC</w:t>
      </w:r>
      <w:r w:rsidRPr="00611B1F">
        <w:t>. 2016. “</w:t>
      </w:r>
      <w:hyperlink r:id="rId43" w:history="1">
        <w:r w:rsidRPr="0094661D">
          <w:rPr>
            <w:rStyle w:val="Hyperlink"/>
          </w:rPr>
          <w:t xml:space="preserve">Statement of Issues: Proposed Merger of the Dow Chemical Company and </w:t>
        </w:r>
        <w:proofErr w:type="spellStart"/>
        <w:r w:rsidRPr="0094661D">
          <w:rPr>
            <w:rStyle w:val="Hyperlink"/>
          </w:rPr>
          <w:t>E.i</w:t>
        </w:r>
        <w:proofErr w:type="spellEnd"/>
        <w:r w:rsidRPr="0094661D">
          <w:rPr>
            <w:rStyle w:val="Hyperlink"/>
          </w:rPr>
          <w:t xml:space="preserve"> Du Point de Nemours and Co.</w:t>
        </w:r>
      </w:hyperlink>
      <w:r w:rsidRPr="00611B1F">
        <w:t>” Australian Co</w:t>
      </w:r>
      <w:r w:rsidR="004E4751">
        <w:t>mpetition &amp; Consumer Commission</w:t>
      </w:r>
    </w:p>
    <w:p w:rsidR="00611B1F" w:rsidRPr="00611B1F" w:rsidRDefault="00611B1F" w:rsidP="004E4751">
      <w:pPr>
        <w:pStyle w:val="Bibliography"/>
      </w:pPr>
      <w:r w:rsidRPr="00611B1F">
        <w:t>ACIL Allen Consulting. 2018. “</w:t>
      </w:r>
      <w:hyperlink r:id="rId44" w:history="1">
        <w:r w:rsidRPr="0030631E">
          <w:rPr>
            <w:rStyle w:val="Hyperlink"/>
          </w:rPr>
          <w:t>Economic Contribution of Animal Medicines to Australia</w:t>
        </w:r>
        <w:r w:rsidR="004E4751">
          <w:rPr>
            <w:rStyle w:val="Hyperlink"/>
          </w:rPr>
          <w:t>’s Livestock Industries 2015-16</w:t>
        </w:r>
        <w:r w:rsidRPr="0030631E">
          <w:rPr>
            <w:rStyle w:val="Hyperlink"/>
          </w:rPr>
          <w:t>”</w:t>
        </w:r>
      </w:hyperlink>
    </w:p>
    <w:p w:rsidR="00611B1F" w:rsidRDefault="00611B1F" w:rsidP="004E4751">
      <w:pPr>
        <w:pStyle w:val="Bibliography"/>
      </w:pPr>
      <w:r w:rsidRPr="00611B1F">
        <w:t xml:space="preserve">APVMA. </w:t>
      </w:r>
      <w:proofErr w:type="spellStart"/>
      <w:r w:rsidRPr="00611B1F">
        <w:t>n.d.</w:t>
      </w:r>
      <w:proofErr w:type="spellEnd"/>
      <w:r w:rsidRPr="00611B1F">
        <w:t xml:space="preserve"> “</w:t>
      </w:r>
      <w:hyperlink r:id="rId45" w:history="1">
        <w:r w:rsidR="00FF02C5" w:rsidRPr="00FF02C5">
          <w:rPr>
            <w:rStyle w:val="Hyperlink"/>
          </w:rPr>
          <w:t>Safeguarding</w:t>
        </w:r>
      </w:hyperlink>
      <w:r w:rsidR="00FF02C5">
        <w:t>”</w:t>
      </w:r>
    </w:p>
    <w:p w:rsidR="00FF02C5" w:rsidRPr="00611B1F" w:rsidRDefault="00FF02C5" w:rsidP="004E4751">
      <w:pPr>
        <w:pStyle w:val="Bibliography"/>
      </w:pPr>
      <w:r w:rsidRPr="00611B1F">
        <w:t>———. 201</w:t>
      </w:r>
      <w:r>
        <w:t>4</w:t>
      </w:r>
      <w:r w:rsidRPr="00611B1F">
        <w:t>. “</w:t>
      </w:r>
      <w:hyperlink r:id="rId46" w:history="1">
        <w:r>
          <w:rPr>
            <w:rStyle w:val="Hyperlink"/>
          </w:rPr>
          <w:t>Approval of a new Active Constituent</w:t>
        </w:r>
      </w:hyperlink>
      <w:r>
        <w:t>”</w:t>
      </w:r>
    </w:p>
    <w:p w:rsidR="00D44FC3" w:rsidRPr="00611B1F" w:rsidRDefault="00D44FC3" w:rsidP="00D44FC3">
      <w:pPr>
        <w:pStyle w:val="Bibliography"/>
      </w:pPr>
      <w:r w:rsidRPr="00611B1F">
        <w:t>———. 201</w:t>
      </w:r>
      <w:r>
        <w:t>4</w:t>
      </w:r>
      <w:r w:rsidR="00FF02C5">
        <w:t>b</w:t>
      </w:r>
      <w:r w:rsidRPr="00611B1F">
        <w:t>. “</w:t>
      </w:r>
      <w:hyperlink r:id="rId47" w:history="1">
        <w:r w:rsidR="00FF02C5">
          <w:rPr>
            <w:rStyle w:val="Hyperlink"/>
          </w:rPr>
          <w:t>PERMIT AUTHORISING POSSESSION AND CUSTODY, SUPPLY AND USE, OF</w:t>
        </w:r>
      </w:hyperlink>
      <w:r w:rsidR="00FF02C5">
        <w:rPr>
          <w:rStyle w:val="Hyperlink"/>
        </w:rPr>
        <w:t xml:space="preserve"> CERTAIN AGRICULTURAL CHEMICAL PRODUCTS CONTAINING THE ACTIVE CONSTITUENT 2,4-DICHLOROPHENOXY ACETIC ACID</w:t>
      </w:r>
      <w:r w:rsidR="00FF02C5">
        <w:t>”</w:t>
      </w:r>
    </w:p>
    <w:p w:rsidR="00611B1F" w:rsidRPr="00611B1F" w:rsidRDefault="00611B1F" w:rsidP="00611B1F">
      <w:pPr>
        <w:pStyle w:val="Bibliography"/>
      </w:pPr>
      <w:r w:rsidRPr="00611B1F">
        <w:t>———. 2015. “</w:t>
      </w:r>
      <w:hyperlink r:id="rId48" w:history="1">
        <w:r w:rsidRPr="00002935">
          <w:rPr>
            <w:rStyle w:val="Hyperlink"/>
          </w:rPr>
          <w:t>Guidance for Submitting International Data, Standards and Assessments</w:t>
        </w:r>
      </w:hyperlink>
      <w:r w:rsidR="0094661D">
        <w:t>”</w:t>
      </w:r>
    </w:p>
    <w:p w:rsidR="00611B1F" w:rsidRPr="00611B1F" w:rsidRDefault="00611B1F" w:rsidP="00611B1F">
      <w:pPr>
        <w:pStyle w:val="Bibliography"/>
      </w:pPr>
      <w:r w:rsidRPr="00611B1F">
        <w:t>———. 2016. “</w:t>
      </w:r>
      <w:hyperlink r:id="rId49" w:history="1">
        <w:r w:rsidRPr="00002935">
          <w:rPr>
            <w:rStyle w:val="Hyperlink"/>
          </w:rPr>
          <w:t>Vet Drug Approved in First Ever Trilateral Joint Review</w:t>
        </w:r>
      </w:hyperlink>
      <w:r w:rsidR="0094661D">
        <w:t>”</w:t>
      </w:r>
    </w:p>
    <w:p w:rsidR="00611B1F" w:rsidRPr="00611B1F" w:rsidRDefault="00611B1F" w:rsidP="00611B1F">
      <w:pPr>
        <w:pStyle w:val="Bibliography"/>
      </w:pPr>
      <w:r w:rsidRPr="00611B1F">
        <w:t>———. 2017. “</w:t>
      </w:r>
      <w:hyperlink r:id="rId50" w:history="1">
        <w:r w:rsidRPr="00002935">
          <w:rPr>
            <w:rStyle w:val="Hyperlink"/>
          </w:rPr>
          <w:t>Organization for Economic Cooperation and Development</w:t>
        </w:r>
      </w:hyperlink>
      <w:r w:rsidR="0094661D">
        <w:t>”</w:t>
      </w:r>
    </w:p>
    <w:p w:rsidR="00611B1F" w:rsidRPr="00611B1F" w:rsidRDefault="00611B1F" w:rsidP="00611B1F">
      <w:pPr>
        <w:pStyle w:val="Bibliography"/>
      </w:pPr>
      <w:r w:rsidRPr="00611B1F">
        <w:t>———. 2018a. “</w:t>
      </w:r>
      <w:hyperlink r:id="rId51" w:history="1">
        <w:r w:rsidRPr="00002935">
          <w:rPr>
            <w:rStyle w:val="Hyperlink"/>
          </w:rPr>
          <w:t>Representative Crops and Extrapolation Principles for Risk Assessment and Data Waivers</w:t>
        </w:r>
      </w:hyperlink>
      <w:r w:rsidR="0094661D">
        <w:t>.”</w:t>
      </w:r>
    </w:p>
    <w:p w:rsidR="00611B1F" w:rsidRPr="00611B1F" w:rsidRDefault="00611B1F" w:rsidP="00611B1F">
      <w:pPr>
        <w:pStyle w:val="Bibliography"/>
      </w:pPr>
      <w:r w:rsidRPr="00611B1F">
        <w:t>———. 2018b. “</w:t>
      </w:r>
      <w:hyperlink r:id="rId52" w:history="1">
        <w:r w:rsidRPr="00002935">
          <w:rPr>
            <w:rStyle w:val="Hyperlink"/>
          </w:rPr>
          <w:t>Annual Report 2017-18</w:t>
        </w:r>
      </w:hyperlink>
      <w:r w:rsidRPr="00611B1F">
        <w:t xml:space="preserve">” </w:t>
      </w:r>
    </w:p>
    <w:p w:rsidR="00611B1F" w:rsidRDefault="00611B1F" w:rsidP="00611B1F">
      <w:pPr>
        <w:pStyle w:val="Bibliography"/>
      </w:pPr>
      <w:r w:rsidRPr="00611B1F">
        <w:t>———. 2018c. “</w:t>
      </w:r>
      <w:hyperlink r:id="rId53" w:history="1">
        <w:r w:rsidRPr="0094661D">
          <w:rPr>
            <w:rStyle w:val="Hyperlink"/>
          </w:rPr>
          <w:t>Collaborative and International Assessments Including Work-Sharing</w:t>
        </w:r>
      </w:hyperlink>
      <w:r w:rsidR="0094661D">
        <w:t>,”</w:t>
      </w:r>
    </w:p>
    <w:p w:rsidR="004E4751" w:rsidRDefault="004E4751" w:rsidP="004E4751">
      <w:pPr>
        <w:spacing w:after="0"/>
      </w:pPr>
      <w:r>
        <w:t>———. 2018d. “</w:t>
      </w:r>
      <w:hyperlink r:id="rId54" w:history="1">
        <w:r w:rsidRPr="004E4751">
          <w:rPr>
            <w:rStyle w:val="Hyperlink"/>
          </w:rPr>
          <w:t>Trade criteria</w:t>
        </w:r>
      </w:hyperlink>
      <w:r>
        <w:t>”</w:t>
      </w:r>
    </w:p>
    <w:p w:rsidR="004E4751" w:rsidRDefault="004E4751" w:rsidP="004E4751">
      <w:pPr>
        <w:spacing w:after="0"/>
      </w:pPr>
      <w:r>
        <w:t>———. 2018e. “</w:t>
      </w:r>
      <w:hyperlink r:id="rId55" w:history="1">
        <w:r w:rsidRPr="004E4751">
          <w:rPr>
            <w:rStyle w:val="Hyperlink"/>
          </w:rPr>
          <w:t>Active Constituent</w:t>
        </w:r>
      </w:hyperlink>
      <w:r>
        <w:t>”</w:t>
      </w:r>
    </w:p>
    <w:p w:rsidR="00611B1F" w:rsidRPr="00611B1F" w:rsidRDefault="00611B1F" w:rsidP="004E4751">
      <w:pPr>
        <w:spacing w:after="0"/>
      </w:pPr>
      <w:r w:rsidRPr="00611B1F">
        <w:t>———. 2019a. “</w:t>
      </w:r>
      <w:hyperlink r:id="rId56" w:history="1">
        <w:r w:rsidRPr="0094661D">
          <w:rPr>
            <w:rStyle w:val="Hyperlink"/>
          </w:rPr>
          <w:t>APVMA Gazette</w:t>
        </w:r>
      </w:hyperlink>
      <w:r w:rsidR="0094661D">
        <w:t>”</w:t>
      </w:r>
    </w:p>
    <w:p w:rsidR="00611B1F" w:rsidRPr="00611B1F" w:rsidRDefault="00611B1F" w:rsidP="004E4751">
      <w:pPr>
        <w:pStyle w:val="Bibliography"/>
      </w:pPr>
      <w:r w:rsidRPr="00611B1F">
        <w:t>———. 2019b. “</w:t>
      </w:r>
      <w:hyperlink r:id="rId57" w:history="1">
        <w:r w:rsidRPr="0094661D">
          <w:rPr>
            <w:rStyle w:val="Hyperlink"/>
          </w:rPr>
          <w:t>Crop Group 002: Pome Fruits</w:t>
        </w:r>
      </w:hyperlink>
      <w:r w:rsidR="0094661D">
        <w:t>”</w:t>
      </w:r>
    </w:p>
    <w:p w:rsidR="00611B1F" w:rsidRPr="004E4751" w:rsidRDefault="00611B1F" w:rsidP="00611B1F">
      <w:pPr>
        <w:pStyle w:val="Bibliography"/>
      </w:pPr>
      <w:r w:rsidRPr="00611B1F">
        <w:t xml:space="preserve">Asada, </w:t>
      </w:r>
      <w:proofErr w:type="spellStart"/>
      <w:r w:rsidRPr="00611B1F">
        <w:t>Yumi</w:t>
      </w:r>
      <w:proofErr w:type="spellEnd"/>
      <w:r w:rsidRPr="00611B1F">
        <w:t xml:space="preserve">, and Jake </w:t>
      </w:r>
      <w:proofErr w:type="spellStart"/>
      <w:r w:rsidRPr="00611B1F">
        <w:t>Sturmer</w:t>
      </w:r>
      <w:proofErr w:type="spellEnd"/>
      <w:r w:rsidRPr="00611B1F">
        <w:t>. 2018. “</w:t>
      </w:r>
      <w:hyperlink r:id="rId58" w:history="1">
        <w:r w:rsidRPr="0094661D">
          <w:rPr>
            <w:rStyle w:val="Hyperlink"/>
          </w:rPr>
          <w:t>Japan Partially Bans Australian Barley over Excessive Pesticide Levels</w:t>
        </w:r>
      </w:hyperlink>
      <w:r w:rsidRPr="00611B1F">
        <w:t xml:space="preserve">” </w:t>
      </w:r>
      <w:r w:rsidRPr="004E4751">
        <w:rPr>
          <w:iCs/>
        </w:rPr>
        <w:t>A</w:t>
      </w:r>
      <w:r w:rsidR="0094661D" w:rsidRPr="004E4751">
        <w:rPr>
          <w:iCs/>
        </w:rPr>
        <w:t xml:space="preserve">ustralian </w:t>
      </w:r>
      <w:r w:rsidRPr="004E4751">
        <w:rPr>
          <w:iCs/>
        </w:rPr>
        <w:t>B</w:t>
      </w:r>
      <w:r w:rsidR="0094661D" w:rsidRPr="004E4751">
        <w:rPr>
          <w:iCs/>
        </w:rPr>
        <w:t xml:space="preserve">roadcasting </w:t>
      </w:r>
      <w:r w:rsidRPr="004E4751">
        <w:rPr>
          <w:iCs/>
        </w:rPr>
        <w:t>C</w:t>
      </w:r>
      <w:r w:rsidR="0094661D" w:rsidRPr="004E4751">
        <w:rPr>
          <w:iCs/>
        </w:rPr>
        <w:t>orporation</w:t>
      </w:r>
    </w:p>
    <w:p w:rsidR="00FF02C5" w:rsidRPr="00611B1F" w:rsidRDefault="00FF02C5" w:rsidP="00FF02C5">
      <w:pPr>
        <w:pStyle w:val="Bibliography"/>
      </w:pPr>
      <w:r>
        <w:t>Australian Government</w:t>
      </w:r>
      <w:r w:rsidRPr="00611B1F">
        <w:t>. 2014. “</w:t>
      </w:r>
      <w:hyperlink r:id="rId59" w:history="1">
        <w:r w:rsidRPr="0051194D">
          <w:rPr>
            <w:rStyle w:val="Hyperlink"/>
          </w:rPr>
          <w:t>Agricultural and Veterinary Chemicals Code (Efficacy Criteria) Determination 2014</w:t>
        </w:r>
      </w:hyperlink>
      <w:r>
        <w:t>”</w:t>
      </w:r>
    </w:p>
    <w:p w:rsidR="00611B1F" w:rsidRPr="00611B1F" w:rsidRDefault="00FF02C5" w:rsidP="00FF02C5">
      <w:pPr>
        <w:pStyle w:val="Bibliography"/>
      </w:pPr>
      <w:r w:rsidRPr="00611B1F">
        <w:t>———</w:t>
      </w:r>
      <w:r w:rsidR="00611B1F" w:rsidRPr="00611B1F">
        <w:t>. 2015. “</w:t>
      </w:r>
      <w:hyperlink r:id="rId60" w:history="1">
        <w:r w:rsidR="00611B1F" w:rsidRPr="0094661D">
          <w:rPr>
            <w:rStyle w:val="Hyperlink"/>
          </w:rPr>
          <w:t>Agricultural Competitiveness White Paper Home</w:t>
        </w:r>
      </w:hyperlink>
      <w:r w:rsidR="004E4751">
        <w:t>”</w:t>
      </w:r>
    </w:p>
    <w:p w:rsidR="00611B1F" w:rsidRPr="00611B1F" w:rsidRDefault="00611B1F" w:rsidP="00611B1F">
      <w:pPr>
        <w:pStyle w:val="Bibliography"/>
      </w:pPr>
      <w:r w:rsidRPr="00611B1F">
        <w:t>Australian Herbicide Resistance Initiative. 2014. “</w:t>
      </w:r>
      <w:hyperlink r:id="rId61" w:history="1">
        <w:r w:rsidRPr="0094661D">
          <w:rPr>
            <w:rStyle w:val="Hyperlink"/>
          </w:rPr>
          <w:t>Think Global</w:t>
        </w:r>
      </w:hyperlink>
      <w:r w:rsidRPr="00611B1F">
        <w:t>”</w:t>
      </w:r>
    </w:p>
    <w:p w:rsidR="000368C4" w:rsidRDefault="000368C4" w:rsidP="00611B1F">
      <w:pPr>
        <w:pStyle w:val="Bibliography"/>
      </w:pPr>
      <w:r>
        <w:t xml:space="preserve">BASF, </w:t>
      </w:r>
      <w:proofErr w:type="spellStart"/>
      <w:r>
        <w:t>n.d.</w:t>
      </w:r>
      <w:proofErr w:type="spellEnd"/>
      <w:r>
        <w:t xml:space="preserve"> “</w:t>
      </w:r>
      <w:proofErr w:type="spellStart"/>
      <w:r w:rsidR="00F171A2">
        <w:rPr>
          <w:rStyle w:val="Hyperlink"/>
        </w:rPr>
        <w:fldChar w:fldCharType="begin"/>
      </w:r>
      <w:r w:rsidR="00F171A2">
        <w:rPr>
          <w:rStyle w:val="Hyperlink"/>
        </w:rPr>
        <w:instrText xml:space="preserve"> HYPERLINK "https://as</w:instrText>
      </w:r>
      <w:r w:rsidR="00F171A2">
        <w:rPr>
          <w:rStyle w:val="Hyperlink"/>
        </w:rPr>
        <w:instrText xml:space="preserve">sets.greenbook.net/L90076.pdf" </w:instrText>
      </w:r>
      <w:r w:rsidR="00F171A2">
        <w:rPr>
          <w:rStyle w:val="Hyperlink"/>
        </w:rPr>
        <w:fldChar w:fldCharType="separate"/>
      </w:r>
      <w:r w:rsidRPr="000368C4">
        <w:rPr>
          <w:rStyle w:val="Hyperlink"/>
        </w:rPr>
        <w:t>Caramba</w:t>
      </w:r>
      <w:proofErr w:type="spellEnd"/>
      <w:r w:rsidRPr="000368C4">
        <w:rPr>
          <w:rStyle w:val="Hyperlink"/>
        </w:rPr>
        <w:t xml:space="preserve"> fungicide</w:t>
      </w:r>
      <w:r w:rsidR="00F171A2">
        <w:rPr>
          <w:rStyle w:val="Hyperlink"/>
        </w:rPr>
        <w:fldChar w:fldCharType="end"/>
      </w:r>
      <w:r>
        <w:t xml:space="preserve">” </w:t>
      </w:r>
    </w:p>
    <w:p w:rsidR="00611B1F" w:rsidRPr="00611B1F" w:rsidRDefault="00611B1F" w:rsidP="00611B1F">
      <w:pPr>
        <w:pStyle w:val="Bibliography"/>
      </w:pPr>
      <w:proofErr w:type="spellStart"/>
      <w:r w:rsidRPr="00611B1F">
        <w:t>Borel</w:t>
      </w:r>
      <w:proofErr w:type="spellEnd"/>
      <w:r w:rsidRPr="00611B1F">
        <w:t>, Brooke. 2018. “</w:t>
      </w:r>
      <w:hyperlink r:id="rId62" w:history="1">
        <w:r w:rsidRPr="0051194D">
          <w:rPr>
            <w:rStyle w:val="Hyperlink"/>
          </w:rPr>
          <w:t>Weeds Are Winning the War against Herbicide Resistance</w:t>
        </w:r>
      </w:hyperlink>
      <w:r w:rsidRPr="00611B1F">
        <w:t xml:space="preserve">” </w:t>
      </w:r>
      <w:r w:rsidRPr="00611B1F">
        <w:rPr>
          <w:i/>
          <w:iCs/>
        </w:rPr>
        <w:t>Scientific American</w:t>
      </w:r>
      <w:r w:rsidRPr="00611B1F">
        <w:t xml:space="preserve">. </w:t>
      </w:r>
    </w:p>
    <w:p w:rsidR="00611B1F" w:rsidRPr="00611B1F" w:rsidRDefault="004E4751" w:rsidP="00611B1F">
      <w:pPr>
        <w:pStyle w:val="Bibliography"/>
      </w:pPr>
      <w:r>
        <w:t>CFIA</w:t>
      </w:r>
      <w:r w:rsidR="00611B1F" w:rsidRPr="00611B1F">
        <w:t>. 2019. “</w:t>
      </w:r>
      <w:hyperlink r:id="rId63" w:history="1">
        <w:r w:rsidR="00611B1F" w:rsidRPr="0051194D">
          <w:rPr>
            <w:rStyle w:val="Hyperlink"/>
          </w:rPr>
          <w:t>Importation of Veterinary Biologics - Overview</w:t>
        </w:r>
      </w:hyperlink>
      <w:r w:rsidR="00611B1F" w:rsidRPr="00611B1F">
        <w:t>”</w:t>
      </w:r>
      <w:r w:rsidRPr="004E4751">
        <w:t xml:space="preserve"> </w:t>
      </w:r>
      <w:r w:rsidRPr="00611B1F">
        <w:t>Canadian Food Inspection Agency</w:t>
      </w:r>
    </w:p>
    <w:p w:rsidR="00611B1F" w:rsidRPr="00611B1F" w:rsidRDefault="00611B1F" w:rsidP="00611B1F">
      <w:pPr>
        <w:pStyle w:val="Bibliography"/>
      </w:pPr>
      <w:r w:rsidRPr="00611B1F">
        <w:t>Carroll, Michael J. 2016. “</w:t>
      </w:r>
      <w:hyperlink r:id="rId64" w:history="1">
        <w:r w:rsidRPr="00D44FC3">
          <w:rPr>
            <w:rStyle w:val="Hyperlink"/>
          </w:rPr>
          <w:t>The Importance of Regulatory Data Protection or Exclusive Use and Other Forms of Intellectual Property Rights in the Crop Protection Industry</w:t>
        </w:r>
      </w:hyperlink>
      <w:r w:rsidRPr="00611B1F">
        <w:t xml:space="preserve">.” </w:t>
      </w:r>
      <w:r w:rsidRPr="00611B1F">
        <w:rPr>
          <w:i/>
          <w:iCs/>
        </w:rPr>
        <w:t>Pest Management Science</w:t>
      </w:r>
    </w:p>
    <w:p w:rsidR="0094661D" w:rsidRPr="00611B1F" w:rsidRDefault="0094661D" w:rsidP="0094661D">
      <w:pPr>
        <w:pStyle w:val="Bibliography"/>
      </w:pPr>
      <w:r w:rsidRPr="00611B1F">
        <w:t>Caswell</w:t>
      </w:r>
      <w:r>
        <w:t>,</w:t>
      </w:r>
      <w:r w:rsidRPr="0094661D">
        <w:t xml:space="preserve"> </w:t>
      </w:r>
      <w:proofErr w:type="spellStart"/>
      <w:r>
        <w:t>Margriet</w:t>
      </w:r>
      <w:proofErr w:type="spellEnd"/>
      <w:r>
        <w:t xml:space="preserve"> </w:t>
      </w:r>
      <w:proofErr w:type="spellStart"/>
      <w:r w:rsidRPr="00611B1F">
        <w:t>Fuglie</w:t>
      </w:r>
      <w:proofErr w:type="spellEnd"/>
      <w:r w:rsidRPr="00611B1F">
        <w:t>,</w:t>
      </w:r>
      <w:r w:rsidR="008806A8">
        <w:t xml:space="preserve"> </w:t>
      </w:r>
      <w:r w:rsidR="008806A8" w:rsidRPr="00611B1F">
        <w:t>Keith</w:t>
      </w:r>
      <w:r w:rsidRPr="00611B1F">
        <w:t>. Klotz</w:t>
      </w:r>
      <w:r w:rsidR="008806A8">
        <w:t xml:space="preserve"> Cassandra</w:t>
      </w:r>
      <w:r>
        <w:t xml:space="preserve">. </w:t>
      </w:r>
      <w:r w:rsidR="008806A8">
        <w:t>1994</w:t>
      </w:r>
      <w:r w:rsidRPr="00611B1F">
        <w:t xml:space="preserve"> “</w:t>
      </w:r>
      <w:hyperlink r:id="rId65" w:anchor="v=onepage&amp;q&amp;f=false" w:history="1">
        <w:r w:rsidRPr="00002935">
          <w:rPr>
            <w:rStyle w:val="Hyperlink"/>
          </w:rPr>
          <w:t>Agricultural Biotechnology: An Economic Perspective</w:t>
        </w:r>
      </w:hyperlink>
      <w:r>
        <w:t>”</w:t>
      </w:r>
      <w:r w:rsidRPr="00611B1F">
        <w:t>.</w:t>
      </w:r>
    </w:p>
    <w:p w:rsidR="00CE17C9" w:rsidRDefault="00CE17C9" w:rsidP="00611B1F">
      <w:pPr>
        <w:pStyle w:val="Bibliography"/>
      </w:pPr>
      <w:proofErr w:type="spellStart"/>
      <w:r>
        <w:t>Cropwatch</w:t>
      </w:r>
      <w:proofErr w:type="spellEnd"/>
      <w:r>
        <w:t xml:space="preserve"> “</w:t>
      </w:r>
      <w:hyperlink r:id="rId66" w:history="1">
        <w:r w:rsidRPr="00CE17C9">
          <w:rPr>
            <w:rStyle w:val="Hyperlink"/>
          </w:rPr>
          <w:t xml:space="preserve">UNL EC130 </w:t>
        </w:r>
        <w:proofErr w:type="spellStart"/>
        <w:r w:rsidRPr="00CE17C9">
          <w:rPr>
            <w:rStyle w:val="Hyperlink"/>
          </w:rPr>
          <w:t>Pungicide</w:t>
        </w:r>
        <w:proofErr w:type="spellEnd"/>
        <w:r w:rsidRPr="00CE17C9">
          <w:rPr>
            <w:rStyle w:val="Hyperlink"/>
          </w:rPr>
          <w:t xml:space="preserve"> Prices</w:t>
        </w:r>
      </w:hyperlink>
      <w:r>
        <w:t>”</w:t>
      </w:r>
    </w:p>
    <w:p w:rsidR="00967C04" w:rsidRDefault="00611B1F" w:rsidP="00611B1F">
      <w:pPr>
        <w:pStyle w:val="Bibliography"/>
      </w:pPr>
      <w:r w:rsidRPr="00611B1F">
        <w:t>D</w:t>
      </w:r>
      <w:r w:rsidR="0051194D">
        <w:t xml:space="preserve">epartment of Agriculture </w:t>
      </w:r>
      <w:r w:rsidRPr="00611B1F">
        <w:t>2015</w:t>
      </w:r>
      <w:r w:rsidR="00967C04">
        <w:t>a</w:t>
      </w:r>
      <w:r w:rsidRPr="00611B1F">
        <w:t>.</w:t>
      </w:r>
      <w:r w:rsidR="00967C04">
        <w:t xml:space="preserve"> “</w:t>
      </w:r>
      <w:hyperlink r:id="rId67" w:history="1">
        <w:r w:rsidR="00967C04" w:rsidRPr="00967C04">
          <w:rPr>
            <w:rStyle w:val="Hyperlink"/>
          </w:rPr>
          <w:t>Regulation</w:t>
        </w:r>
      </w:hyperlink>
      <w:r w:rsidR="00967C04">
        <w:t>” online at 26 October 2015</w:t>
      </w:r>
    </w:p>
    <w:p w:rsidR="00611B1F" w:rsidRPr="00611B1F" w:rsidRDefault="00967C04" w:rsidP="00611B1F">
      <w:pPr>
        <w:pStyle w:val="Bibliography"/>
      </w:pPr>
      <w:r w:rsidRPr="00611B1F">
        <w:t>———.</w:t>
      </w:r>
      <w:r>
        <w:t xml:space="preserve"> 2015b</w:t>
      </w:r>
      <w:r w:rsidR="00611B1F" w:rsidRPr="00611B1F">
        <w:t xml:space="preserve"> “</w:t>
      </w:r>
      <w:hyperlink r:id="rId68" w:history="1">
        <w:r w:rsidR="00611B1F" w:rsidRPr="0051194D">
          <w:rPr>
            <w:rStyle w:val="Hyperlink"/>
          </w:rPr>
          <w:t>3. Removing Efficacy Assessments</w:t>
        </w:r>
      </w:hyperlink>
      <w:r w:rsidR="00611B1F" w:rsidRPr="00611B1F">
        <w:t xml:space="preserve">” </w:t>
      </w:r>
    </w:p>
    <w:p w:rsidR="00611B1F" w:rsidRPr="00611B1F" w:rsidRDefault="00611B1F" w:rsidP="00611B1F">
      <w:pPr>
        <w:pStyle w:val="Bibliography"/>
      </w:pPr>
      <w:r w:rsidRPr="00611B1F">
        <w:t>Deloitte Access Economics. 2018. “</w:t>
      </w:r>
      <w:hyperlink r:id="rId69" w:history="1">
        <w:r w:rsidRPr="0051194D">
          <w:rPr>
            <w:rStyle w:val="Hyperlink"/>
          </w:rPr>
          <w:t>Economic Activity Attributable to Crop Protection Products</w:t>
        </w:r>
      </w:hyperlink>
      <w:r w:rsidR="0051194D">
        <w:t>”</w:t>
      </w:r>
    </w:p>
    <w:p w:rsidR="004E4751" w:rsidRDefault="004E4751" w:rsidP="00611B1F">
      <w:pPr>
        <w:pStyle w:val="Bibliography"/>
      </w:pPr>
      <w:r>
        <w:t xml:space="preserve">EFSA. </w:t>
      </w:r>
      <w:proofErr w:type="spellStart"/>
      <w:r>
        <w:t>n.d.</w:t>
      </w:r>
      <w:proofErr w:type="spellEnd"/>
      <w:r>
        <w:t xml:space="preserve"> “</w:t>
      </w:r>
      <w:hyperlink r:id="rId70" w:history="1">
        <w:r w:rsidRPr="004E4751">
          <w:rPr>
            <w:rStyle w:val="Hyperlink"/>
          </w:rPr>
          <w:t>Pesticides</w:t>
        </w:r>
      </w:hyperlink>
      <w:r>
        <w:t xml:space="preserve">” </w:t>
      </w:r>
      <w:r w:rsidRPr="004E4751">
        <w:t>European Food Safety Authority</w:t>
      </w:r>
    </w:p>
    <w:p w:rsidR="00611B1F" w:rsidRPr="00611B1F" w:rsidRDefault="00611B1F" w:rsidP="00611B1F">
      <w:pPr>
        <w:pStyle w:val="Bibliography"/>
      </w:pPr>
      <w:r w:rsidRPr="00611B1F">
        <w:t xml:space="preserve">EMA. </w:t>
      </w:r>
      <w:proofErr w:type="spellStart"/>
      <w:r w:rsidRPr="00611B1F">
        <w:t>n.d.</w:t>
      </w:r>
      <w:proofErr w:type="spellEnd"/>
      <w:r w:rsidRPr="00611B1F">
        <w:t xml:space="preserve"> “</w:t>
      </w:r>
      <w:hyperlink r:id="rId71" w:history="1">
        <w:r w:rsidRPr="0051194D">
          <w:rPr>
            <w:rStyle w:val="Hyperlink"/>
          </w:rPr>
          <w:t>Efficacy: Pharmaceuticals</w:t>
        </w:r>
      </w:hyperlink>
      <w:r w:rsidRPr="00611B1F">
        <w:t>”.</w:t>
      </w:r>
      <w:r w:rsidR="004E4751" w:rsidRPr="004E4751">
        <w:t xml:space="preserve"> European Medicines Agency</w:t>
      </w:r>
    </w:p>
    <w:p w:rsidR="00611B1F" w:rsidRPr="00611B1F" w:rsidRDefault="00611B1F" w:rsidP="00611B1F">
      <w:pPr>
        <w:pStyle w:val="Bibliography"/>
      </w:pPr>
      <w:r w:rsidRPr="00611B1F">
        <w:t>———. 2008. “</w:t>
      </w:r>
      <w:hyperlink r:id="rId72" w:history="1">
        <w:r w:rsidRPr="0051194D">
          <w:rPr>
            <w:rStyle w:val="Hyperlink"/>
          </w:rPr>
          <w:t>VICH GL43 Target Animal Safety: Pharmaceuticals</w:t>
        </w:r>
      </w:hyperlink>
      <w:r w:rsidRPr="00611B1F">
        <w:t>,”</w:t>
      </w:r>
    </w:p>
    <w:p w:rsidR="00611B1F" w:rsidRPr="00611B1F" w:rsidRDefault="004E4751" w:rsidP="00611B1F">
      <w:pPr>
        <w:pStyle w:val="Bibliography"/>
      </w:pPr>
      <w:r>
        <w:t xml:space="preserve">US </w:t>
      </w:r>
      <w:r w:rsidR="00611B1F" w:rsidRPr="00611B1F">
        <w:t>EPA. 2017. “</w:t>
      </w:r>
      <w:hyperlink r:id="rId73" w:history="1">
        <w:r w:rsidR="00611B1F" w:rsidRPr="0051194D">
          <w:rPr>
            <w:rStyle w:val="Hyperlink"/>
          </w:rPr>
          <w:t>Efficacy Requirements for Antimicrobial Pesticides</w:t>
        </w:r>
      </w:hyperlink>
      <w:r>
        <w:t>” United States Environmental Protection Agency</w:t>
      </w:r>
    </w:p>
    <w:p w:rsidR="00611B1F" w:rsidRPr="00611B1F" w:rsidRDefault="00611B1F" w:rsidP="00611B1F">
      <w:pPr>
        <w:pStyle w:val="Bibliography"/>
      </w:pPr>
      <w:r w:rsidRPr="00611B1F">
        <w:t>———. 2018. “</w:t>
      </w:r>
      <w:hyperlink r:id="rId74" w:history="1">
        <w:r w:rsidRPr="0051194D">
          <w:rPr>
            <w:rStyle w:val="Hyperlink"/>
          </w:rPr>
          <w:t>Risk Evaluations for Existing Chemicals under TSCA</w:t>
        </w:r>
      </w:hyperlink>
      <w:r w:rsidRPr="00611B1F">
        <w:t xml:space="preserve">” </w:t>
      </w:r>
    </w:p>
    <w:p w:rsidR="00611B1F" w:rsidRPr="00611B1F" w:rsidRDefault="004E4751" w:rsidP="00611B1F">
      <w:pPr>
        <w:pStyle w:val="Bibliography"/>
      </w:pPr>
      <w:r>
        <w:t xml:space="preserve">US </w:t>
      </w:r>
      <w:r w:rsidR="00611B1F" w:rsidRPr="00611B1F">
        <w:t>FDA. 2018. “</w:t>
      </w:r>
      <w:proofErr w:type="spellStart"/>
      <w:r w:rsidR="00F171A2">
        <w:rPr>
          <w:rStyle w:val="Hyperlink"/>
        </w:rPr>
        <w:fldChar w:fldCharType="begin"/>
      </w:r>
      <w:r w:rsidR="00F171A2">
        <w:rPr>
          <w:rStyle w:val="Hyperlink"/>
        </w:rPr>
        <w:instrText xml:space="preserve"> HYPERLINK "https://www.fda.gov/about-fda/office-foods-and-veterinary-medicine/center-veterinary-medicine" </w:instrText>
      </w:r>
      <w:r w:rsidR="00F171A2">
        <w:rPr>
          <w:rStyle w:val="Hyperlink"/>
        </w:rPr>
        <w:fldChar w:fldCharType="separate"/>
      </w:r>
      <w:r w:rsidR="00611B1F" w:rsidRPr="0051194D">
        <w:rPr>
          <w:rStyle w:val="Hyperlink"/>
        </w:rPr>
        <w:t>Center</w:t>
      </w:r>
      <w:proofErr w:type="spellEnd"/>
      <w:r w:rsidR="00611B1F" w:rsidRPr="0051194D">
        <w:rPr>
          <w:rStyle w:val="Hyperlink"/>
        </w:rPr>
        <w:t xml:space="preserve"> for Veterinary Medicine</w:t>
      </w:r>
      <w:r w:rsidR="00F171A2">
        <w:rPr>
          <w:rStyle w:val="Hyperlink"/>
        </w:rPr>
        <w:fldChar w:fldCharType="end"/>
      </w:r>
      <w:r w:rsidR="00611B1F" w:rsidRPr="00611B1F">
        <w:t xml:space="preserve">,” </w:t>
      </w:r>
      <w:r>
        <w:t>United States Food and Drug Administration</w:t>
      </w:r>
    </w:p>
    <w:p w:rsidR="00611B1F" w:rsidRPr="00611B1F" w:rsidRDefault="00611B1F" w:rsidP="00611B1F">
      <w:pPr>
        <w:pStyle w:val="Bibliography"/>
      </w:pPr>
      <w:proofErr w:type="spellStart"/>
      <w:r w:rsidRPr="00611B1F">
        <w:t>Feder</w:t>
      </w:r>
      <w:proofErr w:type="spellEnd"/>
      <w:r w:rsidRPr="00611B1F">
        <w:t>, G, and Umali</w:t>
      </w:r>
      <w:r w:rsidR="00B97FB7">
        <w:t>, D</w:t>
      </w:r>
      <w:r w:rsidRPr="00611B1F">
        <w:t>. 1993. “</w:t>
      </w:r>
      <w:hyperlink r:id="rId75" w:history="1">
        <w:r w:rsidRPr="0051194D">
          <w:rPr>
            <w:rStyle w:val="Hyperlink"/>
          </w:rPr>
          <w:t>The Adoption of Agricultural Innovations: A Review</w:t>
        </w:r>
      </w:hyperlink>
      <w:r w:rsidRPr="00611B1F">
        <w:t xml:space="preserve">.” </w:t>
      </w:r>
      <w:r w:rsidRPr="00611B1F">
        <w:rPr>
          <w:i/>
          <w:iCs/>
        </w:rPr>
        <w:t>Technological Forecasting and Social Change</w:t>
      </w:r>
      <w:r w:rsidRPr="00611B1F">
        <w:t xml:space="preserve">, Special Issue Technology and Innovation </w:t>
      </w:r>
      <w:proofErr w:type="gramStart"/>
      <w:r w:rsidRPr="00611B1F">
        <w:t>In</w:t>
      </w:r>
      <w:proofErr w:type="gramEnd"/>
      <w:r w:rsidRPr="00611B1F">
        <w:t xml:space="preserve"> Agriculture and Natural Resources, 43 (3): 215–39.</w:t>
      </w:r>
    </w:p>
    <w:p w:rsidR="00611B1F" w:rsidRPr="00611B1F" w:rsidRDefault="00967C04" w:rsidP="00611B1F">
      <w:pPr>
        <w:pStyle w:val="Bibliography"/>
      </w:pPr>
      <w:r>
        <w:t>FAO</w:t>
      </w:r>
      <w:r w:rsidR="00611B1F" w:rsidRPr="00611B1F">
        <w:t>. 201</w:t>
      </w:r>
      <w:r>
        <w:t>9</w:t>
      </w:r>
      <w:r w:rsidR="00611B1F" w:rsidRPr="00611B1F">
        <w:t>. “</w:t>
      </w:r>
      <w:hyperlink r:id="rId76" w:anchor="data" w:history="1">
        <w:r w:rsidR="00611B1F" w:rsidRPr="0051194D">
          <w:rPr>
            <w:rStyle w:val="Hyperlink"/>
          </w:rPr>
          <w:t>FAOSTAT</w:t>
        </w:r>
      </w:hyperlink>
      <w:r>
        <w:rPr>
          <w:rStyle w:val="Hyperlink"/>
        </w:rPr>
        <w:t xml:space="preserve"> database</w:t>
      </w:r>
      <w:r w:rsidR="00611B1F" w:rsidRPr="00611B1F">
        <w:t>.”</w:t>
      </w:r>
      <w:r>
        <w:t xml:space="preserve"> Food and Agriculture Organisation of the United Nations.</w:t>
      </w:r>
    </w:p>
    <w:p w:rsidR="00611B1F" w:rsidRPr="00611B1F" w:rsidRDefault="00611B1F" w:rsidP="00611B1F">
      <w:pPr>
        <w:pStyle w:val="Bibliography"/>
      </w:pPr>
      <w:r w:rsidRPr="00611B1F">
        <w:t>Gill, G. S. 1995. “</w:t>
      </w:r>
      <w:hyperlink r:id="rId77" w:history="1">
        <w:r w:rsidRPr="0051194D">
          <w:rPr>
            <w:rStyle w:val="Hyperlink"/>
          </w:rPr>
          <w:t>Development of Herbicide Resistance in Annual Ryegrass Populations (</w:t>
        </w:r>
        <w:proofErr w:type="spellStart"/>
        <w:r w:rsidRPr="0051194D">
          <w:rPr>
            <w:rStyle w:val="Hyperlink"/>
          </w:rPr>
          <w:t>Lolium</w:t>
        </w:r>
        <w:proofErr w:type="spellEnd"/>
        <w:r w:rsidRPr="0051194D">
          <w:rPr>
            <w:rStyle w:val="Hyperlink"/>
          </w:rPr>
          <w:t xml:space="preserve"> </w:t>
        </w:r>
        <w:proofErr w:type="spellStart"/>
        <w:r w:rsidRPr="0051194D">
          <w:rPr>
            <w:rStyle w:val="Hyperlink"/>
          </w:rPr>
          <w:t>Rigidum</w:t>
        </w:r>
        <w:proofErr w:type="spellEnd"/>
        <w:r w:rsidRPr="0051194D">
          <w:rPr>
            <w:rStyle w:val="Hyperlink"/>
          </w:rPr>
          <w:t xml:space="preserve"> Gaud.) </w:t>
        </w:r>
        <w:proofErr w:type="gramStart"/>
        <w:r w:rsidRPr="0051194D">
          <w:rPr>
            <w:rStyle w:val="Hyperlink"/>
          </w:rPr>
          <w:t>in</w:t>
        </w:r>
        <w:proofErr w:type="gramEnd"/>
        <w:r w:rsidRPr="0051194D">
          <w:rPr>
            <w:rStyle w:val="Hyperlink"/>
          </w:rPr>
          <w:t xml:space="preserve"> the Cropping Belt of Western Australia</w:t>
        </w:r>
      </w:hyperlink>
      <w:r w:rsidRPr="00611B1F">
        <w:t xml:space="preserve">” </w:t>
      </w:r>
      <w:r w:rsidRPr="00611B1F">
        <w:rPr>
          <w:i/>
          <w:iCs/>
        </w:rPr>
        <w:t>Australian Journal of Experimental Agriculture</w:t>
      </w:r>
      <w:r w:rsidRPr="00611B1F">
        <w:t xml:space="preserve"> 35 (1): 67–72.</w:t>
      </w:r>
    </w:p>
    <w:p w:rsidR="00611B1F" w:rsidRPr="00611B1F" w:rsidRDefault="00611B1F" w:rsidP="00611B1F">
      <w:pPr>
        <w:pStyle w:val="Bibliography"/>
      </w:pPr>
      <w:r w:rsidRPr="00611B1F">
        <w:t>Government of Canada. 2019. “Pesticides in Canada,” April 2019.</w:t>
      </w:r>
    </w:p>
    <w:p w:rsidR="00611B1F" w:rsidRPr="00611B1F" w:rsidRDefault="00611B1F" w:rsidP="00611B1F">
      <w:pPr>
        <w:pStyle w:val="Bibliography"/>
      </w:pPr>
      <w:r w:rsidRPr="00611B1F">
        <w:t>Grain Trade Australia. 2018. “</w:t>
      </w:r>
      <w:hyperlink r:id="rId78" w:history="1">
        <w:r w:rsidRPr="0051194D">
          <w:rPr>
            <w:rStyle w:val="Hyperlink"/>
          </w:rPr>
          <w:t>Australian Grains Industry Post Harvest Chemical Usage Recommendations and Outturn Tolerances 2018/19</w:t>
        </w:r>
      </w:hyperlink>
      <w:r w:rsidR="0051194D">
        <w:t>”</w:t>
      </w:r>
    </w:p>
    <w:p w:rsidR="00611B1F" w:rsidRPr="00611B1F" w:rsidRDefault="00611B1F" w:rsidP="00611B1F">
      <w:pPr>
        <w:pStyle w:val="Bibliography"/>
      </w:pPr>
      <w:r w:rsidRPr="00611B1F">
        <w:t>GRDC. 2009. “</w:t>
      </w:r>
      <w:hyperlink r:id="rId79" w:history="1">
        <w:r w:rsidR="0051194D" w:rsidRPr="0051194D">
          <w:rPr>
            <w:rStyle w:val="Hyperlink"/>
          </w:rPr>
          <w:t>The Current and Potential Costs from Diseases of Barley in Australia</w:t>
        </w:r>
      </w:hyperlink>
      <w:r w:rsidR="004E4751">
        <w:t xml:space="preserve">.” </w:t>
      </w:r>
      <w:r w:rsidR="004E4751" w:rsidRPr="004E4751">
        <w:t>Grains Research and Development Corporation</w:t>
      </w:r>
    </w:p>
    <w:p w:rsidR="00611B1F" w:rsidRPr="00611B1F" w:rsidRDefault="00611B1F" w:rsidP="00611B1F">
      <w:pPr>
        <w:pStyle w:val="Bibliography"/>
      </w:pPr>
      <w:r w:rsidRPr="00611B1F">
        <w:t>———. 2014. “</w:t>
      </w:r>
      <w:hyperlink r:id="rId80" w:history="1">
        <w:r w:rsidRPr="0051194D">
          <w:rPr>
            <w:rStyle w:val="Hyperlink"/>
          </w:rPr>
          <w:t xml:space="preserve">Fusarium Head Blight </w:t>
        </w:r>
        <w:proofErr w:type="gramStart"/>
        <w:r w:rsidRPr="0051194D">
          <w:rPr>
            <w:rStyle w:val="Hyperlink"/>
          </w:rPr>
          <w:t>In</w:t>
        </w:r>
        <w:proofErr w:type="gramEnd"/>
        <w:r w:rsidRPr="0051194D">
          <w:rPr>
            <w:rStyle w:val="Hyperlink"/>
          </w:rPr>
          <w:t xml:space="preserve"> The North</w:t>
        </w:r>
      </w:hyperlink>
      <w:r w:rsidRPr="00611B1F">
        <w:t>.”</w:t>
      </w:r>
    </w:p>
    <w:p w:rsidR="00611B1F" w:rsidRPr="00611B1F" w:rsidRDefault="00611B1F" w:rsidP="00611B1F">
      <w:pPr>
        <w:pStyle w:val="Bibliography"/>
      </w:pPr>
      <w:r w:rsidRPr="00611B1F">
        <w:t xml:space="preserve">Gregg, Peter C., </w:t>
      </w:r>
      <w:proofErr w:type="spellStart"/>
      <w:r w:rsidRPr="00611B1F">
        <w:t>Kerryn</w:t>
      </w:r>
      <w:proofErr w:type="spellEnd"/>
      <w:r w:rsidRPr="00611B1F">
        <w:t xml:space="preserve"> A. </w:t>
      </w:r>
      <w:proofErr w:type="spellStart"/>
      <w:r w:rsidRPr="00611B1F">
        <w:t>Greive</w:t>
      </w:r>
      <w:proofErr w:type="spellEnd"/>
      <w:r w:rsidRPr="00611B1F">
        <w:t>, Alice P. Del Socorro, and Anthony J. Hawes. 2010. “</w:t>
      </w:r>
      <w:hyperlink r:id="rId81" w:history="1">
        <w:r w:rsidRPr="0051194D">
          <w:rPr>
            <w:rStyle w:val="Hyperlink"/>
          </w:rPr>
          <w:t>Research to Realisation: The Challenging Path for Novel Pest Management Products in Australia</w:t>
        </w:r>
      </w:hyperlink>
      <w:r w:rsidRPr="00611B1F">
        <w:t xml:space="preserve">.” </w:t>
      </w:r>
      <w:r w:rsidRPr="00611B1F">
        <w:rPr>
          <w:i/>
          <w:iCs/>
        </w:rPr>
        <w:t>Australian Journal of Entomology</w:t>
      </w:r>
      <w:r w:rsidRPr="00611B1F">
        <w:t>, 2010.</w:t>
      </w:r>
    </w:p>
    <w:p w:rsidR="00611B1F" w:rsidRPr="00611B1F" w:rsidRDefault="00611B1F" w:rsidP="00611B1F">
      <w:pPr>
        <w:pStyle w:val="Bibliography"/>
      </w:pPr>
      <w:r w:rsidRPr="00611B1F">
        <w:t>Hardy, Margaret C. 2014a. “</w:t>
      </w:r>
      <w:hyperlink r:id="rId82" w:history="1">
        <w:r w:rsidRPr="00B97FB7">
          <w:rPr>
            <w:rStyle w:val="Hyperlink"/>
          </w:rPr>
          <w:t>Resistance Is Not Futile: It Shapes Insecticide Discovery</w:t>
        </w:r>
      </w:hyperlink>
      <w:r w:rsidRPr="00611B1F">
        <w:t xml:space="preserve">.” </w:t>
      </w:r>
      <w:r w:rsidRPr="00611B1F">
        <w:rPr>
          <w:i/>
          <w:iCs/>
        </w:rPr>
        <w:t>Insects</w:t>
      </w:r>
      <w:r w:rsidRPr="00611B1F">
        <w:t>.</w:t>
      </w:r>
    </w:p>
    <w:p w:rsidR="00611B1F" w:rsidRPr="00611B1F" w:rsidRDefault="00611B1F" w:rsidP="00611B1F">
      <w:pPr>
        <w:pStyle w:val="Bibliography"/>
      </w:pPr>
      <w:r w:rsidRPr="00611B1F">
        <w:t>———. 2014b. “</w:t>
      </w:r>
      <w:hyperlink r:id="rId83" w:history="1">
        <w:r w:rsidRPr="00B97FB7">
          <w:rPr>
            <w:rStyle w:val="Hyperlink"/>
          </w:rPr>
          <w:t>Resistance Shapes the Discovery of New Insecticides</w:t>
        </w:r>
      </w:hyperlink>
      <w:r w:rsidRPr="00611B1F">
        <w:t xml:space="preserve">.” </w:t>
      </w:r>
      <w:r w:rsidRPr="00611B1F">
        <w:rPr>
          <w:i/>
          <w:iCs/>
        </w:rPr>
        <w:t>The Conversation</w:t>
      </w:r>
      <w:r w:rsidRPr="00611B1F">
        <w:t>, February 17, 2014</w:t>
      </w:r>
      <w:proofErr w:type="gramStart"/>
      <w:r w:rsidRPr="00611B1F">
        <w:t>..</w:t>
      </w:r>
      <w:proofErr w:type="gramEnd"/>
    </w:p>
    <w:p w:rsidR="00611B1F" w:rsidRPr="00611B1F" w:rsidRDefault="00611B1F" w:rsidP="00611B1F">
      <w:pPr>
        <w:pStyle w:val="Bibliography"/>
      </w:pPr>
      <w:proofErr w:type="spellStart"/>
      <w:r w:rsidRPr="00611B1F">
        <w:t>HealthforAnimals</w:t>
      </w:r>
      <w:proofErr w:type="spellEnd"/>
      <w:r w:rsidRPr="00611B1F">
        <w:t>. 2016. “</w:t>
      </w:r>
      <w:hyperlink r:id="rId84" w:history="1">
        <w:r w:rsidRPr="00967C04">
          <w:rPr>
            <w:rStyle w:val="Hyperlink"/>
          </w:rPr>
          <w:t>Global Benchmarking Survey 2015 Report</w:t>
        </w:r>
      </w:hyperlink>
      <w:r w:rsidRPr="00611B1F">
        <w:t>,” June 28, 2016.</w:t>
      </w:r>
    </w:p>
    <w:p w:rsidR="00611B1F" w:rsidRPr="00611B1F" w:rsidRDefault="00611B1F" w:rsidP="00611B1F">
      <w:pPr>
        <w:pStyle w:val="Bibliography"/>
      </w:pPr>
      <w:r w:rsidRPr="00611B1F">
        <w:t>Heap, I. 2019. “</w:t>
      </w:r>
      <w:hyperlink r:id="rId85" w:history="1">
        <w:r w:rsidRPr="00B97FB7">
          <w:rPr>
            <w:rStyle w:val="Hyperlink"/>
          </w:rPr>
          <w:t>International Survey of Herbicide Resistant Weeds</w:t>
        </w:r>
      </w:hyperlink>
      <w:r w:rsidRPr="00611B1F">
        <w:t xml:space="preserve">.” The International Survey of Herbicide Resistant Weeds. </w:t>
      </w:r>
    </w:p>
    <w:p w:rsidR="00611B1F" w:rsidRPr="00611B1F" w:rsidRDefault="00FF02C5" w:rsidP="00611B1F">
      <w:pPr>
        <w:pStyle w:val="Bibliography"/>
      </w:pPr>
      <w:proofErr w:type="gramStart"/>
      <w:r>
        <w:t>den</w:t>
      </w:r>
      <w:proofErr w:type="gramEnd"/>
      <w:r>
        <w:t xml:space="preserve"> </w:t>
      </w:r>
      <w:r w:rsidR="00611B1F" w:rsidRPr="00611B1F">
        <w:t>Hoed, I. 2007. “Efficacy Requirements for the Approval of New Pesticides Active Approval of New Pesticides Active Substances,” November 2007.</w:t>
      </w:r>
    </w:p>
    <w:p w:rsidR="00611B1F" w:rsidRPr="00611B1F" w:rsidRDefault="00611B1F" w:rsidP="00611B1F">
      <w:pPr>
        <w:pStyle w:val="Bibliography"/>
      </w:pPr>
      <w:r w:rsidRPr="00611B1F">
        <w:t>Horticulture Australia. 2012. “</w:t>
      </w:r>
      <w:hyperlink r:id="rId86" w:history="1">
        <w:r w:rsidRPr="00B97FB7">
          <w:rPr>
            <w:rStyle w:val="Hyperlink"/>
          </w:rPr>
          <w:t>Response to the Senate Inquiry into Australia’s Biosecurity and Quarantine Arrangements</w:t>
        </w:r>
      </w:hyperlink>
      <w:r w:rsidRPr="00611B1F">
        <w:t>.”</w:t>
      </w:r>
    </w:p>
    <w:p w:rsidR="00611B1F" w:rsidRPr="00611B1F" w:rsidRDefault="00611B1F" w:rsidP="00611B1F">
      <w:pPr>
        <w:pStyle w:val="Bibliography"/>
      </w:pPr>
      <w:proofErr w:type="spellStart"/>
      <w:r w:rsidRPr="00611B1F">
        <w:t>IBISworld</w:t>
      </w:r>
      <w:proofErr w:type="spellEnd"/>
      <w:r w:rsidRPr="00611B1F">
        <w:t xml:space="preserve"> Australia. 2018</w:t>
      </w:r>
      <w:r w:rsidR="008806A8">
        <w:t>a</w:t>
      </w:r>
      <w:r w:rsidRPr="00611B1F">
        <w:t>. “</w:t>
      </w:r>
      <w:hyperlink r:id="rId87" w:history="1">
        <w:r w:rsidRPr="00FF02C5">
          <w:rPr>
            <w:rStyle w:val="Hyperlink"/>
          </w:rPr>
          <w:t>Animal Medicines Industry</w:t>
        </w:r>
      </w:hyperlink>
      <w:r w:rsidRPr="00611B1F">
        <w:t>.</w:t>
      </w:r>
      <w:proofErr w:type="gramStart"/>
      <w:r w:rsidRPr="00611B1F">
        <w:t>”.</w:t>
      </w:r>
      <w:proofErr w:type="gramEnd"/>
    </w:p>
    <w:p w:rsidR="00611B1F" w:rsidRPr="00611B1F" w:rsidRDefault="008806A8" w:rsidP="00611B1F">
      <w:pPr>
        <w:pStyle w:val="Bibliography"/>
      </w:pPr>
      <w:r w:rsidRPr="00611B1F">
        <w:t>———</w:t>
      </w:r>
      <w:r w:rsidR="00611B1F" w:rsidRPr="00611B1F">
        <w:t>. 2018</w:t>
      </w:r>
      <w:r>
        <w:t>b</w:t>
      </w:r>
      <w:r w:rsidR="00611B1F" w:rsidRPr="00611B1F">
        <w:t>. “</w:t>
      </w:r>
      <w:hyperlink r:id="rId88" w:history="1">
        <w:r w:rsidR="00611B1F" w:rsidRPr="00FF02C5">
          <w:rPr>
            <w:rStyle w:val="Hyperlink"/>
          </w:rPr>
          <w:t>Pesticide Manufacturing in Australia</w:t>
        </w:r>
      </w:hyperlink>
      <w:r w:rsidR="00611B1F" w:rsidRPr="00611B1F">
        <w:t>.</w:t>
      </w:r>
      <w:proofErr w:type="gramStart"/>
      <w:r w:rsidR="00611B1F" w:rsidRPr="00611B1F">
        <w:t>”.</w:t>
      </w:r>
      <w:proofErr w:type="gramEnd"/>
    </w:p>
    <w:p w:rsidR="00611B1F" w:rsidRPr="00611B1F" w:rsidRDefault="00611B1F" w:rsidP="00611B1F">
      <w:pPr>
        <w:pStyle w:val="Bibliography"/>
      </w:pPr>
      <w:proofErr w:type="spellStart"/>
      <w:r w:rsidRPr="00611B1F">
        <w:t>Kuehne</w:t>
      </w:r>
      <w:proofErr w:type="spellEnd"/>
      <w:r w:rsidRPr="00611B1F">
        <w:t xml:space="preserve">, Geoff, Rick Llewellyn, David J. Pannell, Roger Wilkinson, Perry Dolling, Jackie </w:t>
      </w:r>
      <w:proofErr w:type="spellStart"/>
      <w:r w:rsidRPr="00611B1F">
        <w:t>Ouzman</w:t>
      </w:r>
      <w:proofErr w:type="spellEnd"/>
      <w:r w:rsidRPr="00611B1F">
        <w:t>, and Mike Ewing. 2017. “</w:t>
      </w:r>
      <w:hyperlink r:id="rId89" w:history="1">
        <w:r w:rsidRPr="008806A8">
          <w:rPr>
            <w:rStyle w:val="Hyperlink"/>
          </w:rPr>
          <w:t>Predicting Farmer Uptake of New Agricultural Practices: A Tool for Research, Extension and Polic</w:t>
        </w:r>
      </w:hyperlink>
      <w:hyperlink r:id="rId90" w:history="1">
        <w:r w:rsidRPr="008806A8">
          <w:rPr>
            <w:rStyle w:val="Hyperlink"/>
          </w:rPr>
          <w:t>y</w:t>
        </w:r>
      </w:hyperlink>
      <w:r w:rsidRPr="00611B1F">
        <w:t xml:space="preserve">.” </w:t>
      </w:r>
      <w:r w:rsidRPr="00611B1F">
        <w:rPr>
          <w:i/>
          <w:iCs/>
        </w:rPr>
        <w:t>Agricultural Systems</w:t>
      </w:r>
      <w:r w:rsidRPr="00611B1F">
        <w:t xml:space="preserve"> 156 (September): 115–25.</w:t>
      </w:r>
    </w:p>
    <w:p w:rsidR="00611B1F" w:rsidRPr="00611B1F" w:rsidRDefault="00611B1F" w:rsidP="00611B1F">
      <w:pPr>
        <w:pStyle w:val="Bibliography"/>
      </w:pPr>
      <w:r w:rsidRPr="00611B1F">
        <w:t>Lindner, R. K. 1987. “</w:t>
      </w:r>
      <w:hyperlink r:id="rId91" w:history="1">
        <w:r w:rsidRPr="00B97FB7">
          <w:rPr>
            <w:rStyle w:val="Hyperlink"/>
          </w:rPr>
          <w:t>Adoption and Diffusion of Technology: An Overview</w:t>
        </w:r>
      </w:hyperlink>
      <w:r w:rsidRPr="00611B1F">
        <w:t xml:space="preserve">.” </w:t>
      </w:r>
      <w:r w:rsidRPr="00611B1F">
        <w:rPr>
          <w:i/>
          <w:iCs/>
        </w:rPr>
        <w:t>ACIAR Proceedings Series</w:t>
      </w:r>
      <w:proofErr w:type="gramStart"/>
      <w:r w:rsidRPr="00611B1F">
        <w:t>..</w:t>
      </w:r>
      <w:proofErr w:type="gramEnd"/>
    </w:p>
    <w:p w:rsidR="00611B1F" w:rsidRPr="00611B1F" w:rsidRDefault="00611B1F" w:rsidP="00611B1F">
      <w:pPr>
        <w:pStyle w:val="Bibliography"/>
      </w:pPr>
      <w:r w:rsidRPr="00611B1F">
        <w:t xml:space="preserve">Lindner, Robert K., Philip G. </w:t>
      </w:r>
      <w:proofErr w:type="spellStart"/>
      <w:r w:rsidRPr="00611B1F">
        <w:t>Pardey</w:t>
      </w:r>
      <w:proofErr w:type="spellEnd"/>
      <w:r w:rsidRPr="00611B1F">
        <w:t>, and Frank G. Jarrett. 1982. “</w:t>
      </w:r>
      <w:hyperlink r:id="rId92" w:history="1">
        <w:r w:rsidRPr="00B97FB7">
          <w:rPr>
            <w:rStyle w:val="Hyperlink"/>
          </w:rPr>
          <w:t>Distance to Information Source and the Time Lag to Early Adoption of Trace Element Fertilisers</w:t>
        </w:r>
      </w:hyperlink>
      <w:r w:rsidRPr="00611B1F">
        <w:t xml:space="preserve">.” </w:t>
      </w:r>
      <w:r w:rsidRPr="00611B1F">
        <w:rPr>
          <w:i/>
          <w:iCs/>
        </w:rPr>
        <w:t>Australian Journal of Agricultural Economics</w:t>
      </w:r>
      <w:r w:rsidRPr="00611B1F">
        <w:t xml:space="preserve"> 26 (2): 98–113.</w:t>
      </w:r>
    </w:p>
    <w:p w:rsidR="00611B1F" w:rsidRPr="00611B1F" w:rsidRDefault="00611B1F" w:rsidP="00611B1F">
      <w:pPr>
        <w:pStyle w:val="Bibliography"/>
      </w:pPr>
      <w:r w:rsidRPr="00611B1F">
        <w:t>McDougall, Phillips. 2016. “</w:t>
      </w:r>
      <w:hyperlink r:id="rId93" w:history="1">
        <w:r w:rsidRPr="00D44FC3">
          <w:rPr>
            <w:rStyle w:val="Hyperlink"/>
          </w:rPr>
          <w:t>The Cost of New Agrochemical Product Discovery, Development and Registration in 1995, 2000, 2005–8 and 2010–2014. R&amp;D Expenditure in 2014 and Expectations for 2019</w:t>
        </w:r>
      </w:hyperlink>
      <w:r w:rsidRPr="00611B1F">
        <w:t xml:space="preserve">” </w:t>
      </w:r>
      <w:r w:rsidRPr="00D44FC3">
        <w:rPr>
          <w:iCs/>
        </w:rPr>
        <w:t xml:space="preserve">Consultancy Study for </w:t>
      </w:r>
      <w:proofErr w:type="spellStart"/>
      <w:r w:rsidRPr="00D44FC3">
        <w:rPr>
          <w:iCs/>
        </w:rPr>
        <w:t>CropLife</w:t>
      </w:r>
      <w:proofErr w:type="spellEnd"/>
      <w:r w:rsidRPr="00D44FC3">
        <w:rPr>
          <w:iCs/>
        </w:rPr>
        <w:t xml:space="preserve"> International, </w:t>
      </w:r>
      <w:proofErr w:type="spellStart"/>
      <w:r w:rsidRPr="00D44FC3">
        <w:rPr>
          <w:iCs/>
        </w:rPr>
        <w:t>CropLife</w:t>
      </w:r>
      <w:proofErr w:type="spellEnd"/>
      <w:r w:rsidRPr="00D44FC3">
        <w:rPr>
          <w:iCs/>
        </w:rPr>
        <w:t xml:space="preserve"> America and the European Crop Protection Association</w:t>
      </w:r>
      <w:r w:rsidRPr="00D44FC3">
        <w:t>.</w:t>
      </w:r>
    </w:p>
    <w:p w:rsidR="00611B1F" w:rsidRPr="00611B1F" w:rsidRDefault="00967C04" w:rsidP="00611B1F">
      <w:pPr>
        <w:pStyle w:val="Bibliography"/>
      </w:pPr>
      <w:r>
        <w:t>MLA</w:t>
      </w:r>
      <w:r w:rsidR="00611B1F" w:rsidRPr="00611B1F">
        <w:t>. 2011. “</w:t>
      </w:r>
      <w:hyperlink r:id="rId94" w:history="1">
        <w:r w:rsidR="00611B1F" w:rsidRPr="00967C04">
          <w:rPr>
            <w:rStyle w:val="Hyperlink"/>
          </w:rPr>
          <w:t xml:space="preserve">Hormone Growth </w:t>
        </w:r>
        <w:proofErr w:type="spellStart"/>
        <w:r w:rsidR="00611B1F" w:rsidRPr="00967C04">
          <w:rPr>
            <w:rStyle w:val="Hyperlink"/>
          </w:rPr>
          <w:t>Promotants</w:t>
        </w:r>
        <w:proofErr w:type="spellEnd"/>
        <w:r w:rsidR="00611B1F" w:rsidRPr="00967C04">
          <w:rPr>
            <w:rStyle w:val="Hyperlink"/>
          </w:rPr>
          <w:t xml:space="preserve"> A Best Practice Guide</w:t>
        </w:r>
      </w:hyperlink>
      <w:r w:rsidR="00611B1F" w:rsidRPr="00611B1F">
        <w:t>”.</w:t>
      </w:r>
      <w:r>
        <w:t xml:space="preserve"> </w:t>
      </w:r>
      <w:r w:rsidRPr="00611B1F">
        <w:t>Meat and Livestock Australia</w:t>
      </w:r>
    </w:p>
    <w:p w:rsidR="00611B1F" w:rsidRPr="00611B1F" w:rsidRDefault="00611B1F" w:rsidP="00611B1F">
      <w:pPr>
        <w:pStyle w:val="Bibliography"/>
      </w:pPr>
      <w:r w:rsidRPr="00611B1F">
        <w:t>MPI. 2014. “</w:t>
      </w:r>
      <w:hyperlink r:id="rId95" w:history="1">
        <w:r w:rsidRPr="004E4751">
          <w:rPr>
            <w:rStyle w:val="Hyperlink"/>
          </w:rPr>
          <w:t>Data Assessment Report for Agricultural Chemicals: Efficacy</w:t>
        </w:r>
      </w:hyperlink>
      <w:r w:rsidRPr="00611B1F">
        <w:t>.”</w:t>
      </w:r>
      <w:r w:rsidR="004E4751">
        <w:t xml:space="preserve"> New Zealand Ministry of Primary Industries </w:t>
      </w:r>
    </w:p>
    <w:p w:rsidR="00611B1F" w:rsidRPr="00611B1F" w:rsidRDefault="00611B1F" w:rsidP="00611B1F">
      <w:pPr>
        <w:pStyle w:val="Bibliography"/>
      </w:pPr>
      <w:r w:rsidRPr="00611B1F">
        <w:t>———. 2015. “</w:t>
      </w:r>
      <w:hyperlink r:id="rId96" w:history="1">
        <w:r w:rsidRPr="004E4751">
          <w:rPr>
            <w:rStyle w:val="Hyperlink"/>
          </w:rPr>
          <w:t>Data Assessment Report for Veterinary Medicine: Efficacy</w:t>
        </w:r>
      </w:hyperlink>
      <w:r w:rsidRPr="00611B1F">
        <w:t>.”</w:t>
      </w:r>
    </w:p>
    <w:p w:rsidR="00611B1F" w:rsidRPr="00611B1F" w:rsidRDefault="00611B1F" w:rsidP="00E1465D">
      <w:pPr>
        <w:pStyle w:val="Bibliography"/>
        <w:tabs>
          <w:tab w:val="left" w:pos="2268"/>
        </w:tabs>
      </w:pPr>
      <w:proofErr w:type="spellStart"/>
      <w:r w:rsidRPr="00611B1F">
        <w:t>Nossal</w:t>
      </w:r>
      <w:proofErr w:type="spellEnd"/>
      <w:r w:rsidRPr="00611B1F">
        <w:t xml:space="preserve">, K, and </w:t>
      </w:r>
      <w:proofErr w:type="spellStart"/>
      <w:r w:rsidRPr="00611B1F">
        <w:t>Kee</w:t>
      </w:r>
      <w:proofErr w:type="spellEnd"/>
      <w:r w:rsidRPr="00611B1F">
        <w:t xml:space="preserve"> L. 2011. </w:t>
      </w:r>
      <w:r w:rsidR="00E1465D">
        <w:t>“</w:t>
      </w:r>
      <w:hyperlink r:id="rId97" w:history="1">
        <w:r w:rsidRPr="00E1465D">
          <w:rPr>
            <w:rStyle w:val="Hyperlink"/>
            <w:iCs/>
          </w:rPr>
          <w:t>Innovation and Productivity in the Australian Grains Industry</w:t>
        </w:r>
      </w:hyperlink>
      <w:r w:rsidR="00E1465D">
        <w:rPr>
          <w:iCs/>
        </w:rPr>
        <w:t>”</w:t>
      </w:r>
      <w:r w:rsidRPr="00611B1F">
        <w:t>. ABARES.</w:t>
      </w:r>
    </w:p>
    <w:p w:rsidR="00611B1F" w:rsidRPr="00611B1F" w:rsidRDefault="00611B1F" w:rsidP="00611B1F">
      <w:pPr>
        <w:pStyle w:val="Bibliography"/>
      </w:pPr>
      <w:r w:rsidRPr="00611B1F">
        <w:t xml:space="preserve">OECD. </w:t>
      </w:r>
      <w:r w:rsidR="00967C04">
        <w:t>2019</w:t>
      </w:r>
      <w:r w:rsidRPr="00611B1F">
        <w:t xml:space="preserve">. </w:t>
      </w:r>
      <w:r w:rsidR="00967C04">
        <w:t>“</w:t>
      </w:r>
      <w:proofErr w:type="spellStart"/>
      <w:r w:rsidR="00F171A2">
        <w:rPr>
          <w:rStyle w:val="Hyperlink"/>
        </w:rPr>
        <w:fldChar w:fldCharType="begin"/>
      </w:r>
      <w:r w:rsidR="00F171A2">
        <w:rPr>
          <w:rStyle w:val="Hyperlink"/>
        </w:rPr>
        <w:instrText xml:space="preserve"> HYPERLINK "https://stats.oecd.org/" </w:instrText>
      </w:r>
      <w:r w:rsidR="00F171A2">
        <w:rPr>
          <w:rStyle w:val="Hyperlink"/>
        </w:rPr>
        <w:fldChar w:fldCharType="separate"/>
      </w:r>
      <w:r w:rsidR="00967C04" w:rsidRPr="00967C04">
        <w:rPr>
          <w:rStyle w:val="Hyperlink"/>
        </w:rPr>
        <w:t>OECDstat</w:t>
      </w:r>
      <w:proofErr w:type="spellEnd"/>
      <w:r w:rsidR="00967C04" w:rsidRPr="00967C04">
        <w:rPr>
          <w:rStyle w:val="Hyperlink"/>
        </w:rPr>
        <w:t xml:space="preserve"> database</w:t>
      </w:r>
      <w:r w:rsidR="00F171A2">
        <w:rPr>
          <w:rStyle w:val="Hyperlink"/>
        </w:rPr>
        <w:fldChar w:fldCharType="end"/>
      </w:r>
      <w:r w:rsidR="00967C04">
        <w:t>”</w:t>
      </w:r>
      <w:r w:rsidRPr="00611B1F">
        <w:t>.</w:t>
      </w:r>
      <w:r w:rsidR="00967C04">
        <w:t xml:space="preserve"> </w:t>
      </w:r>
      <w:r w:rsidR="00967C04" w:rsidRPr="00967C04">
        <w:t>Organisation for Economic Co-operation and Development</w:t>
      </w:r>
    </w:p>
    <w:p w:rsidR="00611B1F" w:rsidRPr="00611B1F" w:rsidRDefault="00611B1F" w:rsidP="00611B1F">
      <w:pPr>
        <w:pStyle w:val="Bibliography"/>
      </w:pPr>
      <w:r w:rsidRPr="00611B1F">
        <w:t>OIE. 2019a. “</w:t>
      </w:r>
      <w:hyperlink r:id="rId98" w:history="1">
        <w:r w:rsidRPr="00967C04">
          <w:rPr>
            <w:rStyle w:val="Hyperlink"/>
          </w:rPr>
          <w:t>Bovine Spongiform Encephalopathy (BSE)</w:t>
        </w:r>
      </w:hyperlink>
      <w:r w:rsidRPr="00611B1F">
        <w:t>”.</w:t>
      </w:r>
    </w:p>
    <w:p w:rsidR="00611B1F" w:rsidRPr="00611B1F" w:rsidRDefault="00611B1F" w:rsidP="00611B1F">
      <w:pPr>
        <w:pStyle w:val="Bibliography"/>
      </w:pPr>
      <w:r w:rsidRPr="00611B1F">
        <w:t>———. 2019b. “</w:t>
      </w:r>
      <w:hyperlink r:id="rId99" w:history="1">
        <w:r w:rsidRPr="00967C04">
          <w:rPr>
            <w:rStyle w:val="Hyperlink"/>
          </w:rPr>
          <w:t>List of FMD Free Members</w:t>
        </w:r>
      </w:hyperlink>
      <w:r w:rsidRPr="00611B1F">
        <w:t>.”</w:t>
      </w:r>
    </w:p>
    <w:p w:rsidR="00AB73E5" w:rsidRPr="00611B1F" w:rsidRDefault="00AB73E5" w:rsidP="00AB73E5">
      <w:pPr>
        <w:pStyle w:val="Bibliography"/>
      </w:pPr>
      <w:proofErr w:type="spellStart"/>
      <w:r>
        <w:t>Pannel</w:t>
      </w:r>
      <w:proofErr w:type="spellEnd"/>
      <w:r>
        <w:t xml:space="preserve">, D 1994 </w:t>
      </w:r>
      <w:r w:rsidRPr="00611B1F">
        <w:t>“</w:t>
      </w:r>
      <w:hyperlink r:id="rId100" w:history="1">
        <w:r w:rsidRPr="00AB73E5">
          <w:rPr>
            <w:rStyle w:val="Hyperlink"/>
          </w:rPr>
          <w:t>Plant Protection Quarterly - Economic Justifications for Government Involvement in Weed Management: A Catalogue of Market Failures</w:t>
        </w:r>
      </w:hyperlink>
      <w:r>
        <w:t>”</w:t>
      </w:r>
      <w:r w:rsidRPr="00611B1F">
        <w:t xml:space="preserve"> -</w:t>
      </w:r>
      <w:r>
        <w:t xml:space="preserve"> </w:t>
      </w:r>
      <w:proofErr w:type="spellStart"/>
      <w:r>
        <w:t>Informit</w:t>
      </w:r>
      <w:proofErr w:type="spellEnd"/>
      <w:r w:rsidRPr="00611B1F">
        <w:t xml:space="preserve">. </w:t>
      </w:r>
    </w:p>
    <w:p w:rsidR="00611B1F" w:rsidRPr="00611B1F" w:rsidRDefault="00611B1F" w:rsidP="00611B1F">
      <w:pPr>
        <w:pStyle w:val="Bibliography"/>
      </w:pPr>
      <w:proofErr w:type="spellStart"/>
      <w:r w:rsidRPr="00611B1F">
        <w:t>Pestrong</w:t>
      </w:r>
      <w:proofErr w:type="spellEnd"/>
      <w:r w:rsidRPr="00611B1F">
        <w:t xml:space="preserve">. </w:t>
      </w:r>
      <w:r w:rsidR="00FF02C5">
        <w:t>2019a</w:t>
      </w:r>
      <w:r w:rsidRPr="00611B1F">
        <w:t xml:space="preserve"> “</w:t>
      </w:r>
      <w:proofErr w:type="spellStart"/>
      <w:r w:rsidR="00F171A2">
        <w:rPr>
          <w:rStyle w:val="Hyperlink"/>
        </w:rPr>
        <w:fldChar w:fldCharType="begin"/>
      </w:r>
      <w:r w:rsidR="00F171A2">
        <w:rPr>
          <w:rStyle w:val="Hyperlink"/>
        </w:rPr>
        <w:instrText xml:space="preserve"> HYPERLINK "https://www.pestrong.com/9</w:instrText>
      </w:r>
      <w:r w:rsidR="00F171A2">
        <w:rPr>
          <w:rStyle w:val="Hyperlink"/>
        </w:rPr>
        <w:instrText xml:space="preserve">94-elumin-fungicide-ethaboxam-for-vegetables-gallon.html" </w:instrText>
      </w:r>
      <w:r w:rsidR="00F171A2">
        <w:rPr>
          <w:rStyle w:val="Hyperlink"/>
        </w:rPr>
        <w:fldChar w:fldCharType="separate"/>
      </w:r>
      <w:r w:rsidRPr="00FF02C5">
        <w:rPr>
          <w:rStyle w:val="Hyperlink"/>
        </w:rPr>
        <w:t>Elumin</w:t>
      </w:r>
      <w:proofErr w:type="spellEnd"/>
      <w:r w:rsidRPr="00FF02C5">
        <w:rPr>
          <w:rStyle w:val="Hyperlink"/>
        </w:rPr>
        <w:t xml:space="preserve"> Fungicide </w:t>
      </w:r>
      <w:proofErr w:type="spellStart"/>
      <w:r w:rsidRPr="00FF02C5">
        <w:rPr>
          <w:rStyle w:val="Hyperlink"/>
        </w:rPr>
        <w:t>Ethaboxam</w:t>
      </w:r>
      <w:proofErr w:type="spellEnd"/>
      <w:r w:rsidRPr="00FF02C5">
        <w:rPr>
          <w:rStyle w:val="Hyperlink"/>
        </w:rPr>
        <w:t xml:space="preserve"> </w:t>
      </w:r>
      <w:proofErr w:type="gramStart"/>
      <w:r w:rsidRPr="00FF02C5">
        <w:rPr>
          <w:rStyle w:val="Hyperlink"/>
        </w:rPr>
        <w:t>For</w:t>
      </w:r>
      <w:proofErr w:type="gramEnd"/>
      <w:r w:rsidRPr="00FF02C5">
        <w:rPr>
          <w:rStyle w:val="Hyperlink"/>
        </w:rPr>
        <w:t xml:space="preserve"> Vegetables - Gallon</w:t>
      </w:r>
      <w:r w:rsidR="00F171A2">
        <w:rPr>
          <w:rStyle w:val="Hyperlink"/>
        </w:rPr>
        <w:fldChar w:fldCharType="end"/>
      </w:r>
      <w:r w:rsidR="00FF02C5">
        <w:t xml:space="preserve">.” </w:t>
      </w:r>
    </w:p>
    <w:p w:rsidR="00611B1F" w:rsidRPr="00611B1F" w:rsidRDefault="00611B1F" w:rsidP="00611B1F">
      <w:pPr>
        <w:pStyle w:val="Bibliography"/>
      </w:pPr>
      <w:r w:rsidRPr="00611B1F">
        <w:t xml:space="preserve">———. </w:t>
      </w:r>
      <w:r w:rsidR="00FF02C5">
        <w:t>2019b</w:t>
      </w:r>
      <w:r w:rsidRPr="00611B1F">
        <w:t xml:space="preserve"> “</w:t>
      </w:r>
      <w:proofErr w:type="spellStart"/>
      <w:r w:rsidR="00F171A2">
        <w:rPr>
          <w:rStyle w:val="Hyperlink"/>
        </w:rPr>
        <w:fldChar w:fldCharType="begin"/>
      </w:r>
      <w:r w:rsidR="00F171A2">
        <w:rPr>
          <w:rStyle w:val="Hyperlink"/>
        </w:rPr>
        <w:instrText xml:space="preserve"> HYPERLINK "https://www.pestrong.com/748-shieldex-400sc-herbicide-tolpyralate-for-corn-gallon.html" </w:instrText>
      </w:r>
      <w:r w:rsidR="00F171A2">
        <w:rPr>
          <w:rStyle w:val="Hyperlink"/>
        </w:rPr>
        <w:fldChar w:fldCharType="separate"/>
      </w:r>
      <w:r w:rsidRPr="00FF02C5">
        <w:rPr>
          <w:rStyle w:val="Hyperlink"/>
        </w:rPr>
        <w:t>Shieldex</w:t>
      </w:r>
      <w:proofErr w:type="spellEnd"/>
      <w:r w:rsidRPr="00FF02C5">
        <w:rPr>
          <w:rStyle w:val="Hyperlink"/>
        </w:rPr>
        <w:t xml:space="preserve"> 400SC Herbicide </w:t>
      </w:r>
      <w:proofErr w:type="spellStart"/>
      <w:r w:rsidRPr="00FF02C5">
        <w:rPr>
          <w:rStyle w:val="Hyperlink"/>
        </w:rPr>
        <w:t>Tolpyralate</w:t>
      </w:r>
      <w:proofErr w:type="spellEnd"/>
      <w:r w:rsidRPr="00FF02C5">
        <w:rPr>
          <w:rStyle w:val="Hyperlink"/>
        </w:rPr>
        <w:t xml:space="preserve"> </w:t>
      </w:r>
      <w:proofErr w:type="gramStart"/>
      <w:r w:rsidRPr="00FF02C5">
        <w:rPr>
          <w:rStyle w:val="Hyperlink"/>
        </w:rPr>
        <w:t>For</w:t>
      </w:r>
      <w:proofErr w:type="gramEnd"/>
      <w:r w:rsidRPr="00FF02C5">
        <w:rPr>
          <w:rStyle w:val="Hyperlink"/>
        </w:rPr>
        <w:t xml:space="preserve"> Corn - Gallon</w:t>
      </w:r>
      <w:r w:rsidR="00F171A2">
        <w:rPr>
          <w:rStyle w:val="Hyperlink"/>
        </w:rPr>
        <w:fldChar w:fldCharType="end"/>
      </w:r>
      <w:r w:rsidRPr="00611B1F">
        <w:t xml:space="preserve">,” </w:t>
      </w:r>
    </w:p>
    <w:p w:rsidR="00611B1F" w:rsidRPr="00611B1F" w:rsidRDefault="00611B1F" w:rsidP="00611B1F">
      <w:pPr>
        <w:pStyle w:val="Bibliography"/>
      </w:pPr>
      <w:r w:rsidRPr="00611B1F">
        <w:t>PMRA. 2003a. “Science Policy Note: Assessing Exposure from Pesticides in Food - A User’s Guide,” July 2003.</w:t>
      </w:r>
    </w:p>
    <w:p w:rsidR="00611B1F" w:rsidRPr="00611B1F" w:rsidRDefault="00611B1F" w:rsidP="00611B1F">
      <w:pPr>
        <w:pStyle w:val="Bibliography"/>
      </w:pPr>
      <w:r w:rsidRPr="00611B1F">
        <w:t>———. 2003b. “</w:t>
      </w:r>
      <w:hyperlink r:id="rId101" w:history="1">
        <w:r w:rsidRPr="00FF02C5">
          <w:rPr>
            <w:rStyle w:val="Hyperlink"/>
          </w:rPr>
          <w:t>Regulatory Directive: Efficacy Guidelines for Plant Protection Products</w:t>
        </w:r>
      </w:hyperlink>
      <w:r w:rsidRPr="00611B1F">
        <w:t xml:space="preserve">,” December 5, 2003. </w:t>
      </w:r>
    </w:p>
    <w:p w:rsidR="00611B1F" w:rsidRPr="00611B1F" w:rsidRDefault="00611B1F" w:rsidP="00611B1F">
      <w:pPr>
        <w:pStyle w:val="Bibliography"/>
      </w:pPr>
      <w:r w:rsidRPr="00611B1F">
        <w:t>Productivity Commission. 2016. “</w:t>
      </w:r>
      <w:hyperlink r:id="rId102" w:history="1">
        <w:r w:rsidRPr="00967C04">
          <w:rPr>
            <w:rStyle w:val="Hyperlink"/>
          </w:rPr>
          <w:t>Regulation of Australian Agriculture: Inquiry Report</w:t>
        </w:r>
      </w:hyperlink>
      <w:r w:rsidRPr="00611B1F">
        <w:t>.”</w:t>
      </w:r>
    </w:p>
    <w:p w:rsidR="00611B1F" w:rsidRPr="00611B1F" w:rsidRDefault="00611B1F" w:rsidP="00611B1F">
      <w:pPr>
        <w:pStyle w:val="Bibliography"/>
      </w:pPr>
      <w:r w:rsidRPr="00611B1F">
        <w:t>QDAF. 2013. “</w:t>
      </w:r>
      <w:hyperlink r:id="rId103" w:history="1">
        <w:r w:rsidRPr="00E1465D">
          <w:rPr>
            <w:rStyle w:val="Hyperlink"/>
          </w:rPr>
          <w:t>Queensland Fruit Fly</w:t>
        </w:r>
      </w:hyperlink>
      <w:r w:rsidRPr="00611B1F">
        <w:t>.”</w:t>
      </w:r>
    </w:p>
    <w:p w:rsidR="00611B1F" w:rsidRPr="00611B1F" w:rsidRDefault="00611B1F" w:rsidP="00611B1F">
      <w:pPr>
        <w:pStyle w:val="Bibliography"/>
      </w:pPr>
      <w:r w:rsidRPr="00611B1F">
        <w:t>Reason Group. 2017. “</w:t>
      </w:r>
      <w:hyperlink r:id="rId104" w:history="1">
        <w:r w:rsidRPr="00B66AF4">
          <w:rPr>
            <w:rStyle w:val="Hyperlink"/>
          </w:rPr>
          <w:t>Independent Review of Assessment Performance</w:t>
        </w:r>
      </w:hyperlink>
      <w:r w:rsidRPr="00611B1F">
        <w:t>,” December 22, 2017.</w:t>
      </w:r>
      <w:r w:rsidR="00B66AF4">
        <w:t xml:space="preserve"> For the Australian Pesticide and Veterinary Medicines Authority</w:t>
      </w:r>
    </w:p>
    <w:p w:rsidR="00611B1F" w:rsidRPr="00611B1F" w:rsidRDefault="00611B1F" w:rsidP="00611B1F">
      <w:pPr>
        <w:pStyle w:val="Bibliography"/>
      </w:pPr>
      <w:r w:rsidRPr="00611B1F">
        <w:t xml:space="preserve">Sparks, Thomas C., and Beth A. </w:t>
      </w:r>
      <w:proofErr w:type="spellStart"/>
      <w:r w:rsidRPr="00611B1F">
        <w:t>Lorsbach</w:t>
      </w:r>
      <w:proofErr w:type="spellEnd"/>
      <w:r w:rsidRPr="00611B1F">
        <w:t>. 2016. “</w:t>
      </w:r>
      <w:hyperlink r:id="rId105" w:history="1">
        <w:r w:rsidRPr="008806A8">
          <w:rPr>
            <w:rStyle w:val="Hyperlink"/>
          </w:rPr>
          <w:t>Perspectives on the Agrochemical Industry and Agrochemical Discovery</w:t>
        </w:r>
      </w:hyperlink>
      <w:r w:rsidRPr="00611B1F">
        <w:t xml:space="preserve">.” Pest </w:t>
      </w:r>
      <w:proofErr w:type="spellStart"/>
      <w:r w:rsidRPr="00611B1F">
        <w:t>Managment</w:t>
      </w:r>
      <w:proofErr w:type="spellEnd"/>
      <w:r w:rsidRPr="00611B1F">
        <w:t xml:space="preserve"> Science.</w:t>
      </w:r>
    </w:p>
    <w:p w:rsidR="00611B1F" w:rsidRPr="00611B1F" w:rsidRDefault="00611B1F" w:rsidP="00611B1F">
      <w:pPr>
        <w:pStyle w:val="Bibliography"/>
      </w:pPr>
      <w:proofErr w:type="spellStart"/>
      <w:r w:rsidRPr="00611B1F">
        <w:t>Stenekes</w:t>
      </w:r>
      <w:proofErr w:type="spellEnd"/>
      <w:r w:rsidRPr="00611B1F">
        <w:t xml:space="preserve">, </w:t>
      </w:r>
      <w:proofErr w:type="spellStart"/>
      <w:r w:rsidRPr="00611B1F">
        <w:t>Nyree</w:t>
      </w:r>
      <w:proofErr w:type="spellEnd"/>
      <w:r w:rsidRPr="00611B1F">
        <w:t xml:space="preserve">, Rob </w:t>
      </w:r>
      <w:proofErr w:type="spellStart"/>
      <w:r w:rsidRPr="00611B1F">
        <w:t>Kancans</w:t>
      </w:r>
      <w:proofErr w:type="spellEnd"/>
      <w:r w:rsidRPr="00611B1F">
        <w:t xml:space="preserve">, and Bill </w:t>
      </w:r>
      <w:proofErr w:type="spellStart"/>
      <w:r w:rsidRPr="00611B1F">
        <w:t>Binks</w:t>
      </w:r>
      <w:proofErr w:type="spellEnd"/>
      <w:r w:rsidRPr="00611B1F">
        <w:t>. 2017. “</w:t>
      </w:r>
      <w:hyperlink r:id="rId106" w:history="1">
        <w:r w:rsidRPr="008806A8">
          <w:rPr>
            <w:rStyle w:val="Hyperlink"/>
          </w:rPr>
          <w:t>Pest Animal and Weed Management Survey: National Landholder Survey Results</w:t>
        </w:r>
      </w:hyperlink>
      <w:r w:rsidRPr="00611B1F">
        <w:t>.” ABARES.</w:t>
      </w:r>
    </w:p>
    <w:p w:rsidR="00611B1F" w:rsidRPr="00611B1F" w:rsidRDefault="00611B1F" w:rsidP="00611B1F">
      <w:pPr>
        <w:pStyle w:val="Bibliography"/>
      </w:pPr>
      <w:r w:rsidRPr="00611B1F">
        <w:t>Summit Agro USA. 2014. “</w:t>
      </w:r>
      <w:hyperlink r:id="rId107" w:history="1">
        <w:r w:rsidRPr="004E4751">
          <w:rPr>
            <w:rStyle w:val="Hyperlink"/>
          </w:rPr>
          <w:t>SHIELDEX 400SC Herbicide</w:t>
        </w:r>
      </w:hyperlink>
      <w:r w:rsidRPr="00611B1F">
        <w:t>.”</w:t>
      </w:r>
    </w:p>
    <w:p w:rsidR="00611B1F" w:rsidRPr="00611B1F" w:rsidRDefault="00611B1F" w:rsidP="00611B1F">
      <w:pPr>
        <w:pStyle w:val="Bibliography"/>
      </w:pPr>
      <w:r w:rsidRPr="00611B1F">
        <w:t xml:space="preserve">———. </w:t>
      </w:r>
      <w:proofErr w:type="spellStart"/>
      <w:r w:rsidRPr="00611B1F">
        <w:t>n.d.</w:t>
      </w:r>
      <w:proofErr w:type="spellEnd"/>
      <w:r w:rsidRPr="00611B1F">
        <w:t xml:space="preserve"> “</w:t>
      </w:r>
      <w:hyperlink r:id="rId108" w:history="1">
        <w:r w:rsidRPr="004E4751">
          <w:rPr>
            <w:rStyle w:val="Hyperlink"/>
          </w:rPr>
          <w:t>SHIELDEX® 400SC Herbicide Now Available to U.S. Corn Growers</w:t>
        </w:r>
      </w:hyperlink>
      <w:r w:rsidRPr="00611B1F">
        <w:t>.” Accessed March 21, 2019.</w:t>
      </w:r>
    </w:p>
    <w:p w:rsidR="00611B1F" w:rsidRPr="00611B1F" w:rsidRDefault="00611B1F" w:rsidP="00611B1F">
      <w:pPr>
        <w:pStyle w:val="Bibliography"/>
      </w:pPr>
      <w:r w:rsidRPr="00611B1F">
        <w:t>Thompson, Drew. 2013. “</w:t>
      </w:r>
      <w:hyperlink r:id="rId109" w:history="1">
        <w:r w:rsidRPr="00D44FC3">
          <w:rPr>
            <w:rStyle w:val="Hyperlink"/>
          </w:rPr>
          <w:t xml:space="preserve">Fusarium Head Blight Management and </w:t>
        </w:r>
        <w:proofErr w:type="spellStart"/>
        <w:r w:rsidRPr="00D44FC3">
          <w:rPr>
            <w:rStyle w:val="Hyperlink"/>
          </w:rPr>
          <w:t>Caramba</w:t>
        </w:r>
        <w:proofErr w:type="spellEnd"/>
      </w:hyperlink>
      <w:r w:rsidRPr="00611B1F">
        <w:t>,” April 2013.</w:t>
      </w:r>
    </w:p>
    <w:p w:rsidR="00611B1F" w:rsidRPr="00611B1F" w:rsidRDefault="00611B1F" w:rsidP="00611B1F">
      <w:pPr>
        <w:pStyle w:val="Bibliography"/>
      </w:pPr>
      <w:proofErr w:type="spellStart"/>
      <w:r w:rsidRPr="00611B1F">
        <w:t>Timmermann</w:t>
      </w:r>
      <w:proofErr w:type="spellEnd"/>
      <w:r w:rsidRPr="00611B1F">
        <w:t xml:space="preserve">, Cristian. 2014. “Pesticides and the Patent Bargain.” </w:t>
      </w:r>
      <w:r w:rsidRPr="00611B1F">
        <w:rPr>
          <w:i/>
          <w:iCs/>
        </w:rPr>
        <w:t>Journal of Agricultural and Environmental Ethics.</w:t>
      </w:r>
      <w:r w:rsidRPr="00611B1F">
        <w:t xml:space="preserve"> </w:t>
      </w:r>
      <w:proofErr w:type="gramStart"/>
      <w:r w:rsidRPr="00611B1F">
        <w:t>28.:</w:t>
      </w:r>
      <w:proofErr w:type="gramEnd"/>
      <w:r w:rsidRPr="00611B1F">
        <w:t xml:space="preserve"> 1–19.</w:t>
      </w:r>
    </w:p>
    <w:p w:rsidR="00611B1F" w:rsidRPr="00611B1F" w:rsidRDefault="00611B1F" w:rsidP="00611B1F">
      <w:pPr>
        <w:pStyle w:val="Bibliography"/>
      </w:pPr>
      <w:proofErr w:type="spellStart"/>
      <w:r w:rsidRPr="00611B1F">
        <w:t>Tonneson</w:t>
      </w:r>
      <w:proofErr w:type="spellEnd"/>
      <w:r w:rsidRPr="00611B1F">
        <w:t>, Lon. 2017. “</w:t>
      </w:r>
      <w:hyperlink r:id="rId110" w:history="1">
        <w:r w:rsidRPr="00D44FC3">
          <w:rPr>
            <w:rStyle w:val="Hyperlink"/>
          </w:rPr>
          <w:t>How to Protect Wheat and Barley from Fusarium Head Blight</w:t>
        </w:r>
      </w:hyperlink>
      <w:r w:rsidRPr="00611B1F">
        <w:t>,” June 8, 2017.</w:t>
      </w:r>
    </w:p>
    <w:p w:rsidR="00611B1F" w:rsidRPr="00611B1F" w:rsidRDefault="00611B1F" w:rsidP="00611B1F">
      <w:pPr>
        <w:pStyle w:val="Bibliography"/>
      </w:pPr>
      <w:r w:rsidRPr="00611B1F">
        <w:t>United Nations. 2019. “</w:t>
      </w:r>
      <w:hyperlink r:id="rId111" w:history="1">
        <w:r w:rsidR="008806A8" w:rsidRPr="008806A8">
          <w:rPr>
            <w:rStyle w:val="Hyperlink"/>
          </w:rPr>
          <w:t xml:space="preserve">UN </w:t>
        </w:r>
        <w:proofErr w:type="spellStart"/>
        <w:r w:rsidR="008806A8" w:rsidRPr="008806A8">
          <w:rPr>
            <w:rStyle w:val="Hyperlink"/>
          </w:rPr>
          <w:t>Comtrade</w:t>
        </w:r>
        <w:proofErr w:type="spellEnd"/>
        <w:r w:rsidR="008806A8" w:rsidRPr="008806A8">
          <w:rPr>
            <w:rStyle w:val="Hyperlink"/>
          </w:rPr>
          <w:t>: International Trade Statistics database</w:t>
        </w:r>
      </w:hyperlink>
      <w:r w:rsidR="008806A8">
        <w:t>.” Statistics Division</w:t>
      </w:r>
    </w:p>
    <w:p w:rsidR="00E1465D" w:rsidRPr="00611B1F" w:rsidRDefault="00E1465D" w:rsidP="00E1465D">
      <w:pPr>
        <w:pStyle w:val="Bibliography"/>
      </w:pPr>
      <w:r w:rsidRPr="00611B1F">
        <w:t>USDA NASS. 2019. “</w:t>
      </w:r>
      <w:hyperlink r:id="rId112" w:history="1">
        <w:r w:rsidRPr="00E1465D">
          <w:rPr>
            <w:rStyle w:val="Hyperlink"/>
          </w:rPr>
          <w:t>Quick Stats Database</w:t>
        </w:r>
      </w:hyperlink>
      <w:r w:rsidRPr="00611B1F">
        <w:t>.”</w:t>
      </w:r>
      <w:r w:rsidRPr="00E1465D">
        <w:t xml:space="preserve"> </w:t>
      </w:r>
      <w:r w:rsidRPr="00611B1F">
        <w:t>United States Department of Agriculture</w:t>
      </w:r>
      <w:r>
        <w:t xml:space="preserve"> National Agricultural Statistics Service</w:t>
      </w:r>
    </w:p>
    <w:p w:rsidR="00611B1F" w:rsidRPr="00611B1F" w:rsidRDefault="008806A8" w:rsidP="00611B1F">
      <w:pPr>
        <w:pStyle w:val="Bibliography"/>
      </w:pPr>
      <w:r>
        <w:t>USDA NIFA</w:t>
      </w:r>
      <w:r w:rsidR="00611B1F" w:rsidRPr="00611B1F">
        <w:t>. 2006. “</w:t>
      </w:r>
      <w:hyperlink r:id="rId113" w:history="1">
        <w:r w:rsidR="00611B1F" w:rsidRPr="008806A8">
          <w:rPr>
            <w:rStyle w:val="Hyperlink"/>
          </w:rPr>
          <w:t>The IR-4/EPA Crop Grouping Project: An International Effort</w:t>
        </w:r>
      </w:hyperlink>
      <w:r>
        <w:t>”</w:t>
      </w:r>
      <w:r w:rsidR="00611B1F" w:rsidRPr="00611B1F">
        <w:t>.</w:t>
      </w:r>
      <w:r>
        <w:t xml:space="preserve"> </w:t>
      </w:r>
      <w:r w:rsidRPr="00611B1F">
        <w:t>United States Department of Agriculture</w:t>
      </w:r>
      <w:r>
        <w:t xml:space="preserve"> </w:t>
      </w:r>
      <w:r w:rsidRPr="008806A8">
        <w:t>National Institute of Food and Agriculture</w:t>
      </w:r>
    </w:p>
    <w:p w:rsidR="00611B1F" w:rsidRPr="00611B1F" w:rsidRDefault="00611B1F" w:rsidP="00E1465D">
      <w:pPr>
        <w:pStyle w:val="Bibliography"/>
      </w:pPr>
      <w:proofErr w:type="spellStart"/>
      <w:r w:rsidRPr="00611B1F">
        <w:t>Urruty</w:t>
      </w:r>
      <w:proofErr w:type="spellEnd"/>
      <w:r w:rsidRPr="00611B1F">
        <w:t xml:space="preserve">, Nicolas, Tanguy </w:t>
      </w:r>
      <w:proofErr w:type="spellStart"/>
      <w:r w:rsidRPr="00611B1F">
        <w:t>Deveaud</w:t>
      </w:r>
      <w:proofErr w:type="spellEnd"/>
      <w:r w:rsidRPr="00611B1F">
        <w:t xml:space="preserve">, </w:t>
      </w:r>
      <w:proofErr w:type="spellStart"/>
      <w:r w:rsidRPr="00611B1F">
        <w:t>Herve</w:t>
      </w:r>
      <w:proofErr w:type="spellEnd"/>
      <w:r w:rsidRPr="00611B1F">
        <w:t xml:space="preserve"> </w:t>
      </w:r>
      <w:proofErr w:type="spellStart"/>
      <w:r w:rsidRPr="00611B1F">
        <w:t>Guyomard</w:t>
      </w:r>
      <w:proofErr w:type="spellEnd"/>
      <w:r w:rsidRPr="00611B1F">
        <w:t xml:space="preserve">, and Jean </w:t>
      </w:r>
      <w:proofErr w:type="spellStart"/>
      <w:r w:rsidRPr="00611B1F">
        <w:t>Boiffin</w:t>
      </w:r>
      <w:proofErr w:type="spellEnd"/>
      <w:r w:rsidRPr="00611B1F">
        <w:t>. 2016. “</w:t>
      </w:r>
      <w:hyperlink r:id="rId114" w:history="1">
        <w:r w:rsidRPr="00B97FB7">
          <w:rPr>
            <w:rStyle w:val="Hyperlink"/>
          </w:rPr>
          <w:t>Impacts of Agricultural Land Use Changes on Pesticide Use in French Agriculture</w:t>
        </w:r>
      </w:hyperlink>
      <w:r w:rsidRPr="00611B1F">
        <w:t xml:space="preserve">.” </w:t>
      </w:r>
      <w:r w:rsidRPr="00611B1F">
        <w:rPr>
          <w:i/>
          <w:iCs/>
        </w:rPr>
        <w:t>European Journal of Agronomy</w:t>
      </w:r>
      <w:r w:rsidR="004E4751">
        <w:t xml:space="preserve"> 80 (October): 113–23.</w:t>
      </w:r>
    </w:p>
    <w:p w:rsidR="00611B1F" w:rsidRPr="00611B1F" w:rsidRDefault="00611B1F" w:rsidP="00611B1F">
      <w:pPr>
        <w:pStyle w:val="Bibliography"/>
      </w:pPr>
      <w:r w:rsidRPr="00611B1F">
        <w:t xml:space="preserve">US </w:t>
      </w:r>
      <w:r w:rsidR="00E1465D">
        <w:t>G</w:t>
      </w:r>
      <w:r w:rsidRPr="00611B1F">
        <w:t xml:space="preserve">overnment. </w:t>
      </w:r>
      <w:proofErr w:type="spellStart"/>
      <w:r w:rsidRPr="00611B1F">
        <w:t>n.d.</w:t>
      </w:r>
      <w:proofErr w:type="spellEnd"/>
      <w:r w:rsidRPr="00611B1F">
        <w:t xml:space="preserve"> “</w:t>
      </w:r>
      <w:hyperlink r:id="rId115" w:history="1">
        <w:r w:rsidRPr="00E1465D">
          <w:rPr>
            <w:rStyle w:val="Hyperlink"/>
          </w:rPr>
          <w:t>Section 180.41 Crop Group Tables</w:t>
        </w:r>
      </w:hyperlink>
      <w:r w:rsidRPr="00611B1F">
        <w:t>.”</w:t>
      </w:r>
    </w:p>
    <w:p w:rsidR="0056752D" w:rsidRDefault="0056752D" w:rsidP="00611B1F">
      <w:pPr>
        <w:pStyle w:val="Bibliography"/>
      </w:pPr>
      <w:r>
        <w:t>Valent. 2017. “</w:t>
      </w:r>
      <w:proofErr w:type="spellStart"/>
      <w:r w:rsidR="00F171A2">
        <w:rPr>
          <w:rStyle w:val="Hyperlink"/>
        </w:rPr>
        <w:fldChar w:fldCharType="begin"/>
      </w:r>
      <w:r w:rsidR="00F171A2">
        <w:rPr>
          <w:rStyle w:val="Hyperlink"/>
        </w:rPr>
        <w:instrText xml:space="preserve"> HYPERLINK "https://www.valent.com/agriculture/products/elumin/upload/2017-ELM-2000.pdf" </w:instrText>
      </w:r>
      <w:r w:rsidR="00F171A2">
        <w:rPr>
          <w:rStyle w:val="Hyperlink"/>
        </w:rPr>
        <w:fldChar w:fldCharType="separate"/>
      </w:r>
      <w:r w:rsidRPr="0056752D">
        <w:rPr>
          <w:rStyle w:val="Hyperlink"/>
        </w:rPr>
        <w:t>Elumin</w:t>
      </w:r>
      <w:proofErr w:type="spellEnd"/>
      <w:r w:rsidR="00F171A2">
        <w:rPr>
          <w:rStyle w:val="Hyperlink"/>
        </w:rPr>
        <w:fldChar w:fldCharType="end"/>
      </w:r>
      <w:r>
        <w:t xml:space="preserve"> Fungicide: technical information bulletin”</w:t>
      </w:r>
    </w:p>
    <w:p w:rsidR="00611B1F" w:rsidRPr="00611B1F" w:rsidRDefault="00611B1F" w:rsidP="00611B1F">
      <w:pPr>
        <w:pStyle w:val="Bibliography"/>
      </w:pPr>
      <w:r w:rsidRPr="00611B1F">
        <w:t>VDD. 2019. “</w:t>
      </w:r>
      <w:hyperlink r:id="rId116" w:history="1">
        <w:r w:rsidRPr="00B97FB7">
          <w:rPr>
            <w:rStyle w:val="Hyperlink"/>
          </w:rPr>
          <w:t>Veterinary Drugs Directorate (VDD)</w:t>
        </w:r>
      </w:hyperlink>
      <w:r w:rsidRPr="00611B1F">
        <w:t xml:space="preserve">,” </w:t>
      </w:r>
      <w:r w:rsidR="004E4751" w:rsidRPr="004E4751">
        <w:t>Veterinary Drugs Directorate</w:t>
      </w:r>
    </w:p>
    <w:p w:rsidR="00611B1F" w:rsidRPr="00611B1F" w:rsidRDefault="00611B1F" w:rsidP="00611B1F">
      <w:pPr>
        <w:pStyle w:val="Bibliography"/>
      </w:pPr>
      <w:proofErr w:type="spellStart"/>
      <w:r w:rsidRPr="00611B1F">
        <w:t>Whitford</w:t>
      </w:r>
      <w:proofErr w:type="spellEnd"/>
      <w:r w:rsidRPr="00611B1F">
        <w:t>, Fred, David Pike, Frank Burroughs, Greg Hanger, Bill Johnson, David Brassard, and Arlene Blessing. 2006. “</w:t>
      </w:r>
      <w:hyperlink r:id="rId117" w:history="1">
        <w:r w:rsidRPr="00D44FC3">
          <w:rPr>
            <w:rStyle w:val="Hyperlink"/>
          </w:rPr>
          <w:t>The Pesticide Marketplace: Discovering and Developing New Products</w:t>
        </w:r>
      </w:hyperlink>
      <w:r w:rsidRPr="00611B1F">
        <w:t>.” Purdue University.</w:t>
      </w:r>
    </w:p>
    <w:p w:rsidR="00611B1F" w:rsidRPr="00611B1F" w:rsidRDefault="00611B1F" w:rsidP="00611B1F">
      <w:pPr>
        <w:pStyle w:val="Bibliography"/>
      </w:pPr>
      <w:proofErr w:type="spellStart"/>
      <w:r w:rsidRPr="00611B1F">
        <w:t>Wittmann</w:t>
      </w:r>
      <w:proofErr w:type="spellEnd"/>
      <w:r w:rsidRPr="00611B1F">
        <w:t xml:space="preserve">, EJ, M </w:t>
      </w:r>
      <w:proofErr w:type="spellStart"/>
      <w:r w:rsidRPr="00611B1F">
        <w:t>Baylis</w:t>
      </w:r>
      <w:proofErr w:type="spellEnd"/>
      <w:r w:rsidRPr="00611B1F">
        <w:t xml:space="preserve">, and PS Mellor. 2001. “Using Climate Data to Map the Potential Distribution of </w:t>
      </w:r>
      <w:proofErr w:type="spellStart"/>
      <w:r w:rsidRPr="00611B1F">
        <w:t>Culicoides</w:t>
      </w:r>
      <w:proofErr w:type="spellEnd"/>
      <w:r w:rsidRPr="00611B1F">
        <w:t xml:space="preserve"> </w:t>
      </w:r>
      <w:proofErr w:type="spellStart"/>
      <w:r w:rsidRPr="00611B1F">
        <w:t>Imicola</w:t>
      </w:r>
      <w:proofErr w:type="spellEnd"/>
      <w:r w:rsidRPr="00611B1F">
        <w:t xml:space="preserve"> (</w:t>
      </w:r>
      <w:proofErr w:type="spellStart"/>
      <w:r w:rsidRPr="00611B1F">
        <w:t>Diptera</w:t>
      </w:r>
      <w:proofErr w:type="spellEnd"/>
      <w:r w:rsidRPr="00611B1F">
        <w:t xml:space="preserve">: </w:t>
      </w:r>
      <w:proofErr w:type="spellStart"/>
      <w:r w:rsidRPr="00611B1F">
        <w:t>Ceratopogonidae</w:t>
      </w:r>
      <w:proofErr w:type="spellEnd"/>
      <w:r w:rsidRPr="00611B1F">
        <w:t xml:space="preserve">) in Europe.” </w:t>
      </w:r>
      <w:r w:rsidRPr="00611B1F">
        <w:rPr>
          <w:i/>
          <w:iCs/>
        </w:rPr>
        <w:t xml:space="preserve">Revue </w:t>
      </w:r>
      <w:proofErr w:type="spellStart"/>
      <w:r w:rsidRPr="00611B1F">
        <w:rPr>
          <w:i/>
          <w:iCs/>
        </w:rPr>
        <w:t>Scientifique</w:t>
      </w:r>
      <w:proofErr w:type="spellEnd"/>
      <w:r w:rsidRPr="00611B1F">
        <w:rPr>
          <w:i/>
          <w:iCs/>
        </w:rPr>
        <w:t xml:space="preserve"> </w:t>
      </w:r>
      <w:proofErr w:type="gramStart"/>
      <w:r w:rsidRPr="00611B1F">
        <w:rPr>
          <w:i/>
          <w:iCs/>
        </w:rPr>
        <w:t>et</w:t>
      </w:r>
      <w:proofErr w:type="gramEnd"/>
      <w:r w:rsidRPr="00611B1F">
        <w:rPr>
          <w:i/>
          <w:iCs/>
        </w:rPr>
        <w:t xml:space="preserve"> Technique-Office International Des Epizooties.</w:t>
      </w:r>
      <w:r w:rsidRPr="00611B1F">
        <w:t xml:space="preserve"> 20 (3): 731–40.</w:t>
      </w:r>
    </w:p>
    <w:p w:rsidR="00611B1F" w:rsidRPr="00611B1F" w:rsidRDefault="00611B1F" w:rsidP="00611B1F">
      <w:pPr>
        <w:pStyle w:val="Bibliography"/>
      </w:pPr>
      <w:r w:rsidRPr="00611B1F">
        <w:t>World Bank. 2017. “</w:t>
      </w:r>
      <w:hyperlink r:id="rId118" w:history="1">
        <w:r w:rsidRPr="00B97FB7">
          <w:rPr>
            <w:rStyle w:val="Hyperlink"/>
          </w:rPr>
          <w:t>Government Effectiveness Index</w:t>
        </w:r>
      </w:hyperlink>
      <w:r w:rsidRPr="00611B1F">
        <w:t xml:space="preserve">.” </w:t>
      </w:r>
    </w:p>
    <w:p w:rsidR="00611B1F" w:rsidRPr="00611B1F" w:rsidRDefault="00611B1F" w:rsidP="00611B1F">
      <w:pPr>
        <w:pStyle w:val="Bibliography"/>
      </w:pPr>
      <w:proofErr w:type="spellStart"/>
      <w:r w:rsidRPr="00611B1F">
        <w:t>Xie</w:t>
      </w:r>
      <w:proofErr w:type="spellEnd"/>
      <w:r w:rsidRPr="00611B1F">
        <w:t>, Christina. 2015. “</w:t>
      </w:r>
      <w:hyperlink r:id="rId119" w:history="1">
        <w:r w:rsidRPr="00B97FB7">
          <w:rPr>
            <w:rStyle w:val="Hyperlink"/>
          </w:rPr>
          <w:t>Pesticides Registered &amp; Launched in 2014 and Analysis of Key Products</w:t>
        </w:r>
      </w:hyperlink>
      <w:r w:rsidRPr="00611B1F">
        <w:t xml:space="preserve">.” </w:t>
      </w:r>
      <w:proofErr w:type="spellStart"/>
      <w:r w:rsidRPr="00611B1F">
        <w:rPr>
          <w:i/>
          <w:iCs/>
        </w:rPr>
        <w:t>AgroNews</w:t>
      </w:r>
      <w:proofErr w:type="spellEnd"/>
      <w:r w:rsidRPr="00611B1F">
        <w:t>, March 11, 2015.</w:t>
      </w:r>
    </w:p>
    <w:p w:rsidR="00611B1F" w:rsidRPr="00611B1F" w:rsidRDefault="00611B1F" w:rsidP="00611B1F">
      <w:pPr>
        <w:pStyle w:val="Bibliography"/>
      </w:pPr>
      <w:r w:rsidRPr="00611B1F">
        <w:t>Zheng, Paul. 2016. “</w:t>
      </w:r>
      <w:hyperlink r:id="rId120" w:history="1">
        <w:r w:rsidRPr="00B97FB7">
          <w:rPr>
            <w:rStyle w:val="Hyperlink"/>
          </w:rPr>
          <w:t>2015 Annual Review-Pesticides Registered &amp; Launched and Analysis of Key Products</w:t>
        </w:r>
      </w:hyperlink>
      <w:r w:rsidRPr="00611B1F">
        <w:t xml:space="preserve">.” </w:t>
      </w:r>
      <w:proofErr w:type="spellStart"/>
      <w:r w:rsidRPr="00611B1F">
        <w:rPr>
          <w:i/>
          <w:iCs/>
        </w:rPr>
        <w:t>AgroNews</w:t>
      </w:r>
      <w:proofErr w:type="spellEnd"/>
      <w:r w:rsidRPr="00611B1F">
        <w:t>, January 27, 2016.</w:t>
      </w:r>
    </w:p>
    <w:p w:rsidR="00611B1F" w:rsidRPr="00611B1F" w:rsidRDefault="00611B1F" w:rsidP="00611B1F">
      <w:pPr>
        <w:pStyle w:val="Bibliography"/>
      </w:pPr>
      <w:r w:rsidRPr="00611B1F">
        <w:t>———. 2017. “</w:t>
      </w:r>
      <w:hyperlink r:id="rId121" w:history="1">
        <w:r w:rsidRPr="00B97FB7">
          <w:rPr>
            <w:rStyle w:val="Hyperlink"/>
          </w:rPr>
          <w:t>Pesticides Registered &amp; Launched in 2016 and Analysis of Key Products</w:t>
        </w:r>
      </w:hyperlink>
      <w:r w:rsidRPr="00611B1F">
        <w:t xml:space="preserve">.” </w:t>
      </w:r>
      <w:proofErr w:type="spellStart"/>
      <w:r w:rsidRPr="00611B1F">
        <w:rPr>
          <w:i/>
          <w:iCs/>
        </w:rPr>
        <w:t>AgroNews</w:t>
      </w:r>
      <w:proofErr w:type="spellEnd"/>
      <w:r w:rsidRPr="00611B1F">
        <w:t>, February 24, 2017.</w:t>
      </w:r>
    </w:p>
    <w:p w:rsidR="00B244D7" w:rsidRDefault="00611B1F" w:rsidP="00B97FB7">
      <w:pPr>
        <w:pStyle w:val="Bibliography"/>
      </w:pPr>
      <w:r w:rsidRPr="00611B1F">
        <w:t>———. 2018. “</w:t>
      </w:r>
      <w:hyperlink r:id="rId122" w:history="1">
        <w:r w:rsidRPr="00B97FB7">
          <w:rPr>
            <w:rStyle w:val="Hyperlink"/>
          </w:rPr>
          <w:t>Pesticides Registered &amp; Launched in 2017 and Analysis of Key Products</w:t>
        </w:r>
      </w:hyperlink>
      <w:r w:rsidRPr="00611B1F">
        <w:t xml:space="preserve">.” </w:t>
      </w:r>
      <w:proofErr w:type="spellStart"/>
      <w:r w:rsidRPr="00611B1F">
        <w:rPr>
          <w:i/>
          <w:iCs/>
        </w:rPr>
        <w:t>AgroNews</w:t>
      </w:r>
      <w:proofErr w:type="spellEnd"/>
      <w:r w:rsidRPr="00611B1F">
        <w:t>, April 5, 2018.</w:t>
      </w:r>
    </w:p>
    <w:p w:rsidR="00B244D7" w:rsidRDefault="00B244D7" w:rsidP="008C16DC"/>
    <w:p w:rsidR="00EE4CBB" w:rsidRDefault="00EE4CBB" w:rsidP="008C16DC">
      <w:pPr>
        <w:sectPr w:rsidR="00EE4CBB" w:rsidSect="00144C3A">
          <w:headerReference w:type="even" r:id="rId123"/>
          <w:headerReference w:type="default" r:id="rId124"/>
          <w:footerReference w:type="default" r:id="rId125"/>
          <w:headerReference w:type="first" r:id="rId126"/>
          <w:pgSz w:w="11906" w:h="16838" w:code="9"/>
          <w:pgMar w:top="1985" w:right="1133" w:bottom="1134" w:left="680" w:header="680" w:footer="425" w:gutter="0"/>
          <w:cols w:space="284"/>
          <w:docGrid w:linePitch="360"/>
        </w:sectPr>
      </w:pPr>
    </w:p>
    <w:p w:rsidR="00B44DF2" w:rsidRDefault="00B44DF2" w:rsidP="00FE6A25">
      <w:pPr>
        <w:pStyle w:val="Heading1un-numbered"/>
        <w:numPr>
          <w:ilvl w:val="0"/>
          <w:numId w:val="19"/>
        </w:numPr>
      </w:pPr>
      <w:bookmarkStart w:id="265" w:name="_Toc6413760"/>
      <w:bookmarkStart w:id="266" w:name="_Ref11264907"/>
      <w:bookmarkStart w:id="267" w:name="_Toc12024321"/>
      <w:bookmarkStart w:id="268" w:name="_Toc14107330"/>
      <w:bookmarkStart w:id="269" w:name="_Toc4586268"/>
      <w:bookmarkStart w:id="270" w:name="_Toc4672740"/>
      <w:bookmarkStart w:id="271" w:name="_Toc4764887"/>
      <w:bookmarkStart w:id="272" w:name="_Toc6413759"/>
      <w:bookmarkStart w:id="273" w:name="_Toc955541"/>
      <w:bookmarkStart w:id="274" w:name="_Toc1057252"/>
      <w:bookmarkStart w:id="275" w:name="_Toc2336628"/>
      <w:bookmarkStart w:id="276" w:name="_Toc463002439"/>
      <w:bookmarkStart w:id="277" w:name="_Toc472586353"/>
      <w:bookmarkStart w:id="278" w:name="_Toc482168131"/>
      <w:bookmarkStart w:id="279" w:name="_Toc482174916"/>
      <w:bookmarkStart w:id="280" w:name="_Toc866278"/>
      <w:r>
        <w:t>Agvet Chemicals in Australia</w:t>
      </w:r>
      <w:bookmarkEnd w:id="265"/>
      <w:bookmarkEnd w:id="266"/>
      <w:bookmarkEnd w:id="267"/>
      <w:bookmarkEnd w:id="268"/>
    </w:p>
    <w:p w:rsidR="00B44DF2" w:rsidRPr="006E5CF4" w:rsidRDefault="00B44DF2" w:rsidP="00B44DF2">
      <w:pPr>
        <w:pStyle w:val="Sectionintro"/>
        <w:spacing w:line="276" w:lineRule="auto"/>
        <w:rPr>
          <w:sz w:val="18"/>
        </w:rPr>
      </w:pPr>
      <w:r w:rsidRPr="006E5CF4">
        <w:rPr>
          <w:sz w:val="18"/>
        </w:rPr>
        <w:t xml:space="preserve">This </w:t>
      </w:r>
      <w:r w:rsidRPr="006E5CF4" w:rsidDel="000462AE">
        <w:rPr>
          <w:sz w:val="18"/>
        </w:rPr>
        <w:t>section</w:t>
      </w:r>
      <w:r w:rsidRPr="006E5CF4">
        <w:rPr>
          <w:sz w:val="18"/>
        </w:rPr>
        <w:t xml:space="preserve"> describes the Australian markets for agricultural chemicals and veterinary medicines, and discusses the current status and major trends</w:t>
      </w:r>
      <w:r w:rsidRPr="006E5CF4" w:rsidDel="0089166A">
        <w:rPr>
          <w:sz w:val="18"/>
        </w:rPr>
        <w:t>.</w:t>
      </w:r>
    </w:p>
    <w:p w:rsidR="00B44DF2" w:rsidRPr="00EC5C2D" w:rsidRDefault="00B44DF2" w:rsidP="00EC5C2D">
      <w:pPr>
        <w:pStyle w:val="Heading2"/>
        <w:numPr>
          <w:ilvl w:val="0"/>
          <w:numId w:val="0"/>
        </w:numPr>
        <w:ind w:left="576" w:hanging="576"/>
        <w:rPr>
          <w:rStyle w:val="Strong"/>
          <w:b/>
        </w:rPr>
      </w:pPr>
      <w:bookmarkStart w:id="281" w:name="_Toc955503"/>
      <w:bookmarkStart w:id="282" w:name="_Toc2336590"/>
      <w:bookmarkStart w:id="283" w:name="_Toc4449527"/>
      <w:bookmarkStart w:id="284" w:name="_Toc4545417"/>
      <w:bookmarkStart w:id="285" w:name="_Toc4586253"/>
      <w:bookmarkStart w:id="286" w:name="_Toc4672725"/>
      <w:bookmarkStart w:id="287" w:name="_Toc4764872"/>
      <w:bookmarkStart w:id="288" w:name="_Toc12024322"/>
      <w:bookmarkStart w:id="289" w:name="_Toc12294095"/>
      <w:bookmarkStart w:id="290" w:name="_Toc13217624"/>
      <w:bookmarkStart w:id="291" w:name="_Toc14107331"/>
      <w:r w:rsidRPr="00EC5C2D">
        <w:rPr>
          <w:rStyle w:val="Strong"/>
          <w:b/>
        </w:rPr>
        <w:t xml:space="preserve">The </w:t>
      </w:r>
      <w:bookmarkEnd w:id="281"/>
      <w:r w:rsidRPr="00EC5C2D">
        <w:rPr>
          <w:rStyle w:val="Strong"/>
          <w:b/>
        </w:rPr>
        <w:t>agricultural chemicals market</w:t>
      </w:r>
      <w:bookmarkEnd w:id="282"/>
      <w:bookmarkEnd w:id="283"/>
      <w:bookmarkEnd w:id="284"/>
      <w:bookmarkEnd w:id="285"/>
      <w:bookmarkEnd w:id="286"/>
      <w:bookmarkEnd w:id="287"/>
      <w:bookmarkEnd w:id="288"/>
      <w:bookmarkEnd w:id="289"/>
      <w:bookmarkEnd w:id="290"/>
      <w:bookmarkEnd w:id="291"/>
    </w:p>
    <w:p w:rsidR="004A7A11" w:rsidRDefault="00B44DF2" w:rsidP="00B44DF2">
      <w:pPr>
        <w:rPr>
          <w:i/>
        </w:rPr>
      </w:pPr>
      <w:r>
        <w:rPr>
          <w:i/>
        </w:rPr>
        <w:t>T</w:t>
      </w:r>
      <w:r w:rsidRPr="007C36B7">
        <w:rPr>
          <w:i/>
        </w:rPr>
        <w:t xml:space="preserve">his </w:t>
      </w:r>
      <w:r>
        <w:rPr>
          <w:i/>
        </w:rPr>
        <w:t>sub-</w:t>
      </w:r>
      <w:r w:rsidRPr="007C36B7">
        <w:rPr>
          <w:i/>
        </w:rPr>
        <w:t xml:space="preserve">section profiles the Australian market for </w:t>
      </w:r>
      <w:r>
        <w:rPr>
          <w:i/>
        </w:rPr>
        <w:t>agricultural</w:t>
      </w:r>
      <w:r w:rsidRPr="007C36B7">
        <w:rPr>
          <w:i/>
        </w:rPr>
        <w:t xml:space="preserve"> chemicals</w:t>
      </w:r>
      <w:r>
        <w:rPr>
          <w:i/>
        </w:rPr>
        <w:t xml:space="preserve">, </w:t>
      </w:r>
      <w:r w:rsidRPr="007C36B7">
        <w:rPr>
          <w:i/>
        </w:rPr>
        <w:t xml:space="preserve">not just </w:t>
      </w:r>
      <w:r>
        <w:rPr>
          <w:i/>
        </w:rPr>
        <w:t>novel</w:t>
      </w:r>
      <w:r w:rsidRPr="007C36B7">
        <w:rPr>
          <w:i/>
        </w:rPr>
        <w:t xml:space="preserve"> ones</w:t>
      </w:r>
      <w:r>
        <w:rPr>
          <w:i/>
        </w:rPr>
        <w:t>.</w:t>
      </w:r>
    </w:p>
    <w:p w:rsidR="00B44DF2" w:rsidRDefault="00B44DF2" w:rsidP="004A7A11">
      <w:pPr>
        <w:pStyle w:val="Heading3"/>
        <w:numPr>
          <w:ilvl w:val="0"/>
          <w:numId w:val="0"/>
        </w:numPr>
        <w:ind w:left="720" w:hanging="720"/>
      </w:pPr>
      <w:bookmarkStart w:id="292" w:name="_Toc2336591"/>
      <w:bookmarkStart w:id="293" w:name="_Toc4449528"/>
      <w:bookmarkStart w:id="294" w:name="_Toc4545418"/>
      <w:r>
        <w:t>The use of a</w:t>
      </w:r>
      <w:r w:rsidRPr="001E49B2">
        <w:t>gricultural chemicals</w:t>
      </w:r>
      <w:r>
        <w:t xml:space="preserve"> is </w:t>
      </w:r>
      <w:r w:rsidRPr="00704059">
        <w:t>rising</w:t>
      </w:r>
      <w:bookmarkEnd w:id="292"/>
      <w:bookmarkEnd w:id="293"/>
      <w:bookmarkEnd w:id="294"/>
    </w:p>
    <w:p w:rsidR="00B44DF2" w:rsidRDefault="00B44DF2" w:rsidP="00B44DF2">
      <w:r>
        <w:t xml:space="preserve">In 2017, the estimated total Australian </w:t>
      </w:r>
      <w:proofErr w:type="spellStart"/>
      <w:r>
        <w:t>broadacre</w:t>
      </w:r>
      <w:proofErr w:type="spellEnd"/>
      <w:r>
        <w:t xml:space="preserve"> farm expenditure on agricultural chemicals was $1.8 billion</w:t>
      </w:r>
      <w:r w:rsidR="0030631E">
        <w:t xml:space="preserve"> </w:t>
      </w:r>
      <w:r w:rsidR="00916B38" w:rsidRPr="00916B38">
        <w:t>(ABARES 2018c)</w:t>
      </w:r>
      <w:r w:rsidR="0030631E">
        <w:t>.</w:t>
      </w:r>
      <w:r>
        <w:t xml:space="preserve"> Annual farm expenditure on agricultural chemicals has increased by around 45 per cent (in real terms) since the early 2000s and has risen faster than other farm costs (</w:t>
      </w:r>
      <w:r>
        <w:fldChar w:fldCharType="begin"/>
      </w:r>
      <w:r>
        <w:instrText xml:space="preserve"> REF _Ref955247 \h </w:instrText>
      </w:r>
      <w:r>
        <w:fldChar w:fldCharType="separate"/>
      </w:r>
      <w:r w:rsidR="00D82E3C">
        <w:t>Figure A.</w:t>
      </w:r>
      <w:r w:rsidR="00D82E3C">
        <w:rPr>
          <w:noProof/>
        </w:rPr>
        <w:t>1</w:t>
      </w:r>
      <w:r>
        <w:fldChar w:fldCharType="end"/>
      </w:r>
      <w:r>
        <w:t xml:space="preserve">). In 2017, expenditure on crop and pasture chemicals accounted for 9 per cent of </w:t>
      </w:r>
      <w:r w:rsidR="00EF4446">
        <w:t xml:space="preserve">non-capital on-farm </w:t>
      </w:r>
      <w:r>
        <w:t xml:space="preserve">costs for </w:t>
      </w:r>
      <w:proofErr w:type="spellStart"/>
      <w:r>
        <w:t>broadacre</w:t>
      </w:r>
      <w:proofErr w:type="spellEnd"/>
      <w:r>
        <w:t xml:space="preserve"> farms, up from around 6</w:t>
      </w:r>
      <w:r w:rsidR="008806A8">
        <w:t> </w:t>
      </w:r>
      <w:r>
        <w:t>per cent in the early 2000s.</w:t>
      </w:r>
    </w:p>
    <w:p w:rsidR="00B44DF2" w:rsidRDefault="00B44DF2" w:rsidP="00B44DF2">
      <w:r>
        <w:t>It is unclear whether the increase in expenditure on Australian agricultural chemicals has been driven by an increase in use, prices or a combination of the two. Price indices for agricultural chemicals are reported as rising in the order of 10 per cent during this period, suggesting at least some of the increase is attributable to higher use</w:t>
      </w:r>
      <w:r w:rsidR="0030631E">
        <w:t xml:space="preserve"> </w:t>
      </w:r>
      <w:r w:rsidR="00916B38" w:rsidRPr="00916B38">
        <w:t>(ABARES 2018b)</w:t>
      </w:r>
      <w:r w:rsidR="0030631E">
        <w:t>.</w:t>
      </w:r>
      <w:r>
        <w:t xml:space="preserve"> However, with Australia’s cropping area declining by around 4</w:t>
      </w:r>
      <w:r w:rsidR="008806A8">
        <w:t xml:space="preserve"> per cent between 2000 and 2017</w:t>
      </w:r>
      <w:r w:rsidR="0030631E">
        <w:t xml:space="preserve"> </w:t>
      </w:r>
      <w:r w:rsidR="00EE4CBB" w:rsidRPr="00EE4CBB">
        <w:t>(</w:t>
      </w:r>
      <w:r w:rsidR="008806A8">
        <w:t xml:space="preserve">FAO </w:t>
      </w:r>
      <w:r w:rsidR="00EE4CBB" w:rsidRPr="00EE4CBB">
        <w:t>201</w:t>
      </w:r>
      <w:r w:rsidR="008806A8">
        <w:t>9</w:t>
      </w:r>
      <w:r w:rsidR="00EE4CBB" w:rsidRPr="00EE4CBB">
        <w:t>)</w:t>
      </w:r>
      <w:r w:rsidR="008806A8">
        <w:t>,</w:t>
      </w:r>
      <w:r>
        <w:t xml:space="preserve"> any increase in the use of agricultural chemicals would reflect higher application rates.</w:t>
      </w:r>
    </w:p>
    <w:p w:rsidR="00B44DF2" w:rsidRDefault="00B44DF2" w:rsidP="00B44DF2">
      <w:pPr>
        <w:pStyle w:val="CaptionFigure"/>
      </w:pPr>
      <w:bookmarkStart w:id="295" w:name="_Ref955247"/>
      <w:bookmarkStart w:id="296" w:name="_Toc1057196"/>
      <w:bookmarkStart w:id="297" w:name="_Toc2336563"/>
      <w:bookmarkStart w:id="298" w:name="_Toc4544998"/>
      <w:r>
        <w:t xml:space="preserve">Figure </w:t>
      </w:r>
      <w:r w:rsidR="00EC5C2D">
        <w:t>A</w:t>
      </w:r>
      <w:r>
        <w:t>.</w:t>
      </w:r>
      <w:r>
        <w:fldChar w:fldCharType="begin"/>
      </w:r>
      <w:r>
        <w:instrText xml:space="preserve"> SEQ Figure \* ARABIC \s 1 </w:instrText>
      </w:r>
      <w:r>
        <w:fldChar w:fldCharType="separate"/>
      </w:r>
      <w:r w:rsidR="00D82E3C">
        <w:rPr>
          <w:noProof/>
        </w:rPr>
        <w:t>1</w:t>
      </w:r>
      <w:r>
        <w:fldChar w:fldCharType="end"/>
      </w:r>
      <w:bookmarkEnd w:id="295"/>
      <w:r>
        <w:t xml:space="preserve">: </w:t>
      </w:r>
      <w:r w:rsidRPr="0009737C">
        <w:t xml:space="preserve">Australian </w:t>
      </w:r>
      <w:proofErr w:type="spellStart"/>
      <w:r>
        <w:t>broadacre</w:t>
      </w:r>
      <w:proofErr w:type="spellEnd"/>
      <w:r>
        <w:t xml:space="preserve"> farm expenditure on agricultural chemicals and share of cash costs</w:t>
      </w:r>
      <w:bookmarkEnd w:id="296"/>
      <w:bookmarkEnd w:id="297"/>
      <w:bookmarkEnd w:id="298"/>
    </w:p>
    <w:p w:rsidR="00B44DF2" w:rsidRDefault="00B44DF2" w:rsidP="00B44DF2">
      <w:r>
        <w:rPr>
          <w:noProof/>
          <w:lang w:eastAsia="en-AU"/>
        </w:rPr>
        <w:drawing>
          <wp:inline distT="0" distB="0" distL="0" distR="0" wp14:anchorId="6C811F73" wp14:editId="758F6023">
            <wp:extent cx="5806440" cy="2560320"/>
            <wp:effectExtent l="0" t="0" r="3810" b="0"/>
            <wp:docPr id="19" name="Chart 19" descr="This figure shows a time series of expenditure on agricultural chemcials by Australan farms, and the share of agricultural chemicals of total farm costs. Both series have been increasing over time." title="Figure A.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44DF2" w:rsidRPr="00225C8D" w:rsidRDefault="00B44DF2" w:rsidP="00C9710C">
      <w:pPr>
        <w:pStyle w:val="Source"/>
        <w:rPr>
          <w:szCs w:val="14"/>
        </w:rPr>
      </w:pPr>
      <w:r w:rsidRPr="176226A2">
        <w:rPr>
          <w:szCs w:val="14"/>
        </w:rPr>
        <w:t xml:space="preserve">Source: </w:t>
      </w:r>
      <w:r w:rsidR="00916B38" w:rsidRPr="00916B38">
        <w:t xml:space="preserve">ABARES </w:t>
      </w:r>
      <w:r w:rsidR="00C9710C">
        <w:t>(</w:t>
      </w:r>
      <w:r w:rsidR="00916B38" w:rsidRPr="00916B38">
        <w:t>2018c)</w:t>
      </w:r>
    </w:p>
    <w:p w:rsidR="00B44DF2" w:rsidRPr="00216E2E" w:rsidRDefault="00B44DF2" w:rsidP="004A7A11">
      <w:pPr>
        <w:pStyle w:val="Heading3"/>
        <w:numPr>
          <w:ilvl w:val="0"/>
          <w:numId w:val="0"/>
        </w:numPr>
        <w:ind w:left="720" w:hanging="720"/>
      </w:pPr>
      <w:bookmarkStart w:id="299" w:name="_Toc955506"/>
      <w:bookmarkStart w:id="300" w:name="_Toc1057213"/>
      <w:bookmarkStart w:id="301" w:name="_Toc2336594"/>
      <w:bookmarkStart w:id="302" w:name="_Toc4449531"/>
      <w:bookmarkStart w:id="303" w:name="_Toc4545421"/>
      <w:r>
        <w:t>Local production confined to generic products</w:t>
      </w:r>
      <w:bookmarkEnd w:id="299"/>
      <w:bookmarkEnd w:id="300"/>
      <w:bookmarkEnd w:id="301"/>
      <w:bookmarkEnd w:id="302"/>
      <w:bookmarkEnd w:id="303"/>
    </w:p>
    <w:p w:rsidR="00B44DF2" w:rsidRDefault="00B44DF2" w:rsidP="00B44DF2">
      <w:r w:rsidRPr="00B03E5C">
        <w:t>Production</w:t>
      </w:r>
      <w:r>
        <w:t xml:space="preserve"> of agricultural chemicals</w:t>
      </w:r>
      <w:r w:rsidRPr="00B03E5C">
        <w:t xml:space="preserve"> in Australia is dominated by two </w:t>
      </w:r>
      <w:r>
        <w:t>large multinational corporations</w:t>
      </w:r>
      <w:r w:rsidR="00672324">
        <w:t xml:space="preserve"> </w:t>
      </w:r>
      <w:r w:rsidR="005B6C3D" w:rsidRPr="005B6C3D">
        <w:rPr>
          <w:rFonts w:cs="Times New Roman"/>
          <w:szCs w:val="24"/>
        </w:rPr>
        <w:t>(IBISWorld Australia 2018</w:t>
      </w:r>
      <w:r w:rsidR="008806A8">
        <w:rPr>
          <w:rFonts w:cs="Times New Roman"/>
          <w:szCs w:val="24"/>
        </w:rPr>
        <w:t>b</w:t>
      </w:r>
      <w:r w:rsidR="005B6C3D" w:rsidRPr="005B6C3D">
        <w:rPr>
          <w:rFonts w:cs="Times New Roman"/>
          <w:szCs w:val="24"/>
        </w:rPr>
        <w:t>)</w:t>
      </w:r>
      <w:r w:rsidRPr="00B03E5C">
        <w:t xml:space="preserve">: Bayer </w:t>
      </w:r>
      <w:proofErr w:type="spellStart"/>
      <w:r w:rsidRPr="00B03E5C">
        <w:t>CropSci</w:t>
      </w:r>
      <w:r>
        <w:t>ence</w:t>
      </w:r>
      <w:proofErr w:type="spellEnd"/>
      <w:r>
        <w:t xml:space="preserve"> Pty Ltd. (“Bayer”) and </w:t>
      </w:r>
      <w:proofErr w:type="spellStart"/>
      <w:r>
        <w:t>Nufarm</w:t>
      </w:r>
      <w:proofErr w:type="spellEnd"/>
      <w:r>
        <w:t xml:space="preserve"> Ltd (“</w:t>
      </w:r>
      <w:proofErr w:type="spellStart"/>
      <w:r>
        <w:t>Nufarm</w:t>
      </w:r>
      <w:proofErr w:type="spellEnd"/>
      <w:r>
        <w:t xml:space="preserve">”). </w:t>
      </w:r>
      <w:r w:rsidRPr="00B03E5C">
        <w:t xml:space="preserve">Both companies have significant global footprints and their combined share of the Australian market </w:t>
      </w:r>
      <w:r>
        <w:t>is</w:t>
      </w:r>
      <w:r w:rsidRPr="00B03E5C">
        <w:t xml:space="preserve"> </w:t>
      </w:r>
      <w:r>
        <w:t>close to</w:t>
      </w:r>
      <w:r w:rsidRPr="00B03E5C">
        <w:t xml:space="preserve"> 90</w:t>
      </w:r>
      <w:r>
        <w:t xml:space="preserve"> per cent by revenue</w:t>
      </w:r>
      <w:r w:rsidRPr="00B03E5C">
        <w:t>. While agricultural chemicals are the</w:t>
      </w:r>
      <w:r>
        <w:t>ir</w:t>
      </w:r>
      <w:r w:rsidRPr="00B03E5C">
        <w:t xml:space="preserve"> primary source of revenue in Australia, both </w:t>
      </w:r>
      <w:r>
        <w:t xml:space="preserve">companies </w:t>
      </w:r>
      <w:r w:rsidRPr="00B03E5C">
        <w:t xml:space="preserve">are </w:t>
      </w:r>
      <w:r>
        <w:t>increasingly diversified</w:t>
      </w:r>
      <w:r w:rsidRPr="00B03E5C">
        <w:t>.</w:t>
      </w:r>
      <w:r w:rsidRPr="00D02AE4">
        <w:t xml:space="preserve"> </w:t>
      </w:r>
      <w:r w:rsidRPr="00B03E5C">
        <w:t xml:space="preserve">In </w:t>
      </w:r>
      <w:r>
        <w:t xml:space="preserve">their </w:t>
      </w:r>
      <w:r w:rsidRPr="00B03E5C">
        <w:t>Australia</w:t>
      </w:r>
      <w:r>
        <w:t>n operations</w:t>
      </w:r>
      <w:r w:rsidRPr="00B03E5C">
        <w:t>,</w:t>
      </w:r>
      <w:r>
        <w:t xml:space="preserve"> both</w:t>
      </w:r>
      <w:r w:rsidRPr="00B03E5C">
        <w:t xml:space="preserve"> </w:t>
      </w:r>
      <w:r>
        <w:t xml:space="preserve">Bayer and </w:t>
      </w:r>
      <w:proofErr w:type="spellStart"/>
      <w:r>
        <w:t>Nufarm</w:t>
      </w:r>
      <w:proofErr w:type="spellEnd"/>
      <w:r>
        <w:t xml:space="preserve"> formulate mostly</w:t>
      </w:r>
      <w:r w:rsidRPr="00B03E5C">
        <w:t xml:space="preserve"> generic</w:t>
      </w:r>
      <w:r w:rsidR="00672324">
        <w:t xml:space="preserve"> products from imported actives </w:t>
      </w:r>
      <w:r w:rsidR="00EE4CBB" w:rsidRPr="00EE4CBB">
        <w:t>(IBISWorld Australia 2018</w:t>
      </w:r>
      <w:r w:rsidR="008806A8">
        <w:t>b</w:t>
      </w:r>
      <w:r w:rsidR="00EE4CBB" w:rsidRPr="00EE4CBB">
        <w:t>)</w:t>
      </w:r>
      <w:r w:rsidR="00672324">
        <w:t>.</w:t>
      </w:r>
    </w:p>
    <w:p w:rsidR="00B44DF2" w:rsidRDefault="00E05DC3" w:rsidP="00B44DF2">
      <w:r>
        <w:t xml:space="preserve">Very few novel agvet chemicals are developed </w:t>
      </w:r>
      <w:r w:rsidR="00672324">
        <w:t xml:space="preserve">and commercialised in Australia </w:t>
      </w:r>
      <w:r w:rsidR="00EE4CBB" w:rsidRPr="00EE4CBB">
        <w:t>(Gregg et al. 2010)</w:t>
      </w:r>
      <w:r w:rsidR="00672324">
        <w:t>.</w:t>
      </w:r>
      <w:r>
        <w:t xml:space="preserve"> </w:t>
      </w:r>
      <w:r w:rsidR="00EF42D7">
        <w:t xml:space="preserve">According to the APVMA, </w:t>
      </w:r>
      <w:r w:rsidR="00324244">
        <w:t>just</w:t>
      </w:r>
      <w:r w:rsidR="00B44DF2">
        <w:t xml:space="preserve"> seven novel products were developed </w:t>
      </w:r>
      <w:r w:rsidR="00324244">
        <w:t>in</w:t>
      </w:r>
      <w:r w:rsidR="00B44DF2">
        <w:t xml:space="preserve"> Australia</w:t>
      </w:r>
      <w:r w:rsidR="00324244">
        <w:t xml:space="preserve"> between 2000 and 2016</w:t>
      </w:r>
      <w:r w:rsidR="00AE45FE">
        <w:t xml:space="preserve"> (see Table A.1)</w:t>
      </w:r>
      <w:r w:rsidR="00324244">
        <w:t>.</w:t>
      </w:r>
      <w:r w:rsidR="00EF42D7">
        <w:t xml:space="preserve"> Greg et al</w:t>
      </w:r>
      <w:r w:rsidR="00672324">
        <w:t xml:space="preserve"> </w:t>
      </w:r>
      <w:r w:rsidR="00C9710C">
        <w:t>(</w:t>
      </w:r>
      <w:r w:rsidR="00EE4CBB" w:rsidRPr="00EE4CBB">
        <w:t>2010)</w:t>
      </w:r>
      <w:r w:rsidR="00EF42D7">
        <w:t>, later found that most were</w:t>
      </w:r>
      <w:r w:rsidR="008621F8">
        <w:t xml:space="preserve"> only</w:t>
      </w:r>
      <w:r w:rsidR="00EF42D7">
        <w:t xml:space="preserve"> partially developed in Australia, with </w:t>
      </w:r>
      <w:r w:rsidR="00AE45FE">
        <w:t>products adapted (to Australian conditions) from technologies previously commercialised overseas by improving formulation methods</w:t>
      </w:r>
      <w:r w:rsidR="00AE45FE" w:rsidDel="00AE45FE">
        <w:t xml:space="preserve"> </w:t>
      </w:r>
      <w:r w:rsidR="00AE45FE">
        <w:t xml:space="preserve">and selecting </w:t>
      </w:r>
      <w:r w:rsidR="00324244">
        <w:t>strain</w:t>
      </w:r>
      <w:r w:rsidR="00AE45FE">
        <w:t>s.</w:t>
      </w:r>
    </w:p>
    <w:p w:rsidR="00B44DF2" w:rsidRDefault="00B44DF2" w:rsidP="00B44DF2">
      <w:pPr>
        <w:pStyle w:val="Caption"/>
      </w:pPr>
      <w:bookmarkStart w:id="304" w:name="_Toc4544841"/>
      <w:r>
        <w:t xml:space="preserve">Table </w:t>
      </w:r>
      <w:r w:rsidR="00EC5C2D">
        <w:t>A</w:t>
      </w:r>
      <w:r>
        <w:t>.</w:t>
      </w:r>
      <w:r>
        <w:fldChar w:fldCharType="begin"/>
      </w:r>
      <w:r>
        <w:instrText xml:space="preserve"> SEQ Table \* ARABIC \s 1 </w:instrText>
      </w:r>
      <w:r>
        <w:fldChar w:fldCharType="separate"/>
      </w:r>
      <w:r w:rsidR="00D82E3C">
        <w:rPr>
          <w:noProof/>
        </w:rPr>
        <w:t>1</w:t>
      </w:r>
      <w:r>
        <w:fldChar w:fldCharType="end"/>
      </w:r>
      <w:r>
        <w:t>: Novel pest management products developed in Australia</w:t>
      </w:r>
      <w:bookmarkEnd w:id="304"/>
    </w:p>
    <w:tbl>
      <w:tblPr>
        <w:tblStyle w:val="Deloittetable"/>
        <w:tblW w:w="0" w:type="auto"/>
        <w:tblLook w:val="04A0" w:firstRow="1" w:lastRow="0" w:firstColumn="1" w:lastColumn="0" w:noHBand="0" w:noVBand="1"/>
      </w:tblPr>
      <w:tblGrid>
        <w:gridCol w:w="1418"/>
        <w:gridCol w:w="2693"/>
        <w:gridCol w:w="5982"/>
      </w:tblGrid>
      <w:tr w:rsidR="00B44DF2" w:rsidRPr="007E356F" w:rsidTr="00A24225">
        <w:trPr>
          <w:cnfStyle w:val="100000000000" w:firstRow="1" w:lastRow="0" w:firstColumn="0" w:lastColumn="0" w:oddVBand="0" w:evenVBand="0" w:oddHBand="0" w:evenHBand="0" w:firstRowFirstColumn="0" w:firstRowLastColumn="0" w:lastRowFirstColumn="0" w:lastRowLastColumn="0"/>
          <w:cantSplit/>
          <w:tblHeader/>
        </w:trPr>
        <w:tc>
          <w:tcPr>
            <w:tcW w:w="1418" w:type="dxa"/>
          </w:tcPr>
          <w:p w:rsidR="00B44DF2" w:rsidRPr="007E356F" w:rsidRDefault="00B44DF2" w:rsidP="00B44DF2">
            <w:pPr>
              <w:rPr>
                <w:b/>
              </w:rPr>
            </w:pPr>
            <w:r w:rsidRPr="007E356F">
              <w:rPr>
                <w:b/>
              </w:rPr>
              <w:t>Product</w:t>
            </w:r>
          </w:p>
        </w:tc>
        <w:tc>
          <w:tcPr>
            <w:tcW w:w="2693" w:type="dxa"/>
          </w:tcPr>
          <w:p w:rsidR="00B44DF2" w:rsidRPr="007E356F" w:rsidRDefault="00B44DF2" w:rsidP="00B44DF2">
            <w:pPr>
              <w:rPr>
                <w:b/>
              </w:rPr>
            </w:pPr>
            <w:r w:rsidRPr="007E356F">
              <w:rPr>
                <w:b/>
              </w:rPr>
              <w:t>Active ingredient</w:t>
            </w:r>
          </w:p>
        </w:tc>
        <w:tc>
          <w:tcPr>
            <w:tcW w:w="5982" w:type="dxa"/>
          </w:tcPr>
          <w:p w:rsidR="00B44DF2" w:rsidRPr="007E356F" w:rsidRDefault="00B44DF2" w:rsidP="00B44DF2">
            <w:pPr>
              <w:rPr>
                <w:b/>
              </w:rPr>
            </w:pPr>
            <w:r w:rsidRPr="007E356F">
              <w:rPr>
                <w:b/>
              </w:rPr>
              <w:t>Notes</w:t>
            </w:r>
          </w:p>
        </w:tc>
      </w:tr>
      <w:tr w:rsidR="00324244" w:rsidTr="00B44DF2">
        <w:tc>
          <w:tcPr>
            <w:tcW w:w="1418" w:type="dxa"/>
          </w:tcPr>
          <w:p w:rsidR="00324244" w:rsidRDefault="00324244" w:rsidP="00324244">
            <w:proofErr w:type="spellStart"/>
            <w:r>
              <w:t>Vivus</w:t>
            </w:r>
            <w:proofErr w:type="spellEnd"/>
          </w:p>
        </w:tc>
        <w:tc>
          <w:tcPr>
            <w:tcW w:w="2693" w:type="dxa"/>
          </w:tcPr>
          <w:p w:rsidR="00324244" w:rsidRDefault="00324244" w:rsidP="00324244">
            <w:proofErr w:type="spellStart"/>
            <w:r w:rsidRPr="007E356F">
              <w:rPr>
                <w:i/>
              </w:rPr>
              <w:t>Helicoverpa</w:t>
            </w:r>
            <w:proofErr w:type="spellEnd"/>
            <w:r>
              <w:t xml:space="preserve"> nuclear </w:t>
            </w:r>
            <w:proofErr w:type="spellStart"/>
            <w:r>
              <w:t>polyhedrosis</w:t>
            </w:r>
            <w:proofErr w:type="spellEnd"/>
            <w:r>
              <w:t xml:space="preserve"> virus</w:t>
            </w:r>
          </w:p>
        </w:tc>
        <w:tc>
          <w:tcPr>
            <w:tcW w:w="5982" w:type="dxa"/>
          </w:tcPr>
          <w:p w:rsidR="00324244" w:rsidRDefault="00324244" w:rsidP="00324244">
            <w:r>
              <w:t xml:space="preserve">Registered in 2002 for control of </w:t>
            </w:r>
            <w:proofErr w:type="spellStart"/>
            <w:r w:rsidRPr="007E356F">
              <w:rPr>
                <w:i/>
              </w:rPr>
              <w:t>Helicoverpa</w:t>
            </w:r>
            <w:proofErr w:type="spellEnd"/>
            <w:r w:rsidRPr="007E356F">
              <w:rPr>
                <w:i/>
              </w:rPr>
              <w:t xml:space="preserve"> </w:t>
            </w:r>
            <w:proofErr w:type="spellStart"/>
            <w:r w:rsidRPr="007E356F">
              <w:rPr>
                <w:i/>
              </w:rPr>
              <w:t>armigera</w:t>
            </w:r>
            <w:proofErr w:type="spellEnd"/>
            <w:r>
              <w:t xml:space="preserve">. An Australian strain selection of a pathogen previously developed for control of American </w:t>
            </w:r>
            <w:proofErr w:type="spellStart"/>
            <w:r w:rsidRPr="007E356F">
              <w:rPr>
                <w:i/>
              </w:rPr>
              <w:t>Helicoverpa</w:t>
            </w:r>
            <w:proofErr w:type="spellEnd"/>
            <w:r>
              <w:t xml:space="preserve"> species</w:t>
            </w:r>
          </w:p>
        </w:tc>
      </w:tr>
      <w:tr w:rsidR="00324244" w:rsidTr="00B44DF2">
        <w:tc>
          <w:tcPr>
            <w:tcW w:w="1418" w:type="dxa"/>
          </w:tcPr>
          <w:p w:rsidR="00324244" w:rsidRDefault="00324244" w:rsidP="00324244">
            <w:r>
              <w:t>Green guard</w:t>
            </w:r>
          </w:p>
        </w:tc>
        <w:tc>
          <w:tcPr>
            <w:tcW w:w="2693" w:type="dxa"/>
          </w:tcPr>
          <w:p w:rsidR="00324244" w:rsidRDefault="00324244" w:rsidP="00324244">
            <w:proofErr w:type="spellStart"/>
            <w:r w:rsidRPr="007E356F">
              <w:rPr>
                <w:i/>
              </w:rPr>
              <w:t>Metarhizium</w:t>
            </w:r>
            <w:proofErr w:type="spellEnd"/>
            <w:r w:rsidRPr="007E356F">
              <w:rPr>
                <w:i/>
              </w:rPr>
              <w:t xml:space="preserve"> </w:t>
            </w:r>
            <w:proofErr w:type="spellStart"/>
            <w:r w:rsidRPr="007E356F">
              <w:rPr>
                <w:i/>
              </w:rPr>
              <w:t>anisopliae</w:t>
            </w:r>
            <w:proofErr w:type="spellEnd"/>
          </w:p>
        </w:tc>
        <w:tc>
          <w:tcPr>
            <w:tcW w:w="5982" w:type="dxa"/>
          </w:tcPr>
          <w:p w:rsidR="00324244" w:rsidRDefault="00324244" w:rsidP="00324244">
            <w:r>
              <w:t>Registered in 2007 in Australia for control of grasshoppers and locusts. Other strains of the pathogen have been developed overseas for a range of pests</w:t>
            </w:r>
          </w:p>
        </w:tc>
      </w:tr>
      <w:tr w:rsidR="00324244" w:rsidTr="00B44DF2">
        <w:tc>
          <w:tcPr>
            <w:tcW w:w="1418" w:type="dxa"/>
          </w:tcPr>
          <w:p w:rsidR="00324244" w:rsidRDefault="00324244" w:rsidP="00324244">
            <w:r>
              <w:t>1080</w:t>
            </w:r>
          </w:p>
        </w:tc>
        <w:tc>
          <w:tcPr>
            <w:tcW w:w="2693" w:type="dxa"/>
          </w:tcPr>
          <w:p w:rsidR="00324244" w:rsidRDefault="00324244" w:rsidP="00324244">
            <w:r>
              <w:t xml:space="preserve">Sodium </w:t>
            </w:r>
            <w:proofErr w:type="spellStart"/>
            <w:r>
              <w:t>fluoroacetate</w:t>
            </w:r>
            <w:proofErr w:type="spellEnd"/>
          </w:p>
        </w:tc>
        <w:tc>
          <w:tcPr>
            <w:tcW w:w="5982" w:type="dxa"/>
          </w:tcPr>
          <w:p w:rsidR="00324244" w:rsidRDefault="00324244" w:rsidP="00324244">
            <w:r>
              <w:t>Developed by the Western Australian Agriculture Protection Board for fox and wild dog control in the 1950s, but previously used for rodent control in the USA</w:t>
            </w:r>
          </w:p>
        </w:tc>
      </w:tr>
      <w:tr w:rsidR="00324244" w:rsidTr="00B44DF2">
        <w:tc>
          <w:tcPr>
            <w:tcW w:w="1418" w:type="dxa"/>
          </w:tcPr>
          <w:p w:rsidR="00324244" w:rsidRDefault="00324244" w:rsidP="00324244">
            <w:r>
              <w:t>Beat-a-bug</w:t>
            </w:r>
          </w:p>
        </w:tc>
        <w:tc>
          <w:tcPr>
            <w:tcW w:w="2693" w:type="dxa"/>
          </w:tcPr>
          <w:p w:rsidR="00324244" w:rsidRDefault="00324244" w:rsidP="00324244">
            <w:r>
              <w:t xml:space="preserve">Garlic/ chilli/ pyrethrum/ </w:t>
            </w:r>
            <w:proofErr w:type="spellStart"/>
            <w:r>
              <w:t>piperonyl</w:t>
            </w:r>
            <w:proofErr w:type="spellEnd"/>
            <w:r>
              <w:t xml:space="preserve"> </w:t>
            </w:r>
            <w:proofErr w:type="spellStart"/>
            <w:r>
              <w:t>butoxide</w:t>
            </w:r>
            <w:proofErr w:type="spellEnd"/>
            <w:r>
              <w:t xml:space="preserve"> mix</w:t>
            </w:r>
          </w:p>
        </w:tc>
        <w:tc>
          <w:tcPr>
            <w:tcW w:w="5982" w:type="dxa"/>
          </w:tcPr>
          <w:p w:rsidR="00324244" w:rsidRDefault="00324244" w:rsidP="00324244">
            <w:r>
              <w:t>Ingredients known as botanical pesticides or synergists for many years, although the mixture is novel</w:t>
            </w:r>
          </w:p>
        </w:tc>
      </w:tr>
      <w:tr w:rsidR="00324244" w:rsidTr="00B44DF2">
        <w:tc>
          <w:tcPr>
            <w:tcW w:w="1418" w:type="dxa"/>
          </w:tcPr>
          <w:p w:rsidR="00324244" w:rsidRDefault="00324244" w:rsidP="00324244">
            <w:proofErr w:type="spellStart"/>
            <w:r>
              <w:t>Dryacide</w:t>
            </w:r>
            <w:proofErr w:type="spellEnd"/>
          </w:p>
        </w:tc>
        <w:tc>
          <w:tcPr>
            <w:tcW w:w="2693" w:type="dxa"/>
          </w:tcPr>
          <w:p w:rsidR="00324244" w:rsidRDefault="00324244" w:rsidP="00324244">
            <w:r>
              <w:t>Amorphous silica</w:t>
            </w:r>
          </w:p>
        </w:tc>
        <w:tc>
          <w:tcPr>
            <w:tcW w:w="5982" w:type="dxa"/>
          </w:tcPr>
          <w:p w:rsidR="00324244" w:rsidRDefault="00324244" w:rsidP="00324244">
            <w:r>
              <w:t>Registered as a stored grain protectant in Australia in 2001, but previously registered for the same purpose in the USA in 1998</w:t>
            </w:r>
          </w:p>
        </w:tc>
      </w:tr>
      <w:tr w:rsidR="00324244" w:rsidTr="00B44DF2">
        <w:tc>
          <w:tcPr>
            <w:tcW w:w="1418" w:type="dxa"/>
          </w:tcPr>
          <w:p w:rsidR="00324244" w:rsidRDefault="00324244" w:rsidP="00324244">
            <w:proofErr w:type="spellStart"/>
            <w:r>
              <w:t>Vapormate</w:t>
            </w:r>
            <w:proofErr w:type="spellEnd"/>
          </w:p>
        </w:tc>
        <w:tc>
          <w:tcPr>
            <w:tcW w:w="2693" w:type="dxa"/>
          </w:tcPr>
          <w:p w:rsidR="00324244" w:rsidRDefault="00324244" w:rsidP="00324244">
            <w:r>
              <w:t xml:space="preserve">Ethyl </w:t>
            </w:r>
            <w:proofErr w:type="spellStart"/>
            <w:r>
              <w:t>formate</w:t>
            </w:r>
            <w:proofErr w:type="spellEnd"/>
          </w:p>
        </w:tc>
        <w:tc>
          <w:tcPr>
            <w:tcW w:w="5982" w:type="dxa"/>
          </w:tcPr>
          <w:p w:rsidR="00324244" w:rsidRDefault="00324244" w:rsidP="00324244">
            <w:r>
              <w:t>Registered as a stored grain protectant in Australia in 2006, but previously registered for the same purpose in India in 1996</w:t>
            </w:r>
          </w:p>
        </w:tc>
      </w:tr>
      <w:tr w:rsidR="00324244" w:rsidTr="00B44DF2">
        <w:tc>
          <w:tcPr>
            <w:tcW w:w="1418" w:type="dxa"/>
          </w:tcPr>
          <w:p w:rsidR="00324244" w:rsidRDefault="00324244" w:rsidP="00324244">
            <w:r>
              <w:t>Achieve</w:t>
            </w:r>
          </w:p>
        </w:tc>
        <w:tc>
          <w:tcPr>
            <w:tcW w:w="2693" w:type="dxa"/>
          </w:tcPr>
          <w:p w:rsidR="00324244" w:rsidRDefault="00324244" w:rsidP="00324244">
            <w:proofErr w:type="spellStart"/>
            <w:r>
              <w:t>Tralkoxydim</w:t>
            </w:r>
            <w:proofErr w:type="spellEnd"/>
            <w:r>
              <w:t xml:space="preserve"> </w:t>
            </w:r>
          </w:p>
        </w:tc>
        <w:tc>
          <w:tcPr>
            <w:tcW w:w="5982" w:type="dxa"/>
          </w:tcPr>
          <w:p w:rsidR="00324244" w:rsidRDefault="00324244" w:rsidP="00324244">
            <w:r>
              <w:t>Registered as a herbicide in Australia in 2006, but previously registered for the same purpose in the USA in 2006</w:t>
            </w:r>
          </w:p>
        </w:tc>
      </w:tr>
    </w:tbl>
    <w:p w:rsidR="004A7A11" w:rsidRDefault="008621F8" w:rsidP="005C2405">
      <w:pPr>
        <w:pStyle w:val="SourcetextTableorChart"/>
      </w:pPr>
      <w:r>
        <w:t>Note: developed in Australia includes adapting products developed overseas.</w:t>
      </w:r>
    </w:p>
    <w:p w:rsidR="00762C33" w:rsidRDefault="00762C33" w:rsidP="00762C33">
      <w:pPr>
        <w:pStyle w:val="SourcetextTableorChart"/>
      </w:pPr>
      <w:r>
        <w:t xml:space="preserve">Source: </w:t>
      </w:r>
      <w:r w:rsidRPr="005B6C3D">
        <w:rPr>
          <w:rFonts w:cs="Times New Roman"/>
          <w:szCs w:val="24"/>
        </w:rPr>
        <w:t>(Gregg et al. 2010)</w:t>
      </w:r>
    </w:p>
    <w:p w:rsidR="004A7A11" w:rsidRDefault="00B44DF2" w:rsidP="00B44DF2">
      <w:r>
        <w:t xml:space="preserve">In 2018-19, </w:t>
      </w:r>
      <w:r w:rsidR="002C64F6">
        <w:t xml:space="preserve">revenue for </w:t>
      </w:r>
      <w:r>
        <w:t>manufacturers</w:t>
      </w:r>
      <w:r w:rsidR="002C64F6">
        <w:t xml:space="preserve"> of agricultural chemicals in Australia </w:t>
      </w:r>
      <w:r>
        <w:t>is forecast to be</w:t>
      </w:r>
      <w:r w:rsidR="002C64F6">
        <w:t xml:space="preserve"> around </w:t>
      </w:r>
      <w:r>
        <w:t>$</w:t>
      </w:r>
      <w:r w:rsidR="002C64F6">
        <w:t>1 billion</w:t>
      </w:r>
      <w:r w:rsidR="00672324">
        <w:t xml:space="preserve"> </w:t>
      </w:r>
      <w:r w:rsidR="00EE4CBB" w:rsidRPr="00EE4CBB">
        <w:t>(IBISWorld Australia 2018</w:t>
      </w:r>
      <w:r w:rsidR="008806A8">
        <w:t>b</w:t>
      </w:r>
      <w:r w:rsidR="00EE4CBB" w:rsidRPr="00EE4CBB">
        <w:t>)</w:t>
      </w:r>
      <w:r w:rsidR="00672324">
        <w:t>.</w:t>
      </w:r>
      <w:r>
        <w:t xml:space="preserve"> Growth in revenue has been volatile in recent years, </w:t>
      </w:r>
      <w:r w:rsidRPr="00B03E5C">
        <w:t xml:space="preserve">influenced by climatic conditions. </w:t>
      </w:r>
      <w:r>
        <w:t>U</w:t>
      </w:r>
      <w:r w:rsidRPr="00B03E5C">
        <w:t xml:space="preserve">nfavourable weather conditions, including droughts and floods, </w:t>
      </w:r>
      <w:r>
        <w:t>can</w:t>
      </w:r>
      <w:r w:rsidRPr="00B03E5C">
        <w:t xml:space="preserve"> significantly reduce crop plantings, which flows through to less demand for pesticides. Australia experienced one of the driest autumns on record in 2018, resulting in a poor winter crop season and an associated fall in demand for </w:t>
      </w:r>
      <w:r>
        <w:t>agricultural chemical</w:t>
      </w:r>
      <w:r w:rsidRPr="00B03E5C">
        <w:t xml:space="preserve"> products</w:t>
      </w:r>
      <w:r w:rsidR="00672324">
        <w:t xml:space="preserve"> </w:t>
      </w:r>
      <w:r w:rsidR="00EE4CBB" w:rsidRPr="00EE4CBB">
        <w:t>(IBISWorld Australia 2018</w:t>
      </w:r>
      <w:r w:rsidR="008806A8">
        <w:t>b</w:t>
      </w:r>
      <w:r w:rsidR="00EE4CBB" w:rsidRPr="00EE4CBB">
        <w:t>)</w:t>
      </w:r>
      <w:r w:rsidR="00672324">
        <w:rPr>
          <w:rFonts w:asciiTheme="majorHAnsi" w:hAnsiTheme="majorHAnsi"/>
        </w:rPr>
        <w:t>.</w:t>
      </w:r>
    </w:p>
    <w:p w:rsidR="00B44DF2" w:rsidRDefault="00B44DF2" w:rsidP="00B44DF2">
      <w:bookmarkStart w:id="305" w:name="_Toc955507"/>
      <w:r w:rsidRPr="00B03E5C">
        <w:t>S</w:t>
      </w:r>
      <w:bookmarkEnd w:id="305"/>
      <w:r w:rsidRPr="00B03E5C">
        <w:t>ignificant merger and acquisition activity</w:t>
      </w:r>
      <w:r>
        <w:t xml:space="preserve"> has occurred</w:t>
      </w:r>
      <w:r w:rsidRPr="00B03E5C">
        <w:t xml:space="preserve"> in recent years.</w:t>
      </w:r>
      <w:r>
        <w:t xml:space="preserve"> This includes </w:t>
      </w:r>
      <w:proofErr w:type="spellStart"/>
      <w:r>
        <w:t>Nufarm</w:t>
      </w:r>
      <w:proofErr w:type="spellEnd"/>
      <w:r>
        <w:t xml:space="preserve"> consolidating</w:t>
      </w:r>
      <w:r w:rsidRPr="00B03E5C">
        <w:t xml:space="preserve"> operations into its</w:t>
      </w:r>
      <w:r>
        <w:t xml:space="preserve"> Laverton Plant, and Bayer </w:t>
      </w:r>
      <w:proofErr w:type="spellStart"/>
      <w:r>
        <w:t>CropS</w:t>
      </w:r>
      <w:r w:rsidRPr="00B03E5C">
        <w:t>cience</w:t>
      </w:r>
      <w:proofErr w:type="spellEnd"/>
      <w:r w:rsidRPr="00B03E5C">
        <w:t xml:space="preserve"> divest</w:t>
      </w:r>
      <w:r>
        <w:t>ing</w:t>
      </w:r>
      <w:r w:rsidRPr="00B03E5C">
        <w:t xml:space="preserve"> its Horsham wheat and oilseeds breeding centre to BASF in August 2018</w:t>
      </w:r>
      <w:r>
        <w:t>,</w:t>
      </w:r>
      <w:r w:rsidRPr="00B03E5C">
        <w:t xml:space="preserve"> as part of </w:t>
      </w:r>
      <w:r>
        <w:t>Bayer’s</w:t>
      </w:r>
      <w:r w:rsidRPr="00B03E5C">
        <w:t xml:space="preserve"> merger with Monsanto</w:t>
      </w:r>
      <w:r>
        <w:t>.</w:t>
      </w:r>
    </w:p>
    <w:p w:rsidR="00B44DF2" w:rsidRPr="00B03E5C" w:rsidRDefault="00B44DF2" w:rsidP="00B44DF2">
      <w:r>
        <w:t xml:space="preserve">Other companies include </w:t>
      </w:r>
      <w:proofErr w:type="spellStart"/>
      <w:r>
        <w:t>Accensi</w:t>
      </w:r>
      <w:proofErr w:type="spellEnd"/>
      <w:r>
        <w:t xml:space="preserve">, BASF, Syngenta and </w:t>
      </w:r>
      <w:proofErr w:type="spellStart"/>
      <w:r>
        <w:t>DowDuPont</w:t>
      </w:r>
      <w:proofErr w:type="spellEnd"/>
      <w:r>
        <w:t xml:space="preserve">. </w:t>
      </w:r>
      <w:r w:rsidRPr="00B03E5C">
        <w:t xml:space="preserve">Locally, </w:t>
      </w:r>
      <w:proofErr w:type="spellStart"/>
      <w:r>
        <w:t>Dow</w:t>
      </w:r>
      <w:r w:rsidRPr="00B03E5C">
        <w:t>DuPont</w:t>
      </w:r>
      <w:proofErr w:type="spellEnd"/>
      <w:r w:rsidRPr="00B03E5C">
        <w:t xml:space="preserve"> </w:t>
      </w:r>
      <w:r>
        <w:t>formulates</w:t>
      </w:r>
      <w:r w:rsidRPr="00B03E5C">
        <w:t xml:space="preserve"> and distributes a range of herbicides, fungicides, insecticides and </w:t>
      </w:r>
      <w:proofErr w:type="spellStart"/>
      <w:r w:rsidRPr="00B03E5C">
        <w:t>nematicides</w:t>
      </w:r>
      <w:proofErr w:type="spellEnd"/>
      <w:r w:rsidRPr="00B03E5C">
        <w:t xml:space="preserve"> that target the grain and specialty crop sectors. </w:t>
      </w:r>
      <w:proofErr w:type="spellStart"/>
      <w:r>
        <w:t>DowDuPont</w:t>
      </w:r>
      <w:proofErr w:type="spellEnd"/>
      <w:r w:rsidRPr="00B03E5C">
        <w:t xml:space="preserve"> also carries out part of its agricultural chemical </w:t>
      </w:r>
      <w:r>
        <w:t>r</w:t>
      </w:r>
      <w:r w:rsidRPr="00340B57">
        <w:t xml:space="preserve">esearch and </w:t>
      </w:r>
      <w:r>
        <w:t>d</w:t>
      </w:r>
      <w:r w:rsidRPr="00340B57">
        <w:t>evelopment</w:t>
      </w:r>
      <w:r>
        <w:t xml:space="preserve"> (</w:t>
      </w:r>
      <w:r w:rsidRPr="00B03E5C">
        <w:t>R&amp;D</w:t>
      </w:r>
      <w:r>
        <w:t>)</w:t>
      </w:r>
      <w:r w:rsidRPr="00B03E5C">
        <w:t xml:space="preserve"> activities in Australia, focusing on materials for herbicides and fungicides. It has operated a joint venture with the </w:t>
      </w:r>
      <w:r>
        <w:t>Commonwealth Scientific and Industrial Research Organisation (</w:t>
      </w:r>
      <w:r w:rsidRPr="00B03E5C">
        <w:t>CSIRO</w:t>
      </w:r>
      <w:r>
        <w:t>)</w:t>
      </w:r>
      <w:r w:rsidRPr="00B03E5C">
        <w:t xml:space="preserve"> to develop compounds for new agricultural chemicals for over a decade.</w:t>
      </w:r>
    </w:p>
    <w:p w:rsidR="00B44DF2" w:rsidRPr="00641D2C" w:rsidRDefault="00B44DF2" w:rsidP="004A7A11">
      <w:pPr>
        <w:pStyle w:val="Heading3"/>
        <w:numPr>
          <w:ilvl w:val="0"/>
          <w:numId w:val="0"/>
        </w:numPr>
        <w:ind w:left="720" w:hanging="720"/>
      </w:pPr>
      <w:bookmarkStart w:id="306" w:name="_Toc1057214"/>
      <w:bookmarkStart w:id="307" w:name="_Toc2336595"/>
      <w:bookmarkStart w:id="308" w:name="_Toc4449532"/>
      <w:bookmarkStart w:id="309" w:name="_Toc4545422"/>
      <w:r>
        <w:t>Imports account for an increasing share of the market</w:t>
      </w:r>
      <w:bookmarkEnd w:id="306"/>
      <w:bookmarkEnd w:id="307"/>
      <w:bookmarkEnd w:id="308"/>
      <w:bookmarkEnd w:id="309"/>
    </w:p>
    <w:p w:rsidR="00B44DF2" w:rsidRDefault="00B44DF2" w:rsidP="00B44DF2">
      <w:r>
        <w:t>In 2017, agricultural chemical imports were valued at just under US$1.2 billion (</w:t>
      </w:r>
      <w:r>
        <w:fldChar w:fldCharType="begin"/>
      </w:r>
      <w:r>
        <w:instrText xml:space="preserve"> REF _Ref958284 \h </w:instrText>
      </w:r>
      <w:r>
        <w:fldChar w:fldCharType="separate"/>
      </w:r>
      <w:r w:rsidR="00D82E3C">
        <w:t>Figure A.</w:t>
      </w:r>
      <w:r w:rsidR="00D82E3C">
        <w:rPr>
          <w:noProof/>
        </w:rPr>
        <w:t>2</w:t>
      </w:r>
      <w:r>
        <w:fldChar w:fldCharType="end"/>
      </w:r>
      <w:r w:rsidR="008806A8">
        <w:t xml:space="preserve">). </w:t>
      </w:r>
      <w:r>
        <w:t>Imports account for 59 per cent</w:t>
      </w:r>
      <w:r w:rsidRPr="00DD2775">
        <w:t xml:space="preserve"> of the Australian market for agricultural chemicals</w:t>
      </w:r>
      <w:r w:rsidR="00672324">
        <w:rPr>
          <w:rFonts w:asciiTheme="majorHAnsi" w:hAnsiTheme="majorHAnsi"/>
        </w:rPr>
        <w:t>.</w:t>
      </w:r>
      <w:r>
        <w:t xml:space="preserve"> This</w:t>
      </w:r>
      <w:r w:rsidRPr="00DD2775">
        <w:t xml:space="preserve"> share has been rising </w:t>
      </w:r>
      <w:r>
        <w:t>– up from around 33 per cent a decade ago</w:t>
      </w:r>
      <w:r w:rsidR="00C9710C">
        <w:t xml:space="preserve"> </w:t>
      </w:r>
      <w:r w:rsidR="00C9710C" w:rsidRPr="00EE4CBB">
        <w:t>(IBISWorld Australia 2018</w:t>
      </w:r>
      <w:r w:rsidR="008806A8">
        <w:t>b</w:t>
      </w:r>
      <w:r w:rsidR="00C9710C" w:rsidRPr="00EE4CBB">
        <w:t>)</w:t>
      </w:r>
      <w:r>
        <w:t>.</w:t>
      </w:r>
    </w:p>
    <w:p w:rsidR="00B44DF2" w:rsidRDefault="00B44DF2" w:rsidP="00B44DF2">
      <w:r>
        <w:t>The increase in imports reflects rising cost pressures faced by manufacturing in Australia and increasingly competitive pricing of overseas suppliers. Manufacturers in Australia are outsourcing an increasing proportion of production or</w:t>
      </w:r>
      <w:r w:rsidRPr="00181E40">
        <w:rPr>
          <w:rStyle w:val="FootnoteReference"/>
        </w:rPr>
        <w:t xml:space="preserve"> </w:t>
      </w:r>
      <w:r>
        <w:t>have left and set up international operations</w:t>
      </w:r>
      <w:r w:rsidR="00672324">
        <w:t xml:space="preserve"> </w:t>
      </w:r>
      <w:r w:rsidR="00EE4CBB" w:rsidRPr="00EE4CBB">
        <w:t>(IBISWorld Australia 2018</w:t>
      </w:r>
      <w:r w:rsidR="008806A8">
        <w:t>b</w:t>
      </w:r>
      <w:r w:rsidR="00EE4CBB" w:rsidRPr="00EE4CBB">
        <w:t>)</w:t>
      </w:r>
      <w:r w:rsidR="00672324">
        <w:rPr>
          <w:rFonts w:asciiTheme="majorHAnsi" w:hAnsiTheme="majorHAnsi"/>
        </w:rPr>
        <w:t>.</w:t>
      </w:r>
    </w:p>
    <w:p w:rsidR="00B44DF2" w:rsidRDefault="00B44DF2" w:rsidP="00B44DF2">
      <w:r w:rsidRPr="00DD2775">
        <w:t xml:space="preserve">Imports </w:t>
      </w:r>
      <w:r>
        <w:t>historically consisted mostly of active constituents, with manufacturers in Australia formulating products in Australia. However the reduction in local manufacturing and the rise of imports has resulted in imports consisting increasingly of formulated products</w:t>
      </w:r>
      <w:r w:rsidR="00672324">
        <w:t xml:space="preserve"> </w:t>
      </w:r>
      <w:r w:rsidR="00EE4CBB" w:rsidRPr="00EE4CBB">
        <w:t>(IBISWorld Australia 2018</w:t>
      </w:r>
      <w:r w:rsidR="008806A8">
        <w:t>b</w:t>
      </w:r>
      <w:r w:rsidR="00EE4CBB" w:rsidRPr="00EE4CBB">
        <w:t>)</w:t>
      </w:r>
      <w:r w:rsidR="00672324">
        <w:rPr>
          <w:rFonts w:asciiTheme="majorHAnsi" w:hAnsiTheme="majorHAnsi"/>
        </w:rPr>
        <w:t>.</w:t>
      </w:r>
      <w:r>
        <w:t xml:space="preserve"> </w:t>
      </w:r>
      <w:r w:rsidRPr="00DD2775">
        <w:t>China, the U</w:t>
      </w:r>
      <w:r>
        <w:t xml:space="preserve">nited </w:t>
      </w:r>
      <w:r w:rsidRPr="00DD2775">
        <w:t>S</w:t>
      </w:r>
      <w:r>
        <w:t>tates</w:t>
      </w:r>
      <w:r w:rsidRPr="00DD2775">
        <w:t>, N</w:t>
      </w:r>
      <w:r>
        <w:t xml:space="preserve">ew </w:t>
      </w:r>
      <w:r w:rsidRPr="00DD2775">
        <w:t>Z</w:t>
      </w:r>
      <w:r>
        <w:t>ealand</w:t>
      </w:r>
      <w:r w:rsidRPr="00DD2775">
        <w:t xml:space="preserve"> and Malaysia supply over 70</w:t>
      </w:r>
      <w:r>
        <w:t xml:space="preserve"> per cent</w:t>
      </w:r>
      <w:r w:rsidRPr="00DD2775">
        <w:t xml:space="preserve"> of all</w:t>
      </w:r>
      <w:r w:rsidR="00672324">
        <w:t xml:space="preserve"> imported product </w:t>
      </w:r>
      <w:r w:rsidR="00EE4CBB" w:rsidRPr="00EE4CBB">
        <w:t>(United Nations 2019)</w:t>
      </w:r>
      <w:r w:rsidR="00672324">
        <w:rPr>
          <w:rFonts w:asciiTheme="majorHAnsi" w:hAnsiTheme="majorHAnsi"/>
        </w:rPr>
        <w:t>.</w:t>
      </w:r>
    </w:p>
    <w:p w:rsidR="00B44DF2" w:rsidRDefault="00B44DF2" w:rsidP="00B44DF2">
      <w:pPr>
        <w:pStyle w:val="CaptionFigure"/>
      </w:pPr>
      <w:bookmarkStart w:id="310" w:name="_Ref958284"/>
      <w:bookmarkStart w:id="311" w:name="_Toc1057199"/>
      <w:bookmarkStart w:id="312" w:name="_Toc2336566"/>
      <w:bookmarkStart w:id="313" w:name="_Toc4545001"/>
      <w:r>
        <w:t>Figure</w:t>
      </w:r>
      <w:r w:rsidR="00EC5C2D">
        <w:t xml:space="preserve"> A</w:t>
      </w:r>
      <w:r>
        <w:t>.</w:t>
      </w:r>
      <w:r>
        <w:fldChar w:fldCharType="begin"/>
      </w:r>
      <w:r>
        <w:instrText xml:space="preserve"> SEQ Figure \* ARABIC \s 1 </w:instrText>
      </w:r>
      <w:r>
        <w:fldChar w:fldCharType="separate"/>
      </w:r>
      <w:r w:rsidR="00D82E3C">
        <w:rPr>
          <w:noProof/>
        </w:rPr>
        <w:t>2</w:t>
      </w:r>
      <w:r>
        <w:fldChar w:fldCharType="end"/>
      </w:r>
      <w:bookmarkEnd w:id="310"/>
      <w:r>
        <w:t>:</w:t>
      </w:r>
      <w:r w:rsidRPr="002B3471">
        <w:t xml:space="preserve"> </w:t>
      </w:r>
      <w:r>
        <w:t>Value of Australian agricultural chemicals imports and imports’ market share</w:t>
      </w:r>
      <w:bookmarkEnd w:id="311"/>
      <w:bookmarkEnd w:id="312"/>
      <w:bookmarkEnd w:id="313"/>
    </w:p>
    <w:p w:rsidR="00B44DF2" w:rsidRDefault="00B44DF2" w:rsidP="00B44DF2">
      <w:r>
        <w:rPr>
          <w:noProof/>
          <w:lang w:eastAsia="en-AU"/>
        </w:rPr>
        <w:drawing>
          <wp:inline distT="0" distB="0" distL="0" distR="0" wp14:anchorId="144BE1F0" wp14:editId="762664A5">
            <wp:extent cx="5486400" cy="2930237"/>
            <wp:effectExtent l="0" t="0" r="0" b="3810"/>
            <wp:docPr id="24" name="Chart 24" descr="This figure shows a time series of agricultural chemical imports and imports share of the total market from 2000 to 2017, both series have been increasing over time." title="Figure A.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B44DF2" w:rsidRDefault="00B44DF2" w:rsidP="00762C33">
      <w:pPr>
        <w:pStyle w:val="Source"/>
      </w:pPr>
      <w:r w:rsidRPr="176226A2">
        <w:t xml:space="preserve">Source: </w:t>
      </w:r>
      <w:r w:rsidR="005B6C3D" w:rsidRPr="005B6C3D">
        <w:rPr>
          <w:rFonts w:cs="Times New Roman"/>
          <w:szCs w:val="24"/>
        </w:rPr>
        <w:t xml:space="preserve">United Nations </w:t>
      </w:r>
      <w:r w:rsidR="00C9710C">
        <w:rPr>
          <w:rFonts w:cs="Times New Roman"/>
          <w:szCs w:val="24"/>
        </w:rPr>
        <w:t>(</w:t>
      </w:r>
      <w:r w:rsidR="005B6C3D" w:rsidRPr="005B6C3D">
        <w:rPr>
          <w:rFonts w:cs="Times New Roman"/>
          <w:szCs w:val="24"/>
        </w:rPr>
        <w:t>2019</w:t>
      </w:r>
      <w:r w:rsidR="00C9710C">
        <w:rPr>
          <w:rFonts w:cs="Times New Roman"/>
          <w:szCs w:val="24"/>
        </w:rPr>
        <w:t>)</w:t>
      </w:r>
      <w:r w:rsidR="005B6C3D" w:rsidRPr="005B6C3D">
        <w:rPr>
          <w:rFonts w:cs="Times New Roman"/>
          <w:szCs w:val="24"/>
        </w:rPr>
        <w:t xml:space="preserve">; IBISWorld Australia </w:t>
      </w:r>
      <w:r w:rsidR="00C9710C">
        <w:rPr>
          <w:rFonts w:cs="Times New Roman"/>
          <w:szCs w:val="24"/>
        </w:rPr>
        <w:t>(</w:t>
      </w:r>
      <w:r w:rsidR="005B6C3D" w:rsidRPr="005B6C3D">
        <w:rPr>
          <w:rFonts w:cs="Times New Roman"/>
          <w:szCs w:val="24"/>
        </w:rPr>
        <w:t>2018</w:t>
      </w:r>
      <w:r w:rsidR="008806A8">
        <w:rPr>
          <w:rFonts w:cs="Times New Roman"/>
          <w:szCs w:val="24"/>
        </w:rPr>
        <w:t>b</w:t>
      </w:r>
      <w:r w:rsidR="005B6C3D" w:rsidRPr="005B6C3D">
        <w:rPr>
          <w:rFonts w:cs="Times New Roman"/>
          <w:szCs w:val="24"/>
        </w:rPr>
        <w:t>)</w:t>
      </w:r>
    </w:p>
    <w:p w:rsidR="00B44DF2" w:rsidRPr="00EC5C2D" w:rsidRDefault="00B44DF2" w:rsidP="00EC5C2D">
      <w:pPr>
        <w:pStyle w:val="Heading2"/>
        <w:numPr>
          <w:ilvl w:val="0"/>
          <w:numId w:val="0"/>
        </w:numPr>
        <w:ind w:left="576" w:hanging="576"/>
        <w:rPr>
          <w:rStyle w:val="Strong"/>
          <w:b/>
        </w:rPr>
      </w:pPr>
      <w:bookmarkStart w:id="314" w:name="_Toc2336596"/>
      <w:bookmarkStart w:id="315" w:name="_Toc4449533"/>
      <w:bookmarkStart w:id="316" w:name="_Toc4545423"/>
      <w:bookmarkStart w:id="317" w:name="_Toc4586254"/>
      <w:bookmarkStart w:id="318" w:name="_Toc4672726"/>
      <w:bookmarkStart w:id="319" w:name="_Toc4764873"/>
      <w:bookmarkStart w:id="320" w:name="_Toc12024323"/>
      <w:bookmarkStart w:id="321" w:name="_Toc12294096"/>
      <w:bookmarkStart w:id="322" w:name="_Toc13217625"/>
      <w:bookmarkStart w:id="323" w:name="_Toc14107332"/>
      <w:bookmarkStart w:id="324" w:name="_Toc955508"/>
      <w:bookmarkStart w:id="325" w:name="_Toc1057215"/>
      <w:bookmarkStart w:id="326" w:name="_Toc536198165"/>
      <w:bookmarkStart w:id="327" w:name="_Toc536199031"/>
      <w:bookmarkStart w:id="328" w:name="_Toc536199570"/>
      <w:bookmarkStart w:id="329" w:name="_Toc536199723"/>
      <w:bookmarkStart w:id="330" w:name="_Toc536202295"/>
      <w:bookmarkStart w:id="331" w:name="_Toc866232"/>
      <w:r w:rsidRPr="00EC5C2D">
        <w:rPr>
          <w:rStyle w:val="Strong"/>
          <w:b/>
        </w:rPr>
        <w:t>The veterinary medicines market</w:t>
      </w:r>
      <w:bookmarkEnd w:id="314"/>
      <w:bookmarkEnd w:id="315"/>
      <w:bookmarkEnd w:id="316"/>
      <w:bookmarkEnd w:id="317"/>
      <w:bookmarkEnd w:id="318"/>
      <w:bookmarkEnd w:id="319"/>
      <w:bookmarkEnd w:id="320"/>
      <w:bookmarkEnd w:id="321"/>
      <w:bookmarkEnd w:id="322"/>
      <w:bookmarkEnd w:id="323"/>
    </w:p>
    <w:p w:rsidR="004A7A11" w:rsidRDefault="00B44DF2" w:rsidP="00B44DF2">
      <w:pPr>
        <w:rPr>
          <w:i/>
        </w:rPr>
      </w:pPr>
      <w:r>
        <w:rPr>
          <w:i/>
        </w:rPr>
        <w:t>T</w:t>
      </w:r>
      <w:r w:rsidRPr="007C36B7">
        <w:rPr>
          <w:i/>
        </w:rPr>
        <w:t xml:space="preserve">his </w:t>
      </w:r>
      <w:r>
        <w:rPr>
          <w:i/>
        </w:rPr>
        <w:t>sub-</w:t>
      </w:r>
      <w:r w:rsidRPr="007C36B7">
        <w:rPr>
          <w:i/>
        </w:rPr>
        <w:t xml:space="preserve">section profiles the Australian market for </w:t>
      </w:r>
      <w:r>
        <w:rPr>
          <w:i/>
        </w:rPr>
        <w:t xml:space="preserve">veterinary medicines, </w:t>
      </w:r>
      <w:r w:rsidRPr="007C36B7">
        <w:rPr>
          <w:i/>
        </w:rPr>
        <w:t xml:space="preserve">not just </w:t>
      </w:r>
      <w:r>
        <w:rPr>
          <w:i/>
        </w:rPr>
        <w:t>novel</w:t>
      </w:r>
      <w:r w:rsidRPr="007C36B7">
        <w:rPr>
          <w:i/>
        </w:rPr>
        <w:t xml:space="preserve"> ones</w:t>
      </w:r>
      <w:r>
        <w:rPr>
          <w:i/>
        </w:rPr>
        <w:t>.</w:t>
      </w:r>
    </w:p>
    <w:p w:rsidR="00B44DF2" w:rsidRDefault="00B44DF2" w:rsidP="004A7A11">
      <w:pPr>
        <w:pStyle w:val="Heading3"/>
        <w:numPr>
          <w:ilvl w:val="0"/>
          <w:numId w:val="0"/>
        </w:numPr>
        <w:ind w:left="720" w:hanging="720"/>
      </w:pPr>
      <w:bookmarkStart w:id="332" w:name="_Toc2336597"/>
      <w:bookmarkStart w:id="333" w:name="_Toc4449534"/>
      <w:bookmarkStart w:id="334" w:name="_Toc4545424"/>
      <w:r>
        <w:t>L</w:t>
      </w:r>
      <w:bookmarkEnd w:id="324"/>
      <w:r>
        <w:t>ivestock numbers drive Australia’s veterinary medicines market</w:t>
      </w:r>
      <w:bookmarkEnd w:id="325"/>
      <w:bookmarkEnd w:id="326"/>
      <w:bookmarkEnd w:id="327"/>
      <w:bookmarkEnd w:id="328"/>
      <w:bookmarkEnd w:id="329"/>
      <w:bookmarkEnd w:id="330"/>
      <w:bookmarkEnd w:id="331"/>
      <w:bookmarkEnd w:id="332"/>
      <w:bookmarkEnd w:id="333"/>
      <w:bookmarkEnd w:id="334"/>
    </w:p>
    <w:p w:rsidR="00B44DF2" w:rsidRDefault="00B44DF2" w:rsidP="00B44DF2">
      <w:r>
        <w:t xml:space="preserve">Australian </w:t>
      </w:r>
      <w:proofErr w:type="spellStart"/>
      <w:r>
        <w:t>broadacre</w:t>
      </w:r>
      <w:proofErr w:type="spellEnd"/>
      <w:r>
        <w:t xml:space="preserve"> farm expenditure on veterinary medicine</w:t>
      </w:r>
      <w:r w:rsidR="00672324">
        <w:t xml:space="preserve">s totalled $438 million in 2017 </w:t>
      </w:r>
      <w:r w:rsidR="00916B38" w:rsidRPr="00916B38">
        <w:t>(ABARES 2018c)</w:t>
      </w:r>
      <w:r w:rsidR="00672324">
        <w:t>.</w:t>
      </w:r>
      <w:r>
        <w:t xml:space="preserve"> Since 2000, veterinary medicines expenditure has fluctuated between $300 million and $500 million (</w:t>
      </w:r>
      <w:r>
        <w:fldChar w:fldCharType="begin"/>
      </w:r>
      <w:r>
        <w:instrText xml:space="preserve"> REF _Ref960941 \h </w:instrText>
      </w:r>
      <w:r>
        <w:fldChar w:fldCharType="separate"/>
      </w:r>
      <w:r w:rsidR="00D82E3C">
        <w:t>Figure A.</w:t>
      </w:r>
      <w:r w:rsidR="00D82E3C">
        <w:rPr>
          <w:noProof/>
        </w:rPr>
        <w:t>3</w:t>
      </w:r>
      <w:r>
        <w:fldChar w:fldCharType="end"/>
      </w:r>
      <w:r>
        <w:t>). This has been driven largely by changes in Australian livestock numbers, with veterinary medicines remaining at a steady share of total costs (2 per cent).</w:t>
      </w:r>
    </w:p>
    <w:p w:rsidR="00B44DF2" w:rsidRDefault="00B44DF2" w:rsidP="00B44DF2">
      <w:pPr>
        <w:pStyle w:val="CaptionFigure"/>
      </w:pPr>
      <w:bookmarkStart w:id="335" w:name="_Ref960941"/>
      <w:bookmarkStart w:id="336" w:name="_Toc1057200"/>
      <w:bookmarkStart w:id="337" w:name="_Toc2336567"/>
      <w:bookmarkStart w:id="338" w:name="_Toc4545002"/>
      <w:r>
        <w:t>Figure</w:t>
      </w:r>
      <w:r w:rsidR="00EC5C2D">
        <w:t xml:space="preserve"> A</w:t>
      </w:r>
      <w:r>
        <w:t>.</w:t>
      </w:r>
      <w:r>
        <w:fldChar w:fldCharType="begin"/>
      </w:r>
      <w:r>
        <w:instrText xml:space="preserve"> SEQ Figure \* ARABIC \s 1 </w:instrText>
      </w:r>
      <w:r>
        <w:fldChar w:fldCharType="separate"/>
      </w:r>
      <w:r w:rsidR="00D82E3C">
        <w:rPr>
          <w:noProof/>
        </w:rPr>
        <w:t>3</w:t>
      </w:r>
      <w:r>
        <w:fldChar w:fldCharType="end"/>
      </w:r>
      <w:bookmarkEnd w:id="335"/>
      <w:r>
        <w:t>:</w:t>
      </w:r>
      <w:r w:rsidRPr="002B3471">
        <w:t xml:space="preserve"> </w:t>
      </w:r>
      <w:r w:rsidR="005C3CDA">
        <w:t>Veterinary medicine expenditure by Australian farms, and share of total farm costs</w:t>
      </w:r>
      <w:bookmarkEnd w:id="336"/>
      <w:bookmarkEnd w:id="337"/>
      <w:bookmarkEnd w:id="338"/>
    </w:p>
    <w:p w:rsidR="00B44DF2" w:rsidRDefault="00B44DF2" w:rsidP="00B44DF2">
      <w:r>
        <w:rPr>
          <w:noProof/>
          <w:lang w:eastAsia="en-AU"/>
        </w:rPr>
        <w:drawing>
          <wp:inline distT="0" distB="0" distL="0" distR="0" wp14:anchorId="0BEE31D5" wp14:editId="4BFA8268">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B44DF2" w:rsidRPr="000E5EAE" w:rsidRDefault="00B44DF2" w:rsidP="00B44DF2">
      <w:pPr>
        <w:pStyle w:val="Source"/>
      </w:pPr>
      <w:r>
        <w:t xml:space="preserve">Source: </w:t>
      </w:r>
      <w:r w:rsidR="00916B38" w:rsidRPr="00916B38">
        <w:t xml:space="preserve">ABARES </w:t>
      </w:r>
      <w:r w:rsidR="00C9710C">
        <w:t>(</w:t>
      </w:r>
      <w:r w:rsidR="00916B38" w:rsidRPr="00916B38">
        <w:t>2018c)</w:t>
      </w:r>
    </w:p>
    <w:p w:rsidR="00B44DF2" w:rsidRDefault="00B44DF2" w:rsidP="004A7A11">
      <w:pPr>
        <w:pStyle w:val="Heading3"/>
        <w:numPr>
          <w:ilvl w:val="0"/>
          <w:numId w:val="0"/>
        </w:numPr>
        <w:ind w:left="720" w:hanging="720"/>
      </w:pPr>
      <w:bookmarkStart w:id="339" w:name="_Toc2336599"/>
      <w:bookmarkStart w:id="340" w:name="_Toc4449536"/>
      <w:bookmarkStart w:id="341" w:name="_Toc4545426"/>
      <w:r>
        <w:t xml:space="preserve">Veterinary medicines in Australia dominated by </w:t>
      </w:r>
      <w:proofErr w:type="spellStart"/>
      <w:r>
        <w:t>parasiticides</w:t>
      </w:r>
      <w:bookmarkEnd w:id="339"/>
      <w:bookmarkEnd w:id="340"/>
      <w:bookmarkEnd w:id="341"/>
      <w:proofErr w:type="spellEnd"/>
    </w:p>
    <w:p w:rsidR="004A7A11" w:rsidRDefault="00B44DF2" w:rsidP="00B44DF2">
      <w:r>
        <w:t xml:space="preserve">Data sourced from </w:t>
      </w:r>
      <w:r w:rsidRPr="00D22DF5">
        <w:t xml:space="preserve">Animal Medicines Australia </w:t>
      </w:r>
      <w:r>
        <w:t xml:space="preserve">indicates that the Australian market for veterinary medicines is dominated by </w:t>
      </w:r>
      <w:proofErr w:type="spellStart"/>
      <w:r>
        <w:t>parasiticides</w:t>
      </w:r>
      <w:proofErr w:type="spellEnd"/>
      <w:r>
        <w:t>, which accounted for 33 per cent of livestock veterinary medicine sales value in 2015-16</w:t>
      </w:r>
      <w:r w:rsidR="005C3CDA">
        <w:t xml:space="preserve"> </w:t>
      </w:r>
      <w:r w:rsidR="00EE4CBB" w:rsidRPr="00EE4CBB">
        <w:t>(ACIL Allen Consulting 2018)</w:t>
      </w:r>
      <w:r w:rsidR="005C3CDA">
        <w:t>.</w:t>
      </w:r>
      <w:r>
        <w:t xml:space="preserve"> This was followed by vaccines (29 per cent). This broadly aligns with that reported by the APVMA</w:t>
      </w:r>
      <w:r w:rsidR="005C3CDA">
        <w:t xml:space="preserve"> </w:t>
      </w:r>
      <w:r w:rsidR="00EE4CBB" w:rsidRPr="00EE4CBB">
        <w:t>(APVMA 2019a)</w:t>
      </w:r>
      <w:r>
        <w:t>, although the scope of the APVMA’s data is broader and includes companion animals. In discussing the market for veterinary medicines in Australia, the remainder of the statistics in this section are inclusive of companion animal products (due to a lack of disaggregated data).</w:t>
      </w:r>
    </w:p>
    <w:p w:rsidR="004A7A11" w:rsidRDefault="00B44DF2" w:rsidP="004A7A11">
      <w:pPr>
        <w:pStyle w:val="Heading3"/>
        <w:numPr>
          <w:ilvl w:val="0"/>
          <w:numId w:val="0"/>
        </w:numPr>
        <w:ind w:left="720" w:hanging="720"/>
      </w:pPr>
      <w:bookmarkStart w:id="342" w:name="_Toc1057216"/>
      <w:bookmarkStart w:id="343" w:name="_Toc2336600"/>
      <w:bookmarkStart w:id="344" w:name="_Toc4449537"/>
      <w:bookmarkStart w:id="345" w:name="_Toc4545427"/>
      <w:r>
        <w:t>Secondary manufacturing dominates veterinary medicine production in Australia</w:t>
      </w:r>
      <w:bookmarkEnd w:id="342"/>
      <w:bookmarkEnd w:id="343"/>
      <w:bookmarkEnd w:id="344"/>
      <w:bookmarkEnd w:id="345"/>
    </w:p>
    <w:p w:rsidR="00B44DF2" w:rsidRDefault="00B44DF2" w:rsidP="00B44DF2">
      <w:r>
        <w:t>V</w:t>
      </w:r>
      <w:r w:rsidRPr="00B20863">
        <w:t xml:space="preserve">ery little primary manufacturing </w:t>
      </w:r>
      <w:r>
        <w:t xml:space="preserve">of veterinary medicines occurs in Australia, with </w:t>
      </w:r>
      <w:r w:rsidRPr="00B20863">
        <w:t xml:space="preserve">secondary </w:t>
      </w:r>
      <w:r>
        <w:t>manufacturing, the formulation or packagin</w:t>
      </w:r>
      <w:r w:rsidR="005C3CDA">
        <w:t xml:space="preserve">g of imported actives, dominant </w:t>
      </w:r>
      <w:r w:rsidR="00EE4CBB" w:rsidRPr="00EE4CBB">
        <w:t>(</w:t>
      </w:r>
      <w:proofErr w:type="spellStart"/>
      <w:r w:rsidR="00EE4CBB" w:rsidRPr="00EE4CBB">
        <w:t>IBISworld</w:t>
      </w:r>
      <w:proofErr w:type="spellEnd"/>
      <w:r w:rsidR="00EE4CBB" w:rsidRPr="00EE4CBB">
        <w:t xml:space="preserve"> Australia 2018</w:t>
      </w:r>
      <w:r w:rsidR="008806A8">
        <w:t>a</w:t>
      </w:r>
      <w:r w:rsidR="00EE4CBB" w:rsidRPr="00EE4CBB">
        <w:t>)</w:t>
      </w:r>
      <w:r w:rsidR="005C3CDA">
        <w:rPr>
          <w:rFonts w:asciiTheme="majorHAnsi" w:hAnsiTheme="majorHAnsi"/>
        </w:rPr>
        <w:t>.</w:t>
      </w:r>
      <w:r>
        <w:t xml:space="preserve"> Veterinary medicines manufacturing in Australia is dominated by three global companies: Zoetis Australia, </w:t>
      </w:r>
      <w:proofErr w:type="spellStart"/>
      <w:r>
        <w:t>Intervet</w:t>
      </w:r>
      <w:proofErr w:type="spellEnd"/>
      <w:r>
        <w:t xml:space="preserve"> Australia and </w:t>
      </w:r>
      <w:proofErr w:type="spellStart"/>
      <w:r>
        <w:t>Virbac</w:t>
      </w:r>
      <w:proofErr w:type="spellEnd"/>
      <w:r>
        <w:t xml:space="preserve"> (Australia). Collectively these three firms account for around 75 per cent of the market. </w:t>
      </w:r>
      <w:proofErr w:type="spellStart"/>
      <w:r w:rsidRPr="00B20863">
        <w:t>Jurox</w:t>
      </w:r>
      <w:proofErr w:type="spellEnd"/>
      <w:r w:rsidRPr="00B20863">
        <w:t xml:space="preserve"> </w:t>
      </w:r>
      <w:r>
        <w:t xml:space="preserve">is the only </w:t>
      </w:r>
      <w:r w:rsidRPr="00B20863">
        <w:t xml:space="preserve">Australian-owned </w:t>
      </w:r>
      <w:r>
        <w:t>and operated firm and has a market share of around 7.5</w:t>
      </w:r>
      <w:r w:rsidR="00D82962">
        <w:t xml:space="preserve"> </w:t>
      </w:r>
      <w:r w:rsidR="005C3CDA">
        <w:t xml:space="preserve">per cent </w:t>
      </w:r>
      <w:r w:rsidR="00EE4CBB" w:rsidRPr="00EE4CBB">
        <w:t>(</w:t>
      </w:r>
      <w:proofErr w:type="spellStart"/>
      <w:r w:rsidR="00EE4CBB" w:rsidRPr="00EE4CBB">
        <w:t>IBISworld</w:t>
      </w:r>
      <w:proofErr w:type="spellEnd"/>
      <w:r w:rsidR="00EE4CBB" w:rsidRPr="00EE4CBB">
        <w:t xml:space="preserve"> Australia 2018</w:t>
      </w:r>
      <w:r w:rsidR="008806A8">
        <w:t>a</w:t>
      </w:r>
      <w:r w:rsidR="00EE4CBB" w:rsidRPr="00EE4CBB">
        <w:t>)</w:t>
      </w:r>
      <w:r w:rsidR="005C3CDA">
        <w:rPr>
          <w:rFonts w:asciiTheme="majorHAnsi" w:hAnsiTheme="majorHAnsi"/>
        </w:rPr>
        <w:t>.</w:t>
      </w:r>
    </w:p>
    <w:p w:rsidR="00B44DF2" w:rsidRDefault="00B44DF2" w:rsidP="00B44DF2">
      <w:r>
        <w:t>As with the agricultural chemicals, the market for veterinary</w:t>
      </w:r>
      <w:r w:rsidDel="00145106">
        <w:t xml:space="preserve"> </w:t>
      </w:r>
      <w:r>
        <w:t>medicines in Australia is influenced by climatic conditions. In the decade prior to 2010, Australian agriculture was subject to an extended period of below average seasonal conditions. During this period, veterinary</w:t>
      </w:r>
      <w:r w:rsidDel="00145106">
        <w:t xml:space="preserve"> </w:t>
      </w:r>
      <w:r>
        <w:t xml:space="preserve">medicines industry revenue contracted annually by around 1 per cent as livestock numbers contracted and farm incomes and expenditure </w:t>
      </w:r>
      <w:r w:rsidRPr="00786116">
        <w:t>shrunk</w:t>
      </w:r>
      <w:r w:rsidR="005C3CDA">
        <w:t xml:space="preserve"> </w:t>
      </w:r>
      <w:r w:rsidR="00EE4CBB" w:rsidRPr="00EE4CBB">
        <w:t>(</w:t>
      </w:r>
      <w:proofErr w:type="spellStart"/>
      <w:r w:rsidR="00EE4CBB" w:rsidRPr="00EE4CBB">
        <w:t>IBISworld</w:t>
      </w:r>
      <w:proofErr w:type="spellEnd"/>
      <w:r w:rsidR="00EE4CBB" w:rsidRPr="00EE4CBB">
        <w:t xml:space="preserve"> Australia 2018)</w:t>
      </w:r>
      <w:r w:rsidR="005C3CDA">
        <w:rPr>
          <w:rFonts w:asciiTheme="majorHAnsi" w:hAnsiTheme="majorHAnsi"/>
        </w:rPr>
        <w:t>.</w:t>
      </w:r>
    </w:p>
    <w:p w:rsidR="00B44DF2" w:rsidRPr="00C43EA8" w:rsidRDefault="00B44DF2" w:rsidP="004A7A11">
      <w:pPr>
        <w:pStyle w:val="Heading3"/>
        <w:numPr>
          <w:ilvl w:val="0"/>
          <w:numId w:val="0"/>
        </w:numPr>
        <w:ind w:left="720" w:hanging="720"/>
      </w:pPr>
      <w:bookmarkStart w:id="346" w:name="_Toc1057217"/>
      <w:bookmarkStart w:id="347" w:name="_Toc2336601"/>
      <w:bookmarkStart w:id="348" w:name="_Toc4449538"/>
      <w:bookmarkStart w:id="349" w:name="_Toc4545428"/>
      <w:r>
        <w:t>Imports are rising but continue to account for a small share of the market</w:t>
      </w:r>
      <w:bookmarkEnd w:id="346"/>
      <w:bookmarkEnd w:id="347"/>
      <w:bookmarkEnd w:id="348"/>
      <w:bookmarkEnd w:id="349"/>
    </w:p>
    <w:p w:rsidR="004A7A11" w:rsidRDefault="00B44DF2" w:rsidP="00B44DF2">
      <w:r w:rsidRPr="00B20863">
        <w:t>In 201</w:t>
      </w:r>
      <w:r>
        <w:t>7</w:t>
      </w:r>
      <w:r w:rsidRPr="00B20863">
        <w:t>-1</w:t>
      </w:r>
      <w:r>
        <w:t>8</w:t>
      </w:r>
      <w:r w:rsidRPr="00B20863">
        <w:t xml:space="preserve">, </w:t>
      </w:r>
      <w:r>
        <w:t>Australia</w:t>
      </w:r>
      <w:r w:rsidRPr="00B20863">
        <w:t xml:space="preserve"> import</w:t>
      </w:r>
      <w:r>
        <w:t>ed around</w:t>
      </w:r>
      <w:r w:rsidRPr="00B20863">
        <w:t xml:space="preserve"> $</w:t>
      </w:r>
      <w:r>
        <w:t>100</w:t>
      </w:r>
      <w:r w:rsidRPr="00B20863">
        <w:t xml:space="preserve"> million of veterinary pharmaceutical and medicinal products</w:t>
      </w:r>
      <w:r w:rsidR="005C3CDA">
        <w:t xml:space="preserve"> </w:t>
      </w:r>
      <w:r w:rsidR="00EE4CBB" w:rsidRPr="00EE4CBB">
        <w:t>(</w:t>
      </w:r>
      <w:proofErr w:type="spellStart"/>
      <w:r w:rsidR="00EE4CBB" w:rsidRPr="00EE4CBB">
        <w:t>IBISworld</w:t>
      </w:r>
      <w:proofErr w:type="spellEnd"/>
      <w:r w:rsidR="00EE4CBB" w:rsidRPr="00EE4CBB">
        <w:t xml:space="preserve"> Australia 2018</w:t>
      </w:r>
      <w:r w:rsidR="008806A8">
        <w:t>a</w:t>
      </w:r>
      <w:r w:rsidR="00EE4CBB" w:rsidRPr="00EE4CBB">
        <w:t>)</w:t>
      </w:r>
      <w:r w:rsidR="005C3CDA">
        <w:t>.</w:t>
      </w:r>
      <w:r>
        <w:t xml:space="preserve"> </w:t>
      </w:r>
      <w:r w:rsidRPr="00B20863">
        <w:t xml:space="preserve">Most imports arrive from the United States and European countries such as the Netherlands and Spain, </w:t>
      </w:r>
      <w:r>
        <w:t xml:space="preserve">which are major </w:t>
      </w:r>
      <w:r w:rsidRPr="00B20863">
        <w:t>pharmaceutical producing nations</w:t>
      </w:r>
      <w:r>
        <w:t>. The majority of these are active compounds for use in secondary manufacturing, with final product imports being a relatively small share of the market, accounting for just 10.5 per cent of domestic demand</w:t>
      </w:r>
      <w:r w:rsidR="005C3CDA">
        <w:t xml:space="preserve"> </w:t>
      </w:r>
      <w:r w:rsidR="00EE4CBB" w:rsidRPr="00EE4CBB">
        <w:t>(</w:t>
      </w:r>
      <w:proofErr w:type="spellStart"/>
      <w:r w:rsidR="00EE4CBB" w:rsidRPr="00EE4CBB">
        <w:t>IBISworld</w:t>
      </w:r>
      <w:proofErr w:type="spellEnd"/>
      <w:r w:rsidR="00EE4CBB" w:rsidRPr="00EE4CBB">
        <w:t xml:space="preserve"> Australia 2018</w:t>
      </w:r>
      <w:r w:rsidR="008806A8">
        <w:t>a</w:t>
      </w:r>
      <w:r w:rsidR="00EE4CBB" w:rsidRPr="00EE4CBB">
        <w:t>)</w:t>
      </w:r>
      <w:r w:rsidR="005C3CDA">
        <w:t>.</w:t>
      </w:r>
      <w:r>
        <w:t xml:space="preserve"> Despite this, final products have reportedly been ris</w:t>
      </w:r>
      <w:r w:rsidR="005C3CDA">
        <w:t xml:space="preserve">ing as a share of total imports </w:t>
      </w:r>
      <w:r w:rsidR="00EE4CBB" w:rsidRPr="00EE4CBB">
        <w:t>(</w:t>
      </w:r>
      <w:proofErr w:type="spellStart"/>
      <w:r w:rsidR="00EE4CBB" w:rsidRPr="00EE4CBB">
        <w:t>IBISworld</w:t>
      </w:r>
      <w:proofErr w:type="spellEnd"/>
      <w:r w:rsidR="00EE4CBB" w:rsidRPr="00EE4CBB">
        <w:t xml:space="preserve"> Australia 2018</w:t>
      </w:r>
      <w:r w:rsidR="008806A8">
        <w:t>a</w:t>
      </w:r>
      <w:r w:rsidR="00EE4CBB" w:rsidRPr="00EE4CBB">
        <w:t>)</w:t>
      </w:r>
      <w:r w:rsidR="005C3CDA">
        <w:t>.</w:t>
      </w:r>
      <w:r>
        <w:t xml:space="preserve"> The value of Australian vaccine imports has doubled in real terms in the last decade (</w:t>
      </w:r>
      <w:r>
        <w:fldChar w:fldCharType="begin"/>
      </w:r>
      <w:r>
        <w:instrText xml:space="preserve"> REF _Ref1124086 \h </w:instrText>
      </w:r>
      <w:r>
        <w:fldChar w:fldCharType="separate"/>
      </w:r>
      <w:r w:rsidR="00D82E3C">
        <w:t>Figure A.</w:t>
      </w:r>
      <w:r w:rsidR="00D82E3C">
        <w:rPr>
          <w:noProof/>
        </w:rPr>
        <w:t>4</w:t>
      </w:r>
      <w:r>
        <w:fldChar w:fldCharType="end"/>
      </w:r>
      <w:r>
        <w:t>).</w:t>
      </w:r>
    </w:p>
    <w:p w:rsidR="00B44DF2" w:rsidRPr="008575F8" w:rsidRDefault="00B44DF2" w:rsidP="00B44DF2">
      <w:r>
        <w:t>Australia is also an exporter of veterinary</w:t>
      </w:r>
      <w:r w:rsidDel="00145106">
        <w:t xml:space="preserve"> </w:t>
      </w:r>
      <w:r>
        <w:t>medicines, however the value of exports is smaller than imports at $33 </w:t>
      </w:r>
      <w:r w:rsidR="005C3CDA">
        <w:t xml:space="preserve">million </w:t>
      </w:r>
      <w:r w:rsidR="00EE4CBB" w:rsidRPr="00EE4CBB">
        <w:t>(</w:t>
      </w:r>
      <w:proofErr w:type="spellStart"/>
      <w:r w:rsidR="00EE4CBB" w:rsidRPr="00EE4CBB">
        <w:t>IBISworld</w:t>
      </w:r>
      <w:proofErr w:type="spellEnd"/>
      <w:r w:rsidR="00EE4CBB" w:rsidRPr="00EE4CBB">
        <w:t xml:space="preserve"> Australia 2018</w:t>
      </w:r>
      <w:r w:rsidR="008806A8">
        <w:t>a</w:t>
      </w:r>
      <w:r w:rsidR="00EE4CBB" w:rsidRPr="00EE4CBB">
        <w:t>)</w:t>
      </w:r>
      <w:r w:rsidR="005C3CDA">
        <w:t>.</w:t>
      </w:r>
      <w:r>
        <w:t xml:space="preserve"> Major export </w:t>
      </w:r>
      <w:r w:rsidRPr="00B20863">
        <w:t>markets include New Zealand, Iran, the United Kingdom and the Netherlands.</w:t>
      </w:r>
    </w:p>
    <w:p w:rsidR="00B44DF2" w:rsidRDefault="00B44DF2" w:rsidP="00B44DF2">
      <w:pPr>
        <w:pStyle w:val="CaptionFigure"/>
      </w:pPr>
      <w:bookmarkStart w:id="350" w:name="_Ref1124086"/>
      <w:bookmarkStart w:id="351" w:name="_Toc1057201"/>
      <w:bookmarkStart w:id="352" w:name="_Toc2336570"/>
      <w:bookmarkStart w:id="353" w:name="_Toc4545005"/>
      <w:r>
        <w:t xml:space="preserve">Figure </w:t>
      </w:r>
      <w:r w:rsidR="00EC5C2D">
        <w:t>A</w:t>
      </w:r>
      <w:r>
        <w:t>.</w:t>
      </w:r>
      <w:r>
        <w:fldChar w:fldCharType="begin"/>
      </w:r>
      <w:r>
        <w:instrText xml:space="preserve"> SEQ Figure \* ARABIC \s 1 </w:instrText>
      </w:r>
      <w:r>
        <w:fldChar w:fldCharType="separate"/>
      </w:r>
      <w:r w:rsidR="00D82E3C">
        <w:rPr>
          <w:noProof/>
        </w:rPr>
        <w:t>4</w:t>
      </w:r>
      <w:r>
        <w:fldChar w:fldCharType="end"/>
      </w:r>
      <w:bookmarkEnd w:id="350"/>
      <w:r>
        <w:t>:</w:t>
      </w:r>
      <w:r w:rsidRPr="002B3471">
        <w:t xml:space="preserve"> </w:t>
      </w:r>
      <w:r>
        <w:t>Value of Australian veterinary vaccine imports and exports, 2017 $ million</w:t>
      </w:r>
      <w:bookmarkEnd w:id="351"/>
      <w:bookmarkEnd w:id="352"/>
      <w:bookmarkEnd w:id="353"/>
    </w:p>
    <w:p w:rsidR="00B44DF2" w:rsidRDefault="00B44DF2" w:rsidP="00B44DF2">
      <w:r>
        <w:rPr>
          <w:noProof/>
          <w:lang w:eastAsia="en-AU"/>
        </w:rPr>
        <w:drawing>
          <wp:inline distT="0" distB="0" distL="0" distR="0" wp14:anchorId="6469BB4D" wp14:editId="045DC21F">
            <wp:extent cx="5486400" cy="3200400"/>
            <wp:effectExtent l="0" t="0" r="0" b="0"/>
            <wp:docPr id="20" name="Chart 20" descr="This figure shows a time series of veterinary medicines imports and exports from 2000 to 2017, imports have been increasing, while exports have fluctated." title="Figure A.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44DF2" w:rsidRDefault="00B44DF2" w:rsidP="00762C33">
      <w:pPr>
        <w:pStyle w:val="Source"/>
      </w:pPr>
      <w:r w:rsidRPr="176226A2">
        <w:t xml:space="preserve">Source: </w:t>
      </w:r>
      <w:proofErr w:type="spellStart"/>
      <w:r w:rsidR="005B6C3D" w:rsidRPr="005B6C3D">
        <w:rPr>
          <w:rFonts w:cs="Times New Roman"/>
          <w:szCs w:val="24"/>
        </w:rPr>
        <w:t>IBISworld</w:t>
      </w:r>
      <w:proofErr w:type="spellEnd"/>
      <w:r w:rsidR="005B6C3D" w:rsidRPr="005B6C3D">
        <w:rPr>
          <w:rFonts w:cs="Times New Roman"/>
          <w:szCs w:val="24"/>
        </w:rPr>
        <w:t xml:space="preserve"> Australia </w:t>
      </w:r>
      <w:r w:rsidR="00C9710C">
        <w:rPr>
          <w:rFonts w:cs="Times New Roman"/>
          <w:szCs w:val="24"/>
        </w:rPr>
        <w:t>(</w:t>
      </w:r>
      <w:r w:rsidR="005B6C3D" w:rsidRPr="005B6C3D">
        <w:rPr>
          <w:rFonts w:cs="Times New Roman"/>
          <w:szCs w:val="24"/>
        </w:rPr>
        <w:t>2018</w:t>
      </w:r>
      <w:r w:rsidR="008806A8">
        <w:rPr>
          <w:rFonts w:cs="Times New Roman"/>
          <w:szCs w:val="24"/>
        </w:rPr>
        <w:t>a</w:t>
      </w:r>
      <w:r w:rsidR="005B6C3D" w:rsidRPr="005B6C3D">
        <w:rPr>
          <w:rFonts w:cs="Times New Roman"/>
          <w:szCs w:val="24"/>
        </w:rPr>
        <w:t>)</w:t>
      </w:r>
    </w:p>
    <w:p w:rsidR="004A7A11" w:rsidRDefault="003F7700" w:rsidP="00FE6A25">
      <w:pPr>
        <w:pStyle w:val="Heading1un-numbered"/>
        <w:numPr>
          <w:ilvl w:val="0"/>
          <w:numId w:val="19"/>
        </w:numPr>
      </w:pPr>
      <w:bookmarkStart w:id="354" w:name="_Ref11264880"/>
      <w:bookmarkStart w:id="355" w:name="_Toc12024324"/>
      <w:bookmarkStart w:id="356" w:name="_Toc14107333"/>
      <w:r>
        <w:t xml:space="preserve">Examined and implemented </w:t>
      </w:r>
      <w:bookmarkEnd w:id="354"/>
      <w:r>
        <w:t>policy options</w:t>
      </w:r>
      <w:bookmarkEnd w:id="355"/>
      <w:bookmarkEnd w:id="356"/>
    </w:p>
    <w:p w:rsidR="004A7A11" w:rsidRDefault="00B44DF2" w:rsidP="00B44DF2">
      <w:r w:rsidRPr="00786116">
        <w:t>T</w:t>
      </w:r>
      <w:r>
        <w:t>h</w:t>
      </w:r>
      <w:r w:rsidRPr="00786116">
        <w:t>is</w:t>
      </w:r>
      <w:r>
        <w:t xml:space="preserve"> </w:t>
      </w:r>
      <w:r w:rsidR="003F7700">
        <w:t xml:space="preserve">appendix </w:t>
      </w:r>
      <w:r>
        <w:t xml:space="preserve">describes </w:t>
      </w:r>
      <w:r w:rsidR="003F7700">
        <w:t>policy options ide</w:t>
      </w:r>
      <w:r w:rsidR="00A574F7">
        <w:t>ntified as part of this project</w:t>
      </w:r>
      <w:r w:rsidR="003F7700">
        <w:t xml:space="preserve"> </w:t>
      </w:r>
      <w:r w:rsidR="00D91F0A">
        <w:t xml:space="preserve">that </w:t>
      </w:r>
      <w:r w:rsidR="003F7700">
        <w:t>hav</w:t>
      </w:r>
      <w:r w:rsidR="00D91F0A">
        <w:t>e</w:t>
      </w:r>
      <w:r w:rsidR="003F7700">
        <w:t xml:space="preserve"> the potential to improve access to novel agvet chemicals. These options have been previously examined by the Department, </w:t>
      </w:r>
      <w:r>
        <w:t xml:space="preserve">some of </w:t>
      </w:r>
      <w:r w:rsidR="003F7700">
        <w:t>which have been implement</w:t>
      </w:r>
      <w:r w:rsidR="00E61CBB">
        <w:t>ed</w:t>
      </w:r>
      <w:r w:rsidR="003F7700">
        <w:t xml:space="preserve"> in various forms.</w:t>
      </w:r>
    </w:p>
    <w:p w:rsidR="001451BC" w:rsidRDefault="003F7700" w:rsidP="00DB5C52">
      <w:pPr>
        <w:pStyle w:val="Heading2"/>
        <w:numPr>
          <w:ilvl w:val="0"/>
          <w:numId w:val="0"/>
        </w:numPr>
      </w:pPr>
      <w:bookmarkStart w:id="357" w:name="_Toc12024325"/>
      <w:bookmarkStart w:id="358" w:name="_Toc12294098"/>
      <w:bookmarkStart w:id="359" w:name="_Toc13217627"/>
      <w:bookmarkStart w:id="360" w:name="_Toc14107334"/>
      <w:r>
        <w:t>Previously implemented</w:t>
      </w:r>
      <w:r w:rsidR="00D91F0A">
        <w:t xml:space="preserve"> policy options</w:t>
      </w:r>
      <w:bookmarkStart w:id="361" w:name="_Toc8337538"/>
      <w:bookmarkEnd w:id="357"/>
      <w:bookmarkEnd w:id="358"/>
      <w:bookmarkEnd w:id="359"/>
      <w:bookmarkEnd w:id="360"/>
    </w:p>
    <w:p w:rsidR="00DB5C52" w:rsidRDefault="001451BC" w:rsidP="001451BC">
      <w:r>
        <w:t>This section outlines options that the Australian government has previously implemented that have ameliorated the effect of Australia’s small market size.</w:t>
      </w:r>
    </w:p>
    <w:p w:rsidR="00B44DF2" w:rsidRPr="00267C8D" w:rsidRDefault="00B44DF2" w:rsidP="00E72F83">
      <w:pPr>
        <w:pStyle w:val="Heading3"/>
        <w:numPr>
          <w:ilvl w:val="0"/>
          <w:numId w:val="0"/>
        </w:numPr>
        <w:ind w:left="720" w:hanging="720"/>
      </w:pPr>
      <w:r w:rsidRPr="00267C8D">
        <w:t>Crop grouping</w:t>
      </w:r>
      <w:bookmarkEnd w:id="361"/>
    </w:p>
    <w:p w:rsidR="00B44DF2" w:rsidRPr="000F692E" w:rsidRDefault="00B44DF2" w:rsidP="00B44DF2">
      <w:r>
        <w:t>In submitting evidence in support of an application for registration with the APVMA, manufacturers have historically only been able to submit individual residue studies for each crop treatable by the chemical. Crops can, however, now be grouped according to similarities in botanical and morphological characteristics, as well as agronomic production practices</w:t>
      </w:r>
      <w:r w:rsidR="00EF4446">
        <w:t xml:space="preserve"> —</w:t>
      </w:r>
      <w:r w:rsidR="00EF4446" w:rsidRPr="00EF4446">
        <w:t xml:space="preserve"> crop groups can also contain smaller and more closely related crop subgroups</w:t>
      </w:r>
      <w:r>
        <w:t>.</w:t>
      </w:r>
      <w:r w:rsidRPr="00EE6D49">
        <w:t xml:space="preserve"> </w:t>
      </w:r>
      <w:r>
        <w:t xml:space="preserve">This is known as ‘crop grouping’, a practice recently </w:t>
      </w:r>
      <w:r w:rsidRPr="00A0533F">
        <w:t>established</w:t>
      </w:r>
      <w:r>
        <w:t xml:space="preserve"> (in late 2018) by the APVMA to </w:t>
      </w:r>
      <w:r w:rsidRPr="00A0533F">
        <w:t>enable</w:t>
      </w:r>
      <w:r>
        <w:t xml:space="preserve"> it to recognise </w:t>
      </w:r>
      <w:r w:rsidRPr="00A0533F">
        <w:t xml:space="preserve">data generated in a subset of crops </w:t>
      </w:r>
      <w:r w:rsidR="00840E78">
        <w:t>and</w:t>
      </w:r>
      <w:r w:rsidRPr="00A0533F">
        <w:t xml:space="preserve"> extrapolate</w:t>
      </w:r>
      <w:r w:rsidR="00840E78">
        <w:t xml:space="preserve"> it</w:t>
      </w:r>
      <w:r w:rsidRPr="00A0533F">
        <w:t xml:space="preserve"> to other related crops </w:t>
      </w:r>
      <w:r>
        <w:t xml:space="preserve">within that </w:t>
      </w:r>
      <w:r w:rsidRPr="00A0533F">
        <w:t>same crop group</w:t>
      </w:r>
      <w:r>
        <w:t>,</w:t>
      </w:r>
      <w:r w:rsidRPr="00A0533F">
        <w:t xml:space="preserve"> with little or no additiona</w:t>
      </w:r>
      <w:r>
        <w:t xml:space="preserve">l data (or assessment) required. In practice, where registration or a </w:t>
      </w:r>
      <w:r w:rsidRPr="000F692E">
        <w:t xml:space="preserve">permit has been </w:t>
      </w:r>
      <w:r>
        <w:t xml:space="preserve">granted </w:t>
      </w:r>
      <w:r w:rsidRPr="000F692E">
        <w:t xml:space="preserve">for representative crops, automatic extension or approval would be </w:t>
      </w:r>
      <w:r>
        <w:t>granted</w:t>
      </w:r>
      <w:r w:rsidRPr="000F692E">
        <w:t xml:space="preserve"> to all other crops within the group (and possibly across </w:t>
      </w:r>
      <w:r>
        <w:t xml:space="preserve">other </w:t>
      </w:r>
      <w:r w:rsidRPr="000F692E">
        <w:t>groups) with</w:t>
      </w:r>
      <w:r>
        <w:t xml:space="preserve"> little or no additional data or streamlined data</w:t>
      </w:r>
      <w:r w:rsidRPr="000F692E">
        <w:t>.</w:t>
      </w:r>
    </w:p>
    <w:p w:rsidR="00B44DF2" w:rsidRDefault="00B44DF2" w:rsidP="00B44DF2">
      <w:r>
        <w:t>Crop grouping</w:t>
      </w:r>
      <w:r w:rsidRPr="00A0533F">
        <w:t xml:space="preserve"> is a common practice among international regulators and is used to streamline the establishment of data guidelines and regulatory risk assessment</w:t>
      </w:r>
      <w:r>
        <w:t>s</w:t>
      </w:r>
      <w:r w:rsidRPr="00A0533F">
        <w:t>.</w:t>
      </w:r>
      <w:r>
        <w:t xml:space="preserve"> The concept was first introduced into the US in </w:t>
      </w:r>
      <w:r w:rsidR="00840E78">
        <w:t xml:space="preserve">the </w:t>
      </w:r>
      <w:r>
        <w:t xml:space="preserve">early 1970s. In the US, crop grouping is used to set tolerances for both major and minor crops and has become an increasingly relevant mechanism because of the rapid development of global food crop </w:t>
      </w:r>
      <w:r w:rsidR="005C3CDA">
        <w:t xml:space="preserve">markets and international trade </w:t>
      </w:r>
      <w:r w:rsidR="00EE4CBB" w:rsidRPr="00EE4CBB">
        <w:t>(</w:t>
      </w:r>
      <w:r w:rsidR="00E1465D">
        <w:t>USDA NIFA</w:t>
      </w:r>
      <w:r w:rsidR="00EE4CBB" w:rsidRPr="00EE4CBB">
        <w:t xml:space="preserve"> 2006)</w:t>
      </w:r>
      <w:r w:rsidR="005C3CDA">
        <w:t>.</w:t>
      </w:r>
    </w:p>
    <w:p w:rsidR="00B44DF2" w:rsidRDefault="00B44DF2" w:rsidP="00B44DF2">
      <w:pPr>
        <w:pStyle w:val="Heading4"/>
        <w:numPr>
          <w:ilvl w:val="0"/>
          <w:numId w:val="0"/>
        </w:numPr>
        <w:ind w:left="864" w:hanging="864"/>
      </w:pPr>
      <w:r>
        <w:t>Crop grouping has been recently introduced into Australia</w:t>
      </w:r>
    </w:p>
    <w:p w:rsidR="004A7A11" w:rsidRDefault="00B44DF2" w:rsidP="00B44DF2">
      <w:r>
        <w:t xml:space="preserve">As part of the Australian Government’s commitment to improve access to agricultural and veterinary chemicals, the APVMA has introduced crop grouping for the purpose of agvet chemical registration in Australia. The Australian system is based on extrapolation, similar to the EU system. Here, the mechanism identifies the key crops for which data may then be used to support registration in other related crops. For example, </w:t>
      </w:r>
      <w:r w:rsidRPr="00AF76DB">
        <w:t xml:space="preserve">apple, </w:t>
      </w:r>
      <w:r w:rsidR="00633F89">
        <w:t>pear</w:t>
      </w:r>
      <w:r w:rsidRPr="00AF76DB">
        <w:t xml:space="preserve">, and </w:t>
      </w:r>
      <w:r w:rsidR="00D708AA">
        <w:t xml:space="preserve">quince </w:t>
      </w:r>
      <w:r w:rsidRPr="00AF76DB">
        <w:t>may be extrapolated to persimmon</w:t>
      </w:r>
      <w:r w:rsidR="005C3CDA">
        <w:t xml:space="preserve"> </w:t>
      </w:r>
      <w:r w:rsidR="00916B38" w:rsidRPr="00916B38">
        <w:t>(APVMA 2018a, 2019b)</w:t>
      </w:r>
      <w:r w:rsidR="005C3CDA">
        <w:t>.</w:t>
      </w:r>
    </w:p>
    <w:p w:rsidR="00B44DF2" w:rsidRPr="000267DD" w:rsidRDefault="00B44DF2" w:rsidP="00B44DF2">
      <w:r>
        <w:t>Australia also participates in the International Crop Grouping Consulting Committee — which works to revise and harmonise crop groupings at the international level. Additionally, t</w:t>
      </w:r>
      <w:r w:rsidRPr="003274B1">
        <w:t xml:space="preserve">he </w:t>
      </w:r>
      <w:r>
        <w:t>D</w:t>
      </w:r>
      <w:r w:rsidRPr="003274B1">
        <w:t>epartment has provided a grant of $130</w:t>
      </w:r>
      <w:r>
        <w:t>,</w:t>
      </w:r>
      <w:r w:rsidRPr="003274B1">
        <w:t>000 to the APVMA to establish an official Australian list of crop groupings and develop associate</w:t>
      </w:r>
      <w:r>
        <w:t>d guidelines.</w:t>
      </w:r>
    </w:p>
    <w:p w:rsidR="00B44DF2" w:rsidRDefault="00B44DF2" w:rsidP="00B44DF2">
      <w:pPr>
        <w:pStyle w:val="Heading4"/>
        <w:numPr>
          <w:ilvl w:val="0"/>
          <w:numId w:val="0"/>
        </w:numPr>
        <w:ind w:left="864" w:hanging="864"/>
      </w:pPr>
      <w:r>
        <w:t>Use of crop groupings offsets some of the effects of Australia’s small market</w:t>
      </w:r>
    </w:p>
    <w:p w:rsidR="00B44DF2" w:rsidRPr="00A0533F" w:rsidRDefault="00B44DF2" w:rsidP="00B44DF2">
      <w:r>
        <w:t xml:space="preserve">While only </w:t>
      </w:r>
      <w:r w:rsidRPr="00610229">
        <w:t>recently introduced, and depending on the industry’s uptake of this registration option, grouping crops indirectly increases the size of the potential Australian market for novel agvet chemicals</w:t>
      </w:r>
      <w:r>
        <w:t>. It does so</w:t>
      </w:r>
      <w:r w:rsidRPr="00610229">
        <w:t xml:space="preserve"> by relaxing restrictions on </w:t>
      </w:r>
      <w:r>
        <w:t xml:space="preserve">the crops that </w:t>
      </w:r>
      <w:r w:rsidRPr="00610229">
        <w:t xml:space="preserve">chemicals can be </w:t>
      </w:r>
      <w:r>
        <w:t>applied to</w:t>
      </w:r>
      <w:r w:rsidRPr="00610229">
        <w:t>. This has the potential to increase the potential market size of products for producers looking to register a</w:t>
      </w:r>
      <w:r>
        <w:t xml:space="preserve"> novel agvet chemical in the Australian market, since the number of uses could be extended beyond a single crop type.</w:t>
      </w:r>
    </w:p>
    <w:p w:rsidR="00B44DF2" w:rsidRPr="00F8207B" w:rsidRDefault="00B44DF2" w:rsidP="00B44DF2">
      <w:r>
        <w:t xml:space="preserve">Grouping crops could also </w:t>
      </w:r>
      <w:r w:rsidRPr="00001144">
        <w:t>result in lower registration cost</w:t>
      </w:r>
      <w:r w:rsidR="00D708AA">
        <w:t>s</w:t>
      </w:r>
      <w:r w:rsidRPr="00001144">
        <w:t xml:space="preserve"> for applicants looking to register a product for multiple uses. </w:t>
      </w:r>
      <w:r w:rsidR="005F465A">
        <w:t>E</w:t>
      </w:r>
      <w:r w:rsidRPr="00001144">
        <w:t>xte</w:t>
      </w:r>
      <w:r>
        <w:t xml:space="preserve">nding the registration </w:t>
      </w:r>
      <w:r w:rsidR="00DA529F">
        <w:t xml:space="preserve">for a single crop </w:t>
      </w:r>
      <w:r>
        <w:t xml:space="preserve">to a group of similar crops </w:t>
      </w:r>
      <w:r w:rsidRPr="000F692E">
        <w:t>maximise</w:t>
      </w:r>
      <w:r>
        <w:t>s</w:t>
      </w:r>
      <w:r w:rsidRPr="000F692E">
        <w:t xml:space="preserve"> the use of data generated </w:t>
      </w:r>
      <w:r>
        <w:t xml:space="preserve">from testing on any individual </w:t>
      </w:r>
      <w:r w:rsidRPr="000F692E">
        <w:t>crop</w:t>
      </w:r>
      <w:r>
        <w:t>. In the US for example, crop groupings allow for around 10 new uses for a single residue study. Prior to the introduction of crop groupings, one residue study w</w:t>
      </w:r>
      <w:r w:rsidR="0030631E">
        <w:t xml:space="preserve">ould result in only one new use </w:t>
      </w:r>
      <w:r w:rsidR="00EE4CBB" w:rsidRPr="00EE4CBB">
        <w:t>(</w:t>
      </w:r>
      <w:r w:rsidR="00E1465D">
        <w:t>US NIFA</w:t>
      </w:r>
      <w:r w:rsidR="00EE4CBB" w:rsidRPr="00EE4CBB">
        <w:t xml:space="preserve"> 2006)</w:t>
      </w:r>
      <w:proofErr w:type="gramStart"/>
      <w:r w:rsidR="0030631E">
        <w:t>.</w:t>
      </w:r>
      <w:proofErr w:type="gramEnd"/>
      <w:r>
        <w:t xml:space="preserve"> </w:t>
      </w:r>
      <w:r w:rsidR="00DC7A0F">
        <w:t xml:space="preserve">This is demonstrated in US </w:t>
      </w:r>
      <w:r w:rsidRPr="00786116">
        <w:rPr>
          <w:i/>
        </w:rPr>
        <w:t xml:space="preserve">Crop Group </w:t>
      </w:r>
      <w:r w:rsidR="007D1E52">
        <w:rPr>
          <w:i/>
        </w:rPr>
        <w:t xml:space="preserve">table </w:t>
      </w:r>
      <w:r w:rsidRPr="00786116">
        <w:rPr>
          <w:i/>
        </w:rPr>
        <w:t>15 - Cereal Grains Group</w:t>
      </w:r>
      <w:r w:rsidR="005C3CDA">
        <w:t xml:space="preserve"> </w:t>
      </w:r>
      <w:r w:rsidR="005B6C3D" w:rsidRPr="005B6C3D">
        <w:rPr>
          <w:rFonts w:cs="Times New Roman"/>
          <w:szCs w:val="24"/>
        </w:rPr>
        <w:t xml:space="preserve">(US </w:t>
      </w:r>
      <w:r w:rsidR="00E1465D">
        <w:rPr>
          <w:rFonts w:cs="Times New Roman"/>
          <w:szCs w:val="24"/>
        </w:rPr>
        <w:t>G</w:t>
      </w:r>
      <w:r w:rsidR="005B6C3D" w:rsidRPr="005B6C3D">
        <w:rPr>
          <w:rFonts w:cs="Times New Roman"/>
          <w:szCs w:val="24"/>
        </w:rPr>
        <w:t xml:space="preserve">overnment </w:t>
      </w:r>
      <w:proofErr w:type="spellStart"/>
      <w:r w:rsidR="005B6C3D" w:rsidRPr="005B6C3D">
        <w:rPr>
          <w:rFonts w:cs="Times New Roman"/>
          <w:szCs w:val="24"/>
        </w:rPr>
        <w:t>n.d.</w:t>
      </w:r>
      <w:proofErr w:type="spellEnd"/>
      <w:r w:rsidR="005B6C3D" w:rsidRPr="005B6C3D">
        <w:rPr>
          <w:rFonts w:cs="Times New Roman"/>
          <w:szCs w:val="24"/>
        </w:rPr>
        <w:t>, 41)</w:t>
      </w:r>
      <w:r w:rsidR="007D1E52">
        <w:t>, which shows</w:t>
      </w:r>
      <w:r w:rsidR="00281172">
        <w:t xml:space="preserve"> that c</w:t>
      </w:r>
      <w:r w:rsidR="007D1E52" w:rsidRPr="005C3CDA">
        <w:t>orn</w:t>
      </w:r>
      <w:r w:rsidR="007D1E52" w:rsidRPr="005C3CDA">
        <w:rPr>
          <w:rFonts w:ascii="Arial" w:hAnsi="Arial" w:cs="Arial"/>
          <w:color w:val="000000"/>
        </w:rPr>
        <w:t xml:space="preserve"> (</w:t>
      </w:r>
      <w:proofErr w:type="spellStart"/>
      <w:r w:rsidR="007D1E52" w:rsidRPr="005C3CDA">
        <w:rPr>
          <w:rFonts w:ascii="Arial" w:hAnsi="Arial" w:cs="Arial"/>
          <w:i/>
          <w:color w:val="000000"/>
        </w:rPr>
        <w:t>Zea</w:t>
      </w:r>
      <w:proofErr w:type="spellEnd"/>
      <w:r w:rsidR="007D1E52" w:rsidRPr="005C3CDA">
        <w:rPr>
          <w:rFonts w:ascii="Arial" w:hAnsi="Arial" w:cs="Arial"/>
          <w:i/>
          <w:color w:val="000000"/>
        </w:rPr>
        <w:t xml:space="preserve"> mays</w:t>
      </w:r>
      <w:r w:rsidR="007D1E52" w:rsidRPr="005C3CDA">
        <w:rPr>
          <w:rFonts w:ascii="Arial" w:hAnsi="Arial" w:cs="Arial"/>
          <w:color w:val="000000"/>
        </w:rPr>
        <w:t>)</w:t>
      </w:r>
      <w:r w:rsidR="00281172">
        <w:rPr>
          <w:rFonts w:ascii="Arial" w:hAnsi="Arial" w:cs="Arial"/>
          <w:color w:val="000000"/>
        </w:rPr>
        <w:t xml:space="preserve">, </w:t>
      </w:r>
      <w:r w:rsidR="00281172">
        <w:t>r</w:t>
      </w:r>
      <w:r w:rsidR="007D1E52" w:rsidRPr="005C3CDA">
        <w:t>ice</w:t>
      </w:r>
      <w:r w:rsidR="007D1E52" w:rsidRPr="005C3CDA">
        <w:rPr>
          <w:rFonts w:ascii="Arial" w:hAnsi="Arial" w:cs="Arial"/>
          <w:color w:val="000000"/>
        </w:rPr>
        <w:t xml:space="preserve"> (</w:t>
      </w:r>
      <w:proofErr w:type="spellStart"/>
      <w:r w:rsidR="007D1E52" w:rsidRPr="005C3CDA">
        <w:rPr>
          <w:rFonts w:ascii="Arial" w:hAnsi="Arial" w:cs="Arial"/>
          <w:i/>
          <w:color w:val="000000"/>
        </w:rPr>
        <w:t>Oryza</w:t>
      </w:r>
      <w:proofErr w:type="spellEnd"/>
      <w:r w:rsidR="007D1E52" w:rsidRPr="005C3CDA">
        <w:rPr>
          <w:rFonts w:ascii="Arial" w:hAnsi="Arial" w:cs="Arial"/>
          <w:i/>
          <w:color w:val="000000"/>
        </w:rPr>
        <w:t xml:space="preserve"> </w:t>
      </w:r>
      <w:proofErr w:type="spellStart"/>
      <w:r w:rsidR="007D1E52" w:rsidRPr="005C3CDA">
        <w:rPr>
          <w:rFonts w:ascii="Arial" w:hAnsi="Arial" w:cs="Arial"/>
          <w:i/>
          <w:color w:val="000000"/>
        </w:rPr>
        <w:t>sativa</w:t>
      </w:r>
      <w:proofErr w:type="spellEnd"/>
      <w:r w:rsidR="007D1E52" w:rsidRPr="005C3CDA">
        <w:rPr>
          <w:rFonts w:ascii="Arial" w:hAnsi="Arial" w:cs="Arial"/>
          <w:color w:val="000000"/>
        </w:rPr>
        <w:t>)</w:t>
      </w:r>
      <w:r w:rsidR="00281172">
        <w:rPr>
          <w:rFonts w:ascii="Arial" w:hAnsi="Arial" w:cs="Arial"/>
          <w:color w:val="000000"/>
        </w:rPr>
        <w:t xml:space="preserve">, </w:t>
      </w:r>
      <w:r w:rsidR="00281172">
        <w:t>s</w:t>
      </w:r>
      <w:r w:rsidR="007D1E52" w:rsidRPr="005C3CDA">
        <w:t>orghum</w:t>
      </w:r>
      <w:r w:rsidR="007D1E52" w:rsidRPr="005C3CDA">
        <w:rPr>
          <w:rFonts w:ascii="Arial" w:hAnsi="Arial" w:cs="Arial"/>
          <w:color w:val="000000"/>
        </w:rPr>
        <w:t xml:space="preserve"> (milo) (</w:t>
      </w:r>
      <w:r w:rsidR="007D1E52" w:rsidRPr="005C3CDA">
        <w:rPr>
          <w:rFonts w:ascii="Arial" w:hAnsi="Arial" w:cs="Arial"/>
          <w:i/>
          <w:color w:val="000000"/>
        </w:rPr>
        <w:t>Sorghum</w:t>
      </w:r>
      <w:r w:rsidR="007D1E52" w:rsidRPr="005C3CDA">
        <w:rPr>
          <w:rFonts w:ascii="Arial" w:hAnsi="Arial" w:cs="Arial"/>
          <w:color w:val="000000"/>
        </w:rPr>
        <w:t> spp.)</w:t>
      </w:r>
      <w:r w:rsidR="00281172">
        <w:rPr>
          <w:rFonts w:ascii="Arial" w:hAnsi="Arial" w:cs="Arial"/>
          <w:color w:val="000000"/>
        </w:rPr>
        <w:t xml:space="preserve"> and </w:t>
      </w:r>
      <w:r w:rsidR="00C22240">
        <w:t>w</w:t>
      </w:r>
      <w:r w:rsidR="007D1E52" w:rsidRPr="005C3CDA">
        <w:t>heat</w:t>
      </w:r>
      <w:r w:rsidR="007D1E52" w:rsidRPr="005C3CDA">
        <w:rPr>
          <w:rFonts w:ascii="Arial" w:hAnsi="Arial" w:cs="Arial"/>
          <w:color w:val="000000"/>
        </w:rPr>
        <w:t xml:space="preserve"> (</w:t>
      </w:r>
      <w:proofErr w:type="spellStart"/>
      <w:r w:rsidR="007D1E52" w:rsidRPr="005C3CDA">
        <w:rPr>
          <w:rFonts w:ascii="Arial" w:hAnsi="Arial" w:cs="Arial"/>
          <w:i/>
          <w:color w:val="000000"/>
        </w:rPr>
        <w:t>Triticum</w:t>
      </w:r>
      <w:proofErr w:type="spellEnd"/>
      <w:r w:rsidR="007D1E52" w:rsidRPr="005C3CDA">
        <w:rPr>
          <w:rFonts w:ascii="Arial" w:hAnsi="Arial" w:cs="Arial"/>
          <w:color w:val="000000"/>
        </w:rPr>
        <w:t> spp.)</w:t>
      </w:r>
      <w:r w:rsidR="00281172">
        <w:t xml:space="preserve"> </w:t>
      </w:r>
      <w:r w:rsidR="007D1E52">
        <w:t>can be used as representative crops for the rest of the ‘cereal grains’ crop group which also includes:</w:t>
      </w:r>
    </w:p>
    <w:p w:rsidR="00B44DF2" w:rsidRDefault="00B44DF2" w:rsidP="00B44DF2">
      <w:pPr>
        <w:pStyle w:val="ListBullet3"/>
        <w:rPr>
          <w:rFonts w:ascii="Arial" w:hAnsi="Arial" w:cs="Arial"/>
          <w:color w:val="000000"/>
        </w:rPr>
      </w:pPr>
      <w:r w:rsidRPr="00105637">
        <w:t>Barley (</w:t>
      </w:r>
      <w:proofErr w:type="spellStart"/>
      <w:r>
        <w:rPr>
          <w:rFonts w:ascii="Arial" w:hAnsi="Arial" w:cs="Arial"/>
          <w:i/>
          <w:color w:val="000000"/>
        </w:rPr>
        <w:t>Hordeum</w:t>
      </w:r>
      <w:proofErr w:type="spellEnd"/>
      <w:r>
        <w:rPr>
          <w:rFonts w:ascii="Arial" w:hAnsi="Arial" w:cs="Arial"/>
          <w:color w:val="000000"/>
        </w:rPr>
        <w:t> spp.)</w:t>
      </w:r>
    </w:p>
    <w:p w:rsidR="00B44DF2" w:rsidRDefault="00B44DF2" w:rsidP="00B44DF2">
      <w:pPr>
        <w:pStyle w:val="ListBullet3"/>
        <w:rPr>
          <w:rFonts w:ascii="Arial" w:hAnsi="Arial" w:cs="Arial"/>
          <w:color w:val="000000"/>
        </w:rPr>
      </w:pPr>
      <w:r w:rsidRPr="00105637">
        <w:t>Buckwheat (</w:t>
      </w:r>
      <w:proofErr w:type="spellStart"/>
      <w:r>
        <w:rPr>
          <w:rFonts w:ascii="Arial" w:hAnsi="Arial" w:cs="Arial"/>
          <w:i/>
          <w:color w:val="000000"/>
        </w:rPr>
        <w:t>Fagopyrum</w:t>
      </w:r>
      <w:proofErr w:type="spellEnd"/>
      <w:r>
        <w:rPr>
          <w:rFonts w:ascii="Arial" w:hAnsi="Arial" w:cs="Arial"/>
          <w:i/>
          <w:color w:val="000000"/>
        </w:rPr>
        <w:t xml:space="preserve"> </w:t>
      </w:r>
      <w:proofErr w:type="spellStart"/>
      <w:r>
        <w:rPr>
          <w:rFonts w:ascii="Arial" w:hAnsi="Arial" w:cs="Arial"/>
          <w:i/>
          <w:color w:val="000000"/>
        </w:rPr>
        <w:t>esculentum</w:t>
      </w:r>
      <w:proofErr w:type="spellEnd"/>
      <w:r>
        <w:rPr>
          <w:rFonts w:ascii="Arial" w:hAnsi="Arial" w:cs="Arial"/>
          <w:color w:val="000000"/>
        </w:rPr>
        <w:t>)</w:t>
      </w:r>
    </w:p>
    <w:p w:rsidR="00B44DF2" w:rsidRDefault="00B44DF2" w:rsidP="00B44DF2">
      <w:pPr>
        <w:pStyle w:val="ListBullet3"/>
        <w:rPr>
          <w:rFonts w:ascii="Arial" w:hAnsi="Arial" w:cs="Arial"/>
          <w:color w:val="000000"/>
        </w:rPr>
      </w:pPr>
      <w:r w:rsidRPr="00105637">
        <w:t>Millet, pearl (</w:t>
      </w:r>
      <w:proofErr w:type="spellStart"/>
      <w:r>
        <w:rPr>
          <w:rFonts w:ascii="Arial" w:hAnsi="Arial" w:cs="Arial"/>
          <w:i/>
          <w:color w:val="000000"/>
        </w:rPr>
        <w:t>Pennisetum</w:t>
      </w:r>
      <w:proofErr w:type="spellEnd"/>
      <w:r>
        <w:rPr>
          <w:rFonts w:ascii="Arial" w:hAnsi="Arial" w:cs="Arial"/>
          <w:i/>
          <w:color w:val="000000"/>
        </w:rPr>
        <w:t xml:space="preserve"> </w:t>
      </w:r>
      <w:proofErr w:type="spellStart"/>
      <w:r>
        <w:rPr>
          <w:rFonts w:ascii="Arial" w:hAnsi="Arial" w:cs="Arial"/>
          <w:i/>
          <w:color w:val="000000"/>
        </w:rPr>
        <w:t>glaucum</w:t>
      </w:r>
      <w:proofErr w:type="spellEnd"/>
      <w:r>
        <w:rPr>
          <w:rFonts w:ascii="Arial" w:hAnsi="Arial" w:cs="Arial"/>
          <w:color w:val="000000"/>
        </w:rPr>
        <w:t>)</w:t>
      </w:r>
    </w:p>
    <w:p w:rsidR="00B44DF2" w:rsidRDefault="00B44DF2" w:rsidP="00B44DF2">
      <w:pPr>
        <w:pStyle w:val="ListBullet3"/>
        <w:rPr>
          <w:rFonts w:ascii="Arial" w:hAnsi="Arial" w:cs="Arial"/>
          <w:color w:val="000000"/>
        </w:rPr>
      </w:pPr>
      <w:r w:rsidRPr="00105637">
        <w:t xml:space="preserve">Millet, </w:t>
      </w:r>
      <w:proofErr w:type="spellStart"/>
      <w:r w:rsidRPr="00105637">
        <w:t>proso</w:t>
      </w:r>
      <w:proofErr w:type="spellEnd"/>
      <w:r w:rsidRPr="00105637">
        <w:t xml:space="preserve"> (</w:t>
      </w:r>
      <w:proofErr w:type="spellStart"/>
      <w:r>
        <w:rPr>
          <w:rFonts w:ascii="Arial" w:hAnsi="Arial" w:cs="Arial"/>
          <w:i/>
          <w:color w:val="000000"/>
        </w:rPr>
        <w:t>Panicum</w:t>
      </w:r>
      <w:proofErr w:type="spellEnd"/>
      <w:r>
        <w:rPr>
          <w:rFonts w:ascii="Arial" w:hAnsi="Arial" w:cs="Arial"/>
          <w:i/>
          <w:color w:val="000000"/>
        </w:rPr>
        <w:t xml:space="preserve"> </w:t>
      </w:r>
      <w:proofErr w:type="spellStart"/>
      <w:r>
        <w:rPr>
          <w:rFonts w:ascii="Arial" w:hAnsi="Arial" w:cs="Arial"/>
          <w:i/>
          <w:color w:val="000000"/>
        </w:rPr>
        <w:t>milliaceum</w:t>
      </w:r>
      <w:proofErr w:type="spellEnd"/>
      <w:r>
        <w:rPr>
          <w:rFonts w:ascii="Arial" w:hAnsi="Arial" w:cs="Arial"/>
          <w:color w:val="000000"/>
        </w:rPr>
        <w:t>)</w:t>
      </w:r>
    </w:p>
    <w:p w:rsidR="00B44DF2" w:rsidRDefault="00B44DF2" w:rsidP="00B44DF2">
      <w:pPr>
        <w:pStyle w:val="ListBullet3"/>
        <w:rPr>
          <w:rFonts w:ascii="Arial" w:hAnsi="Arial" w:cs="Arial"/>
          <w:color w:val="000000"/>
        </w:rPr>
      </w:pPr>
      <w:r w:rsidRPr="00105637">
        <w:t>Oats (</w:t>
      </w:r>
      <w:proofErr w:type="spellStart"/>
      <w:r>
        <w:rPr>
          <w:rFonts w:ascii="Arial" w:hAnsi="Arial" w:cs="Arial"/>
          <w:i/>
          <w:color w:val="000000"/>
        </w:rPr>
        <w:t>Avena</w:t>
      </w:r>
      <w:proofErr w:type="spellEnd"/>
      <w:r>
        <w:rPr>
          <w:rFonts w:ascii="Arial" w:hAnsi="Arial" w:cs="Arial"/>
          <w:color w:val="000000"/>
        </w:rPr>
        <w:t> spp.)</w:t>
      </w:r>
    </w:p>
    <w:p w:rsidR="00B44DF2" w:rsidRDefault="00B44DF2" w:rsidP="00B44DF2">
      <w:pPr>
        <w:pStyle w:val="ListBullet3"/>
        <w:rPr>
          <w:rFonts w:ascii="Arial" w:hAnsi="Arial" w:cs="Arial"/>
          <w:color w:val="000000"/>
        </w:rPr>
      </w:pPr>
      <w:r w:rsidRPr="00105637">
        <w:t>Popcorn (</w:t>
      </w:r>
      <w:proofErr w:type="spellStart"/>
      <w:r>
        <w:rPr>
          <w:rFonts w:ascii="Arial" w:hAnsi="Arial" w:cs="Arial"/>
          <w:i/>
          <w:color w:val="000000"/>
        </w:rPr>
        <w:t>Zea</w:t>
      </w:r>
      <w:proofErr w:type="spellEnd"/>
      <w:r>
        <w:rPr>
          <w:rFonts w:ascii="Arial" w:hAnsi="Arial" w:cs="Arial"/>
          <w:i/>
          <w:color w:val="000000"/>
        </w:rPr>
        <w:t xml:space="preserve"> mays</w:t>
      </w:r>
      <w:r>
        <w:rPr>
          <w:rFonts w:ascii="Arial" w:hAnsi="Arial" w:cs="Arial"/>
          <w:color w:val="000000"/>
        </w:rPr>
        <w:t> var. </w:t>
      </w:r>
      <w:proofErr w:type="spellStart"/>
      <w:r>
        <w:rPr>
          <w:rFonts w:ascii="Arial" w:hAnsi="Arial" w:cs="Arial"/>
          <w:i/>
          <w:color w:val="000000"/>
        </w:rPr>
        <w:t>everta</w:t>
      </w:r>
      <w:proofErr w:type="spellEnd"/>
      <w:r>
        <w:rPr>
          <w:rFonts w:ascii="Arial" w:hAnsi="Arial" w:cs="Arial"/>
          <w:color w:val="000000"/>
        </w:rPr>
        <w:t>)</w:t>
      </w:r>
    </w:p>
    <w:p w:rsidR="00B44DF2" w:rsidRDefault="00B44DF2" w:rsidP="00B44DF2">
      <w:pPr>
        <w:pStyle w:val="ListBullet3"/>
        <w:rPr>
          <w:rFonts w:ascii="Arial" w:hAnsi="Arial" w:cs="Arial"/>
          <w:color w:val="000000"/>
        </w:rPr>
      </w:pPr>
      <w:r w:rsidRPr="00105637">
        <w:t>Rye (</w:t>
      </w:r>
      <w:proofErr w:type="spellStart"/>
      <w:r>
        <w:rPr>
          <w:rFonts w:ascii="Arial" w:hAnsi="Arial" w:cs="Arial"/>
          <w:i/>
          <w:color w:val="000000"/>
        </w:rPr>
        <w:t>Secale</w:t>
      </w:r>
      <w:proofErr w:type="spellEnd"/>
      <w:r>
        <w:rPr>
          <w:rFonts w:ascii="Arial" w:hAnsi="Arial" w:cs="Arial"/>
          <w:i/>
          <w:color w:val="000000"/>
        </w:rPr>
        <w:t xml:space="preserve"> </w:t>
      </w:r>
      <w:proofErr w:type="spellStart"/>
      <w:r>
        <w:rPr>
          <w:rFonts w:ascii="Arial" w:hAnsi="Arial" w:cs="Arial"/>
          <w:i/>
          <w:color w:val="000000"/>
        </w:rPr>
        <w:t>cereale</w:t>
      </w:r>
      <w:proofErr w:type="spellEnd"/>
      <w:r>
        <w:rPr>
          <w:rFonts w:ascii="Arial" w:hAnsi="Arial" w:cs="Arial"/>
          <w:color w:val="000000"/>
        </w:rPr>
        <w:t>)</w:t>
      </w:r>
    </w:p>
    <w:p w:rsidR="00B44DF2" w:rsidRDefault="00B44DF2" w:rsidP="00B44DF2">
      <w:pPr>
        <w:pStyle w:val="ListBullet3"/>
        <w:rPr>
          <w:rFonts w:ascii="Arial" w:hAnsi="Arial" w:cs="Arial"/>
          <w:color w:val="000000"/>
        </w:rPr>
      </w:pPr>
      <w:r w:rsidRPr="00105637">
        <w:t>Teosinte (</w:t>
      </w:r>
      <w:proofErr w:type="spellStart"/>
      <w:r>
        <w:rPr>
          <w:rFonts w:ascii="Arial" w:hAnsi="Arial" w:cs="Arial"/>
          <w:i/>
          <w:color w:val="000000"/>
        </w:rPr>
        <w:t>Euchlaena</w:t>
      </w:r>
      <w:proofErr w:type="spellEnd"/>
      <w:r>
        <w:rPr>
          <w:rFonts w:ascii="Arial" w:hAnsi="Arial" w:cs="Arial"/>
          <w:i/>
          <w:color w:val="000000"/>
        </w:rPr>
        <w:t xml:space="preserve"> </w:t>
      </w:r>
      <w:proofErr w:type="spellStart"/>
      <w:r>
        <w:rPr>
          <w:rFonts w:ascii="Arial" w:hAnsi="Arial" w:cs="Arial"/>
          <w:i/>
          <w:color w:val="000000"/>
        </w:rPr>
        <w:t>mexicana</w:t>
      </w:r>
      <w:proofErr w:type="spellEnd"/>
      <w:r>
        <w:rPr>
          <w:rFonts w:ascii="Arial" w:hAnsi="Arial" w:cs="Arial"/>
          <w:color w:val="000000"/>
        </w:rPr>
        <w:t>)</w:t>
      </w:r>
    </w:p>
    <w:p w:rsidR="00B44DF2" w:rsidRDefault="00B44DF2" w:rsidP="00B44DF2">
      <w:pPr>
        <w:pStyle w:val="ListBullet3"/>
        <w:rPr>
          <w:rFonts w:ascii="Arial" w:hAnsi="Arial" w:cs="Arial"/>
          <w:color w:val="000000"/>
        </w:rPr>
      </w:pPr>
      <w:r w:rsidRPr="00105637">
        <w:t>Triticale (</w:t>
      </w:r>
      <w:proofErr w:type="spellStart"/>
      <w:r>
        <w:rPr>
          <w:rFonts w:ascii="Arial" w:hAnsi="Arial" w:cs="Arial"/>
          <w:i/>
          <w:color w:val="000000"/>
        </w:rPr>
        <w:t>Triticum-Secale</w:t>
      </w:r>
      <w:proofErr w:type="spellEnd"/>
      <w:r>
        <w:rPr>
          <w:rFonts w:ascii="Arial" w:hAnsi="Arial" w:cs="Arial"/>
          <w:color w:val="000000"/>
        </w:rPr>
        <w:t> hybrids)</w:t>
      </w:r>
    </w:p>
    <w:p w:rsidR="00B44DF2" w:rsidRPr="00001144" w:rsidRDefault="00B44DF2" w:rsidP="00B44DF2">
      <w:pPr>
        <w:pStyle w:val="ListBullet3"/>
        <w:rPr>
          <w:rFonts w:ascii="Arial" w:hAnsi="Arial" w:cs="Arial"/>
          <w:color w:val="000000"/>
        </w:rPr>
      </w:pPr>
      <w:r w:rsidRPr="00105637">
        <w:t>Wild rice (</w:t>
      </w:r>
      <w:proofErr w:type="spellStart"/>
      <w:r>
        <w:rPr>
          <w:rFonts w:ascii="Arial" w:hAnsi="Arial" w:cs="Arial"/>
          <w:i/>
          <w:color w:val="000000"/>
        </w:rPr>
        <w:t>Zizania</w:t>
      </w:r>
      <w:proofErr w:type="spellEnd"/>
      <w:r>
        <w:rPr>
          <w:rFonts w:ascii="Arial" w:hAnsi="Arial" w:cs="Arial"/>
          <w:i/>
          <w:color w:val="000000"/>
        </w:rPr>
        <w:t xml:space="preserve"> </w:t>
      </w:r>
      <w:proofErr w:type="spellStart"/>
      <w:r>
        <w:rPr>
          <w:rFonts w:ascii="Arial" w:hAnsi="Arial" w:cs="Arial"/>
          <w:i/>
          <w:color w:val="000000"/>
        </w:rPr>
        <w:t>aquatica</w:t>
      </w:r>
      <w:proofErr w:type="spellEnd"/>
      <w:r>
        <w:rPr>
          <w:rFonts w:ascii="Arial" w:hAnsi="Arial" w:cs="Arial"/>
          <w:color w:val="000000"/>
        </w:rPr>
        <w:t>)</w:t>
      </w:r>
    </w:p>
    <w:p w:rsidR="00B44DF2" w:rsidRPr="00AD60E6" w:rsidRDefault="00DA529F" w:rsidP="00E72F83">
      <w:pPr>
        <w:pStyle w:val="Heading3"/>
        <w:numPr>
          <w:ilvl w:val="0"/>
          <w:numId w:val="0"/>
        </w:numPr>
        <w:ind w:left="720" w:hanging="720"/>
      </w:pPr>
      <w:bookmarkStart w:id="362" w:name="_Toc8337539"/>
      <w:r w:rsidRPr="00E72F83">
        <w:t xml:space="preserve">The </w:t>
      </w:r>
      <w:r w:rsidR="00B44DF2" w:rsidRPr="00E72F83">
        <w:t>APVMA relies on international evidence in support of its decisions</w:t>
      </w:r>
      <w:bookmarkEnd w:id="362"/>
    </w:p>
    <w:p w:rsidR="00B44DF2" w:rsidRDefault="00B44DF2" w:rsidP="00B44DF2">
      <w:r>
        <w:t xml:space="preserve">In 2015 the APVMA </w:t>
      </w:r>
      <w:r w:rsidRPr="00EC1B9F">
        <w:t>released</w:t>
      </w:r>
      <w:r>
        <w:rPr>
          <w:b/>
        </w:rPr>
        <w:t xml:space="preserve"> </w:t>
      </w:r>
      <w:r w:rsidRPr="00EC1B9F">
        <w:t>its policy</w:t>
      </w:r>
      <w:r>
        <w:t xml:space="preserve"> on the use of international data, guidelines and standards that app</w:t>
      </w:r>
      <w:r w:rsidR="005B6C3D">
        <w:t xml:space="preserve">licants would submit for review </w:t>
      </w:r>
      <w:r w:rsidR="005B6C3D" w:rsidRPr="005B6C3D">
        <w:t>(APVMA 2015)</w:t>
      </w:r>
      <w:r w:rsidR="005B6C3D">
        <w:t>.</w:t>
      </w:r>
      <w:r>
        <w:t xml:space="preserve"> The policy states that</w:t>
      </w:r>
      <w:r w:rsidR="00DA529F">
        <w:t>,</w:t>
      </w:r>
      <w:r>
        <w:t xml:space="preserve"> </w:t>
      </w:r>
      <w:r w:rsidR="00DA529F">
        <w:t>al</w:t>
      </w:r>
      <w:r>
        <w:t xml:space="preserve">though it will not </w:t>
      </w:r>
      <w:r w:rsidR="00DA529F">
        <w:t xml:space="preserve">adopt </w:t>
      </w:r>
      <w:r>
        <w:t>the decisions of another regulator, it will use the standards, data and assessments of other international organisations and regulators</w:t>
      </w:r>
      <w:r w:rsidR="00DA529F">
        <w:t xml:space="preserve"> in making its own decision</w:t>
      </w:r>
      <w:r>
        <w:t xml:space="preserve">. In 2017-18, the APVMA </w:t>
      </w:r>
      <w:r w:rsidRPr="005E2F61">
        <w:t>used international data and assessments from other regulators to inform the decision on 28 product applications</w:t>
      </w:r>
      <w:r w:rsidR="005B6C3D">
        <w:t xml:space="preserve"> </w:t>
      </w:r>
      <w:r w:rsidR="00916B38" w:rsidRPr="00916B38">
        <w:t>(APVMA 2018b)</w:t>
      </w:r>
      <w:r w:rsidR="005B6C3D">
        <w:t>.</w:t>
      </w:r>
    </w:p>
    <w:p w:rsidR="004A7A11" w:rsidRDefault="00B44DF2" w:rsidP="00B44DF2">
      <w:r>
        <w:t>Broadly, the policy outlines that the APVMA will accept data and information in support of overseas applications, but not the application itself or the resulting outcome. In summary, the APVMA will accept</w:t>
      </w:r>
      <w:r w:rsidDel="00624537">
        <w:t>:</w:t>
      </w:r>
    </w:p>
    <w:p w:rsidR="004A7A11" w:rsidRDefault="00B44DF2" w:rsidP="00FE6A25">
      <w:pPr>
        <w:pStyle w:val="ListParagraph"/>
        <w:numPr>
          <w:ilvl w:val="0"/>
          <w:numId w:val="17"/>
        </w:numPr>
      </w:pPr>
      <w:r>
        <w:t>Data generated internationally according to OECD, VICH, USEPA, EU, FAO and WHO guidelines for specific studies to support assessments.</w:t>
      </w:r>
    </w:p>
    <w:p w:rsidR="004A7A11" w:rsidRDefault="00B44DF2" w:rsidP="00FE6A25">
      <w:pPr>
        <w:pStyle w:val="ListParagraph"/>
        <w:numPr>
          <w:ilvl w:val="0"/>
          <w:numId w:val="17"/>
        </w:numPr>
      </w:pPr>
      <w:proofErr w:type="spellStart"/>
      <w:r>
        <w:t>Unredacted</w:t>
      </w:r>
      <w:proofErr w:type="spellEnd"/>
      <w:r>
        <w:t xml:space="preserve"> hazard assessments conducted by EU Members states, EFSA, EMA USEPA, PMRA Canada, NZ EPA or NZ MPI, EMA, FAO or WHO, with supporting data.</w:t>
      </w:r>
    </w:p>
    <w:p w:rsidR="004A7A11" w:rsidRDefault="00B44DF2" w:rsidP="00FE6A25">
      <w:pPr>
        <w:pStyle w:val="ListParagraph"/>
        <w:numPr>
          <w:ilvl w:val="0"/>
          <w:numId w:val="17"/>
        </w:numPr>
      </w:pPr>
      <w:r>
        <w:t>Risk assessments for products where the exposure assessment is comparable to that conducted by another regulator, for example home garden products and personal insect repellents, possibly other products that do not require an assessment of environmental risks or food safety risks.</w:t>
      </w:r>
    </w:p>
    <w:p w:rsidR="004A7A11" w:rsidRDefault="00B44DF2" w:rsidP="00FE6A25">
      <w:pPr>
        <w:pStyle w:val="ListParagraph"/>
        <w:numPr>
          <w:ilvl w:val="0"/>
          <w:numId w:val="17"/>
        </w:numPr>
      </w:pPr>
      <w:r>
        <w:t xml:space="preserve">International standards for active constituents such as FAO standards and </w:t>
      </w:r>
      <w:proofErr w:type="spellStart"/>
      <w:r w:rsidR="003449BF">
        <w:t>pharmacopoeial</w:t>
      </w:r>
      <w:proofErr w:type="spellEnd"/>
      <w:r>
        <w:t xml:space="preserve"> standards</w:t>
      </w:r>
      <w:r w:rsidR="00DA529F">
        <w:t>.</w:t>
      </w:r>
    </w:p>
    <w:p w:rsidR="00B44DF2" w:rsidRDefault="00B44DF2" w:rsidP="00FE6A25">
      <w:pPr>
        <w:pStyle w:val="ListParagraph"/>
        <w:numPr>
          <w:ilvl w:val="0"/>
          <w:numId w:val="17"/>
        </w:numPr>
      </w:pPr>
      <w:r>
        <w:t>Internationally developed and endorsed standard methodologies for exposure assessment such as those used for worker safety and consumer safety.</w:t>
      </w:r>
    </w:p>
    <w:p w:rsidR="004A7A11" w:rsidRDefault="00B44DF2" w:rsidP="00B44DF2">
      <w:r>
        <w:t xml:space="preserve">Accepting the standards, data and assessments of other international organisations and regulators could </w:t>
      </w:r>
      <w:r w:rsidRPr="00C170B9">
        <w:t>reduce the time taken</w:t>
      </w:r>
      <w:r w:rsidRPr="000E0A45">
        <w:t xml:space="preserve"> </w:t>
      </w:r>
      <w:r>
        <w:t xml:space="preserve">to register </w:t>
      </w:r>
      <w:r w:rsidRPr="005441AE">
        <w:t>an agvet chemical</w:t>
      </w:r>
      <w:r w:rsidRPr="00C170B9">
        <w:t xml:space="preserve">, </w:t>
      </w:r>
      <w:r>
        <w:t>as well as reduce</w:t>
      </w:r>
      <w:r w:rsidRPr="00C170B9">
        <w:t xml:space="preserve"> information-gathering costs and lower </w:t>
      </w:r>
      <w:r>
        <w:t xml:space="preserve">the </w:t>
      </w:r>
      <w:r w:rsidRPr="00C170B9">
        <w:t>statutory fees</w:t>
      </w:r>
      <w:r>
        <w:t xml:space="preserve"> paid by the applicant</w:t>
      </w:r>
      <w:r w:rsidRPr="005441AE">
        <w:t>.</w:t>
      </w:r>
    </w:p>
    <w:p w:rsidR="00B44DF2" w:rsidRPr="00AD60E6" w:rsidRDefault="00B44DF2" w:rsidP="00267C8D">
      <w:bookmarkStart w:id="363" w:name="_Toc8337540"/>
      <w:r w:rsidRPr="00267C8D">
        <w:rPr>
          <w:b/>
        </w:rPr>
        <w:t xml:space="preserve">Australian Government takes part in </w:t>
      </w:r>
      <w:bookmarkEnd w:id="363"/>
      <w:r w:rsidRPr="00267C8D">
        <w:rPr>
          <w:b/>
        </w:rPr>
        <w:t>International Joint Reviews</w:t>
      </w:r>
    </w:p>
    <w:p w:rsidR="00B44DF2" w:rsidRDefault="00B44DF2" w:rsidP="00B44DF2">
      <w:r w:rsidRPr="00CF09D2">
        <w:t xml:space="preserve">The Australian </w:t>
      </w:r>
      <w:r>
        <w:t>G</w:t>
      </w:r>
      <w:r w:rsidRPr="00CF09D2">
        <w:t xml:space="preserve">overnment </w:t>
      </w:r>
      <w:r>
        <w:t xml:space="preserve">also participates in </w:t>
      </w:r>
      <w:r w:rsidRPr="00CF09D2">
        <w:t xml:space="preserve">International </w:t>
      </w:r>
      <w:r>
        <w:t>J</w:t>
      </w:r>
      <w:r w:rsidRPr="00CF09D2">
        <w:t xml:space="preserve">oint </w:t>
      </w:r>
      <w:r>
        <w:t>R</w:t>
      </w:r>
      <w:r w:rsidRPr="00CF09D2">
        <w:t xml:space="preserve">eviews of </w:t>
      </w:r>
      <w:r>
        <w:t>A</w:t>
      </w:r>
      <w:r w:rsidRPr="00CF09D2">
        <w:t xml:space="preserve">gvet </w:t>
      </w:r>
      <w:r>
        <w:t>C</w:t>
      </w:r>
      <w:r w:rsidRPr="00CF09D2">
        <w:t>hemicals (joint reviews)</w:t>
      </w:r>
      <w:r>
        <w:t>,</w:t>
      </w:r>
      <w:r w:rsidRPr="00CF09D2">
        <w:t xml:space="preserve"> </w:t>
      </w:r>
      <w:r>
        <w:t>where</w:t>
      </w:r>
      <w:r w:rsidR="00DA529F">
        <w:t xml:space="preserve"> the</w:t>
      </w:r>
      <w:r>
        <w:t xml:space="preserve"> </w:t>
      </w:r>
      <w:r w:rsidRPr="00CF09D2">
        <w:t>regulatory authorities of multiple countries collaborat</w:t>
      </w:r>
      <w:r>
        <w:t>e</w:t>
      </w:r>
      <w:r w:rsidRPr="00CF09D2">
        <w:t xml:space="preserve"> to review </w:t>
      </w:r>
      <w:r>
        <w:t xml:space="preserve">a single application. The assessment work is split amongst the review partners. In this way, assessments are shared and harmonised hazard assessments are produced. Once approved, the </w:t>
      </w:r>
      <w:r w:rsidR="002C1D8B">
        <w:t>chemical</w:t>
      </w:r>
      <w:r w:rsidR="002C1D8B" w:rsidDel="00C803B7">
        <w:t xml:space="preserve"> </w:t>
      </w:r>
      <w:r>
        <w:t>becomes registered in a number of countries within a specified and predictable time period.</w:t>
      </w:r>
      <w:r w:rsidRPr="009E0788">
        <w:t xml:space="preserve"> </w:t>
      </w:r>
      <w:r w:rsidRPr="00CF09D2">
        <w:t>Australia</w:t>
      </w:r>
      <w:r w:rsidRPr="00E74BE3">
        <w:t xml:space="preserve"> completed its first global joint review</w:t>
      </w:r>
      <w:r>
        <w:t xml:space="preserve"> of a pesticide dossier in 2007</w:t>
      </w:r>
      <w:r w:rsidR="005B6C3D">
        <w:t xml:space="preserve"> </w:t>
      </w:r>
      <w:r w:rsidR="00916B38" w:rsidRPr="00916B38">
        <w:t>(APVMA 2018c, 2016)</w:t>
      </w:r>
      <w:r w:rsidR="005B6C3D">
        <w:t>.</w:t>
      </w:r>
      <w:r>
        <w:t xml:space="preserve"> In 2016, the APVMA approved </w:t>
      </w:r>
      <w:proofErr w:type="spellStart"/>
      <w:r w:rsidRPr="0007572D">
        <w:rPr>
          <w:i/>
        </w:rPr>
        <w:t>Metcam</w:t>
      </w:r>
      <w:proofErr w:type="spellEnd"/>
      <w:r>
        <w:t xml:space="preserve"> – an animal health drug - alongside Canada and New Zealand.</w:t>
      </w:r>
    </w:p>
    <w:p w:rsidR="00B44DF2" w:rsidRPr="00AD60E6" w:rsidRDefault="00B44DF2" w:rsidP="00267C8D">
      <w:r w:rsidRPr="00267C8D">
        <w:rPr>
          <w:b/>
        </w:rPr>
        <w:t>Australia is harmonising its regulatory system with international regulators</w:t>
      </w:r>
    </w:p>
    <w:p w:rsidR="00E2661E" w:rsidRDefault="00B44DF2" w:rsidP="00B44DF2">
      <w:r w:rsidRPr="00E74BE3">
        <w:t xml:space="preserve">Australia </w:t>
      </w:r>
      <w:r>
        <w:t xml:space="preserve">already </w:t>
      </w:r>
      <w:r w:rsidRPr="00E74BE3">
        <w:t xml:space="preserve">participates in a range of international programs that promote harmonisation and regulatory convergence. </w:t>
      </w:r>
      <w:r>
        <w:t>F</w:t>
      </w:r>
      <w:r w:rsidRPr="00E74BE3">
        <w:t>or example</w:t>
      </w:r>
      <w:r>
        <w:t>,</w:t>
      </w:r>
      <w:r w:rsidRPr="00E74BE3">
        <w:t xml:space="preserve"> </w:t>
      </w:r>
      <w:r>
        <w:t>Australia</w:t>
      </w:r>
      <w:r w:rsidRPr="00E74BE3" w:rsidDel="00C803B7">
        <w:t xml:space="preserve"> </w:t>
      </w:r>
      <w:r>
        <w:t xml:space="preserve">participates </w:t>
      </w:r>
      <w:r w:rsidRPr="00E74BE3">
        <w:t xml:space="preserve">in the OECD </w:t>
      </w:r>
      <w:r>
        <w:t>Working Group on Pesticides</w:t>
      </w:r>
      <w:r w:rsidR="00E1465D">
        <w:t xml:space="preserve"> </w:t>
      </w:r>
      <w:r w:rsidR="00EE4CBB" w:rsidRPr="00EE4CBB">
        <w:t>(APVMA 2017)</w:t>
      </w:r>
      <w:r w:rsidRPr="00E74BE3">
        <w:t xml:space="preserve">, and </w:t>
      </w:r>
      <w:r>
        <w:t xml:space="preserve">has </w:t>
      </w:r>
      <w:r w:rsidRPr="00E74BE3">
        <w:t>observer status on the International Cooperation on Harmonisation of Technical Requirements for Registration of Veterinary Medicinal Products (VICH) program.</w:t>
      </w:r>
      <w:r>
        <w:t xml:space="preserve"> Through participation in these programs, the Australian regulatory system is aligned in assessing agvet chemicals through assessing efficacy data (VICH) and testing of chemicals (OECD guidelines).</w:t>
      </w:r>
    </w:p>
    <w:p w:rsidR="00A700E4" w:rsidRDefault="00A700E4" w:rsidP="00A700E4">
      <w:pPr>
        <w:pStyle w:val="Heading2"/>
        <w:numPr>
          <w:ilvl w:val="0"/>
          <w:numId w:val="0"/>
        </w:numPr>
        <w:ind w:left="576" w:hanging="576"/>
      </w:pPr>
      <w:bookmarkStart w:id="364" w:name="_Toc12024326"/>
      <w:bookmarkStart w:id="365" w:name="_Toc12294099"/>
      <w:bookmarkStart w:id="366" w:name="_Toc14107335"/>
      <w:r>
        <w:t>Other policy options</w:t>
      </w:r>
      <w:bookmarkEnd w:id="364"/>
      <w:bookmarkEnd w:id="365"/>
      <w:bookmarkEnd w:id="366"/>
    </w:p>
    <w:p w:rsidR="00A700E4" w:rsidRDefault="00A700E4" w:rsidP="00A700E4">
      <w:r>
        <w:t>This section outlines other policy options identified that have previously been examined by the Department</w:t>
      </w:r>
      <w:r w:rsidR="0058356F">
        <w:t>, but which haven’t been implemented</w:t>
      </w:r>
      <w:r>
        <w:t xml:space="preserve">. These options would not affect the most significant barrier identified as part of this report — the size of the Australian market — for which there are few (if any) levers available to the government. This section considers how each </w:t>
      </w:r>
      <w:r w:rsidR="00C03798">
        <w:t>of the options c</w:t>
      </w:r>
      <w:r>
        <w:t>ould influence the priority drivers and barriers, as well as the benefits, costs and risks associated with them.</w:t>
      </w:r>
    </w:p>
    <w:p w:rsidR="00D91F0A" w:rsidRPr="00E72F83" w:rsidRDefault="00226F80" w:rsidP="00E72F83">
      <w:pPr>
        <w:pStyle w:val="Heading3"/>
        <w:numPr>
          <w:ilvl w:val="0"/>
          <w:numId w:val="0"/>
        </w:numPr>
        <w:ind w:left="720" w:hanging="720"/>
      </w:pPr>
      <w:r w:rsidRPr="00E72F83">
        <w:t>Optional submission of mandatory efficacy assessments to APVMA</w:t>
      </w:r>
    </w:p>
    <w:p w:rsidR="00226F80" w:rsidDel="00E62698" w:rsidRDefault="00226F80" w:rsidP="00226F80">
      <w:r w:rsidDel="00E62698">
        <w:t xml:space="preserve">For most agricultural inputs (such as capital equipment and fertiliser), farmers are left to make their own determination on the relative </w:t>
      </w:r>
      <w:r>
        <w:t xml:space="preserve">efficacy </w:t>
      </w:r>
      <w:r w:rsidDel="00E62698">
        <w:t>of products. However, in the case of agvet chemicals, manufacturers are required to submit evidence to the APVMA that a product will work to its stated purpose and efficacy. The APVMA then make</w:t>
      </w:r>
      <w:r w:rsidR="004F1686">
        <w:t>s</w:t>
      </w:r>
      <w:r w:rsidDel="00E62698">
        <w:t xml:space="preserve"> an assessment of that evidence, and must be satisfied that the chemical will be effective for its stated purpose for the product to be registered in Australia.</w:t>
      </w:r>
    </w:p>
    <w:p w:rsidR="004A7A11" w:rsidRDefault="004F1686" w:rsidP="00226F80">
      <w:r>
        <w:t>E</w:t>
      </w:r>
      <w:r w:rsidR="00226F80">
        <w:t xml:space="preserve">fficacy assessments </w:t>
      </w:r>
      <w:r>
        <w:t xml:space="preserve">are </w:t>
      </w:r>
      <w:r w:rsidR="00226F80">
        <w:t>common across international regulatory systems for agvet chemicals. However, not all countries require the submission of supporting data with their applications. In the United States for example, manufacturers</w:t>
      </w:r>
      <w:r w:rsidR="00226F80" w:rsidDel="00E62698">
        <w:t xml:space="preserve"> are not required to submit evidence to support efficacy, rather they are required to possess it should the </w:t>
      </w:r>
      <w:r w:rsidR="00226F80">
        <w:t>regulator</w:t>
      </w:r>
      <w:r w:rsidR="00226F80" w:rsidDel="00E62698">
        <w:t xml:space="preserve"> wish to assess it in the future.</w:t>
      </w:r>
    </w:p>
    <w:p w:rsidR="004A7A11" w:rsidRDefault="00226F80" w:rsidP="00226F80">
      <w:r w:rsidDel="00E62698">
        <w:t xml:space="preserve">Adopting a similar approach </w:t>
      </w:r>
      <w:r>
        <w:t xml:space="preserve">in Australia </w:t>
      </w:r>
      <w:r w:rsidDel="00E62698">
        <w:t xml:space="preserve">to </w:t>
      </w:r>
      <w:r>
        <w:t>that in the United States</w:t>
      </w:r>
      <w:r w:rsidDel="00E62698">
        <w:t xml:space="preserve"> may </w:t>
      </w:r>
      <w:r>
        <w:t>reduce the quantity of information assessed by the APVMA. This could reduce</w:t>
      </w:r>
      <w:r w:rsidDel="00E62698">
        <w:t xml:space="preserve"> the time and cost to register agvet chemicals</w:t>
      </w:r>
      <w:r>
        <w:t xml:space="preserve"> in Australia and improve access to novel agvet chemicals by making registration more attractive</w:t>
      </w:r>
      <w:r w:rsidDel="00E62698">
        <w:t>.</w:t>
      </w:r>
    </w:p>
    <w:p w:rsidR="00226F80" w:rsidDel="00E62698" w:rsidRDefault="00226F80" w:rsidP="00267C8D">
      <w:pPr>
        <w:pStyle w:val="Heading4"/>
        <w:numPr>
          <w:ilvl w:val="0"/>
          <w:numId w:val="0"/>
        </w:numPr>
        <w:ind w:left="864" w:hanging="864"/>
      </w:pPr>
      <w:r w:rsidDel="00E62698">
        <w:t>Proposed option</w:t>
      </w:r>
    </w:p>
    <w:p w:rsidR="00226F80" w:rsidDel="00E62698" w:rsidRDefault="00226F80" w:rsidP="00226F80">
      <w:r w:rsidDel="00E62698">
        <w:t>One policy option is to remove the requirement for applicants to submit evidence of efficacy to the APVMA, unless:</w:t>
      </w:r>
    </w:p>
    <w:p w:rsidR="00226F80" w:rsidDel="00E62698" w:rsidRDefault="00226F80" w:rsidP="00226F80">
      <w:pPr>
        <w:pStyle w:val="ListParagraph"/>
        <w:numPr>
          <w:ilvl w:val="0"/>
          <w:numId w:val="23"/>
        </w:numPr>
      </w:pPr>
      <w:r w:rsidDel="00E62698">
        <w:t>It is required to satisfy safety considerations; or</w:t>
      </w:r>
    </w:p>
    <w:p w:rsidR="004A7A11" w:rsidRDefault="00226F80" w:rsidP="00226F80">
      <w:pPr>
        <w:pStyle w:val="ListParagraph"/>
        <w:numPr>
          <w:ilvl w:val="0"/>
          <w:numId w:val="23"/>
        </w:numPr>
      </w:pPr>
      <w:r w:rsidDel="00E62698">
        <w:t>The applicant chooses to submit evidence of efficacy for the APVMA to consider.</w:t>
      </w:r>
    </w:p>
    <w:p w:rsidR="004A7A11" w:rsidRDefault="00226F80" w:rsidP="00226F80">
      <w:r w:rsidDel="00E62698">
        <w:t xml:space="preserve">Under this policy option, </w:t>
      </w:r>
      <w:r>
        <w:t>chemical manufacturers would still be required</w:t>
      </w:r>
      <w:r w:rsidDel="00E62698">
        <w:t xml:space="preserve"> to collect and retain evidence </w:t>
      </w:r>
      <w:r w:rsidDel="000911D8">
        <w:t xml:space="preserve">which </w:t>
      </w:r>
      <w:r w:rsidDel="00E62698">
        <w:t xml:space="preserve">supports the </w:t>
      </w:r>
      <w:r>
        <w:t>efficacy of their products</w:t>
      </w:r>
      <w:r w:rsidDel="00E62698">
        <w:t>.</w:t>
      </w:r>
      <w:r>
        <w:t xml:space="preserve"> However this evidence would not be required to be submitted in support of an application made to the APVMA. Instead, chemical manufacturers would need to ‘hold’ efficacy evidence so that it may be </w:t>
      </w:r>
      <w:r w:rsidR="00DA529F">
        <w:t xml:space="preserve">assessed </w:t>
      </w:r>
      <w:r>
        <w:t>by the APVMA should it request it at any point after registration. This option is modelled after the approach currently adopted in the United States.</w:t>
      </w:r>
    </w:p>
    <w:p w:rsidR="00226F80" w:rsidDel="00E62698" w:rsidRDefault="00226F80" w:rsidP="00267C8D">
      <w:pPr>
        <w:pStyle w:val="Heading4"/>
        <w:numPr>
          <w:ilvl w:val="0"/>
          <w:numId w:val="0"/>
        </w:numPr>
        <w:ind w:left="864" w:hanging="864"/>
      </w:pPr>
      <w:r w:rsidDel="00E62698">
        <w:t>Benefits of this approach</w:t>
      </w:r>
    </w:p>
    <w:p w:rsidR="004A7A11" w:rsidRDefault="00226F80" w:rsidP="00226F80">
      <w:r w:rsidRPr="00226F80" w:rsidDel="00E62698">
        <w:t xml:space="preserve">Making efficacy assessments optional could reduce the cost and time to register agvet chemicals </w:t>
      </w:r>
      <w:r w:rsidRPr="00226F80">
        <w:t>by reducing the scope of assessment undertaken by the APVMA. In the absence of efficacy, only evidence in support of safety and trade would need to be assessed by the APVMA. This has two potential effects: first</w:t>
      </w:r>
      <w:r w:rsidR="004F1686">
        <w:t>ly</w:t>
      </w:r>
      <w:r w:rsidR="00C27FEB">
        <w:t>,</w:t>
      </w:r>
      <w:r w:rsidRPr="00226F80">
        <w:t xml:space="preserve"> optional submission of mandatory efficacy assessment data may result in faster application assessment periods and second</w:t>
      </w:r>
      <w:r w:rsidR="004F1686">
        <w:t>ly</w:t>
      </w:r>
      <w:r w:rsidR="00C27FEB">
        <w:t>,</w:t>
      </w:r>
      <w:r w:rsidRPr="00226F80">
        <w:t xml:space="preserve"> it could reduce the resources required by the APVMA for individual applications. Because the APVMA’s application fees are set according to cost recovery principals, this may </w:t>
      </w:r>
      <w:r w:rsidRPr="00226F80" w:rsidDel="00E62698">
        <w:t xml:space="preserve">lower </w:t>
      </w:r>
      <w:r w:rsidRPr="00226F80" w:rsidDel="000911D8">
        <w:t xml:space="preserve">APVMA’s statutory </w:t>
      </w:r>
      <w:r w:rsidRPr="00226F80" w:rsidDel="00E62698">
        <w:t>fees.</w:t>
      </w:r>
    </w:p>
    <w:p w:rsidR="00226F80" w:rsidRPr="00226F80" w:rsidDel="00E62698" w:rsidRDefault="00226F80" w:rsidP="00226F80">
      <w:r w:rsidRPr="00226F80">
        <w:t xml:space="preserve">This option would </w:t>
      </w:r>
      <w:r w:rsidR="00DA529F">
        <w:t xml:space="preserve">be </w:t>
      </w:r>
      <w:r w:rsidRPr="00226F80">
        <w:t xml:space="preserve">likely </w:t>
      </w:r>
      <w:r w:rsidR="00DA529F">
        <w:t>to apply</w:t>
      </w:r>
      <w:r w:rsidR="00DA529F" w:rsidRPr="00226F80">
        <w:t xml:space="preserve"> </w:t>
      </w:r>
      <w:r w:rsidRPr="00226F80">
        <w:t>to more agricultural chemicals applications than veterinary medicines. This is because animal medicines that are not efficacious may put animal health and welfare at increased risk. In cases such as these, it is important that those medicines are efficacious. For many agricultural chemical products, however, relaxing the efficacy criteria would not necessarily compromise safety if used according the label instructions.</w:t>
      </w:r>
    </w:p>
    <w:p w:rsidR="00226F80" w:rsidDel="00E62698" w:rsidRDefault="00226F80" w:rsidP="00267C8D">
      <w:pPr>
        <w:pStyle w:val="Heading4"/>
        <w:numPr>
          <w:ilvl w:val="0"/>
          <w:numId w:val="0"/>
        </w:numPr>
        <w:ind w:left="864" w:hanging="864"/>
      </w:pPr>
      <w:r w:rsidDel="00E62698">
        <w:t>Costs and risks associated with this approach</w:t>
      </w:r>
    </w:p>
    <w:p w:rsidR="00226F80" w:rsidRDefault="00226F80" w:rsidP="00226F80">
      <w:r>
        <w:t xml:space="preserve">One of the primary risks in removing the requirement for manufactures to submit </w:t>
      </w:r>
      <w:r w:rsidR="00DA529F">
        <w:t xml:space="preserve">evidence of </w:t>
      </w:r>
      <w:r>
        <w:t xml:space="preserve">efficacy is that it would increase the risk of an ineffective chemical being registered. This would likely impose costs on other parties (particularly the users of the chemical) or on the general public. Stakeholders have previously noted that agricultural producers may lack the resources to pursue compensation for exaggerated efficacy. However, as already stated, this is also true of many products, which </w:t>
      </w:r>
      <w:r w:rsidRPr="0049203A">
        <w:t xml:space="preserve">do not have protections beyond the usual protections provided by </w:t>
      </w:r>
      <w:r>
        <w:t xml:space="preserve">Australian </w:t>
      </w:r>
      <w:r w:rsidRPr="008E71BB">
        <w:t>consumer law and the ACCC and contract/commercial law</w:t>
      </w:r>
      <w:r w:rsidR="00EF4446">
        <w:t>, while</w:t>
      </w:r>
      <w:r w:rsidR="00EF4446" w:rsidRPr="00EF4446">
        <w:t xml:space="preserve"> businesses are protected under Consumer Law for purchases of goods and services under $40,000</w:t>
      </w:r>
      <w:r w:rsidR="005B6C3D">
        <w:t>.</w:t>
      </w:r>
      <w:r>
        <w:t xml:space="preserve"> Furthermore, industry bodies </w:t>
      </w:r>
      <w:r w:rsidR="00DA529F">
        <w:t xml:space="preserve">and </w:t>
      </w:r>
      <w:r w:rsidR="00C27FEB">
        <w:t>Rural Research and Development Corporations (</w:t>
      </w:r>
      <w:r w:rsidR="00DA529F">
        <w:t>RDCs</w:t>
      </w:r>
      <w:r w:rsidR="00C27FEB">
        <w:t>)</w:t>
      </w:r>
      <w:r w:rsidR="00DA529F">
        <w:t xml:space="preserve"> </w:t>
      </w:r>
      <w:r>
        <w:t xml:space="preserve">play a role in trialling new products and informing farmers of their outcomes. This information would also be disseminated through grower groups and agronomists. This means that non-performing products </w:t>
      </w:r>
      <w:r w:rsidR="00C5347A">
        <w:t xml:space="preserve">would probably </w:t>
      </w:r>
      <w:r>
        <w:t>be identified swiftly.</w:t>
      </w:r>
    </w:p>
    <w:p w:rsidR="00226F80" w:rsidRDefault="00226F80" w:rsidP="00226F80">
      <w:r>
        <w:t xml:space="preserve">Not requiring the APVMA to assess efficacy would also </w:t>
      </w:r>
      <w:r w:rsidDel="00E62698">
        <w:t xml:space="preserve">remove a </w:t>
      </w:r>
      <w:r>
        <w:t xml:space="preserve">safety net for Australian farmers and a </w:t>
      </w:r>
      <w:r w:rsidDel="00E62698">
        <w:t xml:space="preserve">trusted source of information </w:t>
      </w:r>
      <w:r>
        <w:t>that signals whether a product is efficacious.</w:t>
      </w:r>
      <w:r w:rsidDel="00E62698">
        <w:t xml:space="preserve"> However, as noted earlier, this support is not available for most other farm inputs, nor is it a mechanism used by other industries. Outside of agvet chemicals, the government allows market </w:t>
      </w:r>
      <w:r>
        <w:t>signals</w:t>
      </w:r>
      <w:r w:rsidDel="00E62698">
        <w:t xml:space="preserve">, rather than regulation, to </w:t>
      </w:r>
      <w:r>
        <w:t>provide product efficacy information to its users</w:t>
      </w:r>
      <w:r w:rsidDel="00E62698">
        <w:t>.</w:t>
      </w:r>
      <w:r>
        <w:t xml:space="preserve"> It is also important to note that the safety net provided by the APVMA is a driver of demand for novel agvet chemicals. Agricultural producers would </w:t>
      </w:r>
      <w:r w:rsidR="001776D1">
        <w:t xml:space="preserve">possibly </w:t>
      </w:r>
      <w:r>
        <w:t>have weaker demand for a given product if they knew less about its performance in managing pests and disease</w:t>
      </w:r>
      <w:r w:rsidR="00C5347A">
        <w:t>s</w:t>
      </w:r>
      <w:r>
        <w:t>. Instead</w:t>
      </w:r>
      <w:r w:rsidR="001776D1">
        <w:t>,</w:t>
      </w:r>
      <w:r>
        <w:t xml:space="preserve"> producers may favour established management practices. Because of this, </w:t>
      </w:r>
      <w:r w:rsidR="004F1686">
        <w:t>allowing</w:t>
      </w:r>
      <w:r>
        <w:t xml:space="preserve"> for optional efficacy </w:t>
      </w:r>
      <w:r w:rsidR="00C5347A">
        <w:t>assessment</w:t>
      </w:r>
      <w:r w:rsidR="001776D1">
        <w:t>s</w:t>
      </w:r>
      <w:r w:rsidR="00C5347A">
        <w:t xml:space="preserve"> by the APVMA </w:t>
      </w:r>
      <w:r>
        <w:t>may ultimately reduce the supply of novel agvet chemicals as manufacturers face weaker demand in the Australian market.</w:t>
      </w:r>
    </w:p>
    <w:p w:rsidR="004A7A11" w:rsidRDefault="00226F80" w:rsidP="00226F80">
      <w:r>
        <w:t>T</w:t>
      </w:r>
      <w:r w:rsidDel="00E62698">
        <w:t>here are</w:t>
      </w:r>
      <w:r>
        <w:t xml:space="preserve"> also</w:t>
      </w:r>
      <w:r w:rsidDel="00E62698">
        <w:t xml:space="preserve"> positive externalities associated with the treatment of a pest or disease. Ensuring the efficacy of a novel agvet chemical before it is approved for use could prove to be a critical factor in preventing the spread of a pest or disease. In circumstances such as this, it would be in the public interest </w:t>
      </w:r>
      <w:r>
        <w:t xml:space="preserve">for </w:t>
      </w:r>
      <w:r w:rsidR="004F1686">
        <w:t xml:space="preserve">the </w:t>
      </w:r>
      <w:r>
        <w:t>APVMA</w:t>
      </w:r>
      <w:r w:rsidDel="00E62698">
        <w:t xml:space="preserve"> to have assessed the efficacy of any agvet chemicals used to manage or prevent an outbreak. However, it is important to note that (under this policy option) </w:t>
      </w:r>
      <w:r w:rsidR="00C5347A">
        <w:t>optional assessments of efficacy</w:t>
      </w:r>
      <w:r w:rsidR="00C5347A" w:rsidDel="00E62698">
        <w:t xml:space="preserve"> </w:t>
      </w:r>
      <w:r w:rsidDel="00E62698">
        <w:t xml:space="preserve">would not </w:t>
      </w:r>
      <w:r w:rsidR="00C5347A">
        <w:t>apply</w:t>
      </w:r>
      <w:r w:rsidR="00C5347A" w:rsidDel="00E62698">
        <w:t xml:space="preserve"> </w:t>
      </w:r>
      <w:r w:rsidDel="00E62698">
        <w:t xml:space="preserve">to </w:t>
      </w:r>
      <w:r w:rsidR="00C5347A">
        <w:t xml:space="preserve">chemicals used for treating </w:t>
      </w:r>
      <w:r w:rsidDel="00E62698">
        <w:t xml:space="preserve">outbreaks </w:t>
      </w:r>
      <w:r w:rsidR="004F1686">
        <w:t>that</w:t>
      </w:r>
      <w:r w:rsidR="004F1686" w:rsidDel="00E62698">
        <w:t xml:space="preserve"> </w:t>
      </w:r>
      <w:r w:rsidDel="00952995">
        <w:t xml:space="preserve">would </w:t>
      </w:r>
      <w:r w:rsidR="00C5347A">
        <w:t>affect</w:t>
      </w:r>
      <w:r w:rsidR="00C5347A" w:rsidDel="00E62698">
        <w:t xml:space="preserve"> </w:t>
      </w:r>
      <w:r w:rsidDel="00E62698">
        <w:t>human health</w:t>
      </w:r>
      <w:r w:rsidR="00C5347A">
        <w:t xml:space="preserve"> (e.g. Hendra Virus)</w:t>
      </w:r>
      <w:r w:rsidDel="00E62698">
        <w:t xml:space="preserve">. For products </w:t>
      </w:r>
      <w:r w:rsidR="004F1686">
        <w:t>that</w:t>
      </w:r>
      <w:r w:rsidR="004F1686" w:rsidDel="00E62698">
        <w:t xml:space="preserve"> </w:t>
      </w:r>
      <w:r w:rsidDel="00E62698">
        <w:t xml:space="preserve">address those pests and diseases (such as mosquitos and rats), applicants </w:t>
      </w:r>
      <w:r>
        <w:t>would be</w:t>
      </w:r>
      <w:r w:rsidDel="00E62698">
        <w:t xml:space="preserve"> required to submit evidence of efficacy</w:t>
      </w:r>
      <w:r w:rsidR="00C5347A">
        <w:t>, which the APVMA would assess</w:t>
      </w:r>
      <w:r w:rsidDel="00E62698">
        <w:t xml:space="preserve"> to </w:t>
      </w:r>
      <w:r w:rsidR="00C5347A">
        <w:t xml:space="preserve">be </w:t>
      </w:r>
      <w:r w:rsidDel="00E62698">
        <w:t>satisf</w:t>
      </w:r>
      <w:r w:rsidR="00C5347A">
        <w:t>ied</w:t>
      </w:r>
      <w:r w:rsidDel="00E62698">
        <w:t xml:space="preserve"> the </w:t>
      </w:r>
      <w:r w:rsidR="00C5347A">
        <w:t>product me</w:t>
      </w:r>
      <w:r w:rsidR="00683A38">
        <w:t>e</w:t>
      </w:r>
      <w:r w:rsidR="00C5347A">
        <w:t>t</w:t>
      </w:r>
      <w:r w:rsidR="00683A38">
        <w:t>s</w:t>
      </w:r>
      <w:r w:rsidR="00C5347A">
        <w:t xml:space="preserve"> </w:t>
      </w:r>
      <w:r w:rsidDel="00E62698">
        <w:t>safety criteria.</w:t>
      </w:r>
    </w:p>
    <w:p w:rsidR="004A7A11" w:rsidRDefault="00226F80" w:rsidP="00226F80">
      <w:pPr>
        <w:rPr>
          <w:rFonts w:asciiTheme="majorHAnsi" w:hAnsiTheme="majorHAnsi"/>
        </w:rPr>
      </w:pPr>
      <w:r w:rsidDel="00E62698">
        <w:t xml:space="preserve">There is also a risk that this reform </w:t>
      </w:r>
      <w:r>
        <w:t xml:space="preserve">may </w:t>
      </w:r>
      <w:r w:rsidDel="00E62698">
        <w:t xml:space="preserve">compromise Australia’s strong global reputation for agvet chemical regulation. There is evidence that this strong reputation is a driver of supply. </w:t>
      </w:r>
      <w:r>
        <w:t>S</w:t>
      </w:r>
      <w:r w:rsidDel="00E62698">
        <w:t xml:space="preserve">ome manufacturers have </w:t>
      </w:r>
      <w:r w:rsidR="00C5347A">
        <w:t xml:space="preserve">indicated that </w:t>
      </w:r>
      <w:r w:rsidDel="00E62698">
        <w:t>Australia</w:t>
      </w:r>
      <w:r w:rsidR="002815A5">
        <w:t>n registration of their products</w:t>
      </w:r>
      <w:r w:rsidDel="00E62698">
        <w:t xml:space="preserve"> aid</w:t>
      </w:r>
      <w:r w:rsidR="002815A5">
        <w:t>ed</w:t>
      </w:r>
      <w:r w:rsidDel="00E62698">
        <w:t xml:space="preserve"> their registrations in other jurisdictions</w:t>
      </w:r>
      <w:r w:rsidR="002815A5">
        <w:t xml:space="preserve"> (See the driver “</w:t>
      </w:r>
      <w:r w:rsidR="002815A5" w:rsidRPr="002815A5">
        <w:t>Australia is viewed as a first choice regulator and this drives the supply of agvet chemicals</w:t>
      </w:r>
      <w:r w:rsidR="002815A5">
        <w:t>” in Appendix C for further details)</w:t>
      </w:r>
      <w:r w:rsidR="00672324">
        <w:t xml:space="preserve"> </w:t>
      </w:r>
      <w:r w:rsidR="00EE4CBB" w:rsidRPr="00EE4CBB">
        <w:t>(Gregg et al. 2010)</w:t>
      </w:r>
      <w:r w:rsidR="00672324" w:rsidDel="00E62698">
        <w:t>.</w:t>
      </w:r>
      <w:r w:rsidR="002815A5">
        <w:t xml:space="preserve"> </w:t>
      </w:r>
      <w:r w:rsidDel="00E62698">
        <w:t>Registration of a chemical in Australia (as well as the UK and United States) has, in some instances, been sufficient for foreign governments to allow it to be sold</w:t>
      </w:r>
      <w:r w:rsidR="005B6C3D">
        <w:t xml:space="preserve"> </w:t>
      </w:r>
      <w:r w:rsidR="00EE4CBB" w:rsidRPr="00EE4CBB">
        <w:t>(Gregg et al. 2010)</w:t>
      </w:r>
      <w:r w:rsidR="005B6C3D">
        <w:t>.</w:t>
      </w:r>
      <w:r w:rsidDel="00E62698">
        <w:t xml:space="preserve"> </w:t>
      </w:r>
      <w:r w:rsidRPr="00285DBA" w:rsidDel="00E62698">
        <w:rPr>
          <w:rFonts w:asciiTheme="majorHAnsi" w:hAnsiTheme="majorHAnsi"/>
        </w:rPr>
        <w:t>This is</w:t>
      </w:r>
      <w:r w:rsidDel="00E62698">
        <w:rPr>
          <w:rFonts w:asciiTheme="majorHAnsi" w:hAnsiTheme="majorHAnsi"/>
        </w:rPr>
        <w:t>,</w:t>
      </w:r>
      <w:r w:rsidRPr="00285DBA" w:rsidDel="00E62698">
        <w:rPr>
          <w:rFonts w:asciiTheme="majorHAnsi" w:hAnsiTheme="majorHAnsi"/>
        </w:rPr>
        <w:t xml:space="preserve"> in part</w:t>
      </w:r>
      <w:r w:rsidDel="00E62698">
        <w:rPr>
          <w:rFonts w:asciiTheme="majorHAnsi" w:hAnsiTheme="majorHAnsi"/>
        </w:rPr>
        <w:t>,</w:t>
      </w:r>
      <w:r w:rsidRPr="00285DBA" w:rsidDel="00E62698">
        <w:rPr>
          <w:rFonts w:asciiTheme="majorHAnsi" w:hAnsiTheme="majorHAnsi"/>
        </w:rPr>
        <w:t xml:space="preserve"> because Australia's regulatory system is focussed on the safety and efficacy of individual chemicals.</w:t>
      </w:r>
    </w:p>
    <w:p w:rsidR="00226F80" w:rsidRPr="00E72F83" w:rsidDel="00E62698" w:rsidRDefault="00226F80" w:rsidP="00267C8D">
      <w:pPr>
        <w:pStyle w:val="Heading3"/>
        <w:numPr>
          <w:ilvl w:val="0"/>
          <w:numId w:val="0"/>
        </w:numPr>
        <w:ind w:left="720" w:hanging="720"/>
      </w:pPr>
      <w:r w:rsidDel="00E62698">
        <w:t xml:space="preserve">Allowing </w:t>
      </w:r>
      <w:r w:rsidR="00C5347A">
        <w:t>external third parties</w:t>
      </w:r>
      <w:r w:rsidRPr="00517B29" w:rsidDel="00E62698">
        <w:t xml:space="preserve"> </w:t>
      </w:r>
      <w:r w:rsidDel="00E62698">
        <w:t xml:space="preserve">to make assessments </w:t>
      </w:r>
      <w:r w:rsidRPr="00517B29" w:rsidDel="00E62698">
        <w:t>against the standards set by the APVMA</w:t>
      </w:r>
    </w:p>
    <w:p w:rsidR="00226F80" w:rsidRDefault="00226F80" w:rsidP="00226F80">
      <w:r w:rsidDel="00E62698">
        <w:t xml:space="preserve">Currently, </w:t>
      </w:r>
      <w:r w:rsidR="002939F3">
        <w:t xml:space="preserve">by default, </w:t>
      </w:r>
      <w:r w:rsidDel="00E62698">
        <w:t>agvet chemical manufacturers only use the APVMA to assess products or actives before they are registered or approved in Australia</w:t>
      </w:r>
      <w:r w:rsidR="002939F3">
        <w:t xml:space="preserve"> because of the form in which the APVMA accepts applications</w:t>
      </w:r>
      <w:r w:rsidDel="00E62698">
        <w:t>. This approach is common in most other comparable jurisdictions</w:t>
      </w:r>
      <w:r w:rsidR="00EF4446">
        <w:t xml:space="preserve"> although some jurisdictions have separate entities to assess agricultural chemicals and veterinary medicines</w:t>
      </w:r>
      <w:r w:rsidDel="00E62698">
        <w:t xml:space="preserve">. New Zealand is the only comparable jurisdiction where the regulatory body largely does not undertake assessment of agvet chemicals (unless requested to do so by the applicant), instead </w:t>
      </w:r>
      <w:r>
        <w:t>it reviews</w:t>
      </w:r>
      <w:r w:rsidDel="00E62698">
        <w:t xml:space="preserve"> assessments made by third party assessors. </w:t>
      </w:r>
      <w:r>
        <w:t>This model of assessment is common in Australian markets outside agvet chemicals, including for example the building and construction sector.</w:t>
      </w:r>
    </w:p>
    <w:p w:rsidR="00226F80" w:rsidDel="00E62698" w:rsidRDefault="00226F80" w:rsidP="00226F80">
      <w:r w:rsidDel="00E62698">
        <w:t>In New Zealand, the Ministry for Primary Industries (MPI)</w:t>
      </w:r>
      <w:r w:rsidRPr="00745665" w:rsidDel="00E62698">
        <w:t xml:space="preserve"> administers the Agricultural Compounds and Veterinary Medicines Act 1997 </w:t>
      </w:r>
      <w:r w:rsidDel="00E62698">
        <w:t>which focuses on agvet chemicals</w:t>
      </w:r>
      <w:r w:rsidR="00EF4446">
        <w:t>. The MPI works with t</w:t>
      </w:r>
      <w:r w:rsidR="00EF4446" w:rsidRPr="004917CA">
        <w:t>he NZ EPA</w:t>
      </w:r>
      <w:r w:rsidR="00EF4446">
        <w:t>, who</w:t>
      </w:r>
      <w:r w:rsidR="00EF4446" w:rsidRPr="004917CA">
        <w:t xml:space="preserve"> administers the Hazardous Substances and New Organisms Act </w:t>
      </w:r>
      <w:r w:rsidR="00EF4446">
        <w:t>(</w:t>
      </w:r>
      <w:r w:rsidR="00EF4446" w:rsidRPr="004917CA">
        <w:t>1996</w:t>
      </w:r>
      <w:r w:rsidR="00EF4446">
        <w:t>)</w:t>
      </w:r>
      <w:r w:rsidR="00EF4446" w:rsidRPr="004917CA">
        <w:t xml:space="preserve"> </w:t>
      </w:r>
      <w:r w:rsidR="00EF4446">
        <w:t xml:space="preserve">which covers a </w:t>
      </w:r>
      <w:r w:rsidR="00EF4446" w:rsidRPr="004917CA">
        <w:t>wider range of chemicals and their risks to health, safety and the environment</w:t>
      </w:r>
      <w:r w:rsidDel="00E62698">
        <w:t>. P</w:t>
      </w:r>
      <w:r w:rsidRPr="00745665" w:rsidDel="00E62698">
        <w:t xml:space="preserve">rior to </w:t>
      </w:r>
      <w:r w:rsidDel="00E62698">
        <w:t xml:space="preserve">submitting an application to the NZ </w:t>
      </w:r>
      <w:r w:rsidR="00EF4446">
        <w:t>MPI</w:t>
      </w:r>
      <w:r w:rsidDel="00E62698">
        <w:t xml:space="preserve">, </w:t>
      </w:r>
      <w:r w:rsidR="00C5347A">
        <w:t xml:space="preserve">prospective applicants must have their chemical </w:t>
      </w:r>
      <w:r w:rsidR="0004216E">
        <w:t xml:space="preserve">product </w:t>
      </w:r>
      <w:r w:rsidR="00C5347A">
        <w:t xml:space="preserve">assessed by a suitably qualified person. </w:t>
      </w:r>
      <w:r w:rsidDel="00E62698">
        <w:t xml:space="preserve">This approach </w:t>
      </w:r>
      <w:r w:rsidR="00AF28CC">
        <w:t>means</w:t>
      </w:r>
      <w:r w:rsidR="00AF28CC" w:rsidDel="00E62698">
        <w:t xml:space="preserve"> </w:t>
      </w:r>
      <w:r w:rsidDel="00E62698">
        <w:t xml:space="preserve">chemical manufacturers </w:t>
      </w:r>
      <w:r w:rsidR="00AF28CC">
        <w:t>generally</w:t>
      </w:r>
      <w:r w:rsidR="00AF28CC" w:rsidDel="00952995">
        <w:t xml:space="preserve"> </w:t>
      </w:r>
      <w:r w:rsidR="00AF28CC">
        <w:t>engage</w:t>
      </w:r>
      <w:r w:rsidR="00AF28CC" w:rsidDel="00952995">
        <w:t xml:space="preserve"> </w:t>
      </w:r>
      <w:r w:rsidDel="00952995">
        <w:t>independent third parties to draft assessments of their data packs</w:t>
      </w:r>
      <w:r w:rsidDel="00E62698">
        <w:t>, which leaves the New Zealand regulator with more of a peer review role.</w:t>
      </w:r>
    </w:p>
    <w:p w:rsidR="00226F80" w:rsidDel="00E62698" w:rsidRDefault="00226F80" w:rsidP="00226F80">
      <w:r w:rsidDel="00E62698">
        <w:t>T</w:t>
      </w:r>
      <w:r w:rsidRPr="00CB7D99" w:rsidDel="00E62698">
        <w:t xml:space="preserve">he APVMA </w:t>
      </w:r>
      <w:r w:rsidDel="00E62698">
        <w:t xml:space="preserve">already </w:t>
      </w:r>
      <w:r w:rsidRPr="00CB7D99" w:rsidDel="00E62698">
        <w:t xml:space="preserve">outsources elements of its technical assessments to third party external assessors who are experts in the fields of human health, environment, efficacy and target animal and crop safety risk assessment (these assessors are used for applications lodged with the APVMA). </w:t>
      </w:r>
      <w:r w:rsidDel="00E62698">
        <w:t xml:space="preserve">The APVMA has also conducted a pilot project, allowing applicants to engage </w:t>
      </w:r>
      <w:r w:rsidRPr="00CB7D99" w:rsidDel="00E62698">
        <w:t xml:space="preserve">third party external assessors </w:t>
      </w:r>
      <w:r w:rsidDel="00E62698">
        <w:t xml:space="preserve">to </w:t>
      </w:r>
      <w:r w:rsidRPr="00CB7D99" w:rsidDel="00E62698">
        <w:t xml:space="preserve">conduct </w:t>
      </w:r>
      <w:r w:rsidDel="00E62698">
        <w:t xml:space="preserve">a </w:t>
      </w:r>
      <w:r w:rsidRPr="00CB7D99" w:rsidDel="00E62698">
        <w:t>pre-application assessment of efficacy</w:t>
      </w:r>
      <w:r w:rsidDel="00E62698">
        <w:t xml:space="preserve"> and target animal and crop safety. Under the pilot, assessors are engaged directly by applicants, rather than by the APVMA.</w:t>
      </w:r>
    </w:p>
    <w:p w:rsidR="00226F80" w:rsidDel="00E62698" w:rsidRDefault="00226F80" w:rsidP="00267C8D">
      <w:pPr>
        <w:pStyle w:val="Heading4"/>
        <w:numPr>
          <w:ilvl w:val="0"/>
          <w:numId w:val="0"/>
        </w:numPr>
        <w:ind w:left="864" w:hanging="864"/>
      </w:pPr>
      <w:r w:rsidDel="00E62698">
        <w:t>Proposed option</w:t>
      </w:r>
    </w:p>
    <w:p w:rsidR="00226F80" w:rsidDel="00E62698" w:rsidRDefault="00226F80" w:rsidP="00226F80">
      <w:r w:rsidDel="00E62698">
        <w:t xml:space="preserve">One policy option considered here is for the Australian regulatory system to adopt partially or in full, the New Zealand approach. Under this approach, third parties </w:t>
      </w:r>
      <w:r w:rsidDel="00952995">
        <w:t xml:space="preserve">would </w:t>
      </w:r>
      <w:r w:rsidDel="00E62698">
        <w:t>be used to assess applications for novel agvet chemicals, based on standards detailed by the APVMA. Third party assessment of a novel agvet chemical would be undertaken prior to the application submission to the APVMA, with the APVMA redu</w:t>
      </w:r>
      <w:r>
        <w:t xml:space="preserve">cing its role </w:t>
      </w:r>
      <w:r w:rsidR="00AF28CC">
        <w:t xml:space="preserve">in assessments </w:t>
      </w:r>
      <w:r>
        <w:t>to one of review.</w:t>
      </w:r>
    </w:p>
    <w:p w:rsidR="00226F80" w:rsidDel="00E62698" w:rsidRDefault="00226F80" w:rsidP="00267C8D">
      <w:pPr>
        <w:pStyle w:val="Heading4"/>
        <w:numPr>
          <w:ilvl w:val="0"/>
          <w:numId w:val="0"/>
        </w:numPr>
        <w:ind w:left="864" w:hanging="864"/>
      </w:pPr>
      <w:r w:rsidDel="00E62698">
        <w:t>Benefits of this approach</w:t>
      </w:r>
    </w:p>
    <w:p w:rsidR="00226F80" w:rsidDel="00E62698" w:rsidRDefault="00226F80" w:rsidP="00226F80">
      <w:pPr>
        <w:rPr>
          <w:b/>
        </w:rPr>
      </w:pPr>
      <w:r>
        <w:t>The primary benefit of t</w:t>
      </w:r>
      <w:r w:rsidDel="00E62698">
        <w:t xml:space="preserve">his approach would </w:t>
      </w:r>
      <w:r>
        <w:t xml:space="preserve">be to </w:t>
      </w:r>
      <w:r w:rsidRPr="00BE4562" w:rsidDel="00E62698">
        <w:t>provide applicants with more control over data assessment timeframes and costs. The provision of assess</w:t>
      </w:r>
      <w:r w:rsidDel="00E62698">
        <w:t>ments by third party providers prior to submission of the application to the APVMA may allow chemical companies to better manage their timelines for registration. For example, applicants would have the option to submit data for assessment as it becomes available, or pay third party assessors to undertake an assessment with greater speed at a higher cost.</w:t>
      </w:r>
    </w:p>
    <w:p w:rsidR="00226F80" w:rsidDel="00E62698" w:rsidRDefault="00FC32B8" w:rsidP="00226F80">
      <w:r>
        <w:t>T</w:t>
      </w:r>
      <w:r w:rsidR="00226F80" w:rsidDel="00E62698">
        <w:t xml:space="preserve">his approach </w:t>
      </w:r>
      <w:r w:rsidR="00AF28CC">
        <w:t>is</w:t>
      </w:r>
      <w:r w:rsidR="00AF28CC" w:rsidDel="00E62698">
        <w:t xml:space="preserve"> </w:t>
      </w:r>
      <w:r w:rsidR="00226F80" w:rsidDel="00E62698">
        <w:t>likely</w:t>
      </w:r>
      <w:r w:rsidR="00AF28CC">
        <w:t xml:space="preserve"> to</w:t>
      </w:r>
      <w:r w:rsidR="00226F80" w:rsidDel="00E62698">
        <w:t xml:space="preserve"> increase the efficiency of application processing</w:t>
      </w:r>
      <w:r>
        <w:t xml:space="preserve"> for the APVMA</w:t>
      </w:r>
      <w:r w:rsidR="00226F80" w:rsidDel="00E62698">
        <w:t xml:space="preserve">, causing a reduction in </w:t>
      </w:r>
      <w:r>
        <w:t>application processing periods.</w:t>
      </w:r>
      <w:r w:rsidR="00226F80" w:rsidDel="00E62698">
        <w:t xml:space="preserve"> </w:t>
      </w:r>
      <w:r>
        <w:t xml:space="preserve">Ultimately this may </w:t>
      </w:r>
      <w:r w:rsidR="00226F80" w:rsidDel="00E62698">
        <w:t xml:space="preserve">make </w:t>
      </w:r>
      <w:r>
        <w:t xml:space="preserve">novel </w:t>
      </w:r>
      <w:r w:rsidR="00226F80" w:rsidDel="00E62698">
        <w:t>product</w:t>
      </w:r>
      <w:r>
        <w:t>s</w:t>
      </w:r>
      <w:r w:rsidR="00226F80" w:rsidDel="00E62698">
        <w:t xml:space="preserve"> available to agricultural businesses sooner than otherwise</w:t>
      </w:r>
      <w:r>
        <w:t xml:space="preserve"> would be the case. Th</w:t>
      </w:r>
      <w:r w:rsidR="00226F80" w:rsidDel="00E62698">
        <w:t xml:space="preserve">is approach </w:t>
      </w:r>
      <w:r>
        <w:t>could</w:t>
      </w:r>
      <w:r w:rsidR="00226F80" w:rsidDel="00E62698">
        <w:t xml:space="preserve"> also </w:t>
      </w:r>
      <w:r>
        <w:t xml:space="preserve">reduce the resources required of the </w:t>
      </w:r>
      <w:r w:rsidR="00226F80" w:rsidDel="00E62698">
        <w:t xml:space="preserve">APVMA </w:t>
      </w:r>
      <w:r>
        <w:t>in assessing and registering novel agvet chemicals</w:t>
      </w:r>
      <w:r w:rsidR="00226F80" w:rsidDel="00E62698">
        <w:t>.</w:t>
      </w:r>
    </w:p>
    <w:p w:rsidR="00226F80" w:rsidDel="00E62698" w:rsidRDefault="00226F80" w:rsidP="00267C8D">
      <w:pPr>
        <w:pStyle w:val="Heading4"/>
        <w:numPr>
          <w:ilvl w:val="0"/>
          <w:numId w:val="0"/>
        </w:numPr>
        <w:ind w:left="864" w:hanging="864"/>
      </w:pPr>
      <w:r w:rsidDel="00E62698">
        <w:t>Costs and risks associated with this approach</w:t>
      </w:r>
    </w:p>
    <w:p w:rsidR="004A7A11" w:rsidRDefault="00226F80" w:rsidP="00226F80">
      <w:r w:rsidDel="00E62698">
        <w:t xml:space="preserve">The cost of this approach is likely to differ </w:t>
      </w:r>
      <w:r w:rsidDel="00D50648">
        <w:t xml:space="preserve">across </w:t>
      </w:r>
      <w:r w:rsidDel="00E62698">
        <w:t xml:space="preserve">stakeholders. The Australian Government, for example, </w:t>
      </w:r>
      <w:r w:rsidR="00AF28CC">
        <w:t>could</w:t>
      </w:r>
      <w:r w:rsidDel="00E62698">
        <w:t xml:space="preserve"> incur significant initial costs in </w:t>
      </w:r>
      <w:r w:rsidDel="00D50648">
        <w:t xml:space="preserve">transitioning to this approach </w:t>
      </w:r>
      <w:r w:rsidR="00AF28CC">
        <w:t xml:space="preserve">if there was a requirement to </w:t>
      </w:r>
      <w:r w:rsidDel="00E62698">
        <w:t xml:space="preserve">set up </w:t>
      </w:r>
      <w:r w:rsidR="00AF28CC">
        <w:t>an</w:t>
      </w:r>
      <w:r w:rsidR="00AF28CC" w:rsidDel="00D50648">
        <w:t xml:space="preserve"> </w:t>
      </w:r>
      <w:r w:rsidDel="00E62698">
        <w:t>accreditation scheme</w:t>
      </w:r>
      <w:r w:rsidR="00AF28CC">
        <w:t xml:space="preserve"> prior to accepting third party assessments</w:t>
      </w:r>
      <w:r w:rsidDel="00E62698">
        <w:t>, and changes to existing governance and processes</w:t>
      </w:r>
      <w:r w:rsidR="00AF28CC">
        <w:t xml:space="preserve"> would also involve costs</w:t>
      </w:r>
      <w:r w:rsidDel="00E62698">
        <w:t>.</w:t>
      </w:r>
    </w:p>
    <w:p w:rsidR="004A7A11" w:rsidRDefault="00226F80" w:rsidP="00226F80">
      <w:r w:rsidDel="00E62698">
        <w:t xml:space="preserve">Since the burden of proof (in terms of data requirements and criteria) would be unchanged under this proposed option, the cost to manufacturers </w:t>
      </w:r>
      <w:r w:rsidR="00AF28CC">
        <w:t>should</w:t>
      </w:r>
      <w:r w:rsidDel="00E62698">
        <w:t xml:space="preserve"> be broadly similar </w:t>
      </w:r>
      <w:r w:rsidR="00AF28CC">
        <w:t>to</w:t>
      </w:r>
      <w:r w:rsidDel="00E62698">
        <w:t xml:space="preserve"> </w:t>
      </w:r>
      <w:r w:rsidR="00AF28CC">
        <w:t xml:space="preserve">those of </w:t>
      </w:r>
      <w:r w:rsidDel="00E62698">
        <w:t xml:space="preserve">the current system. Furthermore, lower registration fees with the APVMA would </w:t>
      </w:r>
      <w:r w:rsidR="00AF28CC">
        <w:t>probably</w:t>
      </w:r>
      <w:r w:rsidR="00AF28CC" w:rsidDel="00E62698">
        <w:t xml:space="preserve"> </w:t>
      </w:r>
      <w:r w:rsidDel="00E62698">
        <w:t xml:space="preserve">be partially or fully offset by the costs incurred in using third party assessors. It is also possible that registration costs </w:t>
      </w:r>
      <w:r w:rsidR="00AF28CC">
        <w:t>would</w:t>
      </w:r>
      <w:r w:rsidR="00AF28CC" w:rsidDel="00E62698">
        <w:t xml:space="preserve"> </w:t>
      </w:r>
      <w:r w:rsidDel="00E62698">
        <w:t xml:space="preserve">increase – which was a concern highlighted by at least one stakeholder, </w:t>
      </w:r>
      <w:r w:rsidR="00AF28CC">
        <w:t>who</w:t>
      </w:r>
      <w:r w:rsidR="00AF28CC" w:rsidDel="00550426">
        <w:t xml:space="preserve"> </w:t>
      </w:r>
      <w:r w:rsidDel="00E62698">
        <w:t xml:space="preserve">requested pricing of applications </w:t>
      </w:r>
      <w:r w:rsidR="00AF28CC">
        <w:t>to</w:t>
      </w:r>
      <w:r w:rsidR="00AF28CC" w:rsidDel="00E62698">
        <w:t xml:space="preserve"> </w:t>
      </w:r>
      <w:r w:rsidDel="00E62698">
        <w:t>be monitored if this approach was adopted.</w:t>
      </w:r>
    </w:p>
    <w:p w:rsidR="00226F80" w:rsidRDefault="00226F80" w:rsidP="00226F80">
      <w:r>
        <w:t xml:space="preserve">Under this proposed option, there may be a greater risk of unsafe or inefficacious chemicals being registered than would otherwise be the case. The APVMA currently effectively manages the risk of fraudulent data, however additional safeguards may be required should a third party assessor option be adopted. The APVMA would need </w:t>
      </w:r>
      <w:r w:rsidR="000252BD">
        <w:t xml:space="preserve">a mechanism to ensure </w:t>
      </w:r>
      <w:r>
        <w:t>that third party assessors supported the continued integrity of the system. This might include for example an accreditation scheme where third party assessors are audited — such as in the building and construction industry.</w:t>
      </w:r>
    </w:p>
    <w:p w:rsidR="00E2661E" w:rsidRPr="00E74BE3" w:rsidRDefault="00226F80" w:rsidP="00B44DF2">
      <w:r>
        <w:t>There is also potential for this option to compromise Australia’s strong global reputation for agvet chemical regulation which is underpinned by the independent regulator’s assessment of scientific evidence in support of efficacy and safety. Introducing an option for third parties to undertake the assessment of evidence in support of an application would diminish the regulator</w:t>
      </w:r>
      <w:r w:rsidR="00D054FC">
        <w:t>’</w:t>
      </w:r>
      <w:r>
        <w:t>s role and this may weaken reputation of the Australian system. Because the strength of the current system is a driver of supply for novel agvet chemicals — with manufactures seeking registration in Australia to facilitate approval in other markets — weakening the system’s reputation may in fact reduce the supply of novel agvet chemicals</w:t>
      </w:r>
      <w:r w:rsidR="004F1686">
        <w:t>.</w:t>
      </w:r>
    </w:p>
    <w:p w:rsidR="00B44DF2" w:rsidRPr="00AE3F33" w:rsidRDefault="00B44DF2" w:rsidP="00B44DF2">
      <w:pPr>
        <w:sectPr w:rsidR="00B44DF2" w:rsidRPr="00AE3F33" w:rsidSect="00340B57">
          <w:pgSz w:w="11906" w:h="16838" w:code="9"/>
          <w:pgMar w:top="1985" w:right="1106" w:bottom="1134" w:left="680" w:header="680" w:footer="425" w:gutter="0"/>
          <w:cols w:space="284"/>
          <w:docGrid w:linePitch="360"/>
        </w:sectPr>
      </w:pPr>
    </w:p>
    <w:p w:rsidR="00B63D81" w:rsidRDefault="00B63D81" w:rsidP="00FE6A25">
      <w:pPr>
        <w:pStyle w:val="Heading1un-numbered"/>
        <w:numPr>
          <w:ilvl w:val="0"/>
          <w:numId w:val="19"/>
        </w:numPr>
      </w:pPr>
      <w:bookmarkStart w:id="367" w:name="_Toc12024327"/>
      <w:bookmarkStart w:id="368" w:name="_Toc14107336"/>
      <w:r>
        <w:t xml:space="preserve">Other </w:t>
      </w:r>
      <w:r w:rsidR="006D24D6">
        <w:t>identified</w:t>
      </w:r>
      <w:r>
        <w:t xml:space="preserve"> novel agvet chemical drivers and barriers</w:t>
      </w:r>
      <w:bookmarkEnd w:id="269"/>
      <w:bookmarkEnd w:id="270"/>
      <w:bookmarkEnd w:id="271"/>
      <w:bookmarkEnd w:id="272"/>
      <w:bookmarkEnd w:id="367"/>
      <w:bookmarkEnd w:id="368"/>
    </w:p>
    <w:p w:rsidR="004A7A11" w:rsidRDefault="0055422B" w:rsidP="0084688F">
      <w:r>
        <w:t xml:space="preserve">This appendix lists the </w:t>
      </w:r>
      <w:r w:rsidR="005576F4">
        <w:t xml:space="preserve">seven </w:t>
      </w:r>
      <w:r>
        <w:t xml:space="preserve">drivers and barriers that </w:t>
      </w:r>
      <w:r w:rsidR="00646CD7">
        <w:t xml:space="preserve">are considered to be outside of the five priority categories. These barriers and drivers were considered to </w:t>
      </w:r>
      <w:r w:rsidR="00610229">
        <w:t xml:space="preserve">have a limited </w:t>
      </w:r>
      <w:r w:rsidR="00BB4D03">
        <w:t>impact on access to novel agvet chemicals in Australia</w:t>
      </w:r>
      <w:r w:rsidR="00610229">
        <w:t>, relative to those described in Chapter 2</w:t>
      </w:r>
      <w:r w:rsidR="00646CD7">
        <w:t xml:space="preserve">. Furthermore, the </w:t>
      </w:r>
      <w:r w:rsidR="00BB4D03">
        <w:t>Australian G</w:t>
      </w:r>
      <w:r w:rsidR="00BB4D03" w:rsidRPr="00246AA0">
        <w:t xml:space="preserve">overnment </w:t>
      </w:r>
      <w:r w:rsidR="00646CD7">
        <w:t xml:space="preserve">would </w:t>
      </w:r>
      <w:r w:rsidR="00610229">
        <w:t xml:space="preserve">not be able </w:t>
      </w:r>
      <w:r w:rsidR="00646CD7">
        <w:t xml:space="preserve">to </w:t>
      </w:r>
      <w:r w:rsidR="00BB4D03">
        <w:t>reasonably influence</w:t>
      </w:r>
      <w:r w:rsidR="00610229">
        <w:t xml:space="preserve"> these drivers and barriers through policy changes or regulatory reforms.</w:t>
      </w:r>
    </w:p>
    <w:p w:rsidR="0084688F" w:rsidRPr="0096686F" w:rsidRDefault="00646CD7" w:rsidP="00786116">
      <w:pPr>
        <w:pStyle w:val="Heading2"/>
        <w:numPr>
          <w:ilvl w:val="0"/>
          <w:numId w:val="0"/>
        </w:numPr>
        <w:ind w:left="576" w:hanging="576"/>
      </w:pPr>
      <w:bookmarkStart w:id="369" w:name="_Toc12024328"/>
      <w:bookmarkStart w:id="370" w:name="_Toc12294101"/>
      <w:bookmarkStart w:id="371" w:name="_Toc13217630"/>
      <w:bookmarkStart w:id="372" w:name="_Toc14107337"/>
      <w:r>
        <w:t>Barriers</w:t>
      </w:r>
      <w:bookmarkEnd w:id="369"/>
      <w:bookmarkEnd w:id="370"/>
      <w:bookmarkEnd w:id="371"/>
      <w:bookmarkEnd w:id="372"/>
    </w:p>
    <w:p w:rsidR="00B63D81" w:rsidRPr="00EB72CA" w:rsidRDefault="00B63D81" w:rsidP="00340B57">
      <w:pPr>
        <w:pStyle w:val="Heading3"/>
        <w:numPr>
          <w:ilvl w:val="0"/>
          <w:numId w:val="0"/>
        </w:numPr>
        <w:ind w:left="720" w:hanging="720"/>
      </w:pPr>
      <w:bookmarkStart w:id="373" w:name="_Toc4449582"/>
      <w:r w:rsidRPr="00EB72CA">
        <w:t>Australia</w:t>
      </w:r>
      <w:r w:rsidR="002371B8" w:rsidRPr="00EB72CA">
        <w:t>n demand is restricted by its</w:t>
      </w:r>
      <w:r w:rsidRPr="00EB72CA">
        <w:t xml:space="preserve"> unique pests and diseases</w:t>
      </w:r>
      <w:bookmarkEnd w:id="373"/>
    </w:p>
    <w:p w:rsidR="004A7A11" w:rsidRDefault="00B63D81" w:rsidP="00B63D81">
      <w:r>
        <w:t xml:space="preserve">Agricultural producers in Australia </w:t>
      </w:r>
      <w:r w:rsidR="005F23FF">
        <w:t xml:space="preserve">may </w:t>
      </w:r>
      <w:r>
        <w:t xml:space="preserve">require different agvet chemicals </w:t>
      </w:r>
      <w:r w:rsidR="007F4CDB">
        <w:t>from</w:t>
      </w:r>
      <w:r>
        <w:t xml:space="preserve"> those in other parts of the world</w:t>
      </w:r>
      <w:r w:rsidR="005B6C3D">
        <w:t xml:space="preserve"> </w:t>
      </w:r>
      <w:r w:rsidR="00EE4CBB" w:rsidRPr="00EE4CBB">
        <w:t>(Deloitte Access Economics 2018)</w:t>
      </w:r>
      <w:r w:rsidR="005B6C3D">
        <w:rPr>
          <w:rFonts w:asciiTheme="majorHAnsi" w:hAnsiTheme="majorHAnsi"/>
        </w:rPr>
        <w:t>.</w:t>
      </w:r>
      <w:r w:rsidR="002D7E35">
        <w:t xml:space="preserve"> </w:t>
      </w:r>
      <w:r>
        <w:t xml:space="preserve">Australia’s geographical isolation and island status and rigorous quarantine and biosecurity systems limit the </w:t>
      </w:r>
      <w:r w:rsidR="007F4CDB">
        <w:t xml:space="preserve">establishment </w:t>
      </w:r>
      <w:r>
        <w:t>of overseas pests and diseases and a number of pests and diseases are endemic only to Australia such as Queensland Fruit Fly (</w:t>
      </w:r>
      <w:proofErr w:type="spellStart"/>
      <w:r w:rsidRPr="00DA052B">
        <w:rPr>
          <w:i/>
        </w:rPr>
        <w:t>Bactrocera</w:t>
      </w:r>
      <w:proofErr w:type="spellEnd"/>
      <w:r w:rsidRPr="00DA052B">
        <w:rPr>
          <w:i/>
        </w:rPr>
        <w:t xml:space="preserve"> </w:t>
      </w:r>
      <w:proofErr w:type="spellStart"/>
      <w:r w:rsidRPr="00DA052B">
        <w:rPr>
          <w:i/>
        </w:rPr>
        <w:t>tryoni</w:t>
      </w:r>
      <w:proofErr w:type="spellEnd"/>
      <w:r>
        <w:t>)</w:t>
      </w:r>
      <w:r w:rsidR="005B6C3D">
        <w:t xml:space="preserve"> </w:t>
      </w:r>
      <w:r w:rsidR="005B6C3D" w:rsidRPr="005B6C3D">
        <w:t>(QDAF 2013)</w:t>
      </w:r>
      <w:r w:rsidR="005B6C3D">
        <w:rPr>
          <w:rFonts w:asciiTheme="majorHAnsi" w:hAnsiTheme="majorHAnsi"/>
        </w:rPr>
        <w:t>.</w:t>
      </w:r>
      <w:r w:rsidRPr="00DA052B">
        <w:t xml:space="preserve"> </w:t>
      </w:r>
      <w:r>
        <w:t>This restricts demand for some novel chemicals that are used in (or being developed for) other parts of the world, since they would not be necessary or appropriate for use in Australia</w:t>
      </w:r>
      <w:r w:rsidR="005B6C3D">
        <w:t xml:space="preserve"> </w:t>
      </w:r>
      <w:r w:rsidR="00EE4CBB" w:rsidRPr="00EE4CBB">
        <w:t>(Deloitte Access Economics 2018)</w:t>
      </w:r>
      <w:r w:rsidR="005B6C3D">
        <w:rPr>
          <w:rFonts w:asciiTheme="majorHAnsi" w:hAnsiTheme="majorHAnsi"/>
        </w:rPr>
        <w:t>.</w:t>
      </w:r>
    </w:p>
    <w:p w:rsidR="00B63D81" w:rsidRPr="00EB72CA" w:rsidRDefault="002371B8" w:rsidP="00646CD7">
      <w:pPr>
        <w:pStyle w:val="Heading3"/>
        <w:numPr>
          <w:ilvl w:val="0"/>
          <w:numId w:val="0"/>
        </w:numPr>
        <w:ind w:left="720" w:hanging="720"/>
      </w:pPr>
      <w:bookmarkStart w:id="374" w:name="_Toc4449583"/>
      <w:r w:rsidRPr="00EB72CA">
        <w:t>Producer demand for novel products can be restricted by h</w:t>
      </w:r>
      <w:r w:rsidR="00B63D81" w:rsidRPr="00EB72CA">
        <w:t>igh prices</w:t>
      </w:r>
      <w:bookmarkEnd w:id="374"/>
    </w:p>
    <w:p w:rsidR="004A7A11" w:rsidRDefault="00B63D81" w:rsidP="00B63D81">
      <w:r>
        <w:t xml:space="preserve">Price is a key consideration for farmers choosing agvet chemicals, as </w:t>
      </w:r>
      <w:r w:rsidR="00D054FC">
        <w:t>they</w:t>
      </w:r>
      <w:r>
        <w:t xml:space="preserve"> trade-off between affordability and efficacy.</w:t>
      </w:r>
      <w:r w:rsidR="0076363A">
        <w:t xml:space="preserve"> </w:t>
      </w:r>
      <w:r w:rsidR="00B877DD">
        <w:t xml:space="preserve">Limitation periods </w:t>
      </w:r>
      <w:r>
        <w:t xml:space="preserve">allow manufacturers to recover the </w:t>
      </w:r>
      <w:r w:rsidR="00D054FC">
        <w:t>R&amp;D</w:t>
      </w:r>
      <w:r>
        <w:t xml:space="preserve"> costs incurred in getting an innovative product to market</w:t>
      </w:r>
      <w:r w:rsidR="003F3A8F">
        <w:t xml:space="preserve"> by providing market exclusivity</w:t>
      </w:r>
      <w:r>
        <w:t xml:space="preserve">. </w:t>
      </w:r>
      <w:r w:rsidR="00C5225F">
        <w:t>Limitation periods</w:t>
      </w:r>
      <w:r>
        <w:t xml:space="preserve"> last </w:t>
      </w:r>
      <w:r w:rsidR="00D054FC">
        <w:t xml:space="preserve">for </w:t>
      </w:r>
      <w:r>
        <w:t xml:space="preserve">a specified time, </w:t>
      </w:r>
      <w:r w:rsidR="00C5225F">
        <w:t>currently ten</w:t>
      </w:r>
      <w:r>
        <w:t xml:space="preserve"> years </w:t>
      </w:r>
      <w:r w:rsidR="00C5225F">
        <w:t xml:space="preserve">post-approval </w:t>
      </w:r>
      <w:r>
        <w:t>for agricultural chemical</w:t>
      </w:r>
      <w:r w:rsidR="00C5225F">
        <w:t xml:space="preserve"> actives and products in Australia</w:t>
      </w:r>
      <w:r>
        <w:t xml:space="preserve">, and act to restrict competition in the supply of that specific </w:t>
      </w:r>
      <w:r w:rsidR="007F4CDB">
        <w:t>chemical or product</w:t>
      </w:r>
      <w:r>
        <w:t>. They allow manufacturers to increase the sale price above the marginal cost of production, yielding higher returns t</w:t>
      </w:r>
      <w:r w:rsidR="005B6C3D">
        <w:t xml:space="preserve">han would otherwise be possible </w:t>
      </w:r>
      <w:r w:rsidR="00EE4CBB" w:rsidRPr="00EE4CBB">
        <w:t>(</w:t>
      </w:r>
      <w:proofErr w:type="spellStart"/>
      <w:r w:rsidR="00EE4CBB" w:rsidRPr="00EE4CBB">
        <w:t>Timmermann</w:t>
      </w:r>
      <w:proofErr w:type="spellEnd"/>
      <w:r w:rsidR="00EE4CBB" w:rsidRPr="00EE4CBB">
        <w:t xml:space="preserve"> 2014)</w:t>
      </w:r>
      <w:r w:rsidR="005B6C3D">
        <w:rPr>
          <w:rFonts w:asciiTheme="majorHAnsi" w:hAnsiTheme="majorHAnsi"/>
        </w:rPr>
        <w:t>.</w:t>
      </w:r>
    </w:p>
    <w:p w:rsidR="00B63D81" w:rsidRDefault="00B63D81" w:rsidP="005B6C3D">
      <w:r>
        <w:t xml:space="preserve">There are several examples of the mark-up in </w:t>
      </w:r>
      <w:r w:rsidR="009D72CA">
        <w:t xml:space="preserve">agricultural chemical </w:t>
      </w:r>
      <w:r>
        <w:t xml:space="preserve">pricing that </w:t>
      </w:r>
      <w:r w:rsidR="003F3A8F">
        <w:t xml:space="preserve">market exclusivity brings </w:t>
      </w:r>
      <w:r w:rsidR="009D72CA">
        <w:t>during limitation periods</w:t>
      </w:r>
      <w:r>
        <w:t xml:space="preserve">. </w:t>
      </w:r>
      <w:r w:rsidR="00537D0F">
        <w:t>F</w:t>
      </w:r>
      <w:r w:rsidR="00DC7A0F">
        <w:t>or example</w:t>
      </w:r>
      <w:r w:rsidR="00537D0F">
        <w:t xml:space="preserve">, the price of </w:t>
      </w:r>
      <w:proofErr w:type="spellStart"/>
      <w:r w:rsidR="00DC7A0F" w:rsidRPr="005B6C3D">
        <w:rPr>
          <w:i/>
        </w:rPr>
        <w:t>deltamethrin</w:t>
      </w:r>
      <w:proofErr w:type="spellEnd"/>
      <w:r w:rsidR="00DC7A0F">
        <w:t xml:space="preserve"> halved to US$220/kg</w:t>
      </w:r>
      <w:r w:rsidR="00537D0F">
        <w:t>,</w:t>
      </w:r>
      <w:r w:rsidR="00DC7A0F">
        <w:t xml:space="preserve"> and </w:t>
      </w:r>
      <w:r w:rsidR="00537D0F">
        <w:t xml:space="preserve">the price of </w:t>
      </w:r>
      <w:r w:rsidR="00DC7A0F" w:rsidRPr="005B6C3D">
        <w:rPr>
          <w:i/>
        </w:rPr>
        <w:t>glyph</w:t>
      </w:r>
      <w:r w:rsidR="00FE41B8">
        <w:rPr>
          <w:i/>
        </w:rPr>
        <w:t>os</w:t>
      </w:r>
      <w:r w:rsidR="00DC7A0F" w:rsidRPr="005B6C3D">
        <w:rPr>
          <w:i/>
        </w:rPr>
        <w:t>ate</w:t>
      </w:r>
      <w:r w:rsidR="00DC7A0F">
        <w:t xml:space="preserve"> fell from around US$7.3/kg to US$2.7/kg</w:t>
      </w:r>
      <w:r w:rsidR="00537D0F">
        <w:t xml:space="preserve">, when the limitation period for each of those chemicals expired in 2000. </w:t>
      </w:r>
    </w:p>
    <w:p w:rsidR="00B63D81" w:rsidRPr="00105256" w:rsidRDefault="00B63D81" w:rsidP="00B63D81">
      <w:pPr>
        <w:pStyle w:val="ListBullet"/>
        <w:ind w:left="0" w:firstLine="0"/>
      </w:pPr>
      <w:r>
        <w:t xml:space="preserve">There is also evidence to suggest that novel chemistries are becoming increasingly expensive </w:t>
      </w:r>
      <w:r w:rsidR="002C64F6">
        <w:t xml:space="preserve">to commercialise </w:t>
      </w:r>
      <w:r>
        <w:t>due to the complexity of developing new molecules with more specific toxicological requirements and reduced environmental risks</w:t>
      </w:r>
      <w:r w:rsidR="005B6C3D">
        <w:t xml:space="preserve"> </w:t>
      </w:r>
      <w:r w:rsidR="005B6C3D" w:rsidRPr="005B6C3D">
        <w:rPr>
          <w:rFonts w:cs="Times New Roman"/>
          <w:szCs w:val="24"/>
        </w:rPr>
        <w:t xml:space="preserve">(Sparks and </w:t>
      </w:r>
      <w:proofErr w:type="spellStart"/>
      <w:r w:rsidR="005B6C3D" w:rsidRPr="005B6C3D">
        <w:rPr>
          <w:rFonts w:cs="Times New Roman"/>
          <w:szCs w:val="24"/>
        </w:rPr>
        <w:t>Lorsbach</w:t>
      </w:r>
      <w:proofErr w:type="spellEnd"/>
      <w:r w:rsidR="005B6C3D" w:rsidRPr="005B6C3D">
        <w:rPr>
          <w:rFonts w:cs="Times New Roman"/>
          <w:szCs w:val="24"/>
        </w:rPr>
        <w:t xml:space="preserve"> 2016)</w:t>
      </w:r>
      <w:r>
        <w:t>. Simple molecules such as DDT and organophosphorus insecticides, which cost US$1/kg, have been substituted by more complex and expensive molecules which cost US$200/kg.</w:t>
      </w:r>
    </w:p>
    <w:p w:rsidR="00B63D81" w:rsidRPr="00EB72CA" w:rsidRDefault="00B63D81" w:rsidP="00646CD7">
      <w:pPr>
        <w:pStyle w:val="Heading3"/>
        <w:numPr>
          <w:ilvl w:val="0"/>
          <w:numId w:val="0"/>
        </w:numPr>
        <w:ind w:left="720" w:hanging="720"/>
      </w:pPr>
      <w:bookmarkStart w:id="375" w:name="_Toc4449584"/>
      <w:r w:rsidRPr="00EB72CA">
        <w:t>Conservative decision making limits adoption of innovations in agriculture</w:t>
      </w:r>
      <w:bookmarkEnd w:id="375"/>
    </w:p>
    <w:p w:rsidR="00B63D81" w:rsidRDefault="00B63D81" w:rsidP="00B63D81">
      <w:r>
        <w:t xml:space="preserve">Demand for novel chemistries </w:t>
      </w:r>
      <w:r w:rsidR="00211E2E">
        <w:t>can</w:t>
      </w:r>
      <w:r w:rsidR="00C75A46">
        <w:t xml:space="preserve"> also</w:t>
      </w:r>
      <w:r w:rsidR="00211E2E">
        <w:t xml:space="preserve"> be a</w:t>
      </w:r>
      <w:r>
        <w:t xml:space="preserve"> result of decisions made by agricultural producers to incorporate innovations into their production systems. Decisions to adopt new technologies or management practices are themselves determined by a range of case-specific socio-economic factors relevant to the producer, their production system and their environment.</w:t>
      </w:r>
    </w:p>
    <w:p w:rsidR="00B63D81" w:rsidRDefault="00B63D81" w:rsidP="00B63D81">
      <w:r>
        <w:t>In Australia, the main barriers to adoption often include financial capacity and</w:t>
      </w:r>
      <w:r w:rsidR="00CB5F2E">
        <w:t>, anecdotally,</w:t>
      </w:r>
      <w:r>
        <w:t xml:space="preserve"> aversion to risk, as well </w:t>
      </w:r>
      <w:r w:rsidR="00F75A06">
        <w:t xml:space="preserve">as </w:t>
      </w:r>
      <w:r>
        <w:t xml:space="preserve">any characteristics </w:t>
      </w:r>
      <w:r w:rsidR="00D054FC">
        <w:t xml:space="preserve">that </w:t>
      </w:r>
      <w:r>
        <w:t>leave the agvet chemical at a disadvantage to existing management practices.</w:t>
      </w:r>
    </w:p>
    <w:p w:rsidR="00B63D81" w:rsidRDefault="00B63D81" w:rsidP="00B63D81">
      <w:r>
        <w:t xml:space="preserve">Agricultural producers will not adopt new technologies or management practices if they do not have appropriate </w:t>
      </w:r>
      <w:r w:rsidRPr="002E6FE3">
        <w:rPr>
          <w:i/>
        </w:rPr>
        <w:t>financial capacity</w:t>
      </w:r>
      <w:r>
        <w:t>. Trialling and integrating innovative pest and disease management approaches into production systems requires financial assets, access to credit and an ability to incur costs and potential losses</w:t>
      </w:r>
      <w:r w:rsidR="005B6C3D">
        <w:t xml:space="preserve"> </w:t>
      </w:r>
      <w:r w:rsidR="00EE4CBB" w:rsidRPr="00EE4CBB">
        <w:t>(</w:t>
      </w:r>
      <w:proofErr w:type="spellStart"/>
      <w:r w:rsidR="00EE4CBB" w:rsidRPr="00EE4CBB">
        <w:t>Nossal</w:t>
      </w:r>
      <w:proofErr w:type="spellEnd"/>
      <w:r w:rsidR="00EE4CBB" w:rsidRPr="00EE4CBB">
        <w:t xml:space="preserve"> and Lim 2011)</w:t>
      </w:r>
      <w:r w:rsidR="005B6C3D">
        <w:rPr>
          <w:rFonts w:asciiTheme="majorHAnsi" w:hAnsiTheme="majorHAnsi"/>
        </w:rPr>
        <w:t>.</w:t>
      </w:r>
      <w:r>
        <w:t xml:space="preserve"> Agricultural producers will therefore not trial or adopt new agvet chemicals unless they have the financial capacity to replace or modify existing management practices with new ones. Financial capacity is particularly important in Australia due to the determining influence of the variable climate. Seasonal conditions in Australia are directly correlated with farm incomes and input use. Droughts for example are correlated with low crop yields and reduced use of agricultural chemicals, as well as reductions in livestock numbers and consequently lower demand for veterinary medicines</w:t>
      </w:r>
      <w:r w:rsidR="0030631E">
        <w:t xml:space="preserve"> </w:t>
      </w:r>
      <w:r w:rsidR="00EE4CBB" w:rsidRPr="00EE4CBB">
        <w:t>(IBISWorld Australia 2018</w:t>
      </w:r>
      <w:r w:rsidR="00E1465D">
        <w:t>a</w:t>
      </w:r>
      <w:r w:rsidR="00EE4CBB" w:rsidRPr="00EE4CBB">
        <w:t>)</w:t>
      </w:r>
      <w:r w:rsidR="0030631E">
        <w:t>.</w:t>
      </w:r>
    </w:p>
    <w:p w:rsidR="00B63D81" w:rsidRDefault="00B63D81" w:rsidP="00B63D81">
      <w:pPr>
        <w:rPr>
          <w:rFonts w:asciiTheme="minorHAnsi" w:eastAsiaTheme="minorEastAsia" w:hAnsiTheme="minorHAnsi"/>
        </w:rPr>
      </w:pPr>
      <w:r w:rsidRPr="176226A2">
        <w:rPr>
          <w:rFonts w:asciiTheme="minorHAnsi" w:eastAsiaTheme="minorEastAsia" w:hAnsiTheme="minorHAnsi"/>
          <w:i/>
        </w:rPr>
        <w:t>Risk aversion</w:t>
      </w:r>
      <w:r w:rsidRPr="176226A2">
        <w:rPr>
          <w:rFonts w:asciiTheme="minorHAnsi" w:eastAsiaTheme="minorEastAsia" w:hAnsiTheme="minorHAnsi"/>
        </w:rPr>
        <w:t xml:space="preserve"> is a general preference for a sure thing rather than a gamble with the same statistically expected value. </w:t>
      </w:r>
      <w:r>
        <w:t xml:space="preserve">Empirical evidence indicates that farmers most commonly lean towards risk aversion, although individual </w:t>
      </w:r>
      <w:r w:rsidR="005B6C3D">
        <w:t xml:space="preserve">preference profiles vary widely </w:t>
      </w:r>
      <w:r w:rsidR="00EE4CBB" w:rsidRPr="00EE4CBB">
        <w:t>(</w:t>
      </w:r>
      <w:proofErr w:type="spellStart"/>
      <w:r w:rsidR="00EE4CBB" w:rsidRPr="00EE4CBB">
        <w:t>Feder</w:t>
      </w:r>
      <w:proofErr w:type="spellEnd"/>
      <w:r w:rsidR="00EE4CBB" w:rsidRPr="00EE4CBB">
        <w:t xml:space="preserve"> and Umali 1993; R. K. Lindner 1987; Li</w:t>
      </w:r>
      <w:r w:rsidR="00C9710C">
        <w:t xml:space="preserve">ndner, </w:t>
      </w:r>
      <w:r w:rsidR="00B97FB7">
        <w:t>et al</w:t>
      </w:r>
      <w:r w:rsidR="00C9710C">
        <w:t xml:space="preserve"> 1982; </w:t>
      </w:r>
      <w:proofErr w:type="spellStart"/>
      <w:r w:rsidR="00EE4CBB" w:rsidRPr="00EE4CBB">
        <w:t>Kuehne</w:t>
      </w:r>
      <w:proofErr w:type="spellEnd"/>
      <w:r w:rsidR="00EE4CBB" w:rsidRPr="00EE4CBB">
        <w:t xml:space="preserve"> et al. 2017)</w:t>
      </w:r>
      <w:r w:rsidR="00C9710C">
        <w:t>.</w:t>
      </w:r>
      <w:r>
        <w:t xml:space="preserve"> </w:t>
      </w:r>
      <w:r w:rsidRPr="176226A2">
        <w:rPr>
          <w:rFonts w:asciiTheme="minorHAnsi" w:eastAsiaTheme="minorEastAsia" w:hAnsiTheme="minorHAnsi"/>
        </w:rPr>
        <w:t xml:space="preserve">Because of this, agricultural producers </w:t>
      </w:r>
      <w:r w:rsidR="00107E71">
        <w:rPr>
          <w:rFonts w:asciiTheme="minorHAnsi" w:eastAsiaTheme="minorEastAsia" w:hAnsiTheme="minorHAnsi"/>
        </w:rPr>
        <w:t>can be</w:t>
      </w:r>
      <w:r w:rsidRPr="176226A2">
        <w:rPr>
          <w:rFonts w:asciiTheme="minorHAnsi" w:eastAsiaTheme="minorEastAsia" w:hAnsiTheme="minorHAnsi"/>
        </w:rPr>
        <w:t xml:space="preserve"> less willing to adopt new technologies or management practices due to the perceived risk that it may not improve their production system. Risk aversion therefore acts as a barrier to demand for novel chemicals as producers prefer established chemistries.</w:t>
      </w:r>
    </w:p>
    <w:p w:rsidR="00B63D81" w:rsidRDefault="00B63D81" w:rsidP="00B63D81">
      <w:r w:rsidRPr="176226A2">
        <w:rPr>
          <w:rFonts w:asciiTheme="minorHAnsi" w:eastAsiaTheme="minorEastAsia" w:hAnsiTheme="minorHAnsi"/>
        </w:rPr>
        <w:t xml:space="preserve">Even in instances where agricultural producers are willing and able to adopt new chemistries, their decision to adopt novel agvet chemicals may be influenced by the </w:t>
      </w:r>
      <w:r w:rsidRPr="176226A2">
        <w:rPr>
          <w:rFonts w:asciiTheme="minorHAnsi" w:eastAsiaTheme="minorEastAsia" w:hAnsiTheme="minorHAnsi"/>
          <w:i/>
        </w:rPr>
        <w:t>requirements of export markets</w:t>
      </w:r>
      <w:r w:rsidRPr="176226A2">
        <w:rPr>
          <w:rFonts w:asciiTheme="minorHAnsi" w:eastAsiaTheme="minorEastAsia" w:hAnsiTheme="minorHAnsi"/>
        </w:rPr>
        <w:t xml:space="preserve">, since </w:t>
      </w:r>
      <w:r>
        <w:t>a</w:t>
      </w:r>
      <w:r w:rsidRPr="0093293C">
        <w:t>round 70</w:t>
      </w:r>
      <w:r w:rsidR="003C796B">
        <w:t> </w:t>
      </w:r>
      <w:r w:rsidR="00B7669F">
        <w:t>per</w:t>
      </w:r>
      <w:r w:rsidR="007F4CDB">
        <w:t> </w:t>
      </w:r>
      <w:r w:rsidR="00B7669F">
        <w:t>cent</w:t>
      </w:r>
      <w:r w:rsidRPr="0093293C">
        <w:t xml:space="preserve"> of Australian agricultural production is exported</w:t>
      </w:r>
      <w:r w:rsidR="005B6C3D">
        <w:t xml:space="preserve"> </w:t>
      </w:r>
      <w:r w:rsidR="00916B38" w:rsidRPr="00916B38">
        <w:rPr>
          <w:rFonts w:cs="Times New Roman"/>
          <w:szCs w:val="24"/>
        </w:rPr>
        <w:t>(ABARES 2018a)</w:t>
      </w:r>
      <w:r>
        <w:t xml:space="preserve">. Access to international markets </w:t>
      </w:r>
      <w:r w:rsidR="007F4CDB">
        <w:t>is affected by</w:t>
      </w:r>
      <w:r>
        <w:t xml:space="preserve"> a range of technical barriers to trade, with many countries setting restrictions on input uses, including Maximum Residue Limits (MRL) (see </w:t>
      </w:r>
      <w:r w:rsidR="002042F8">
        <w:t>Table A.</w:t>
      </w:r>
      <w:r w:rsidR="002042F8">
        <w:fldChar w:fldCharType="begin"/>
      </w:r>
      <w:r w:rsidR="002042F8">
        <w:instrText xml:space="preserve"> SEQ Table \* ARABIC \s 1 </w:instrText>
      </w:r>
      <w:r w:rsidR="002042F8">
        <w:fldChar w:fldCharType="separate"/>
      </w:r>
      <w:r w:rsidR="00D82E3C">
        <w:rPr>
          <w:noProof/>
        </w:rPr>
        <w:t>2</w:t>
      </w:r>
      <w:r w:rsidR="002042F8">
        <w:fldChar w:fldCharType="end"/>
      </w:r>
      <w:r w:rsidR="002042F8">
        <w:t xml:space="preserve"> </w:t>
      </w:r>
      <w:r w:rsidR="00423DBC">
        <w:t>in Appendix A</w:t>
      </w:r>
      <w:r>
        <w:t xml:space="preserve"> for examples) or outright bans (e.g. EU ban on hormone growth </w:t>
      </w:r>
      <w:proofErr w:type="spellStart"/>
      <w:r>
        <w:t>promot</w:t>
      </w:r>
      <w:r w:rsidR="007F4CDB">
        <w:t>ant</w:t>
      </w:r>
      <w:proofErr w:type="spellEnd"/>
      <w:r>
        <w:t xml:space="preserve"> chemicals).</w:t>
      </w:r>
    </w:p>
    <w:p w:rsidR="00B63D81" w:rsidRDefault="00B63D81" w:rsidP="00B63D81">
      <w:r>
        <w:t xml:space="preserve">Producers </w:t>
      </w:r>
      <w:r w:rsidR="007F4CDB">
        <w:t xml:space="preserve">who </w:t>
      </w:r>
      <w:r>
        <w:t>wish to service specific markets must adhere to the product</w:t>
      </w:r>
      <w:r w:rsidR="007F4CDB">
        <w:t>-</w:t>
      </w:r>
      <w:r>
        <w:t xml:space="preserve">specific thresholds declared by individual countries. This may </w:t>
      </w:r>
      <w:r w:rsidR="007F4CDB">
        <w:t xml:space="preserve">prevent </w:t>
      </w:r>
      <w:r>
        <w:t xml:space="preserve">some producers </w:t>
      </w:r>
      <w:r w:rsidR="007F4CDB">
        <w:t>from</w:t>
      </w:r>
      <w:r>
        <w:t xml:space="preserve"> adopt</w:t>
      </w:r>
      <w:r w:rsidR="007F4CDB">
        <w:t>ing</w:t>
      </w:r>
      <w:r>
        <w:t xml:space="preserve"> the use of a novel chemistry, </w:t>
      </w:r>
      <w:r w:rsidR="00E82E7B">
        <w:t xml:space="preserve">if </w:t>
      </w:r>
      <w:r>
        <w:t>its use potentially risk</w:t>
      </w:r>
      <w:r w:rsidR="00E82E7B">
        <w:t>s</w:t>
      </w:r>
      <w:r>
        <w:t xml:space="preserve"> </w:t>
      </w:r>
      <w:r w:rsidR="003C796B">
        <w:t xml:space="preserve">the </w:t>
      </w:r>
      <w:r>
        <w:t xml:space="preserve">eligibility </w:t>
      </w:r>
      <w:r w:rsidR="003C796B">
        <w:t xml:space="preserve">of the treated commodity </w:t>
      </w:r>
      <w:r>
        <w:t>to be sold in target markets.</w:t>
      </w:r>
    </w:p>
    <w:p w:rsidR="003E6B79" w:rsidRDefault="003E6B79">
      <w:pPr>
        <w:spacing w:after="0"/>
        <w:rPr>
          <w:iCs/>
          <w:color w:val="75787B" w:themeColor="accent6"/>
          <w:sz w:val="17"/>
        </w:rPr>
      </w:pPr>
      <w:bookmarkStart w:id="376" w:name="_Toc4544846"/>
      <w:r>
        <w:br w:type="page"/>
      </w:r>
    </w:p>
    <w:p w:rsidR="00B63D81" w:rsidRDefault="008F2D74" w:rsidP="00B63D81">
      <w:pPr>
        <w:pStyle w:val="Caption"/>
      </w:pPr>
      <w:r>
        <w:t xml:space="preserve">Table </w:t>
      </w:r>
      <w:r w:rsidR="009F29E8">
        <w:t>C</w:t>
      </w:r>
      <w:r>
        <w:t>.</w:t>
      </w:r>
      <w:r w:rsidR="00107E71">
        <w:t>1</w:t>
      </w:r>
      <w:r w:rsidR="00B63D81">
        <w:t xml:space="preserve">: </w:t>
      </w:r>
      <w:r w:rsidR="00B63D81" w:rsidRPr="0093293C">
        <w:t xml:space="preserve">Permitted chemicals for use </w:t>
      </w:r>
      <w:r w:rsidR="00B63D81">
        <w:t xml:space="preserve">on wheat </w:t>
      </w:r>
      <w:r w:rsidR="00B63D81" w:rsidRPr="0093293C">
        <w:t>post-harvest and applicable Maximu</w:t>
      </w:r>
      <w:r w:rsidR="00B63D81">
        <w:t>m Residue Limits (in mg/kg)</w:t>
      </w:r>
      <w:r w:rsidR="002042F8">
        <w:t>, 2018</w:t>
      </w:r>
      <w:r w:rsidR="00B63D81">
        <w:t>–19</w:t>
      </w:r>
      <w:bookmarkEnd w:id="376"/>
    </w:p>
    <w:tbl>
      <w:tblPr>
        <w:tblStyle w:val="Deloittetable"/>
        <w:tblW w:w="10120" w:type="dxa"/>
        <w:tblLook w:val="04A0" w:firstRow="1" w:lastRow="0" w:firstColumn="1" w:lastColumn="0" w:noHBand="0" w:noVBand="1"/>
      </w:tblPr>
      <w:tblGrid>
        <w:gridCol w:w="1690"/>
        <w:gridCol w:w="1091"/>
        <w:gridCol w:w="757"/>
        <w:gridCol w:w="757"/>
        <w:gridCol w:w="1265"/>
        <w:gridCol w:w="1032"/>
        <w:gridCol w:w="1448"/>
        <w:gridCol w:w="912"/>
        <w:gridCol w:w="1168"/>
      </w:tblGrid>
      <w:tr w:rsidR="001924FB" w:rsidRPr="0026455C" w:rsidTr="00A24225">
        <w:trPr>
          <w:cnfStyle w:val="100000000000" w:firstRow="1" w:lastRow="0" w:firstColumn="0" w:lastColumn="0" w:oddVBand="0" w:evenVBand="0" w:oddHBand="0" w:evenHBand="0" w:firstRowFirstColumn="0" w:firstRowLastColumn="0" w:lastRowFirstColumn="0" w:lastRowLastColumn="0"/>
          <w:cantSplit/>
          <w:trHeight w:val="178"/>
          <w:tblHeader/>
        </w:trPr>
        <w:tc>
          <w:tcPr>
            <w:tcW w:w="1692" w:type="dxa"/>
            <w:noWrap/>
            <w:hideMark/>
          </w:tcPr>
          <w:p w:rsidR="00B63D81" w:rsidRPr="0026455C" w:rsidRDefault="00B63D81" w:rsidP="00B63D81">
            <w:pPr>
              <w:spacing w:after="0" w:line="240" w:lineRule="auto"/>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themeColor="text1"/>
                <w:sz w:val="18"/>
                <w:lang w:eastAsia="en-AU"/>
              </w:rPr>
              <w:t xml:space="preserve">Chemical </w:t>
            </w:r>
          </w:p>
        </w:tc>
        <w:tc>
          <w:tcPr>
            <w:tcW w:w="1091" w:type="dxa"/>
            <w:noWrap/>
            <w:hideMark/>
          </w:tcPr>
          <w:p w:rsidR="00B63D81" w:rsidRPr="0026455C" w:rsidRDefault="00B63D81" w:rsidP="00EF4446">
            <w:pPr>
              <w:spacing w:after="0" w:line="240" w:lineRule="auto"/>
              <w:jc w:val="center"/>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sz w:val="18"/>
                <w:lang w:eastAsia="en-AU"/>
              </w:rPr>
              <w:t>Codex</w:t>
            </w:r>
          </w:p>
        </w:tc>
        <w:tc>
          <w:tcPr>
            <w:tcW w:w="755" w:type="dxa"/>
            <w:noWrap/>
            <w:hideMark/>
          </w:tcPr>
          <w:p w:rsidR="00B63D81" w:rsidRPr="0026455C" w:rsidRDefault="00B63D81" w:rsidP="00B63D81">
            <w:pPr>
              <w:spacing w:after="0" w:line="240" w:lineRule="auto"/>
              <w:jc w:val="center"/>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themeColor="text1"/>
                <w:sz w:val="18"/>
                <w:lang w:eastAsia="en-AU"/>
              </w:rPr>
              <w:t>China</w:t>
            </w:r>
          </w:p>
        </w:tc>
        <w:tc>
          <w:tcPr>
            <w:tcW w:w="755" w:type="dxa"/>
            <w:noWrap/>
            <w:hideMark/>
          </w:tcPr>
          <w:p w:rsidR="00B63D81" w:rsidRPr="0026455C" w:rsidRDefault="00B63D81" w:rsidP="00B63D81">
            <w:pPr>
              <w:spacing w:after="0" w:line="240" w:lineRule="auto"/>
              <w:jc w:val="center"/>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themeColor="text1"/>
                <w:sz w:val="18"/>
                <w:lang w:eastAsia="en-AU"/>
              </w:rPr>
              <w:t>India</w:t>
            </w:r>
          </w:p>
        </w:tc>
        <w:tc>
          <w:tcPr>
            <w:tcW w:w="1266" w:type="dxa"/>
            <w:noWrap/>
            <w:hideMark/>
          </w:tcPr>
          <w:p w:rsidR="00B63D81" w:rsidRPr="0026455C" w:rsidRDefault="00B63D81" w:rsidP="00B63D81">
            <w:pPr>
              <w:spacing w:after="0" w:line="240" w:lineRule="auto"/>
              <w:jc w:val="center"/>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themeColor="text1"/>
                <w:sz w:val="18"/>
                <w:lang w:eastAsia="en-AU"/>
              </w:rPr>
              <w:t>Indonesia</w:t>
            </w:r>
          </w:p>
        </w:tc>
        <w:tc>
          <w:tcPr>
            <w:tcW w:w="1032" w:type="dxa"/>
            <w:noWrap/>
            <w:hideMark/>
          </w:tcPr>
          <w:p w:rsidR="00B63D81" w:rsidRPr="0026455C" w:rsidRDefault="00B63D81" w:rsidP="00B63D81">
            <w:pPr>
              <w:spacing w:after="0" w:line="240" w:lineRule="auto"/>
              <w:jc w:val="center"/>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themeColor="text1"/>
                <w:sz w:val="18"/>
                <w:lang w:eastAsia="en-AU"/>
              </w:rPr>
              <w:t>Japan</w:t>
            </w:r>
          </w:p>
        </w:tc>
        <w:tc>
          <w:tcPr>
            <w:tcW w:w="1448" w:type="dxa"/>
            <w:noWrap/>
            <w:hideMark/>
          </w:tcPr>
          <w:p w:rsidR="00B63D81" w:rsidRPr="0026455C" w:rsidRDefault="00B63D81" w:rsidP="00B63D81">
            <w:pPr>
              <w:spacing w:after="0" w:line="240" w:lineRule="auto"/>
              <w:jc w:val="center"/>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themeColor="text1"/>
                <w:sz w:val="18"/>
                <w:lang w:eastAsia="en-AU"/>
              </w:rPr>
              <w:t>South Korea</w:t>
            </w:r>
          </w:p>
        </w:tc>
        <w:tc>
          <w:tcPr>
            <w:tcW w:w="912" w:type="dxa"/>
            <w:noWrap/>
            <w:hideMark/>
          </w:tcPr>
          <w:p w:rsidR="00B63D81" w:rsidRPr="0026455C" w:rsidRDefault="00B63D81" w:rsidP="00B63D81">
            <w:pPr>
              <w:spacing w:after="0" w:line="240" w:lineRule="auto"/>
              <w:jc w:val="center"/>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themeColor="text1"/>
                <w:sz w:val="18"/>
                <w:lang w:eastAsia="en-AU"/>
              </w:rPr>
              <w:t>Taiwan</w:t>
            </w:r>
          </w:p>
        </w:tc>
        <w:tc>
          <w:tcPr>
            <w:tcW w:w="1169" w:type="dxa"/>
            <w:noWrap/>
            <w:hideMark/>
          </w:tcPr>
          <w:p w:rsidR="00B63D81" w:rsidRPr="0026455C" w:rsidRDefault="00B63D81" w:rsidP="00B63D81">
            <w:pPr>
              <w:spacing w:after="0" w:line="240" w:lineRule="auto"/>
              <w:jc w:val="center"/>
              <w:rPr>
                <w:rFonts w:asciiTheme="majorHAnsi" w:eastAsia="Times New Roman" w:hAnsiTheme="majorHAnsi" w:cs="Times New Roman"/>
                <w:b/>
                <w:color w:val="000000" w:themeColor="text1"/>
                <w:sz w:val="18"/>
                <w:lang w:eastAsia="en-AU"/>
              </w:rPr>
            </w:pPr>
            <w:r w:rsidRPr="0026455C">
              <w:rPr>
                <w:rFonts w:asciiTheme="majorHAnsi" w:eastAsia="Times New Roman" w:hAnsiTheme="majorHAnsi" w:cs="Times New Roman"/>
                <w:b/>
                <w:color w:val="000000" w:themeColor="text1"/>
                <w:sz w:val="18"/>
                <w:lang w:eastAsia="en-AU"/>
              </w:rPr>
              <w:t>Thailand</w:t>
            </w:r>
          </w:p>
        </w:tc>
      </w:tr>
      <w:tr w:rsidR="00B63D81" w:rsidRPr="0026455C" w:rsidTr="001924FB">
        <w:trPr>
          <w:trHeight w:val="178"/>
        </w:trPr>
        <w:tc>
          <w:tcPr>
            <w:tcW w:w="1707" w:type="dxa"/>
            <w:noWrap/>
            <w:hideMark/>
          </w:tcPr>
          <w:p w:rsidR="00B63D81" w:rsidRPr="00FD65A9" w:rsidRDefault="00B63D81" w:rsidP="00B63D81">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Chlorpyrifos</w:t>
            </w:r>
            <w:proofErr w:type="spellEnd"/>
            <w:r w:rsidRPr="00FD65A9">
              <w:rPr>
                <w:rFonts w:asciiTheme="majorHAnsi" w:eastAsia="Times New Roman" w:hAnsiTheme="majorHAnsi" w:cs="Times New Roman"/>
                <w:i/>
                <w:color w:val="000000" w:themeColor="text1"/>
                <w:sz w:val="18"/>
                <w:lang w:eastAsia="en-AU"/>
              </w:rPr>
              <w:t xml:space="preserve">-methyl </w:t>
            </w:r>
          </w:p>
        </w:tc>
        <w:tc>
          <w:tcPr>
            <w:tcW w:w="1095"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3.0</w:t>
            </w:r>
          </w:p>
        </w:tc>
        <w:tc>
          <w:tcPr>
            <w:tcW w:w="735"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735"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p>
        </w:tc>
        <w:tc>
          <w:tcPr>
            <w:tcW w:w="1273"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10.0</w:t>
            </w:r>
          </w:p>
        </w:tc>
        <w:tc>
          <w:tcPr>
            <w:tcW w:w="1035"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10.0</w:t>
            </w:r>
          </w:p>
        </w:tc>
        <w:tc>
          <w:tcPr>
            <w:tcW w:w="1459"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3.0</w:t>
            </w:r>
          </w:p>
        </w:tc>
        <w:tc>
          <w:tcPr>
            <w:tcW w:w="907"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1174"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3.0</w:t>
            </w:r>
          </w:p>
        </w:tc>
      </w:tr>
      <w:tr w:rsidR="00B63D81" w:rsidRPr="0026455C" w:rsidTr="001924FB">
        <w:trPr>
          <w:trHeight w:val="178"/>
        </w:trPr>
        <w:tc>
          <w:tcPr>
            <w:tcW w:w="1707" w:type="dxa"/>
            <w:noWrap/>
            <w:hideMark/>
          </w:tcPr>
          <w:p w:rsidR="00B63D81" w:rsidRPr="00FD65A9" w:rsidRDefault="00B63D81" w:rsidP="00B63D81">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Dichlorvos</w:t>
            </w:r>
            <w:proofErr w:type="spellEnd"/>
            <w:r w:rsidRPr="00FD65A9">
              <w:rPr>
                <w:rFonts w:asciiTheme="majorHAnsi" w:eastAsia="Times New Roman" w:hAnsiTheme="majorHAnsi" w:cs="Times New Roman"/>
                <w:i/>
                <w:color w:val="000000" w:themeColor="text1"/>
                <w:sz w:val="18"/>
                <w:lang w:eastAsia="en-AU"/>
              </w:rPr>
              <w:t xml:space="preserve"> </w:t>
            </w:r>
          </w:p>
        </w:tc>
        <w:tc>
          <w:tcPr>
            <w:tcW w:w="1095"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7.0</w:t>
            </w:r>
          </w:p>
        </w:tc>
        <w:tc>
          <w:tcPr>
            <w:tcW w:w="735"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c>
          <w:tcPr>
            <w:tcW w:w="735"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p>
        </w:tc>
        <w:tc>
          <w:tcPr>
            <w:tcW w:w="1273"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7.0</w:t>
            </w:r>
          </w:p>
        </w:tc>
        <w:tc>
          <w:tcPr>
            <w:tcW w:w="1035"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0.2</w:t>
            </w:r>
          </w:p>
        </w:tc>
        <w:tc>
          <w:tcPr>
            <w:tcW w:w="1459"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7.0</w:t>
            </w:r>
          </w:p>
        </w:tc>
        <w:tc>
          <w:tcPr>
            <w:tcW w:w="907"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0.02</w:t>
            </w:r>
          </w:p>
        </w:tc>
        <w:tc>
          <w:tcPr>
            <w:tcW w:w="1174" w:type="dxa"/>
            <w:noWrap/>
            <w:hideMark/>
          </w:tcPr>
          <w:p w:rsidR="00B63D81" w:rsidRPr="0026455C" w:rsidRDefault="00B63D81" w:rsidP="00B63D81">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0.2</w:t>
            </w:r>
          </w:p>
        </w:tc>
      </w:tr>
      <w:tr w:rsidR="001924FB" w:rsidRPr="0026455C" w:rsidTr="001924FB">
        <w:trPr>
          <w:trHeight w:val="178"/>
        </w:trPr>
        <w:tc>
          <w:tcPr>
            <w:tcW w:w="1707"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Fenitrothion</w:t>
            </w:r>
            <w:proofErr w:type="spellEnd"/>
            <w:r w:rsidRPr="00FD65A9">
              <w:rPr>
                <w:rFonts w:asciiTheme="majorHAnsi" w:eastAsia="Times New Roman" w:hAnsiTheme="majorHAnsi" w:cs="Times New Roman"/>
                <w:i/>
                <w:color w:val="000000" w:themeColor="text1"/>
                <w:sz w:val="18"/>
                <w:lang w:eastAsia="en-AU"/>
              </w:rPr>
              <w:t xml:space="preserve"> </w:t>
            </w:r>
          </w:p>
        </w:tc>
        <w:tc>
          <w:tcPr>
            <w:tcW w:w="109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6.0</w:t>
            </w:r>
          </w:p>
        </w:tc>
        <w:tc>
          <w:tcPr>
            <w:tcW w:w="7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7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0.01</w:t>
            </w:r>
          </w:p>
        </w:tc>
        <w:tc>
          <w:tcPr>
            <w:tcW w:w="127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60D5B">
              <w:rPr>
                <w:rFonts w:asciiTheme="majorHAnsi" w:eastAsia="Times New Roman" w:hAnsiTheme="majorHAnsi" w:cs="Times New Roman"/>
                <w:color w:val="000000"/>
                <w:sz w:val="18"/>
                <w:lang w:eastAsia="en-AU"/>
              </w:rPr>
              <w:t>na</w:t>
            </w:r>
            <w:proofErr w:type="spellEnd"/>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10.0</w:t>
            </w:r>
          </w:p>
        </w:tc>
        <w:tc>
          <w:tcPr>
            <w:tcW w:w="1459"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0.2</w:t>
            </w:r>
          </w:p>
        </w:tc>
        <w:tc>
          <w:tcPr>
            <w:tcW w:w="907"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0.5</w:t>
            </w:r>
          </w:p>
        </w:tc>
        <w:tc>
          <w:tcPr>
            <w:tcW w:w="1174"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6.0</w:t>
            </w:r>
          </w:p>
        </w:tc>
      </w:tr>
      <w:tr w:rsidR="001924FB" w:rsidRPr="0026455C" w:rsidTr="001924FB">
        <w:trPr>
          <w:trHeight w:val="178"/>
        </w:trPr>
        <w:tc>
          <w:tcPr>
            <w:tcW w:w="1694"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Pirimiphos</w:t>
            </w:r>
            <w:proofErr w:type="spellEnd"/>
            <w:r w:rsidRPr="00FD65A9">
              <w:rPr>
                <w:rFonts w:asciiTheme="majorHAnsi" w:eastAsia="Times New Roman" w:hAnsiTheme="majorHAnsi" w:cs="Times New Roman"/>
                <w:i/>
                <w:color w:val="000000" w:themeColor="text1"/>
                <w:sz w:val="18"/>
                <w:lang w:eastAsia="en-AU"/>
              </w:rPr>
              <w:t xml:space="preserve">-methyl </w:t>
            </w:r>
          </w:p>
        </w:tc>
        <w:tc>
          <w:tcPr>
            <w:tcW w:w="109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7.0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126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60D5B">
              <w:rPr>
                <w:rFonts w:asciiTheme="majorHAnsi" w:eastAsia="Times New Roman" w:hAnsiTheme="majorHAnsi" w:cs="Times New Roman"/>
                <w:color w:val="000000"/>
                <w:sz w:val="18"/>
                <w:lang w:eastAsia="en-AU"/>
              </w:rPr>
              <w:t>na</w:t>
            </w:r>
            <w:proofErr w:type="spellEnd"/>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p>
        </w:tc>
        <w:tc>
          <w:tcPr>
            <w:tcW w:w="145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91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1170"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7.0</w:t>
            </w:r>
          </w:p>
        </w:tc>
      </w:tr>
      <w:tr w:rsidR="001924FB" w:rsidRPr="0026455C" w:rsidTr="001924FB">
        <w:trPr>
          <w:trHeight w:val="178"/>
        </w:trPr>
        <w:tc>
          <w:tcPr>
            <w:tcW w:w="1694"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Deltamethrin</w:t>
            </w:r>
            <w:proofErr w:type="spellEnd"/>
            <w:r w:rsidRPr="00FD65A9">
              <w:rPr>
                <w:rFonts w:asciiTheme="majorHAnsi" w:eastAsia="Times New Roman" w:hAnsiTheme="majorHAnsi" w:cs="Times New Roman"/>
                <w:i/>
                <w:color w:val="000000" w:themeColor="text1"/>
                <w:sz w:val="18"/>
                <w:lang w:eastAsia="en-AU"/>
              </w:rPr>
              <w:t xml:space="preserve"> </w:t>
            </w:r>
          </w:p>
        </w:tc>
        <w:tc>
          <w:tcPr>
            <w:tcW w:w="109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0.2</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0.5</w:t>
            </w:r>
          </w:p>
        </w:tc>
        <w:tc>
          <w:tcPr>
            <w:tcW w:w="126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60D5B">
              <w:rPr>
                <w:rFonts w:asciiTheme="majorHAnsi" w:eastAsia="Times New Roman" w:hAnsiTheme="majorHAnsi" w:cs="Times New Roman"/>
                <w:color w:val="000000"/>
                <w:sz w:val="18"/>
                <w:lang w:eastAsia="en-AU"/>
              </w:rPr>
              <w:t>na</w:t>
            </w:r>
            <w:proofErr w:type="spellEnd"/>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p>
        </w:tc>
        <w:tc>
          <w:tcPr>
            <w:tcW w:w="145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c>
          <w:tcPr>
            <w:tcW w:w="91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p>
        </w:tc>
        <w:tc>
          <w:tcPr>
            <w:tcW w:w="1170"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2.0</w:t>
            </w:r>
          </w:p>
        </w:tc>
      </w:tr>
      <w:tr w:rsidR="001924FB" w:rsidRPr="0026455C" w:rsidTr="001924FB">
        <w:trPr>
          <w:trHeight w:val="178"/>
        </w:trPr>
        <w:tc>
          <w:tcPr>
            <w:tcW w:w="1694"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Methoprene</w:t>
            </w:r>
            <w:proofErr w:type="spellEnd"/>
            <w:r w:rsidRPr="00FD65A9">
              <w:rPr>
                <w:rFonts w:asciiTheme="majorHAnsi" w:eastAsia="Times New Roman" w:hAnsiTheme="majorHAnsi" w:cs="Times New Roman"/>
                <w:i/>
                <w:color w:val="000000" w:themeColor="text1"/>
                <w:sz w:val="18"/>
                <w:lang w:eastAsia="en-AU"/>
              </w:rPr>
              <w:t xml:space="preserve"> </w:t>
            </w:r>
          </w:p>
        </w:tc>
        <w:tc>
          <w:tcPr>
            <w:tcW w:w="109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Pr>
                <w:rFonts w:asciiTheme="majorHAnsi" w:eastAsia="Times New Roman" w:hAnsiTheme="majorHAnsi" w:cs="Times New Roman"/>
                <w:color w:val="000000"/>
                <w:sz w:val="18"/>
                <w:lang w:eastAsia="en-AU"/>
              </w:rPr>
              <w:t>na</w:t>
            </w:r>
            <w:proofErr w:type="spellEnd"/>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3A7002">
              <w:rPr>
                <w:rFonts w:asciiTheme="majorHAnsi" w:eastAsia="Times New Roman" w:hAnsiTheme="majorHAnsi" w:cs="Times New Roman"/>
                <w:color w:val="000000"/>
                <w:sz w:val="18"/>
                <w:lang w:eastAsia="en-AU"/>
              </w:rPr>
              <w:t>na</w:t>
            </w:r>
            <w:proofErr w:type="spellEnd"/>
          </w:p>
        </w:tc>
        <w:tc>
          <w:tcPr>
            <w:tcW w:w="126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60D5B">
              <w:rPr>
                <w:rFonts w:asciiTheme="majorHAnsi" w:eastAsia="Times New Roman" w:hAnsiTheme="majorHAnsi" w:cs="Times New Roman"/>
                <w:color w:val="000000"/>
                <w:sz w:val="18"/>
                <w:lang w:eastAsia="en-AU"/>
              </w:rPr>
              <w:t>na</w:t>
            </w:r>
            <w:proofErr w:type="spellEnd"/>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145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91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2.0</w:t>
            </w:r>
          </w:p>
        </w:tc>
        <w:tc>
          <w:tcPr>
            <w:tcW w:w="1170"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10.0</w:t>
            </w:r>
          </w:p>
        </w:tc>
      </w:tr>
      <w:tr w:rsidR="001924FB" w:rsidRPr="0026455C" w:rsidTr="001924FB">
        <w:trPr>
          <w:trHeight w:val="178"/>
        </w:trPr>
        <w:tc>
          <w:tcPr>
            <w:tcW w:w="1694"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Piperonyl</w:t>
            </w:r>
            <w:proofErr w:type="spellEnd"/>
            <w:r w:rsidRPr="00FD65A9">
              <w:rPr>
                <w:rFonts w:asciiTheme="majorHAnsi" w:eastAsia="Times New Roman" w:hAnsiTheme="majorHAnsi" w:cs="Times New Roman"/>
                <w:i/>
                <w:color w:val="000000" w:themeColor="text1"/>
                <w:sz w:val="18"/>
                <w:lang w:eastAsia="en-AU"/>
              </w:rPr>
              <w:t xml:space="preserve"> </w:t>
            </w:r>
            <w:proofErr w:type="spellStart"/>
            <w:r w:rsidRPr="00FD65A9">
              <w:rPr>
                <w:rFonts w:asciiTheme="majorHAnsi" w:eastAsia="Times New Roman" w:hAnsiTheme="majorHAnsi" w:cs="Times New Roman"/>
                <w:i/>
                <w:color w:val="000000" w:themeColor="text1"/>
                <w:sz w:val="18"/>
                <w:lang w:eastAsia="en-AU"/>
              </w:rPr>
              <w:t>butoxide</w:t>
            </w:r>
            <w:proofErr w:type="spellEnd"/>
            <w:r w:rsidRPr="00FD65A9">
              <w:rPr>
                <w:rFonts w:asciiTheme="majorHAnsi" w:eastAsia="Times New Roman" w:hAnsiTheme="majorHAnsi" w:cs="Times New Roman"/>
                <w:i/>
                <w:color w:val="000000" w:themeColor="text1"/>
                <w:sz w:val="18"/>
                <w:lang w:eastAsia="en-AU"/>
              </w:rPr>
              <w:t xml:space="preserve"> </w:t>
            </w:r>
          </w:p>
        </w:tc>
        <w:tc>
          <w:tcPr>
            <w:tcW w:w="109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30.0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30.0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3A7002">
              <w:rPr>
                <w:rFonts w:asciiTheme="majorHAnsi" w:eastAsia="Times New Roman" w:hAnsiTheme="majorHAnsi" w:cs="Times New Roman"/>
                <w:color w:val="000000"/>
                <w:sz w:val="18"/>
                <w:lang w:eastAsia="en-AU"/>
              </w:rPr>
              <w:t>na</w:t>
            </w:r>
            <w:proofErr w:type="spellEnd"/>
          </w:p>
        </w:tc>
        <w:tc>
          <w:tcPr>
            <w:tcW w:w="126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60D5B">
              <w:rPr>
                <w:rFonts w:asciiTheme="majorHAnsi" w:eastAsia="Times New Roman" w:hAnsiTheme="majorHAnsi" w:cs="Times New Roman"/>
                <w:color w:val="000000"/>
                <w:sz w:val="18"/>
                <w:lang w:eastAsia="en-AU"/>
              </w:rPr>
              <w:t>na</w:t>
            </w:r>
            <w:proofErr w:type="spellEnd"/>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24.0</w:t>
            </w:r>
          </w:p>
        </w:tc>
        <w:tc>
          <w:tcPr>
            <w:tcW w:w="145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0.05</w:t>
            </w:r>
          </w:p>
        </w:tc>
        <w:tc>
          <w:tcPr>
            <w:tcW w:w="91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15.0</w:t>
            </w:r>
          </w:p>
        </w:tc>
        <w:tc>
          <w:tcPr>
            <w:tcW w:w="1170"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30.0</w:t>
            </w:r>
          </w:p>
        </w:tc>
      </w:tr>
      <w:tr w:rsidR="001924FB" w:rsidRPr="0026455C" w:rsidTr="001924FB">
        <w:trPr>
          <w:trHeight w:val="178"/>
        </w:trPr>
        <w:tc>
          <w:tcPr>
            <w:tcW w:w="1694"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Pyrethrins</w:t>
            </w:r>
            <w:proofErr w:type="spellEnd"/>
            <w:r w:rsidRPr="00FD65A9">
              <w:rPr>
                <w:rFonts w:asciiTheme="majorHAnsi" w:eastAsia="Times New Roman" w:hAnsiTheme="majorHAnsi" w:cs="Times New Roman"/>
                <w:i/>
                <w:color w:val="000000" w:themeColor="text1"/>
                <w:sz w:val="18"/>
                <w:lang w:eastAsia="en-AU"/>
              </w:rPr>
              <w:t xml:space="preserve"> </w:t>
            </w:r>
          </w:p>
        </w:tc>
        <w:tc>
          <w:tcPr>
            <w:tcW w:w="109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0.3</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Pr>
                <w:rFonts w:asciiTheme="majorHAnsi" w:eastAsia="Times New Roman" w:hAnsiTheme="majorHAnsi" w:cs="Times New Roman"/>
                <w:color w:val="000000"/>
                <w:sz w:val="18"/>
                <w:lang w:eastAsia="en-AU"/>
              </w:rPr>
              <w:t>na</w:t>
            </w:r>
            <w:proofErr w:type="spellEnd"/>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3A7002">
              <w:rPr>
                <w:rFonts w:asciiTheme="majorHAnsi" w:eastAsia="Times New Roman" w:hAnsiTheme="majorHAnsi" w:cs="Times New Roman"/>
                <w:color w:val="000000"/>
                <w:sz w:val="18"/>
                <w:lang w:eastAsia="en-AU"/>
              </w:rPr>
              <w:t>na</w:t>
            </w:r>
            <w:proofErr w:type="spellEnd"/>
          </w:p>
        </w:tc>
        <w:tc>
          <w:tcPr>
            <w:tcW w:w="126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60D5B">
              <w:rPr>
                <w:rFonts w:asciiTheme="majorHAnsi" w:eastAsia="Times New Roman" w:hAnsiTheme="majorHAnsi" w:cs="Times New Roman"/>
                <w:color w:val="000000"/>
                <w:sz w:val="18"/>
                <w:lang w:eastAsia="en-AU"/>
              </w:rPr>
              <w:t>na</w:t>
            </w:r>
            <w:proofErr w:type="spellEnd"/>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3.0</w:t>
            </w:r>
          </w:p>
        </w:tc>
        <w:tc>
          <w:tcPr>
            <w:tcW w:w="145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3.0</w:t>
            </w:r>
          </w:p>
        </w:tc>
        <w:tc>
          <w:tcPr>
            <w:tcW w:w="91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0.3</w:t>
            </w:r>
          </w:p>
        </w:tc>
        <w:tc>
          <w:tcPr>
            <w:tcW w:w="1170"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0.3</w:t>
            </w:r>
          </w:p>
        </w:tc>
      </w:tr>
      <w:tr w:rsidR="001924FB" w:rsidRPr="0026455C" w:rsidTr="001924FB">
        <w:trPr>
          <w:trHeight w:val="178"/>
        </w:trPr>
        <w:tc>
          <w:tcPr>
            <w:tcW w:w="1694"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Spinosad</w:t>
            </w:r>
            <w:proofErr w:type="spellEnd"/>
            <w:r w:rsidRPr="00FD65A9">
              <w:rPr>
                <w:rFonts w:asciiTheme="majorHAnsi" w:eastAsia="Times New Roman" w:hAnsiTheme="majorHAnsi" w:cs="Times New Roman"/>
                <w:i/>
                <w:color w:val="000000" w:themeColor="text1"/>
                <w:sz w:val="18"/>
                <w:lang w:eastAsia="en-AU"/>
              </w:rPr>
              <w:t xml:space="preserve"> </w:t>
            </w:r>
          </w:p>
        </w:tc>
        <w:tc>
          <w:tcPr>
            <w:tcW w:w="109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3A7002">
              <w:rPr>
                <w:rFonts w:asciiTheme="majorHAnsi" w:eastAsia="Times New Roman" w:hAnsiTheme="majorHAnsi" w:cs="Times New Roman"/>
                <w:color w:val="000000"/>
                <w:sz w:val="18"/>
                <w:lang w:eastAsia="en-AU"/>
              </w:rPr>
              <w:t>na</w:t>
            </w:r>
            <w:proofErr w:type="spellEnd"/>
          </w:p>
        </w:tc>
        <w:tc>
          <w:tcPr>
            <w:tcW w:w="126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60D5B">
              <w:rPr>
                <w:rFonts w:asciiTheme="majorHAnsi" w:eastAsia="Times New Roman" w:hAnsiTheme="majorHAnsi" w:cs="Times New Roman"/>
                <w:color w:val="000000"/>
                <w:sz w:val="18"/>
                <w:lang w:eastAsia="en-AU"/>
              </w:rPr>
              <w:t>na</w:t>
            </w:r>
            <w:proofErr w:type="spellEnd"/>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2.0</w:t>
            </w:r>
          </w:p>
        </w:tc>
        <w:tc>
          <w:tcPr>
            <w:tcW w:w="145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p>
        </w:tc>
        <w:tc>
          <w:tcPr>
            <w:tcW w:w="91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p>
        </w:tc>
        <w:tc>
          <w:tcPr>
            <w:tcW w:w="1170"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1.0</w:t>
            </w:r>
            <w:r>
              <w:rPr>
                <w:rFonts w:asciiTheme="majorHAnsi" w:eastAsia="Times New Roman" w:hAnsiTheme="majorHAnsi" w:cs="Times New Roman"/>
                <w:color w:val="000000"/>
                <w:sz w:val="18"/>
                <w:lang w:eastAsia="en-AU"/>
              </w:rPr>
              <w:t xml:space="preserve"> </w:t>
            </w:r>
            <w:proofErr w:type="spellStart"/>
            <w:r>
              <w:rPr>
                <w:rFonts w:asciiTheme="majorHAnsi" w:eastAsia="Times New Roman" w:hAnsiTheme="majorHAnsi" w:cs="Times New Roman"/>
                <w:color w:val="000000"/>
                <w:sz w:val="18"/>
                <w:lang w:eastAsia="en-AU"/>
              </w:rPr>
              <w:t>na</w:t>
            </w:r>
            <w:proofErr w:type="spellEnd"/>
          </w:p>
        </w:tc>
      </w:tr>
      <w:tr w:rsidR="001924FB" w:rsidRPr="0026455C" w:rsidTr="001924FB">
        <w:trPr>
          <w:trHeight w:val="178"/>
        </w:trPr>
        <w:tc>
          <w:tcPr>
            <w:tcW w:w="1694"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Carbaryl</w:t>
            </w:r>
            <w:proofErr w:type="spellEnd"/>
            <w:r w:rsidRPr="00FD65A9">
              <w:rPr>
                <w:rFonts w:asciiTheme="majorHAnsi" w:eastAsia="Times New Roman" w:hAnsiTheme="majorHAnsi" w:cs="Times New Roman"/>
                <w:i/>
                <w:color w:val="000000" w:themeColor="text1"/>
                <w:sz w:val="18"/>
                <w:lang w:eastAsia="en-AU"/>
              </w:rPr>
              <w:t xml:space="preserve"> </w:t>
            </w:r>
          </w:p>
        </w:tc>
        <w:tc>
          <w:tcPr>
            <w:tcW w:w="109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81540B">
              <w:rPr>
                <w:rFonts w:asciiTheme="majorHAnsi" w:eastAsia="Times New Roman" w:hAnsiTheme="majorHAnsi" w:cs="Times New Roman"/>
                <w:color w:val="000000"/>
                <w:sz w:val="18"/>
                <w:lang w:eastAsia="en-AU"/>
              </w:rPr>
              <w:t>na</w:t>
            </w:r>
            <w:proofErr w:type="spellEnd"/>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1.5</w:t>
            </w:r>
          </w:p>
        </w:tc>
        <w:tc>
          <w:tcPr>
            <w:tcW w:w="126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2.0</w:t>
            </w:r>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Pr>
                <w:rFonts w:asciiTheme="majorHAnsi" w:eastAsia="Times New Roman" w:hAnsiTheme="majorHAnsi" w:cs="Times New Roman"/>
                <w:color w:val="000000"/>
                <w:sz w:val="18"/>
                <w:lang w:eastAsia="en-AU"/>
              </w:rPr>
              <w:t>na</w:t>
            </w:r>
            <w:proofErr w:type="spellEnd"/>
          </w:p>
        </w:tc>
        <w:tc>
          <w:tcPr>
            <w:tcW w:w="145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2.0</w:t>
            </w:r>
          </w:p>
        </w:tc>
        <w:tc>
          <w:tcPr>
            <w:tcW w:w="91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0.02</w:t>
            </w:r>
          </w:p>
        </w:tc>
        <w:tc>
          <w:tcPr>
            <w:tcW w:w="1170"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2.0</w:t>
            </w:r>
          </w:p>
        </w:tc>
      </w:tr>
      <w:tr w:rsidR="001924FB" w:rsidRPr="0026455C" w:rsidTr="001924FB">
        <w:trPr>
          <w:trHeight w:val="178"/>
        </w:trPr>
        <w:tc>
          <w:tcPr>
            <w:tcW w:w="1694"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r w:rsidRPr="00FD65A9">
              <w:rPr>
                <w:rFonts w:asciiTheme="majorHAnsi" w:eastAsia="Times New Roman" w:hAnsiTheme="majorHAnsi" w:cs="Times New Roman"/>
                <w:i/>
                <w:color w:val="000000" w:themeColor="text1"/>
                <w:sz w:val="18"/>
                <w:lang w:eastAsia="en-AU"/>
              </w:rPr>
              <w:t xml:space="preserve">Bromide ion </w:t>
            </w:r>
          </w:p>
        </w:tc>
        <w:tc>
          <w:tcPr>
            <w:tcW w:w="1093"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50.0</w:t>
            </w:r>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81540B">
              <w:rPr>
                <w:rFonts w:asciiTheme="majorHAnsi" w:eastAsia="Times New Roman" w:hAnsiTheme="majorHAnsi" w:cs="Times New Roman"/>
                <w:color w:val="000000"/>
                <w:sz w:val="18"/>
                <w:lang w:eastAsia="en-AU"/>
              </w:rPr>
              <w:t>na</w:t>
            </w:r>
            <w:proofErr w:type="spellEnd"/>
          </w:p>
        </w:tc>
        <w:tc>
          <w:tcPr>
            <w:tcW w:w="748" w:type="dxa"/>
            <w:noWrap/>
            <w:hideMark/>
          </w:tcPr>
          <w:p w:rsidR="001924FB" w:rsidRPr="0026455C" w:rsidRDefault="001924FB" w:rsidP="001924FB">
            <w:pPr>
              <w:spacing w:after="0" w:line="240" w:lineRule="auto"/>
              <w:jc w:val="center"/>
              <w:rPr>
                <w:rFonts w:asciiTheme="majorHAnsi" w:eastAsia="Times New Roman" w:hAnsiTheme="majorHAnsi" w:cs="Times New Roman"/>
                <w:sz w:val="18"/>
                <w:lang w:eastAsia="en-AU"/>
              </w:rPr>
            </w:pPr>
            <w:proofErr w:type="spellStart"/>
            <w:r w:rsidRPr="005F3E36">
              <w:rPr>
                <w:rFonts w:asciiTheme="majorHAnsi" w:eastAsia="Times New Roman" w:hAnsiTheme="majorHAnsi" w:cs="Times New Roman"/>
                <w:color w:val="000000"/>
                <w:sz w:val="18"/>
                <w:lang w:eastAsia="en-AU"/>
              </w:rPr>
              <w:t>na</w:t>
            </w:r>
            <w:proofErr w:type="spellEnd"/>
          </w:p>
        </w:tc>
        <w:tc>
          <w:tcPr>
            <w:tcW w:w="1268" w:type="dxa"/>
            <w:noWrap/>
            <w:hideMark/>
          </w:tcPr>
          <w:p w:rsidR="001924FB" w:rsidRPr="0026455C" w:rsidRDefault="001924FB" w:rsidP="001924FB">
            <w:pPr>
              <w:spacing w:after="0" w:line="240" w:lineRule="auto"/>
              <w:jc w:val="center"/>
              <w:rPr>
                <w:rFonts w:asciiTheme="majorHAnsi" w:eastAsia="Times New Roman" w:hAnsiTheme="majorHAnsi" w:cs="Times New Roman"/>
                <w:sz w:val="18"/>
                <w:lang w:eastAsia="en-AU"/>
              </w:rPr>
            </w:pPr>
            <w:proofErr w:type="spellStart"/>
            <w:r w:rsidRPr="00742023">
              <w:rPr>
                <w:rFonts w:asciiTheme="majorHAnsi" w:eastAsia="Times New Roman" w:hAnsiTheme="majorHAnsi" w:cs="Times New Roman"/>
                <w:color w:val="000000"/>
                <w:sz w:val="18"/>
                <w:lang w:eastAsia="en-AU"/>
              </w:rPr>
              <w:t>na</w:t>
            </w:r>
            <w:proofErr w:type="spellEnd"/>
          </w:p>
        </w:tc>
        <w:tc>
          <w:tcPr>
            <w:tcW w:w="103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50.0</w:t>
            </w:r>
          </w:p>
        </w:tc>
        <w:tc>
          <w:tcPr>
            <w:tcW w:w="145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2E4E3D">
              <w:rPr>
                <w:rFonts w:asciiTheme="majorHAnsi" w:eastAsia="Times New Roman" w:hAnsiTheme="majorHAnsi" w:cs="Times New Roman"/>
                <w:color w:val="000000"/>
                <w:sz w:val="18"/>
                <w:lang w:eastAsia="en-AU"/>
              </w:rPr>
              <w:t>na</w:t>
            </w:r>
            <w:proofErr w:type="spellEnd"/>
          </w:p>
        </w:tc>
        <w:tc>
          <w:tcPr>
            <w:tcW w:w="913" w:type="dxa"/>
            <w:noWrap/>
            <w:hideMark/>
          </w:tcPr>
          <w:p w:rsidR="001924FB" w:rsidRPr="0026455C" w:rsidRDefault="001924FB" w:rsidP="001924FB">
            <w:pPr>
              <w:spacing w:after="0" w:line="240" w:lineRule="auto"/>
              <w:jc w:val="center"/>
              <w:rPr>
                <w:rFonts w:asciiTheme="majorHAnsi" w:eastAsia="Times New Roman" w:hAnsiTheme="majorHAnsi" w:cs="Times New Roman"/>
                <w:sz w:val="18"/>
                <w:lang w:eastAsia="en-AU"/>
              </w:rPr>
            </w:pPr>
            <w:proofErr w:type="spellStart"/>
            <w:r w:rsidRPr="002E4E3D">
              <w:rPr>
                <w:rFonts w:asciiTheme="majorHAnsi" w:eastAsia="Times New Roman" w:hAnsiTheme="majorHAnsi" w:cs="Times New Roman"/>
                <w:color w:val="000000"/>
                <w:sz w:val="18"/>
                <w:lang w:eastAsia="en-AU"/>
              </w:rPr>
              <w:t>na</w:t>
            </w:r>
            <w:proofErr w:type="spellEnd"/>
          </w:p>
        </w:tc>
        <w:tc>
          <w:tcPr>
            <w:tcW w:w="1170" w:type="dxa"/>
            <w:noWrap/>
            <w:hideMark/>
          </w:tcPr>
          <w:p w:rsidR="001924FB" w:rsidRPr="0026455C" w:rsidRDefault="001924FB" w:rsidP="001924FB">
            <w:pPr>
              <w:spacing w:after="0" w:line="240" w:lineRule="auto"/>
              <w:jc w:val="center"/>
              <w:rPr>
                <w:rFonts w:asciiTheme="majorHAnsi" w:eastAsia="Times New Roman" w:hAnsiTheme="majorHAnsi" w:cs="Times New Roman"/>
                <w:sz w:val="18"/>
                <w:lang w:eastAsia="en-AU"/>
              </w:rPr>
            </w:pPr>
            <w:proofErr w:type="spellStart"/>
            <w:r w:rsidRPr="002E4E3D">
              <w:rPr>
                <w:rFonts w:asciiTheme="majorHAnsi" w:eastAsia="Times New Roman" w:hAnsiTheme="majorHAnsi" w:cs="Times New Roman"/>
                <w:color w:val="000000"/>
                <w:sz w:val="18"/>
                <w:lang w:eastAsia="en-AU"/>
              </w:rPr>
              <w:t>na</w:t>
            </w:r>
            <w:proofErr w:type="spellEnd"/>
          </w:p>
        </w:tc>
      </w:tr>
      <w:tr w:rsidR="001924FB" w:rsidRPr="0026455C" w:rsidTr="001924FB">
        <w:trPr>
          <w:trHeight w:val="178"/>
        </w:trPr>
        <w:tc>
          <w:tcPr>
            <w:tcW w:w="1692"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r w:rsidRPr="00FD65A9">
              <w:rPr>
                <w:rFonts w:asciiTheme="majorHAnsi" w:eastAsia="Times New Roman" w:hAnsiTheme="majorHAnsi" w:cs="Times New Roman"/>
                <w:i/>
                <w:color w:val="000000" w:themeColor="text1"/>
                <w:sz w:val="18"/>
                <w:lang w:eastAsia="en-AU"/>
              </w:rPr>
              <w:t>Phosphine</w:t>
            </w:r>
          </w:p>
        </w:tc>
        <w:tc>
          <w:tcPr>
            <w:tcW w:w="109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c>
          <w:tcPr>
            <w:tcW w:w="75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0.05</w:t>
            </w:r>
          </w:p>
        </w:tc>
        <w:tc>
          <w:tcPr>
            <w:tcW w:w="75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5F3E36">
              <w:rPr>
                <w:rFonts w:asciiTheme="majorHAnsi" w:eastAsia="Times New Roman" w:hAnsiTheme="majorHAnsi" w:cs="Times New Roman"/>
                <w:color w:val="000000"/>
                <w:sz w:val="18"/>
                <w:lang w:eastAsia="en-AU"/>
              </w:rPr>
              <w:t>na</w:t>
            </w:r>
            <w:proofErr w:type="spellEnd"/>
          </w:p>
        </w:tc>
        <w:tc>
          <w:tcPr>
            <w:tcW w:w="1266"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742023">
              <w:rPr>
                <w:rFonts w:asciiTheme="majorHAnsi" w:eastAsia="Times New Roman" w:hAnsiTheme="majorHAnsi" w:cs="Times New Roman"/>
                <w:color w:val="000000"/>
                <w:sz w:val="18"/>
                <w:lang w:eastAsia="en-AU"/>
              </w:rPr>
              <w:t>na</w:t>
            </w:r>
            <w:proofErr w:type="spellEnd"/>
          </w:p>
        </w:tc>
        <w:tc>
          <w:tcPr>
            <w:tcW w:w="1032"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c>
          <w:tcPr>
            <w:tcW w:w="14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c>
          <w:tcPr>
            <w:tcW w:w="912"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c>
          <w:tcPr>
            <w:tcW w:w="1169"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r>
      <w:tr w:rsidR="001924FB" w:rsidRPr="0026455C" w:rsidTr="001924FB">
        <w:trPr>
          <w:trHeight w:val="178"/>
        </w:trPr>
        <w:tc>
          <w:tcPr>
            <w:tcW w:w="1692"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proofErr w:type="spellStart"/>
            <w:r w:rsidRPr="00FD65A9">
              <w:rPr>
                <w:rFonts w:asciiTheme="majorHAnsi" w:eastAsia="Times New Roman" w:hAnsiTheme="majorHAnsi" w:cs="Times New Roman"/>
                <w:i/>
                <w:color w:val="000000" w:themeColor="text1"/>
                <w:sz w:val="18"/>
                <w:lang w:eastAsia="en-AU"/>
              </w:rPr>
              <w:t>Sulfuryl</w:t>
            </w:r>
            <w:proofErr w:type="spellEnd"/>
            <w:r w:rsidRPr="00FD65A9">
              <w:rPr>
                <w:rFonts w:asciiTheme="majorHAnsi" w:eastAsia="Times New Roman" w:hAnsiTheme="majorHAnsi" w:cs="Times New Roman"/>
                <w:i/>
                <w:color w:val="000000" w:themeColor="text1"/>
                <w:sz w:val="18"/>
                <w:lang w:eastAsia="en-AU"/>
              </w:rPr>
              <w:t xml:space="preserve"> </w:t>
            </w:r>
            <w:proofErr w:type="spellStart"/>
            <w:r w:rsidRPr="00FD65A9">
              <w:rPr>
                <w:rFonts w:asciiTheme="majorHAnsi" w:eastAsia="Times New Roman" w:hAnsiTheme="majorHAnsi" w:cs="Times New Roman"/>
                <w:i/>
                <w:color w:val="000000" w:themeColor="text1"/>
                <w:sz w:val="18"/>
                <w:lang w:eastAsia="en-AU"/>
              </w:rPr>
              <w:t>flouride</w:t>
            </w:r>
            <w:proofErr w:type="spellEnd"/>
          </w:p>
        </w:tc>
        <w:tc>
          <w:tcPr>
            <w:tcW w:w="109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0.05</w:t>
            </w:r>
          </w:p>
        </w:tc>
        <w:tc>
          <w:tcPr>
            <w:tcW w:w="75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c>
          <w:tcPr>
            <w:tcW w:w="75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5F3E36">
              <w:rPr>
                <w:rFonts w:asciiTheme="majorHAnsi" w:eastAsia="Times New Roman" w:hAnsiTheme="majorHAnsi" w:cs="Times New Roman"/>
                <w:color w:val="000000"/>
                <w:sz w:val="18"/>
                <w:lang w:eastAsia="en-AU"/>
              </w:rPr>
              <w:t>na</w:t>
            </w:r>
            <w:proofErr w:type="spellEnd"/>
          </w:p>
        </w:tc>
        <w:tc>
          <w:tcPr>
            <w:tcW w:w="1266"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742023">
              <w:rPr>
                <w:rFonts w:asciiTheme="majorHAnsi" w:eastAsia="Times New Roman" w:hAnsiTheme="majorHAnsi" w:cs="Times New Roman"/>
                <w:color w:val="000000"/>
                <w:sz w:val="18"/>
                <w:lang w:eastAsia="en-AU"/>
              </w:rPr>
              <w:t>na</w:t>
            </w:r>
            <w:proofErr w:type="spellEnd"/>
          </w:p>
        </w:tc>
        <w:tc>
          <w:tcPr>
            <w:tcW w:w="1032"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0.1</w:t>
            </w:r>
          </w:p>
        </w:tc>
        <w:tc>
          <w:tcPr>
            <w:tcW w:w="14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0.08</w:t>
            </w:r>
          </w:p>
        </w:tc>
        <w:tc>
          <w:tcPr>
            <w:tcW w:w="912"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34BDA">
              <w:rPr>
                <w:rFonts w:asciiTheme="majorHAnsi" w:eastAsia="Times New Roman" w:hAnsiTheme="majorHAnsi" w:cs="Times New Roman"/>
                <w:color w:val="000000"/>
                <w:sz w:val="18"/>
                <w:lang w:eastAsia="en-AU"/>
              </w:rPr>
              <w:t>na</w:t>
            </w:r>
            <w:proofErr w:type="spellEnd"/>
          </w:p>
        </w:tc>
        <w:tc>
          <w:tcPr>
            <w:tcW w:w="1169"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0.05</w:t>
            </w:r>
          </w:p>
        </w:tc>
      </w:tr>
      <w:tr w:rsidR="001924FB" w:rsidRPr="0026455C" w:rsidTr="001924FB">
        <w:trPr>
          <w:trHeight w:val="178"/>
        </w:trPr>
        <w:tc>
          <w:tcPr>
            <w:tcW w:w="1692" w:type="dxa"/>
            <w:noWrap/>
            <w:hideMark/>
          </w:tcPr>
          <w:p w:rsidR="001924FB" w:rsidRPr="00FD65A9" w:rsidRDefault="001924FB" w:rsidP="001924FB">
            <w:pPr>
              <w:spacing w:after="0" w:line="240" w:lineRule="auto"/>
              <w:rPr>
                <w:rFonts w:asciiTheme="majorHAnsi" w:eastAsia="Times New Roman" w:hAnsiTheme="majorHAnsi" w:cs="Times New Roman"/>
                <w:i/>
                <w:color w:val="000000" w:themeColor="text1"/>
                <w:sz w:val="18"/>
                <w:lang w:eastAsia="en-AU"/>
              </w:rPr>
            </w:pPr>
            <w:r w:rsidRPr="00FD65A9">
              <w:rPr>
                <w:rFonts w:asciiTheme="majorHAnsi" w:eastAsia="Times New Roman" w:hAnsiTheme="majorHAnsi" w:cs="Times New Roman"/>
                <w:i/>
                <w:color w:val="000000" w:themeColor="text1"/>
                <w:sz w:val="18"/>
                <w:lang w:eastAsia="en-AU"/>
              </w:rPr>
              <w:t>Methyl bromide</w:t>
            </w:r>
          </w:p>
        </w:tc>
        <w:tc>
          <w:tcPr>
            <w:tcW w:w="1091"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Pr>
                <w:rFonts w:asciiTheme="majorHAnsi" w:eastAsia="Times New Roman" w:hAnsiTheme="majorHAnsi" w:cs="Times New Roman"/>
                <w:color w:val="000000"/>
                <w:sz w:val="18"/>
                <w:lang w:eastAsia="en-AU"/>
              </w:rPr>
              <w:t>na</w:t>
            </w:r>
            <w:proofErr w:type="spellEnd"/>
          </w:p>
        </w:tc>
        <w:tc>
          <w:tcPr>
            <w:tcW w:w="75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w:t>
            </w:r>
          </w:p>
        </w:tc>
        <w:tc>
          <w:tcPr>
            <w:tcW w:w="755"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25.0</w:t>
            </w:r>
          </w:p>
        </w:tc>
        <w:tc>
          <w:tcPr>
            <w:tcW w:w="1266"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742023">
              <w:rPr>
                <w:rFonts w:asciiTheme="majorHAnsi" w:eastAsia="Times New Roman" w:hAnsiTheme="majorHAnsi" w:cs="Times New Roman"/>
                <w:color w:val="000000"/>
                <w:sz w:val="18"/>
                <w:lang w:eastAsia="en-AU"/>
              </w:rPr>
              <w:t>na</w:t>
            </w:r>
            <w:proofErr w:type="spellEnd"/>
          </w:p>
        </w:tc>
        <w:tc>
          <w:tcPr>
            <w:tcW w:w="1032" w:type="dxa"/>
            <w:noWrap/>
            <w:hideMark/>
          </w:tcPr>
          <w:p w:rsidR="001924FB" w:rsidRPr="0026455C" w:rsidRDefault="001924FB" w:rsidP="001924FB">
            <w:pPr>
              <w:spacing w:after="0" w:line="240" w:lineRule="auto"/>
              <w:jc w:val="center"/>
              <w:rPr>
                <w:rFonts w:asciiTheme="majorHAnsi" w:eastAsia="Times New Roman" w:hAnsiTheme="majorHAnsi" w:cs="Times New Roman"/>
                <w:sz w:val="18"/>
                <w:lang w:eastAsia="en-AU"/>
              </w:rPr>
            </w:pPr>
            <w:proofErr w:type="spellStart"/>
            <w:r>
              <w:rPr>
                <w:rFonts w:asciiTheme="majorHAnsi" w:eastAsia="Times New Roman" w:hAnsiTheme="majorHAnsi" w:cs="Times New Roman"/>
                <w:color w:val="000000"/>
                <w:sz w:val="18"/>
                <w:lang w:eastAsia="en-AU"/>
              </w:rPr>
              <w:t>na</w:t>
            </w:r>
            <w:proofErr w:type="spellEnd"/>
          </w:p>
        </w:tc>
        <w:tc>
          <w:tcPr>
            <w:tcW w:w="1448"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50.0</w:t>
            </w:r>
          </w:p>
        </w:tc>
        <w:tc>
          <w:tcPr>
            <w:tcW w:w="912"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proofErr w:type="spellStart"/>
            <w:r w:rsidRPr="00A34BDA">
              <w:rPr>
                <w:rFonts w:asciiTheme="majorHAnsi" w:eastAsia="Times New Roman" w:hAnsiTheme="majorHAnsi" w:cs="Times New Roman"/>
                <w:color w:val="000000"/>
                <w:sz w:val="18"/>
                <w:lang w:eastAsia="en-AU"/>
              </w:rPr>
              <w:t>na</w:t>
            </w:r>
            <w:proofErr w:type="spellEnd"/>
          </w:p>
        </w:tc>
        <w:tc>
          <w:tcPr>
            <w:tcW w:w="1169" w:type="dxa"/>
            <w:noWrap/>
            <w:hideMark/>
          </w:tcPr>
          <w:p w:rsidR="001924FB" w:rsidRPr="0026455C" w:rsidRDefault="001924FB" w:rsidP="001924FB">
            <w:pPr>
              <w:spacing w:after="0" w:line="240" w:lineRule="auto"/>
              <w:jc w:val="center"/>
              <w:rPr>
                <w:rFonts w:asciiTheme="majorHAnsi" w:eastAsia="Times New Roman" w:hAnsiTheme="majorHAnsi" w:cs="Times New Roman"/>
                <w:color w:val="000000"/>
                <w:sz w:val="18"/>
                <w:lang w:eastAsia="en-AU"/>
              </w:rPr>
            </w:pPr>
            <w:r w:rsidRPr="0026455C">
              <w:rPr>
                <w:rFonts w:asciiTheme="majorHAnsi" w:eastAsia="Times New Roman" w:hAnsiTheme="majorHAnsi" w:cs="Times New Roman"/>
                <w:color w:val="000000"/>
                <w:sz w:val="18"/>
                <w:lang w:eastAsia="en-AU"/>
              </w:rPr>
              <w:t>50.0</w:t>
            </w:r>
          </w:p>
        </w:tc>
      </w:tr>
    </w:tbl>
    <w:p w:rsidR="00EF4446" w:rsidRPr="00EF4446" w:rsidRDefault="00EF4446" w:rsidP="00EF4446">
      <w:pPr>
        <w:pStyle w:val="Source"/>
      </w:pPr>
      <w:r>
        <w:t xml:space="preserve">Note: </w:t>
      </w:r>
      <w:r w:rsidRPr="00EF4446">
        <w:t xml:space="preserve">Codex (Codex </w:t>
      </w:r>
      <w:proofErr w:type="spellStart"/>
      <w:r w:rsidRPr="00EF4446">
        <w:t>Alimentarius</w:t>
      </w:r>
      <w:proofErr w:type="spellEnd"/>
      <w:r w:rsidRPr="00EF4446">
        <w:t xml:space="preserve"> Commission) is the international body responsible for developing food standards and guidelines for protecting the health of the consumers and ensuring fair trade practices in the food trade. Codex sets international MRLs.</w:t>
      </w:r>
    </w:p>
    <w:p w:rsidR="00B63D81" w:rsidRDefault="00B63D81" w:rsidP="00B63D81">
      <w:pPr>
        <w:pStyle w:val="Source"/>
      </w:pPr>
      <w:r>
        <w:t xml:space="preserve">Source: </w:t>
      </w:r>
      <w:r w:rsidR="00EE4CBB" w:rsidRPr="00EE4CBB">
        <w:t xml:space="preserve">Grain Trade Australia </w:t>
      </w:r>
      <w:r w:rsidR="00C9710C">
        <w:t>(</w:t>
      </w:r>
      <w:r w:rsidR="00EE4CBB" w:rsidRPr="00EE4CBB">
        <w:t>2018)</w:t>
      </w:r>
    </w:p>
    <w:p w:rsidR="00646CD7" w:rsidRDefault="00646CD7" w:rsidP="00646CD7">
      <w:pPr>
        <w:pStyle w:val="Heading2"/>
        <w:numPr>
          <w:ilvl w:val="0"/>
          <w:numId w:val="0"/>
        </w:numPr>
        <w:ind w:left="576" w:hanging="576"/>
      </w:pPr>
      <w:bookmarkStart w:id="377" w:name="_Toc12024329"/>
      <w:bookmarkStart w:id="378" w:name="_Toc12294102"/>
      <w:bookmarkStart w:id="379" w:name="_Toc13217631"/>
      <w:bookmarkStart w:id="380" w:name="_Toc14107338"/>
      <w:r>
        <w:t>Drivers</w:t>
      </w:r>
      <w:bookmarkEnd w:id="377"/>
      <w:bookmarkEnd w:id="378"/>
      <w:bookmarkEnd w:id="379"/>
      <w:bookmarkEnd w:id="380"/>
    </w:p>
    <w:p w:rsidR="00646CD7" w:rsidRPr="009D5B85" w:rsidRDefault="00646CD7" w:rsidP="00646CD7">
      <w:pPr>
        <w:pStyle w:val="Heading3"/>
        <w:numPr>
          <w:ilvl w:val="0"/>
          <w:numId w:val="0"/>
        </w:numPr>
        <w:ind w:left="720" w:hanging="720"/>
      </w:pPr>
      <w:bookmarkStart w:id="381" w:name="_Toc4449579"/>
      <w:r w:rsidRPr="009D5B85">
        <w:t xml:space="preserve">Demand for novel agvet chemicals is driven by the </w:t>
      </w:r>
      <w:r>
        <w:t>emergence</w:t>
      </w:r>
      <w:r w:rsidRPr="009D5B85">
        <w:t xml:space="preserve"> of new pests and disease</w:t>
      </w:r>
      <w:bookmarkEnd w:id="381"/>
      <w:r>
        <w:t>s</w:t>
      </w:r>
    </w:p>
    <w:p w:rsidR="004A7A11" w:rsidRDefault="00646CD7" w:rsidP="00646CD7">
      <w:r>
        <w:t xml:space="preserve">The introduction </w:t>
      </w:r>
      <w:r w:rsidR="00E82E7B">
        <w:t xml:space="preserve">or emergence </w:t>
      </w:r>
      <w:r>
        <w:t>of new pests and diseases is a strong driver of demand for novel agvet chemicals. New pests and diseases can arrive in Australia in a variety of ways, including through climate change (e.g. the geographic spread of livestock virus vectors due to global warming)</w:t>
      </w:r>
      <w:r w:rsidR="00E82E7B">
        <w:t>, spontaneous emergence or mutation,</w:t>
      </w:r>
      <w:r>
        <w:t xml:space="preserve"> or via a breach in Australian biosecurity (e.g. though rapidly increasing containerised trade and domestic and international travel movements)</w:t>
      </w:r>
      <w:r w:rsidR="00264509">
        <w:t xml:space="preserve"> </w:t>
      </w:r>
      <w:r w:rsidR="00916B38" w:rsidRPr="00916B38">
        <w:rPr>
          <w:rFonts w:cs="Times New Roman"/>
          <w:szCs w:val="24"/>
        </w:rPr>
        <w:t>(</w:t>
      </w:r>
      <w:proofErr w:type="spellStart"/>
      <w:r w:rsidR="00916B38" w:rsidRPr="00916B38">
        <w:rPr>
          <w:rFonts w:cs="Times New Roman"/>
          <w:szCs w:val="24"/>
        </w:rPr>
        <w:t>Wittmann</w:t>
      </w:r>
      <w:proofErr w:type="spellEnd"/>
      <w:r w:rsidR="00916B38" w:rsidRPr="00916B38">
        <w:rPr>
          <w:rFonts w:cs="Times New Roman"/>
          <w:szCs w:val="24"/>
        </w:rPr>
        <w:t xml:space="preserve">, </w:t>
      </w:r>
      <w:r w:rsidR="00B97FB7">
        <w:rPr>
          <w:rFonts w:cs="Times New Roman"/>
          <w:szCs w:val="24"/>
        </w:rPr>
        <w:t>et al</w:t>
      </w:r>
      <w:r w:rsidR="00916B38" w:rsidRPr="00916B38">
        <w:rPr>
          <w:rFonts w:cs="Times New Roman"/>
          <w:szCs w:val="24"/>
        </w:rPr>
        <w:t xml:space="preserve"> 2001; Horticulture Australia 2012)</w:t>
      </w:r>
      <w:r>
        <w:t>.</w:t>
      </w:r>
      <w:r w:rsidR="005B6C3D">
        <w:rPr>
          <w:vertAlign w:val="superscript"/>
        </w:rPr>
        <w:t xml:space="preserve"> </w:t>
      </w:r>
    </w:p>
    <w:p w:rsidR="004A7A11" w:rsidRDefault="00646CD7" w:rsidP="00646CD7">
      <w:r>
        <w:t xml:space="preserve">In the last three years, at least three highly destructive exotic pests and diseases — </w:t>
      </w:r>
      <w:r w:rsidRPr="00EE7C4B">
        <w:t>white spot disease, tomato potato psyllid and Russian wheat aphid</w:t>
      </w:r>
      <w:r>
        <w:t xml:space="preserve"> — have been detected in Australia. These pests and diseases were on the national radar of priority, but still managed to enter Australia via un</w:t>
      </w:r>
      <w:r w:rsidRPr="00EE7C4B">
        <w:t>known</w:t>
      </w:r>
      <w:r>
        <w:t xml:space="preserve"> pathways</w:t>
      </w:r>
      <w:r w:rsidR="00264509">
        <w:t xml:space="preserve"> </w:t>
      </w:r>
      <w:r w:rsidR="00916B38" w:rsidRPr="00916B38">
        <w:rPr>
          <w:rFonts w:cs="Times New Roman"/>
          <w:szCs w:val="24"/>
        </w:rPr>
        <w:t>(Horticulture Australia 2012)</w:t>
      </w:r>
      <w:r>
        <w:t>.</w:t>
      </w:r>
    </w:p>
    <w:p w:rsidR="00646CD7" w:rsidRDefault="00646CD7" w:rsidP="00646CD7">
      <w:r>
        <w:t xml:space="preserve">Any new pest or disease will require consideration of how best to manage the threat. Existing technologies or practices may be sufficient. However novel approaches, including specialised chemistries, may also be required. In some instances, actives already approved for use in Australia may not supress the introduced pest or disease efficiently or effectively, so new actives </w:t>
      </w:r>
      <w:r w:rsidR="00E82E7B">
        <w:t xml:space="preserve">or products </w:t>
      </w:r>
      <w:r>
        <w:t>are needed.</w:t>
      </w:r>
    </w:p>
    <w:p w:rsidR="00646CD7" w:rsidRPr="009D5B85" w:rsidRDefault="00646CD7" w:rsidP="00646CD7">
      <w:pPr>
        <w:pStyle w:val="Heading3"/>
        <w:numPr>
          <w:ilvl w:val="0"/>
          <w:numId w:val="0"/>
        </w:numPr>
      </w:pPr>
      <w:bookmarkStart w:id="382" w:name="_Toc4449580"/>
      <w:r w:rsidRPr="009D5B85">
        <w:t>Structural and geographic changes to agricultural production shift demand for agvet chemicals</w:t>
      </w:r>
      <w:bookmarkEnd w:id="382"/>
    </w:p>
    <w:p w:rsidR="00646CD7" w:rsidRDefault="00646CD7" w:rsidP="00646CD7">
      <w:r>
        <w:t xml:space="preserve">Demand for novel agvet chemicals can be driven by changes in agricultural production patterns. This includes both the introduction of new agricultural commodities into Australia (e.g. saffron into Tasmania) and the geographic shift of existing production (e.g. expansion of cattle into northern Australia), as well as the commercialisation of native products (e.g. </w:t>
      </w:r>
      <w:r w:rsidRPr="00177420">
        <w:t>Kakadu plum, native pepper</w:t>
      </w:r>
      <w:r>
        <w:t xml:space="preserve"> and seaweeds).</w:t>
      </w:r>
    </w:p>
    <w:p w:rsidR="00646CD7" w:rsidRDefault="00646CD7" w:rsidP="00646CD7">
      <w:r>
        <w:t>Structural change in Australian agriculture can result in pests and disease</w:t>
      </w:r>
      <w:r w:rsidR="00E82E7B">
        <w:t>s</w:t>
      </w:r>
      <w:r>
        <w:t xml:space="preserve"> being co-located with production in ways that may not have previously occurred. Treating these pests and diseases may require consideration of new and innovative management practices, with novel chemistries a possible solution.</w:t>
      </w:r>
    </w:p>
    <w:p w:rsidR="00646CD7" w:rsidRPr="00646CD7" w:rsidRDefault="00646CD7" w:rsidP="00646CD7">
      <w:r>
        <w:t xml:space="preserve">The link between land use change and pesticide use is demonstrated in a recent report by </w:t>
      </w:r>
      <w:proofErr w:type="spellStart"/>
      <w:r w:rsidR="00EE4CBB" w:rsidRPr="00EE4CBB">
        <w:t>Urruty</w:t>
      </w:r>
      <w:proofErr w:type="spellEnd"/>
      <w:r w:rsidR="00EE4CBB" w:rsidRPr="00EE4CBB">
        <w:t xml:space="preserve"> et al. </w:t>
      </w:r>
      <w:r w:rsidR="00C9710C">
        <w:t>(</w:t>
      </w:r>
      <w:r w:rsidR="00EE4CBB" w:rsidRPr="00EE4CBB">
        <w:t>2016)</w:t>
      </w:r>
      <w:r>
        <w:t xml:space="preserve"> which showed shifts </w:t>
      </w:r>
      <w:r w:rsidR="00747D2F">
        <w:t xml:space="preserve">in France </w:t>
      </w:r>
      <w:r>
        <w:t>between crop types had a significant impact on pesticide use, while large scale land use changes (such as converting grassland to arable land) had a commensurately larger</w:t>
      </w:r>
      <w:r w:rsidR="003E6B79">
        <w:t xml:space="preserve"> impact on total pesticide use.</w:t>
      </w:r>
    </w:p>
    <w:p w:rsidR="00B63D81" w:rsidRPr="00EB72CA" w:rsidRDefault="00F1641A" w:rsidP="00EC5C2D">
      <w:pPr>
        <w:pStyle w:val="Heading3"/>
        <w:numPr>
          <w:ilvl w:val="0"/>
          <w:numId w:val="0"/>
        </w:numPr>
        <w:ind w:left="720" w:hanging="720"/>
      </w:pPr>
      <w:bookmarkStart w:id="383" w:name="_Toc4449586"/>
      <w:r w:rsidRPr="00EB72CA">
        <w:t>Australia is viewed</w:t>
      </w:r>
      <w:r w:rsidR="00B63D81" w:rsidRPr="00EB72CA">
        <w:t xml:space="preserve"> as a first choice regulator</w:t>
      </w:r>
      <w:bookmarkEnd w:id="383"/>
      <w:r w:rsidRPr="00EB72CA">
        <w:t xml:space="preserve"> and this drives the supply of agvet chemicals</w:t>
      </w:r>
    </w:p>
    <w:p w:rsidR="004A7A11" w:rsidRDefault="00B63D81" w:rsidP="00B63D81">
      <w:r>
        <w:t>Australia has a robust and independent system for regulating the agvet chemical market.</w:t>
      </w:r>
      <w:r w:rsidRPr="77150F04">
        <w:rPr>
          <w:rFonts w:eastAsia="Verdana" w:cs="Verdana"/>
        </w:rPr>
        <w:t xml:space="preserve"> T</w:t>
      </w:r>
      <w:r>
        <w:t>his acts as a driver of supply with manufacturers registering their products in Australia to aid their registrations in other countries.</w:t>
      </w:r>
    </w:p>
    <w:p w:rsidR="004A7A11" w:rsidRDefault="00B63D81" w:rsidP="00B63D81">
      <w:r>
        <w:t>Registration of chemicals in Australia (as well as the UK and United States) has been deemed sufficient for use in other countries.</w:t>
      </w:r>
      <w:r w:rsidR="00F10D30">
        <w:t xml:space="preserve"> </w:t>
      </w:r>
      <w:r w:rsidR="00EE4CBB" w:rsidRPr="00EE4CBB">
        <w:t>(Gregg et al. 2010)</w:t>
      </w:r>
      <w:r>
        <w:t xml:space="preserve"> for example, in discussing insecticides reports:</w:t>
      </w:r>
    </w:p>
    <w:p w:rsidR="00B63D81" w:rsidRPr="00702831" w:rsidRDefault="00B63D81" w:rsidP="00B63D81">
      <w:pPr>
        <w:autoSpaceDE w:val="0"/>
        <w:autoSpaceDN w:val="0"/>
        <w:spacing w:before="40" w:after="40" w:line="240" w:lineRule="auto"/>
        <w:ind w:left="709" w:right="1588"/>
        <w:rPr>
          <w:i/>
        </w:rPr>
      </w:pPr>
      <w:r w:rsidRPr="1B57CB69">
        <w:rPr>
          <w:i/>
          <w:iCs/>
        </w:rPr>
        <w:t>“MOOV®</w:t>
      </w:r>
      <w:r w:rsidRPr="00702831">
        <w:rPr>
          <w:i/>
        </w:rPr>
        <w:t xml:space="preserve"> is now sold in Asia and the Middle East because its Australian registration, and early discussions in potential markets for Magnet® in south-east Asia have also indicated the value of Australian registration”</w:t>
      </w:r>
      <w:r>
        <w:rPr>
          <w:i/>
        </w:rPr>
        <w:t>.</w:t>
      </w:r>
    </w:p>
    <w:p w:rsidR="00B63D81" w:rsidRPr="00285DBA" w:rsidRDefault="00B63D81" w:rsidP="00B63D81">
      <w:pPr>
        <w:rPr>
          <w:rFonts w:asciiTheme="majorHAnsi" w:eastAsia="Arial" w:hAnsiTheme="majorHAnsi" w:cs="Arial"/>
        </w:rPr>
      </w:pPr>
      <w:r w:rsidRPr="00285DBA">
        <w:rPr>
          <w:rFonts w:asciiTheme="majorHAnsi" w:hAnsiTheme="majorHAnsi"/>
        </w:rPr>
        <w:t xml:space="preserve">This is in part because Australia's regulatory system is focussed on the safety and efficacy of individual chemicals. It also reflects Australia's low country and sovereign risk more generally. This is demonstrated through a range of international measures, including the World Bank's index of </w:t>
      </w:r>
      <w:r w:rsidR="00125020">
        <w:rPr>
          <w:rFonts w:asciiTheme="majorHAnsi" w:hAnsiTheme="majorHAnsi"/>
        </w:rPr>
        <w:t>g</w:t>
      </w:r>
      <w:r w:rsidRPr="00285DBA">
        <w:rPr>
          <w:rFonts w:asciiTheme="majorHAnsi" w:hAnsiTheme="majorHAnsi"/>
        </w:rPr>
        <w:t xml:space="preserve">overnment effectiveness. This index </w:t>
      </w:r>
      <w:r w:rsidRPr="00285DBA">
        <w:rPr>
          <w:rFonts w:asciiTheme="majorHAnsi" w:eastAsia="Arial" w:hAnsiTheme="majorHAnsi" w:cs="Arial"/>
        </w:rPr>
        <w:t xml:space="preserve">measures perceptions of the quality of public services, the quality of the civil service and the degree of its independence from political pressures, the quality of policy formulation and implementation, and the credibility of the government's commitment to such policies. Of 193 countries, </w:t>
      </w:r>
      <w:r w:rsidRPr="00285DBA">
        <w:rPr>
          <w:rFonts w:asciiTheme="majorHAnsi" w:hAnsiTheme="majorHAnsi"/>
        </w:rPr>
        <w:t>Australia ranks 17</w:t>
      </w:r>
      <w:r w:rsidRPr="00285DBA">
        <w:rPr>
          <w:rFonts w:asciiTheme="majorHAnsi" w:hAnsiTheme="majorHAnsi"/>
          <w:vertAlign w:val="superscript"/>
        </w:rPr>
        <w:t>th</w:t>
      </w:r>
      <w:r w:rsidR="00F10D30">
        <w:rPr>
          <w:rFonts w:asciiTheme="majorHAnsi" w:hAnsiTheme="majorHAnsi"/>
          <w:vertAlign w:val="superscript"/>
        </w:rPr>
        <w:t xml:space="preserve"> </w:t>
      </w:r>
      <w:r w:rsidR="00916B38" w:rsidRPr="00916B38">
        <w:rPr>
          <w:rFonts w:cs="Times New Roman"/>
          <w:szCs w:val="24"/>
        </w:rPr>
        <w:t>(World Bank 2017)</w:t>
      </w:r>
      <w:r w:rsidRPr="00285DBA">
        <w:rPr>
          <w:rFonts w:asciiTheme="majorHAnsi" w:eastAsia="Arial" w:hAnsiTheme="majorHAnsi" w:cs="Arial"/>
        </w:rPr>
        <w:t>.</w:t>
      </w:r>
      <w:r w:rsidR="00F10D30">
        <w:rPr>
          <w:rFonts w:asciiTheme="majorHAnsi" w:eastAsia="Arial" w:hAnsiTheme="majorHAnsi" w:cs="Arial"/>
        </w:rPr>
        <w:t xml:space="preserve"> </w:t>
      </w:r>
    </w:p>
    <w:p w:rsidR="00646CD7" w:rsidRPr="00EB72CA" w:rsidRDefault="00646CD7" w:rsidP="00646CD7">
      <w:pPr>
        <w:pStyle w:val="Heading3"/>
        <w:numPr>
          <w:ilvl w:val="0"/>
          <w:numId w:val="0"/>
        </w:numPr>
        <w:ind w:left="720" w:hanging="720"/>
      </w:pPr>
      <w:bookmarkStart w:id="384" w:name="_Toc4449581"/>
      <w:r w:rsidRPr="00EB72CA">
        <w:t>Increased resistance to existing agvet chemicals</w:t>
      </w:r>
      <w:bookmarkEnd w:id="384"/>
      <w:r w:rsidRPr="00EB72CA">
        <w:t xml:space="preserve"> drives demand for novel chemistries</w:t>
      </w:r>
    </w:p>
    <w:p w:rsidR="00646CD7" w:rsidRDefault="00646CD7" w:rsidP="00646CD7">
      <w:r>
        <w:t>R</w:t>
      </w:r>
      <w:r w:rsidRPr="004B10A2">
        <w:t>esistance</w:t>
      </w:r>
      <w:r>
        <w:t xml:space="preserve"> </w:t>
      </w:r>
      <w:r w:rsidRPr="004B10A2">
        <w:t xml:space="preserve">describes the </w:t>
      </w:r>
      <w:r>
        <w:t>reduced</w:t>
      </w:r>
      <w:r w:rsidRPr="004B10A2">
        <w:t xml:space="preserve"> susceptibility of a pest </w:t>
      </w:r>
      <w:r>
        <w:t xml:space="preserve">or disease </w:t>
      </w:r>
      <w:r w:rsidRPr="004B10A2">
        <w:t>to a</w:t>
      </w:r>
      <w:r>
        <w:t xml:space="preserve"> </w:t>
      </w:r>
      <w:hyperlink r:id="rId131">
        <w:r>
          <w:rPr>
            <w:rStyle w:val="Hyperlink"/>
            <w:color w:val="auto"/>
            <w:u w:val="none"/>
          </w:rPr>
          <w:t>treatment</w:t>
        </w:r>
      </w:hyperlink>
      <w:r>
        <w:rPr>
          <w:rStyle w:val="Hyperlink"/>
          <w:color w:val="auto"/>
          <w:u w:val="none"/>
        </w:rPr>
        <w:t xml:space="preserve"> regimen </w:t>
      </w:r>
      <w:r w:rsidRPr="004B10A2">
        <w:t xml:space="preserve">that </w:t>
      </w:r>
      <w:r>
        <w:t xml:space="preserve">had </w:t>
      </w:r>
      <w:r w:rsidRPr="004B10A2">
        <w:t xml:space="preserve">previously </w:t>
      </w:r>
      <w:r>
        <w:t xml:space="preserve">been </w:t>
      </w:r>
      <w:r w:rsidRPr="004B10A2">
        <w:t xml:space="preserve">effective. </w:t>
      </w:r>
      <w:r>
        <w:t>Over time, p</w:t>
      </w:r>
      <w:r w:rsidRPr="004B10A2">
        <w:t xml:space="preserve">est species </w:t>
      </w:r>
      <w:r>
        <w:t xml:space="preserve">develop pesticide resistance via </w:t>
      </w:r>
      <w:hyperlink r:id="rId132">
        <w:r w:rsidRPr="0E25C013">
          <w:rPr>
            <w:rStyle w:val="Hyperlink"/>
            <w:color w:val="auto"/>
            <w:u w:val="none"/>
          </w:rPr>
          <w:t>natural selection</w:t>
        </w:r>
      </w:hyperlink>
      <w:r>
        <w:rPr>
          <w:rStyle w:val="Hyperlink"/>
          <w:color w:val="auto"/>
          <w:u w:val="none"/>
        </w:rPr>
        <w:t>,</w:t>
      </w:r>
      <w:r>
        <w:t xml:space="preserve"> with </w:t>
      </w:r>
      <w:r w:rsidRPr="004B10A2">
        <w:t xml:space="preserve">the most resistant </w:t>
      </w:r>
      <w:r>
        <w:t>pests surviving treatment</w:t>
      </w:r>
      <w:r w:rsidRPr="004B10A2">
        <w:t xml:space="preserve"> and pass</w:t>
      </w:r>
      <w:r>
        <w:t>ing</w:t>
      </w:r>
      <w:r w:rsidRPr="004B10A2">
        <w:t xml:space="preserve"> on their </w:t>
      </w:r>
      <w:hyperlink r:id="rId133">
        <w:r w:rsidRPr="0E25C013">
          <w:rPr>
            <w:rStyle w:val="Hyperlink"/>
            <w:color w:val="auto"/>
            <w:u w:val="none"/>
          </w:rPr>
          <w:t>heritable</w:t>
        </w:r>
      </w:hyperlink>
      <w:r>
        <w:t xml:space="preserve"> </w:t>
      </w:r>
      <w:r w:rsidRPr="004B10A2">
        <w:t xml:space="preserve">traits to </w:t>
      </w:r>
      <w:r>
        <w:t>the next generation</w:t>
      </w:r>
      <w:r w:rsidRPr="004B10A2">
        <w:t>.</w:t>
      </w:r>
    </w:p>
    <w:p w:rsidR="00646CD7" w:rsidRDefault="00646CD7" w:rsidP="00646CD7">
      <w:r>
        <w:t>Resistance is a global phenomenon, although it has been most heavily concentrated where agvet chemical use is greatest, namely the United States, the European Union, Canada and Australia</w:t>
      </w:r>
      <w:r w:rsidR="00F10D30">
        <w:t xml:space="preserve"> </w:t>
      </w:r>
      <w:r w:rsidR="00916B38" w:rsidRPr="00916B38">
        <w:rPr>
          <w:rFonts w:cs="Times New Roman"/>
          <w:szCs w:val="24"/>
        </w:rPr>
        <w:t>(Australian Herbicide Resistance Initiative 2014)</w:t>
      </w:r>
      <w:r>
        <w:t>.</w:t>
      </w:r>
      <w:r w:rsidRPr="00181E40">
        <w:rPr>
          <w:rStyle w:val="FootnoteReference"/>
        </w:rPr>
        <w:t xml:space="preserve"> </w:t>
      </w:r>
      <w:r>
        <w:t xml:space="preserve"> Global herbicide resistance cases have increased from negligible levels in the late 1950s (when pesticides were first commercially available) to around 500 cases of resistance in 2019</w:t>
      </w:r>
      <w:r w:rsidR="00F10D30">
        <w:t xml:space="preserve"> </w:t>
      </w:r>
      <w:r w:rsidR="00F10D30" w:rsidRPr="00EE4CBB">
        <w:t>(Heap 2019)</w:t>
      </w:r>
      <w:r w:rsidRPr="00205CF0">
        <w:t>.</w:t>
      </w:r>
      <w:r>
        <w:t xml:space="preserve"> In Australia, around 90 weeds are reportedly resistant to herbicides, with the first case — Rigid Ryegrass in Western Australian — reported in 1982</w:t>
      </w:r>
      <w:r w:rsidR="00F10D30">
        <w:t xml:space="preserve"> </w:t>
      </w:r>
      <w:r w:rsidR="00EE4CBB" w:rsidRPr="00EE4CBB">
        <w:t>(Gill 1995)</w:t>
      </w:r>
      <w:r w:rsidR="00F10D30">
        <w:t>.</w:t>
      </w:r>
    </w:p>
    <w:p w:rsidR="00646CD7" w:rsidRDefault="00646CD7" w:rsidP="00646CD7">
      <w:r>
        <w:t>As a pest or disease population becomes increasingly resistant to existing treatment regimens, agricultural producers, manufacturers and scientists look to alternative management strategies. This includes the discovery of new biochemical pathways to combat and reduce populations and coverage of pests or disease. An example is an insecticidal neurotoxic venom peptide developed from the venom of an Australian tarantula</w:t>
      </w:r>
      <w:r w:rsidR="00F10D30">
        <w:t xml:space="preserve"> </w:t>
      </w:r>
      <w:r w:rsidR="00916B38" w:rsidRPr="00916B38">
        <w:rPr>
          <w:rFonts w:cs="Times New Roman"/>
          <w:szCs w:val="24"/>
        </w:rPr>
        <w:t>(Hardy 2014b, 2014a)</w:t>
      </w:r>
      <w:r>
        <w:t>.</w:t>
      </w:r>
      <w:r w:rsidRPr="00425105">
        <w:rPr>
          <w:rStyle w:val="FootnoteReference"/>
        </w:rPr>
        <w:t xml:space="preserve"> </w:t>
      </w:r>
      <w:r>
        <w:t>Changes to agricultural practices, such as encouraging crop rotation to curb the spread of weed seeds, are another approach being encouraged to fight pest and disease resistance</w:t>
      </w:r>
      <w:r w:rsidR="00F10D30">
        <w:t xml:space="preserve"> </w:t>
      </w:r>
      <w:r w:rsidR="00EE4CBB" w:rsidRPr="00EE4CBB">
        <w:t>(</w:t>
      </w:r>
      <w:proofErr w:type="spellStart"/>
      <w:r w:rsidR="00EE4CBB" w:rsidRPr="00EE4CBB">
        <w:t>Borel</w:t>
      </w:r>
      <w:proofErr w:type="spellEnd"/>
      <w:r w:rsidR="00EE4CBB" w:rsidRPr="00EE4CBB">
        <w:t xml:space="preserve"> 2018)</w:t>
      </w:r>
      <w:r w:rsidR="00F10D30">
        <w:t>.</w:t>
      </w:r>
    </w:p>
    <w:p w:rsidR="009D5B85" w:rsidRPr="00285DBA" w:rsidRDefault="009D5B85" w:rsidP="00B63D81">
      <w:pPr>
        <w:rPr>
          <w:rFonts w:asciiTheme="majorHAnsi" w:eastAsia="Arial" w:hAnsiTheme="majorHAnsi" w:cs="Arial"/>
        </w:rPr>
      </w:pPr>
    </w:p>
    <w:p w:rsidR="00F4471B" w:rsidRDefault="00F4471B" w:rsidP="00F4471B">
      <w:pPr>
        <w:pStyle w:val="Heading1un-numbered"/>
        <w:sectPr w:rsidR="00F4471B" w:rsidSect="00646B28">
          <w:headerReference w:type="even" r:id="rId134"/>
          <w:headerReference w:type="default" r:id="rId135"/>
          <w:headerReference w:type="first" r:id="rId136"/>
          <w:pgSz w:w="11906" w:h="16838" w:code="9"/>
          <w:pgMar w:top="1985" w:right="1106" w:bottom="1134" w:left="680" w:header="680" w:footer="425" w:gutter="0"/>
          <w:cols w:space="284"/>
          <w:docGrid w:linePitch="360"/>
        </w:sectPr>
      </w:pPr>
    </w:p>
    <w:p w:rsidR="00B45D96" w:rsidRDefault="00B45D96" w:rsidP="00FE6A25">
      <w:pPr>
        <w:pStyle w:val="Heading1un-numbered"/>
        <w:numPr>
          <w:ilvl w:val="0"/>
          <w:numId w:val="19"/>
        </w:numPr>
      </w:pPr>
      <w:bookmarkStart w:id="385" w:name="_Toc4586270"/>
      <w:bookmarkStart w:id="386" w:name="_Toc4672741"/>
      <w:bookmarkStart w:id="387" w:name="_Toc4764888"/>
      <w:bookmarkStart w:id="388" w:name="_Toc6413761"/>
      <w:bookmarkStart w:id="389" w:name="_Toc12024330"/>
      <w:bookmarkStart w:id="390" w:name="_Toc14107339"/>
      <w:bookmarkEnd w:id="273"/>
      <w:bookmarkEnd w:id="274"/>
      <w:bookmarkEnd w:id="275"/>
      <w:r>
        <w:t>Estimated Revenues of Agricultural Chemical Products</w:t>
      </w:r>
      <w:bookmarkEnd w:id="385"/>
      <w:bookmarkEnd w:id="386"/>
      <w:bookmarkEnd w:id="387"/>
      <w:bookmarkEnd w:id="388"/>
      <w:bookmarkEnd w:id="389"/>
      <w:bookmarkEnd w:id="390"/>
    </w:p>
    <w:p w:rsidR="004A7A11" w:rsidRDefault="00A85F15" w:rsidP="00136C85">
      <w:r>
        <w:t>This section details the esti</w:t>
      </w:r>
      <w:r w:rsidR="006F7E3E">
        <w:t xml:space="preserve">mation presented in Section </w:t>
      </w:r>
      <w:r w:rsidR="001225B2">
        <w:t>2.1.1</w:t>
      </w:r>
      <w:r>
        <w:t xml:space="preserve"> of potential market size in Australia for selected chemicals </w:t>
      </w:r>
      <w:r w:rsidR="00D61632">
        <w:t xml:space="preserve">that </w:t>
      </w:r>
      <w:r>
        <w:t xml:space="preserve">have not been registered </w:t>
      </w:r>
      <w:r w:rsidR="009E0FF4">
        <w:t>with</w:t>
      </w:r>
      <w:r>
        <w:t xml:space="preserve"> the APVMA.</w:t>
      </w:r>
    </w:p>
    <w:p w:rsidR="004A7A11" w:rsidRDefault="00A85F15" w:rsidP="00ED786B">
      <w:r>
        <w:t>First</w:t>
      </w:r>
      <w:r w:rsidR="001225B2">
        <w:t>,</w:t>
      </w:r>
      <w:r>
        <w:t xml:space="preserve"> we identified chemicals that have been registered overseas but not in Australia. A large number of agvet chemicals were found to satisfy this criteria</w:t>
      </w:r>
      <w:r w:rsidR="00B97FB7">
        <w:t xml:space="preserve">, principally found via </w:t>
      </w:r>
      <w:r w:rsidR="00EE4CBB" w:rsidRPr="00EE4CBB">
        <w:t xml:space="preserve">Zheng </w:t>
      </w:r>
      <w:r w:rsidR="00B97FB7">
        <w:t>(</w:t>
      </w:r>
      <w:r w:rsidR="00EE4CBB" w:rsidRPr="00EE4CBB">
        <w:t>2016;</w:t>
      </w:r>
      <w:r w:rsidR="00B97FB7">
        <w:t xml:space="preserve"> 2017; 2018) and </w:t>
      </w:r>
      <w:proofErr w:type="spellStart"/>
      <w:r w:rsidR="00EE4CBB" w:rsidRPr="00EE4CBB">
        <w:t>Xie</w:t>
      </w:r>
      <w:proofErr w:type="spellEnd"/>
      <w:r w:rsidR="00EE4CBB" w:rsidRPr="00EE4CBB">
        <w:t xml:space="preserve"> </w:t>
      </w:r>
      <w:r w:rsidR="00B97FB7">
        <w:t>(</w:t>
      </w:r>
      <w:r w:rsidR="00EE4CBB" w:rsidRPr="00EE4CBB">
        <w:t>201</w:t>
      </w:r>
      <w:r w:rsidR="00B97FB7">
        <w:t>5</w:t>
      </w:r>
      <w:r w:rsidR="00EE4CBB" w:rsidRPr="00EE4CBB">
        <w:t>)</w:t>
      </w:r>
      <w:r>
        <w:t xml:space="preserve">. </w:t>
      </w:r>
      <w:r>
        <w:fldChar w:fldCharType="begin"/>
      </w:r>
      <w:r>
        <w:instrText xml:space="preserve"> REF _Ref4701525 \h </w:instrText>
      </w:r>
      <w:r>
        <w:fldChar w:fldCharType="separate"/>
      </w:r>
      <w:r w:rsidR="00D82E3C" w:rsidRPr="00DC6DCB">
        <w:t xml:space="preserve">Table </w:t>
      </w:r>
      <w:r w:rsidR="00D82E3C">
        <w:t>D</w:t>
      </w:r>
      <w:proofErr w:type="gramStart"/>
      <w:r w:rsidR="00D82E3C">
        <w:t>.</w:t>
      </w:r>
      <w:proofErr w:type="gramEnd"/>
      <w:r>
        <w:fldChar w:fldCharType="end"/>
      </w:r>
      <w:r w:rsidR="001225B2">
        <w:t>1</w:t>
      </w:r>
      <w:r>
        <w:t xml:space="preserve"> lists those chemicals registered in the United States but not in Australia</w:t>
      </w:r>
      <w:r w:rsidR="00B02280">
        <w:t xml:space="preserve">, that </w:t>
      </w:r>
      <w:r w:rsidR="00B97FB7">
        <w:t>were</w:t>
      </w:r>
      <w:r w:rsidR="00B02280">
        <w:t xml:space="preserve"> identified</w:t>
      </w:r>
      <w:r>
        <w:t>.</w:t>
      </w:r>
    </w:p>
    <w:p w:rsidR="00A85F15" w:rsidRPr="00184755" w:rsidRDefault="00A85F15" w:rsidP="00A85F15">
      <w:pPr>
        <w:pStyle w:val="Caption"/>
      </w:pPr>
      <w:bookmarkStart w:id="391" w:name="_Ref4701525"/>
      <w:bookmarkStart w:id="392" w:name="_Ref4701519"/>
      <w:r w:rsidRPr="00DC6DCB">
        <w:t xml:space="preserve">Table </w:t>
      </w:r>
      <w:r w:rsidR="00FE6A25">
        <w:t>D</w:t>
      </w:r>
      <w:r>
        <w:t>.</w:t>
      </w:r>
      <w:bookmarkEnd w:id="391"/>
      <w:r w:rsidR="002042F8">
        <w:t>1</w:t>
      </w:r>
      <w:r>
        <w:t xml:space="preserve"> Selected chemicals registered in the United States but not Australia</w:t>
      </w:r>
      <w:bookmarkEnd w:id="392"/>
    </w:p>
    <w:tbl>
      <w:tblPr>
        <w:tblStyle w:val="Deloittetable"/>
        <w:tblW w:w="10446" w:type="dxa"/>
        <w:tblLook w:val="04A0" w:firstRow="1" w:lastRow="0" w:firstColumn="1" w:lastColumn="0" w:noHBand="0" w:noVBand="1"/>
      </w:tblPr>
      <w:tblGrid>
        <w:gridCol w:w="1891"/>
        <w:gridCol w:w="2618"/>
        <w:gridCol w:w="1824"/>
        <w:gridCol w:w="1386"/>
        <w:gridCol w:w="2807"/>
      </w:tblGrid>
      <w:tr w:rsidR="00A85F15" w:rsidRPr="00184755" w:rsidTr="00A24225">
        <w:trPr>
          <w:cnfStyle w:val="100000000000" w:firstRow="1" w:lastRow="0" w:firstColumn="0" w:lastColumn="0" w:oddVBand="0" w:evenVBand="0" w:oddHBand="0" w:evenHBand="0" w:firstRowFirstColumn="0" w:firstRowLastColumn="0" w:lastRowFirstColumn="0" w:lastRowLastColumn="0"/>
          <w:cantSplit/>
          <w:trHeight w:val="417"/>
          <w:tblHeader/>
        </w:trPr>
        <w:tc>
          <w:tcPr>
            <w:tcW w:w="1875" w:type="dxa"/>
          </w:tcPr>
          <w:p w:rsidR="00A85F15" w:rsidRPr="00184755" w:rsidRDefault="00A85F15" w:rsidP="008432D7">
            <w:pPr>
              <w:rPr>
                <w:b/>
              </w:rPr>
            </w:pPr>
            <w:r>
              <w:rPr>
                <w:b/>
              </w:rPr>
              <w:t>Manufacturer</w:t>
            </w:r>
          </w:p>
        </w:tc>
        <w:tc>
          <w:tcPr>
            <w:tcW w:w="2602" w:type="dxa"/>
          </w:tcPr>
          <w:p w:rsidR="00A85F15" w:rsidRPr="00184755" w:rsidRDefault="00A85F15" w:rsidP="008432D7">
            <w:pPr>
              <w:rPr>
                <w:b/>
              </w:rPr>
            </w:pPr>
            <w:r>
              <w:rPr>
                <w:b/>
              </w:rPr>
              <w:t>Product</w:t>
            </w:r>
          </w:p>
        </w:tc>
        <w:tc>
          <w:tcPr>
            <w:tcW w:w="1808" w:type="dxa"/>
          </w:tcPr>
          <w:p w:rsidR="00A85F15" w:rsidRPr="00184755" w:rsidRDefault="00A85F15" w:rsidP="008432D7">
            <w:pPr>
              <w:rPr>
                <w:b/>
              </w:rPr>
            </w:pPr>
            <w:r>
              <w:rPr>
                <w:b/>
              </w:rPr>
              <w:t>Active Ingredient</w:t>
            </w:r>
          </w:p>
        </w:tc>
        <w:tc>
          <w:tcPr>
            <w:tcW w:w="1370" w:type="dxa"/>
          </w:tcPr>
          <w:p w:rsidR="00A85F15" w:rsidRPr="00184755" w:rsidRDefault="00A85F15" w:rsidP="008432D7">
            <w:pPr>
              <w:rPr>
                <w:b/>
              </w:rPr>
            </w:pPr>
            <w:r>
              <w:rPr>
                <w:b/>
              </w:rPr>
              <w:t>Group</w:t>
            </w:r>
          </w:p>
        </w:tc>
        <w:tc>
          <w:tcPr>
            <w:tcW w:w="2791" w:type="dxa"/>
          </w:tcPr>
          <w:p w:rsidR="00A85F15" w:rsidRPr="00184755" w:rsidRDefault="00A85F15" w:rsidP="008432D7">
            <w:pPr>
              <w:rPr>
                <w:b/>
              </w:rPr>
            </w:pPr>
            <w:r>
              <w:rPr>
                <w:b/>
              </w:rPr>
              <w:t>Treated crop(s)</w:t>
            </w:r>
          </w:p>
        </w:tc>
      </w:tr>
      <w:tr w:rsidR="00A85F15" w:rsidRPr="00184755" w:rsidTr="00664618">
        <w:trPr>
          <w:trHeight w:val="230"/>
        </w:trPr>
        <w:tc>
          <w:tcPr>
            <w:tcW w:w="1875" w:type="dxa"/>
            <w:noWrap/>
            <w:hideMark/>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 xml:space="preserve">Dow </w:t>
            </w:r>
            <w:proofErr w:type="spellStart"/>
            <w:r w:rsidRPr="00184755">
              <w:rPr>
                <w:rFonts w:eastAsia="Times New Roman" w:cs="Times New Roman"/>
                <w:color w:val="000000"/>
                <w:lang w:eastAsia="en-AU"/>
              </w:rPr>
              <w:t>AgroSciences</w:t>
            </w:r>
            <w:proofErr w:type="spellEnd"/>
          </w:p>
        </w:tc>
        <w:tc>
          <w:tcPr>
            <w:tcW w:w="2602" w:type="dxa"/>
            <w:noWrap/>
            <w:hideMark/>
          </w:tcPr>
          <w:p w:rsidR="00A85F15" w:rsidRPr="00184755" w:rsidRDefault="00A85F15" w:rsidP="008432D7">
            <w:pPr>
              <w:spacing w:after="0" w:line="240" w:lineRule="auto"/>
              <w:rPr>
                <w:rFonts w:eastAsia="Times New Roman" w:cs="Times New Roman"/>
                <w:color w:val="000000"/>
                <w:lang w:eastAsia="en-AU"/>
              </w:rPr>
            </w:pPr>
            <w:proofErr w:type="spellStart"/>
            <w:r w:rsidRPr="00184755">
              <w:rPr>
                <w:rFonts w:eastAsia="Times New Roman" w:cs="Times New Roman"/>
                <w:color w:val="000000"/>
                <w:lang w:eastAsia="en-AU"/>
              </w:rPr>
              <w:t>Loyant</w:t>
            </w:r>
            <w:proofErr w:type="spellEnd"/>
          </w:p>
        </w:tc>
        <w:tc>
          <w:tcPr>
            <w:tcW w:w="1808" w:type="dxa"/>
            <w:noWrap/>
            <w:hideMark/>
          </w:tcPr>
          <w:p w:rsidR="00A85F15" w:rsidRPr="00184755" w:rsidRDefault="00A85F15" w:rsidP="008432D7">
            <w:pPr>
              <w:spacing w:after="0" w:line="240" w:lineRule="auto"/>
              <w:rPr>
                <w:rFonts w:eastAsia="Times New Roman" w:cs="Times New Roman"/>
                <w:color w:val="000000"/>
                <w:lang w:eastAsia="en-AU"/>
              </w:rPr>
            </w:pPr>
            <w:proofErr w:type="spellStart"/>
            <w:r w:rsidRPr="00184755">
              <w:rPr>
                <w:rFonts w:eastAsia="Times New Roman" w:cs="Times New Roman"/>
                <w:color w:val="000000"/>
                <w:lang w:eastAsia="en-AU"/>
              </w:rPr>
              <w:t>Rinskor</w:t>
            </w:r>
            <w:proofErr w:type="spellEnd"/>
          </w:p>
        </w:tc>
        <w:tc>
          <w:tcPr>
            <w:tcW w:w="1370" w:type="dxa"/>
            <w:noWrap/>
            <w:hideMark/>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Herbicides</w:t>
            </w:r>
          </w:p>
        </w:tc>
        <w:tc>
          <w:tcPr>
            <w:tcW w:w="2791" w:type="dxa"/>
            <w:hideMark/>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Rice</w:t>
            </w:r>
          </w:p>
        </w:tc>
      </w:tr>
      <w:tr w:rsidR="00A85F15" w:rsidRPr="00184755" w:rsidTr="00664618">
        <w:trPr>
          <w:trHeight w:val="430"/>
        </w:trPr>
        <w:tc>
          <w:tcPr>
            <w:tcW w:w="1875" w:type="dxa"/>
            <w:noWrap/>
            <w:hideMark/>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 xml:space="preserve">Bayer </w:t>
            </w:r>
            <w:proofErr w:type="spellStart"/>
            <w:r w:rsidRPr="00184755">
              <w:rPr>
                <w:rFonts w:eastAsia="Times New Roman" w:cs="Times New Roman"/>
                <w:color w:val="000000"/>
                <w:lang w:eastAsia="en-AU"/>
              </w:rPr>
              <w:t>CropScience</w:t>
            </w:r>
            <w:proofErr w:type="spellEnd"/>
          </w:p>
        </w:tc>
        <w:tc>
          <w:tcPr>
            <w:tcW w:w="2602" w:type="dxa"/>
            <w:noWrap/>
            <w:hideMark/>
          </w:tcPr>
          <w:p w:rsidR="00A85F15" w:rsidRPr="00184755" w:rsidRDefault="00A85F15" w:rsidP="008432D7">
            <w:pPr>
              <w:spacing w:after="0" w:line="240" w:lineRule="auto"/>
              <w:rPr>
                <w:rFonts w:eastAsia="Times New Roman" w:cs="Times New Roman"/>
                <w:color w:val="000000"/>
                <w:lang w:eastAsia="en-AU"/>
              </w:rPr>
            </w:pPr>
            <w:proofErr w:type="spellStart"/>
            <w:r w:rsidRPr="00184755">
              <w:rPr>
                <w:rFonts w:eastAsia="Times New Roman" w:cs="Times New Roman"/>
                <w:color w:val="000000"/>
                <w:lang w:eastAsia="en-AU"/>
              </w:rPr>
              <w:t>COPeO</w:t>
            </w:r>
            <w:proofErr w:type="spellEnd"/>
            <w:r w:rsidRPr="00184755">
              <w:rPr>
                <w:rFonts w:eastAsia="Times New Roman" w:cs="Times New Roman"/>
                <w:color w:val="000000"/>
                <w:lang w:eastAsia="en-AU"/>
              </w:rPr>
              <w:t xml:space="preserve"> Prime</w:t>
            </w:r>
          </w:p>
        </w:tc>
        <w:tc>
          <w:tcPr>
            <w:tcW w:w="1808" w:type="dxa"/>
            <w:noWrap/>
            <w:hideMark/>
          </w:tcPr>
          <w:p w:rsidR="00A85F15" w:rsidRPr="00184755" w:rsidRDefault="00A85F15" w:rsidP="008432D7">
            <w:pPr>
              <w:spacing w:after="0" w:line="240" w:lineRule="auto"/>
              <w:rPr>
                <w:rFonts w:eastAsia="Times New Roman" w:cs="Times New Roman"/>
                <w:color w:val="333333"/>
                <w:lang w:eastAsia="en-AU"/>
              </w:rPr>
            </w:pPr>
            <w:proofErr w:type="spellStart"/>
            <w:r w:rsidRPr="00184755">
              <w:rPr>
                <w:rFonts w:eastAsia="Times New Roman" w:cs="Times New Roman"/>
                <w:color w:val="333333"/>
                <w:lang w:eastAsia="en-AU"/>
              </w:rPr>
              <w:t>Fluopyram</w:t>
            </w:r>
            <w:proofErr w:type="spellEnd"/>
          </w:p>
        </w:tc>
        <w:tc>
          <w:tcPr>
            <w:tcW w:w="1370" w:type="dxa"/>
            <w:noWrap/>
            <w:hideMark/>
          </w:tcPr>
          <w:p w:rsidR="00A85F15" w:rsidRPr="00184755" w:rsidRDefault="00A85F15" w:rsidP="008432D7">
            <w:pPr>
              <w:spacing w:after="0" w:line="240" w:lineRule="auto"/>
              <w:rPr>
                <w:rFonts w:eastAsia="Times New Roman" w:cs="Times New Roman"/>
                <w:color w:val="000000"/>
                <w:lang w:eastAsia="en-AU"/>
              </w:rPr>
            </w:pPr>
            <w:proofErr w:type="spellStart"/>
            <w:r w:rsidRPr="00184755">
              <w:rPr>
                <w:rFonts w:eastAsia="Times New Roman" w:cs="Times New Roman"/>
                <w:color w:val="000000"/>
                <w:lang w:eastAsia="en-AU"/>
              </w:rPr>
              <w:t>Nematicides</w:t>
            </w:r>
            <w:proofErr w:type="spellEnd"/>
          </w:p>
        </w:tc>
        <w:tc>
          <w:tcPr>
            <w:tcW w:w="2791" w:type="dxa"/>
            <w:hideMark/>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Cotton</w:t>
            </w:r>
          </w:p>
        </w:tc>
      </w:tr>
      <w:tr w:rsidR="00A85F15" w:rsidRPr="00184755" w:rsidTr="00664618">
        <w:trPr>
          <w:trHeight w:val="452"/>
        </w:trPr>
        <w:tc>
          <w:tcPr>
            <w:tcW w:w="1875" w:type="dxa"/>
            <w:noWrap/>
            <w:hideMark/>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 xml:space="preserve">Dow </w:t>
            </w:r>
            <w:proofErr w:type="spellStart"/>
            <w:r w:rsidRPr="00184755">
              <w:rPr>
                <w:rFonts w:eastAsia="Times New Roman" w:cs="Times New Roman"/>
                <w:color w:val="000000"/>
                <w:lang w:eastAsia="en-AU"/>
              </w:rPr>
              <w:t>AgroSciences</w:t>
            </w:r>
            <w:proofErr w:type="spellEnd"/>
          </w:p>
        </w:tc>
        <w:tc>
          <w:tcPr>
            <w:tcW w:w="2602" w:type="dxa"/>
            <w:noWrap/>
          </w:tcPr>
          <w:p w:rsidR="00A85F15" w:rsidRPr="00184755" w:rsidRDefault="00A85F15" w:rsidP="008432D7">
            <w:pPr>
              <w:spacing w:after="0" w:line="240" w:lineRule="auto"/>
              <w:rPr>
                <w:rFonts w:eastAsia="Times New Roman" w:cs="Times New Roman"/>
                <w:color w:val="000000"/>
                <w:lang w:eastAsia="en-AU"/>
              </w:rPr>
            </w:pPr>
            <w:r>
              <w:rPr>
                <w:rFonts w:eastAsia="Times New Roman" w:cs="Times New Roman"/>
                <w:color w:val="000000"/>
                <w:lang w:eastAsia="en-AU"/>
              </w:rPr>
              <w:t>N/A</w:t>
            </w:r>
          </w:p>
        </w:tc>
        <w:tc>
          <w:tcPr>
            <w:tcW w:w="1808" w:type="dxa"/>
            <w:noWrap/>
          </w:tcPr>
          <w:p w:rsidR="00A85F15" w:rsidRPr="00184755" w:rsidRDefault="00A85F15" w:rsidP="008432D7">
            <w:pPr>
              <w:spacing w:after="0" w:line="240" w:lineRule="auto"/>
              <w:rPr>
                <w:rFonts w:eastAsia="Times New Roman" w:cs="Times New Roman"/>
                <w:color w:val="000000"/>
                <w:lang w:eastAsia="en-AU"/>
              </w:rPr>
            </w:pPr>
            <w:proofErr w:type="spellStart"/>
            <w:r>
              <w:rPr>
                <w:rFonts w:eastAsia="Times New Roman" w:cs="Times New Roman"/>
                <w:color w:val="000000"/>
                <w:lang w:eastAsia="en-AU"/>
              </w:rPr>
              <w:t>M</w:t>
            </w:r>
            <w:r w:rsidRPr="00184755">
              <w:rPr>
                <w:rFonts w:eastAsia="Times New Roman" w:cs="Times New Roman"/>
                <w:color w:val="000000"/>
                <w:lang w:eastAsia="en-AU"/>
              </w:rPr>
              <w:t>eptyldinocap</w:t>
            </w:r>
            <w:proofErr w:type="spellEnd"/>
          </w:p>
        </w:tc>
        <w:tc>
          <w:tcPr>
            <w:tcW w:w="1370" w:type="dxa"/>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Fungicides</w:t>
            </w:r>
          </w:p>
        </w:tc>
        <w:tc>
          <w:tcPr>
            <w:tcW w:w="2791" w:type="dxa"/>
          </w:tcPr>
          <w:p w:rsidR="00A85F15" w:rsidRPr="00184755" w:rsidRDefault="00A85F15" w:rsidP="008432D7">
            <w:pPr>
              <w:spacing w:after="0"/>
              <w:rPr>
                <w:rFonts w:ascii="Times New Roman" w:eastAsia="Times New Roman" w:hAnsi="Times New Roman" w:cs="Times New Roman"/>
                <w:sz w:val="20"/>
                <w:szCs w:val="20"/>
                <w:lang w:eastAsia="en-AU"/>
              </w:rPr>
            </w:pPr>
            <w:r>
              <w:rPr>
                <w:rFonts w:eastAsia="Times New Roman" w:cs="Times New Roman"/>
                <w:color w:val="000000"/>
                <w:lang w:eastAsia="en-AU"/>
              </w:rPr>
              <w:t>G</w:t>
            </w:r>
            <w:r w:rsidRPr="00184755">
              <w:rPr>
                <w:rFonts w:eastAsia="Times New Roman" w:cs="Times New Roman"/>
                <w:color w:val="000000"/>
                <w:lang w:eastAsia="en-AU"/>
              </w:rPr>
              <w:t>rapes</w:t>
            </w:r>
          </w:p>
        </w:tc>
      </w:tr>
      <w:tr w:rsidR="00A85F15" w:rsidRPr="00184755" w:rsidTr="00664618">
        <w:trPr>
          <w:trHeight w:val="230"/>
        </w:trPr>
        <w:tc>
          <w:tcPr>
            <w:tcW w:w="1875" w:type="dxa"/>
            <w:noWrap/>
            <w:hideMark/>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DSM</w:t>
            </w:r>
          </w:p>
        </w:tc>
        <w:tc>
          <w:tcPr>
            <w:tcW w:w="2602" w:type="dxa"/>
            <w:noWrap/>
            <w:hideMark/>
          </w:tcPr>
          <w:p w:rsidR="00A85F15" w:rsidRPr="00184755" w:rsidRDefault="00A85F15" w:rsidP="008432D7">
            <w:pPr>
              <w:spacing w:after="0" w:line="240" w:lineRule="auto"/>
              <w:rPr>
                <w:rFonts w:eastAsia="Times New Roman" w:cs="Times New Roman"/>
                <w:color w:val="000000"/>
                <w:lang w:eastAsia="en-AU"/>
              </w:rPr>
            </w:pPr>
            <w:proofErr w:type="spellStart"/>
            <w:r w:rsidRPr="00184755">
              <w:rPr>
                <w:rFonts w:eastAsia="Times New Roman" w:cs="Times New Roman"/>
                <w:color w:val="000000"/>
                <w:lang w:eastAsia="en-AU"/>
              </w:rPr>
              <w:t>Zivion</w:t>
            </w:r>
            <w:proofErr w:type="spellEnd"/>
            <w:r w:rsidRPr="00184755">
              <w:rPr>
                <w:rFonts w:eastAsia="Times New Roman" w:cs="Times New Roman"/>
                <w:color w:val="000000"/>
                <w:lang w:eastAsia="en-AU"/>
              </w:rPr>
              <w:t xml:space="preserve"> P</w:t>
            </w:r>
          </w:p>
        </w:tc>
        <w:tc>
          <w:tcPr>
            <w:tcW w:w="1808" w:type="dxa"/>
            <w:noWrap/>
            <w:hideMark/>
          </w:tcPr>
          <w:p w:rsidR="00A85F15" w:rsidRPr="00184755" w:rsidRDefault="00A85F15" w:rsidP="008432D7">
            <w:pPr>
              <w:spacing w:after="0" w:line="240" w:lineRule="auto"/>
              <w:rPr>
                <w:rFonts w:eastAsia="Times New Roman" w:cs="Times New Roman"/>
                <w:color w:val="000000"/>
                <w:lang w:eastAsia="en-AU"/>
              </w:rPr>
            </w:pPr>
            <w:proofErr w:type="spellStart"/>
            <w:r>
              <w:rPr>
                <w:rFonts w:eastAsia="Times New Roman" w:cs="Times New Roman"/>
                <w:color w:val="000000"/>
                <w:lang w:eastAsia="en-AU"/>
              </w:rPr>
              <w:t>N</w:t>
            </w:r>
            <w:r w:rsidRPr="00184755">
              <w:rPr>
                <w:rFonts w:eastAsia="Times New Roman" w:cs="Times New Roman"/>
                <w:color w:val="000000"/>
                <w:lang w:eastAsia="en-AU"/>
              </w:rPr>
              <w:t>atamycin</w:t>
            </w:r>
            <w:proofErr w:type="spellEnd"/>
          </w:p>
        </w:tc>
        <w:tc>
          <w:tcPr>
            <w:tcW w:w="1370" w:type="dxa"/>
            <w:noWrap/>
            <w:hideMark/>
          </w:tcPr>
          <w:p w:rsidR="00A85F15" w:rsidRPr="00184755" w:rsidRDefault="00A85F15" w:rsidP="008432D7">
            <w:pPr>
              <w:spacing w:after="0" w:line="240" w:lineRule="auto"/>
              <w:rPr>
                <w:rFonts w:eastAsia="Times New Roman" w:cs="Times New Roman"/>
                <w:color w:val="000000"/>
                <w:lang w:eastAsia="en-AU"/>
              </w:rPr>
            </w:pPr>
            <w:r w:rsidRPr="00184755">
              <w:rPr>
                <w:rFonts w:eastAsia="Times New Roman" w:cs="Times New Roman"/>
                <w:color w:val="000000"/>
                <w:lang w:eastAsia="en-AU"/>
              </w:rPr>
              <w:t>Fungicides</w:t>
            </w:r>
          </w:p>
        </w:tc>
        <w:tc>
          <w:tcPr>
            <w:tcW w:w="2791" w:type="dxa"/>
            <w:noWrap/>
            <w:hideMark/>
          </w:tcPr>
          <w:p w:rsidR="00A85F15" w:rsidRPr="00184755" w:rsidRDefault="00A85F15" w:rsidP="008432D7">
            <w:pPr>
              <w:spacing w:after="0" w:line="240" w:lineRule="auto"/>
              <w:rPr>
                <w:rFonts w:eastAsia="Times New Roman" w:cs="Times New Roman"/>
                <w:color w:val="000000"/>
                <w:lang w:eastAsia="en-AU"/>
              </w:rPr>
            </w:pPr>
            <w:r>
              <w:rPr>
                <w:rFonts w:eastAsia="Times New Roman" w:cs="Times New Roman"/>
                <w:color w:val="000000"/>
                <w:lang w:eastAsia="en-AU"/>
              </w:rPr>
              <w:t>P</w:t>
            </w:r>
            <w:r w:rsidRPr="00184755">
              <w:rPr>
                <w:rFonts w:eastAsia="Times New Roman" w:cs="Times New Roman"/>
                <w:color w:val="000000"/>
                <w:lang w:eastAsia="en-AU"/>
              </w:rPr>
              <w:t>ineapples</w:t>
            </w:r>
          </w:p>
        </w:tc>
      </w:tr>
      <w:tr w:rsidR="00A85F15" w:rsidTr="00664618">
        <w:trPr>
          <w:trHeight w:val="367"/>
        </w:trPr>
        <w:tc>
          <w:tcPr>
            <w:tcW w:w="1875" w:type="dxa"/>
          </w:tcPr>
          <w:p w:rsidR="00A85F15" w:rsidRDefault="00A85F15" w:rsidP="008432D7">
            <w:proofErr w:type="spellStart"/>
            <w:r>
              <w:t>SePRO</w:t>
            </w:r>
            <w:proofErr w:type="spellEnd"/>
          </w:p>
        </w:tc>
        <w:tc>
          <w:tcPr>
            <w:tcW w:w="2602" w:type="dxa"/>
          </w:tcPr>
          <w:p w:rsidR="00A85F15" w:rsidRDefault="00A85F15" w:rsidP="008432D7">
            <w:r>
              <w:t>Brake</w:t>
            </w:r>
          </w:p>
        </w:tc>
        <w:tc>
          <w:tcPr>
            <w:tcW w:w="1808" w:type="dxa"/>
          </w:tcPr>
          <w:p w:rsidR="00A85F15" w:rsidRDefault="00A85F15" w:rsidP="008432D7">
            <w:proofErr w:type="spellStart"/>
            <w:r>
              <w:t>Fluridone</w:t>
            </w:r>
            <w:proofErr w:type="spellEnd"/>
          </w:p>
        </w:tc>
        <w:tc>
          <w:tcPr>
            <w:tcW w:w="1370" w:type="dxa"/>
          </w:tcPr>
          <w:p w:rsidR="00A85F15" w:rsidRDefault="00A85F15" w:rsidP="008432D7">
            <w:r>
              <w:t>Herbicides</w:t>
            </w:r>
          </w:p>
        </w:tc>
        <w:tc>
          <w:tcPr>
            <w:tcW w:w="2791" w:type="dxa"/>
          </w:tcPr>
          <w:p w:rsidR="00A85F15" w:rsidRDefault="00A85F15" w:rsidP="008432D7">
            <w:r>
              <w:t>Cotton</w:t>
            </w:r>
          </w:p>
        </w:tc>
      </w:tr>
      <w:tr w:rsidR="00A85F15" w:rsidTr="00664618">
        <w:trPr>
          <w:trHeight w:val="544"/>
        </w:trPr>
        <w:tc>
          <w:tcPr>
            <w:tcW w:w="1875" w:type="dxa"/>
          </w:tcPr>
          <w:p w:rsidR="00A85F15" w:rsidRDefault="00A85F15" w:rsidP="008432D7">
            <w:r>
              <w:t>Helm Agro</w:t>
            </w:r>
          </w:p>
        </w:tc>
        <w:tc>
          <w:tcPr>
            <w:tcW w:w="2602" w:type="dxa"/>
          </w:tcPr>
          <w:p w:rsidR="00A85F15" w:rsidRDefault="00A85F15" w:rsidP="008432D7">
            <w:r>
              <w:t xml:space="preserve">Helm </w:t>
            </w:r>
            <w:proofErr w:type="spellStart"/>
            <w:r>
              <w:t>Sulfentrazone</w:t>
            </w:r>
            <w:proofErr w:type="spellEnd"/>
            <w:r>
              <w:t xml:space="preserve"> 4F</w:t>
            </w:r>
          </w:p>
        </w:tc>
        <w:tc>
          <w:tcPr>
            <w:tcW w:w="1808" w:type="dxa"/>
          </w:tcPr>
          <w:p w:rsidR="00A85F15" w:rsidRDefault="00A85F15" w:rsidP="008432D7">
            <w:proofErr w:type="spellStart"/>
            <w:r>
              <w:t>Sulfentrazone</w:t>
            </w:r>
            <w:proofErr w:type="spellEnd"/>
          </w:p>
        </w:tc>
        <w:tc>
          <w:tcPr>
            <w:tcW w:w="1370" w:type="dxa"/>
          </w:tcPr>
          <w:p w:rsidR="00A85F15" w:rsidRDefault="00A85F15" w:rsidP="008432D7">
            <w:r>
              <w:t>Herbicides</w:t>
            </w:r>
          </w:p>
        </w:tc>
        <w:tc>
          <w:tcPr>
            <w:tcW w:w="2791" w:type="dxa"/>
          </w:tcPr>
          <w:p w:rsidR="00A85F15" w:rsidRDefault="00A85F15" w:rsidP="008432D7">
            <w:r>
              <w:t>Sunflowers, soybeans, tobacco, tomatoes and strawberries</w:t>
            </w:r>
          </w:p>
        </w:tc>
      </w:tr>
      <w:tr w:rsidR="00A85F15" w:rsidTr="00664618">
        <w:trPr>
          <w:trHeight w:val="626"/>
        </w:trPr>
        <w:tc>
          <w:tcPr>
            <w:tcW w:w="1875" w:type="dxa"/>
          </w:tcPr>
          <w:p w:rsidR="00A85F15" w:rsidRDefault="00A85F15" w:rsidP="008432D7">
            <w:r>
              <w:t>Helm Agro</w:t>
            </w:r>
          </w:p>
        </w:tc>
        <w:tc>
          <w:tcPr>
            <w:tcW w:w="2602" w:type="dxa"/>
          </w:tcPr>
          <w:p w:rsidR="00A85F15" w:rsidRDefault="00A85F15" w:rsidP="008432D7">
            <w:r>
              <w:t>Sheridan 25WG</w:t>
            </w:r>
          </w:p>
        </w:tc>
        <w:tc>
          <w:tcPr>
            <w:tcW w:w="1808" w:type="dxa"/>
          </w:tcPr>
          <w:p w:rsidR="00A85F15" w:rsidRDefault="00A85F15" w:rsidP="008432D7">
            <w:proofErr w:type="spellStart"/>
            <w:r>
              <w:t>Chlorimuron</w:t>
            </w:r>
            <w:proofErr w:type="spellEnd"/>
          </w:p>
        </w:tc>
        <w:tc>
          <w:tcPr>
            <w:tcW w:w="1370" w:type="dxa"/>
          </w:tcPr>
          <w:p w:rsidR="00A85F15" w:rsidRDefault="00A85F15" w:rsidP="008432D7">
            <w:r>
              <w:t>Herbicides</w:t>
            </w:r>
          </w:p>
        </w:tc>
        <w:tc>
          <w:tcPr>
            <w:tcW w:w="2791" w:type="dxa"/>
          </w:tcPr>
          <w:p w:rsidR="00A85F15" w:rsidRDefault="00A85F15" w:rsidP="008432D7">
            <w:r>
              <w:t>Soybeans, peanuts and non-crop areas</w:t>
            </w:r>
          </w:p>
        </w:tc>
      </w:tr>
      <w:tr w:rsidR="00A85F15" w:rsidTr="00664618">
        <w:trPr>
          <w:trHeight w:val="707"/>
        </w:trPr>
        <w:tc>
          <w:tcPr>
            <w:tcW w:w="1875" w:type="dxa"/>
          </w:tcPr>
          <w:p w:rsidR="00A85F15" w:rsidRDefault="00A85F15" w:rsidP="008432D7">
            <w:proofErr w:type="spellStart"/>
            <w:r>
              <w:t>Gowan</w:t>
            </w:r>
            <w:proofErr w:type="spellEnd"/>
          </w:p>
        </w:tc>
        <w:tc>
          <w:tcPr>
            <w:tcW w:w="2602" w:type="dxa"/>
          </w:tcPr>
          <w:p w:rsidR="00A85F15" w:rsidRDefault="00A85F15" w:rsidP="008432D7">
            <w:r>
              <w:t>Magister</w:t>
            </w:r>
          </w:p>
        </w:tc>
        <w:tc>
          <w:tcPr>
            <w:tcW w:w="1808" w:type="dxa"/>
          </w:tcPr>
          <w:p w:rsidR="00A85F15" w:rsidRDefault="00A85F15" w:rsidP="008432D7">
            <w:proofErr w:type="spellStart"/>
            <w:r>
              <w:t>Fenazaquin</w:t>
            </w:r>
            <w:proofErr w:type="spellEnd"/>
          </w:p>
        </w:tc>
        <w:tc>
          <w:tcPr>
            <w:tcW w:w="1370" w:type="dxa"/>
          </w:tcPr>
          <w:p w:rsidR="00A85F15" w:rsidRDefault="00A85F15" w:rsidP="008432D7">
            <w:r>
              <w:t>Insecticides</w:t>
            </w:r>
          </w:p>
        </w:tc>
        <w:tc>
          <w:tcPr>
            <w:tcW w:w="2791" w:type="dxa"/>
          </w:tcPr>
          <w:p w:rsidR="00A85F15" w:rsidRDefault="00A85F15" w:rsidP="008432D7">
            <w:r>
              <w:t>Almonds, cherries, Christmas trees, non-bearing tree fruits and nuts</w:t>
            </w:r>
          </w:p>
        </w:tc>
      </w:tr>
      <w:tr w:rsidR="00A85F15" w:rsidTr="00664618">
        <w:trPr>
          <w:trHeight w:val="417"/>
        </w:trPr>
        <w:tc>
          <w:tcPr>
            <w:tcW w:w="1875" w:type="dxa"/>
          </w:tcPr>
          <w:p w:rsidR="00A85F15" w:rsidRDefault="00A85F15" w:rsidP="008432D7">
            <w:proofErr w:type="spellStart"/>
            <w:r>
              <w:t>Dupont</w:t>
            </w:r>
            <w:proofErr w:type="spellEnd"/>
          </w:p>
        </w:tc>
        <w:tc>
          <w:tcPr>
            <w:tcW w:w="2602" w:type="dxa"/>
          </w:tcPr>
          <w:p w:rsidR="00A85F15" w:rsidRDefault="00A85F15" w:rsidP="008432D7">
            <w:proofErr w:type="spellStart"/>
            <w:r>
              <w:t>Lumisena</w:t>
            </w:r>
            <w:proofErr w:type="spellEnd"/>
            <w:r>
              <w:t>™</w:t>
            </w:r>
          </w:p>
        </w:tc>
        <w:tc>
          <w:tcPr>
            <w:tcW w:w="1808" w:type="dxa"/>
          </w:tcPr>
          <w:p w:rsidR="00A85F15" w:rsidRDefault="00A85F15" w:rsidP="008432D7">
            <w:proofErr w:type="spellStart"/>
            <w:r>
              <w:t>Oxathiapiprolin</w:t>
            </w:r>
            <w:proofErr w:type="spellEnd"/>
          </w:p>
        </w:tc>
        <w:tc>
          <w:tcPr>
            <w:tcW w:w="1370" w:type="dxa"/>
          </w:tcPr>
          <w:p w:rsidR="00A85F15" w:rsidRDefault="00A85F15" w:rsidP="008432D7">
            <w:r>
              <w:t>Seed treatments</w:t>
            </w:r>
          </w:p>
        </w:tc>
        <w:tc>
          <w:tcPr>
            <w:tcW w:w="2791" w:type="dxa"/>
          </w:tcPr>
          <w:p w:rsidR="00A85F15" w:rsidRDefault="00A85F15" w:rsidP="008432D7">
            <w:r>
              <w:t>Soybeans and sunflowers</w:t>
            </w:r>
          </w:p>
        </w:tc>
      </w:tr>
    </w:tbl>
    <w:p w:rsidR="00ED786B" w:rsidRDefault="00136C85" w:rsidP="00016D4A">
      <w:r>
        <w:t xml:space="preserve">For chemicals registered in </w:t>
      </w:r>
      <w:r w:rsidR="007E3D92">
        <w:t xml:space="preserve">the US </w:t>
      </w:r>
      <w:r>
        <w:t xml:space="preserve">but not in Australia, we then </w:t>
      </w:r>
      <w:r w:rsidR="00ED786B">
        <w:t xml:space="preserve">looked to find information that would allow an estimation of the market size in the country of registration. </w:t>
      </w:r>
      <w:r w:rsidR="00873E14">
        <w:t>For each country of registration</w:t>
      </w:r>
      <w:r w:rsidR="009E0FF4">
        <w:t xml:space="preserve">, we </w:t>
      </w:r>
      <w:r w:rsidR="00C34756">
        <w:t xml:space="preserve">searched for </w:t>
      </w:r>
      <w:r w:rsidR="00873E14">
        <w:t xml:space="preserve">data </w:t>
      </w:r>
      <w:r w:rsidR="001C0CDC">
        <w:t>on the following use and purchase statistics</w:t>
      </w:r>
      <w:r w:rsidR="00ED786B">
        <w:t>:</w:t>
      </w:r>
    </w:p>
    <w:p w:rsidR="004A7A11" w:rsidRDefault="00ED786B" w:rsidP="00FE6A25">
      <w:pPr>
        <w:pStyle w:val="ListParagraph"/>
        <w:numPr>
          <w:ilvl w:val="0"/>
          <w:numId w:val="21"/>
        </w:numPr>
      </w:pPr>
      <w:r>
        <w:t>Indicative farm</w:t>
      </w:r>
      <w:r w:rsidR="009E0FF4">
        <w:t xml:space="preserve"> </w:t>
      </w:r>
      <w:r>
        <w:t>gate prices</w:t>
      </w:r>
    </w:p>
    <w:p w:rsidR="004A7A11" w:rsidRDefault="00ED786B" w:rsidP="00FE6A25">
      <w:pPr>
        <w:pStyle w:val="ListParagraph"/>
        <w:numPr>
          <w:ilvl w:val="0"/>
          <w:numId w:val="21"/>
        </w:numPr>
      </w:pPr>
      <w:r>
        <w:t>Average application rates</w:t>
      </w:r>
    </w:p>
    <w:p w:rsidR="004A7A11" w:rsidRDefault="00ED786B" w:rsidP="00FE6A25">
      <w:pPr>
        <w:pStyle w:val="ListParagraph"/>
        <w:numPr>
          <w:ilvl w:val="0"/>
          <w:numId w:val="21"/>
        </w:numPr>
      </w:pPr>
      <w:r>
        <w:t>Average applications per annum</w:t>
      </w:r>
    </w:p>
    <w:p w:rsidR="004A7A11" w:rsidRDefault="00ED786B" w:rsidP="00FE6A25">
      <w:pPr>
        <w:pStyle w:val="ListParagraph"/>
        <w:numPr>
          <w:ilvl w:val="0"/>
          <w:numId w:val="21"/>
        </w:numPr>
      </w:pPr>
      <w:r>
        <w:t>Area of applicable crops</w:t>
      </w:r>
    </w:p>
    <w:p w:rsidR="004A7A11" w:rsidRDefault="00ED786B" w:rsidP="00FE6A25">
      <w:pPr>
        <w:pStyle w:val="ListParagraph"/>
        <w:numPr>
          <w:ilvl w:val="0"/>
          <w:numId w:val="21"/>
        </w:numPr>
      </w:pPr>
      <w:r>
        <w:t>Average annual area treated</w:t>
      </w:r>
    </w:p>
    <w:p w:rsidR="00ED786B" w:rsidRDefault="001C0CDC" w:rsidP="00ED786B">
      <w:r>
        <w:t xml:space="preserve">Only three chemicals were found to have publically available </w:t>
      </w:r>
      <w:proofErr w:type="gramStart"/>
      <w:r>
        <w:t>data  information</w:t>
      </w:r>
      <w:proofErr w:type="gramEnd"/>
      <w:r>
        <w:t xml:space="preserve"> that would inform each of the use and purchase statistics. These three chemicals are all </w:t>
      </w:r>
      <w:r w:rsidR="00AD1531">
        <w:t>registered in the United States</w:t>
      </w:r>
      <w:r w:rsidR="00ED786B">
        <w:t>:</w:t>
      </w:r>
    </w:p>
    <w:p w:rsidR="00C02345" w:rsidRDefault="00C02345" w:rsidP="00FE6A25">
      <w:pPr>
        <w:pStyle w:val="ListParagraph"/>
        <w:numPr>
          <w:ilvl w:val="0"/>
          <w:numId w:val="22"/>
        </w:numPr>
      </w:pPr>
      <w:r w:rsidRPr="00ED786B">
        <w:t xml:space="preserve">Summit </w:t>
      </w:r>
      <w:proofErr w:type="spellStart"/>
      <w:r w:rsidRPr="00ED786B">
        <w:t>Agro’s</w:t>
      </w:r>
      <w:proofErr w:type="spellEnd"/>
      <w:r w:rsidRPr="00ED786B">
        <w:t xml:space="preserve"> SHIELDEX 400SC</w:t>
      </w:r>
    </w:p>
    <w:p w:rsidR="00ED786B" w:rsidRPr="00ED786B" w:rsidRDefault="00ED786B" w:rsidP="00FE6A25">
      <w:pPr>
        <w:pStyle w:val="ListParagraph"/>
        <w:numPr>
          <w:ilvl w:val="0"/>
          <w:numId w:val="22"/>
        </w:numPr>
      </w:pPr>
      <w:r w:rsidRPr="00ED786B">
        <w:t>BASF</w:t>
      </w:r>
      <w:r>
        <w:t>’s</w:t>
      </w:r>
      <w:r w:rsidRPr="00ED786B">
        <w:t xml:space="preserve"> </w:t>
      </w:r>
      <w:proofErr w:type="spellStart"/>
      <w:r w:rsidRPr="00ED786B">
        <w:t>Caramba</w:t>
      </w:r>
      <w:proofErr w:type="spellEnd"/>
    </w:p>
    <w:p w:rsidR="00ED786B" w:rsidRPr="00ED786B" w:rsidRDefault="00ED786B" w:rsidP="00FE6A25">
      <w:pPr>
        <w:pStyle w:val="ListParagraph"/>
        <w:numPr>
          <w:ilvl w:val="0"/>
          <w:numId w:val="22"/>
        </w:numPr>
      </w:pPr>
      <w:proofErr w:type="spellStart"/>
      <w:r w:rsidRPr="00ED786B">
        <w:t>Valent</w:t>
      </w:r>
      <w:r w:rsidR="00C1063C">
        <w:t>’s</w:t>
      </w:r>
      <w:proofErr w:type="spellEnd"/>
      <w:r w:rsidRPr="00ED786B">
        <w:t xml:space="preserve"> </w:t>
      </w:r>
      <w:proofErr w:type="spellStart"/>
      <w:r w:rsidRPr="00ED786B">
        <w:t>Elumin</w:t>
      </w:r>
      <w:proofErr w:type="spellEnd"/>
    </w:p>
    <w:p w:rsidR="00ED786B" w:rsidRDefault="003B30F5" w:rsidP="00ED786B">
      <w:r>
        <w:t xml:space="preserve">None of </w:t>
      </w:r>
      <w:r w:rsidR="00873E14">
        <w:t xml:space="preserve">these chemicals </w:t>
      </w:r>
      <w:r>
        <w:t>is</w:t>
      </w:r>
      <w:r w:rsidR="00873E14">
        <w:t xml:space="preserve"> registered by the APVMA</w:t>
      </w:r>
      <w:r w:rsidR="009E0FF4">
        <w:t>,</w:t>
      </w:r>
      <w:r w:rsidR="00873E14">
        <w:t xml:space="preserve"> a number of assumptions are required to estimate potential annual revenue in Australia. US data was assumed to be directly applicable to Australia for:</w:t>
      </w:r>
    </w:p>
    <w:p w:rsidR="004A7A11" w:rsidRDefault="00873E14" w:rsidP="00FE6A25">
      <w:pPr>
        <w:pStyle w:val="ListParagraph"/>
        <w:numPr>
          <w:ilvl w:val="0"/>
          <w:numId w:val="21"/>
        </w:numPr>
      </w:pPr>
      <w:r>
        <w:t xml:space="preserve">Indicative </w:t>
      </w:r>
      <w:r w:rsidR="00466E9E">
        <w:t>farm gate</w:t>
      </w:r>
      <w:r>
        <w:t xml:space="preserve"> prices</w:t>
      </w:r>
    </w:p>
    <w:p w:rsidR="004A7A11" w:rsidRDefault="00873E14" w:rsidP="00FE6A25">
      <w:pPr>
        <w:pStyle w:val="ListParagraph"/>
        <w:numPr>
          <w:ilvl w:val="0"/>
          <w:numId w:val="21"/>
        </w:numPr>
      </w:pPr>
      <w:r>
        <w:t>Average application rates</w:t>
      </w:r>
    </w:p>
    <w:p w:rsidR="00873E14" w:rsidRDefault="00873E14" w:rsidP="00FE6A25">
      <w:pPr>
        <w:pStyle w:val="ListParagraph"/>
        <w:numPr>
          <w:ilvl w:val="0"/>
          <w:numId w:val="21"/>
        </w:numPr>
      </w:pPr>
      <w:r>
        <w:t>Average applications per annum</w:t>
      </w:r>
    </w:p>
    <w:p w:rsidR="004A7A11" w:rsidRDefault="00FD67B8" w:rsidP="00FD67B8">
      <w:r>
        <w:t xml:space="preserve">Average annual area treated was </w:t>
      </w:r>
      <w:r w:rsidR="00AD1531">
        <w:t xml:space="preserve">also based on information from the US </w:t>
      </w:r>
      <w:r w:rsidR="009E0FF4">
        <w:t>National Agricultural Statistics Service (</w:t>
      </w:r>
      <w:r w:rsidR="00AD1531">
        <w:t>NASS</w:t>
      </w:r>
      <w:r w:rsidR="009E0FF4">
        <w:t>)</w:t>
      </w:r>
      <w:r w:rsidR="00AD1531">
        <w:t>. However</w:t>
      </w:r>
      <w:r w:rsidR="009E0FF4">
        <w:t>,</w:t>
      </w:r>
      <w:r w:rsidR="00AD1531">
        <w:t xml:space="preserve"> values differ slightly between Australia and the US for </w:t>
      </w:r>
      <w:proofErr w:type="spellStart"/>
      <w:r w:rsidR="00AD1531" w:rsidRPr="00600C49">
        <w:t>Caramba</w:t>
      </w:r>
      <w:proofErr w:type="spellEnd"/>
      <w:r w:rsidR="00AD1531" w:rsidRPr="00600C49">
        <w:t xml:space="preserve"> and </w:t>
      </w:r>
      <w:proofErr w:type="spellStart"/>
      <w:r w:rsidR="00AD1531" w:rsidRPr="00600C49">
        <w:t>Elumin</w:t>
      </w:r>
      <w:proofErr w:type="spellEnd"/>
      <w:r w:rsidR="00AD1531">
        <w:t xml:space="preserve">. This is because these two products are for use on groups of agricultural commodities, cereals, soybeans and </w:t>
      </w:r>
      <w:r w:rsidR="00503DE6">
        <w:t>sugar beets</w:t>
      </w:r>
      <w:r w:rsidR="00AD1531">
        <w:t xml:space="preserve"> (</w:t>
      </w:r>
      <w:proofErr w:type="spellStart"/>
      <w:r w:rsidR="00AD1531" w:rsidRPr="00600C49">
        <w:t>Caramba</w:t>
      </w:r>
      <w:proofErr w:type="spellEnd"/>
      <w:r w:rsidR="00AD1531" w:rsidRPr="00AD1531">
        <w:t>)</w:t>
      </w:r>
      <w:r w:rsidR="00AD1531">
        <w:t xml:space="preserve"> and </w:t>
      </w:r>
      <w:r w:rsidR="00503DE6" w:rsidRPr="00AD1531">
        <w:t>Cucurbits</w:t>
      </w:r>
      <w:r w:rsidR="00AD1531">
        <w:t xml:space="preserve"> (</w:t>
      </w:r>
      <w:proofErr w:type="spellStart"/>
      <w:r w:rsidR="00AD1531" w:rsidRPr="00600C49">
        <w:t>Elumin</w:t>
      </w:r>
      <w:proofErr w:type="spellEnd"/>
      <w:r w:rsidR="00AD1531">
        <w:t>). Within these commodity groups</w:t>
      </w:r>
      <w:r w:rsidR="009E0FF4">
        <w:t>,</w:t>
      </w:r>
      <w:r w:rsidR="00AD1531">
        <w:t xml:space="preserve"> average treatable area rates differ considerably, with </w:t>
      </w:r>
      <w:r w:rsidR="003C796B">
        <w:t xml:space="preserve">the </w:t>
      </w:r>
      <w:r w:rsidR="00AD1531">
        <w:t xml:space="preserve">treatable area of </w:t>
      </w:r>
      <w:r w:rsidR="009E0FF4">
        <w:t>w</w:t>
      </w:r>
      <w:r w:rsidR="00AD1531">
        <w:t xml:space="preserve">atermelon around </w:t>
      </w:r>
      <w:r w:rsidR="009E0FF4">
        <w:t>five</w:t>
      </w:r>
      <w:r w:rsidR="00AD1531">
        <w:t xml:space="preserve"> times that of </w:t>
      </w:r>
      <w:r w:rsidR="003B30F5">
        <w:t>s</w:t>
      </w:r>
      <w:r w:rsidR="00AD1531">
        <w:t>quash. Because Australia and the US plant differ</w:t>
      </w:r>
      <w:r w:rsidR="00164606">
        <w:t>ent</w:t>
      </w:r>
      <w:r w:rsidR="00AD1531">
        <w:t xml:space="preserve"> areas of </w:t>
      </w:r>
      <w:r w:rsidR="009E0FF4">
        <w:t>w</w:t>
      </w:r>
      <w:r w:rsidR="00AD1531">
        <w:t xml:space="preserve">atermelon and </w:t>
      </w:r>
      <w:r w:rsidR="009E0FF4">
        <w:t>s</w:t>
      </w:r>
      <w:r w:rsidR="00AD1531">
        <w:t xml:space="preserve">quash, the weighted average of the commodity group </w:t>
      </w:r>
      <w:r w:rsidR="009E0FF4">
        <w:t>differ</w:t>
      </w:r>
      <w:r w:rsidR="003B30F5">
        <w:t>s</w:t>
      </w:r>
      <w:r w:rsidR="00AD1531">
        <w:t xml:space="preserve"> </w:t>
      </w:r>
      <w:r w:rsidR="003B30F5">
        <w:t xml:space="preserve">between </w:t>
      </w:r>
      <w:r w:rsidR="00AD1531">
        <w:t>Australia and the United States.</w:t>
      </w:r>
    </w:p>
    <w:p w:rsidR="00873E14" w:rsidRDefault="00AD1531" w:rsidP="00873E14">
      <w:r>
        <w:t>Finally</w:t>
      </w:r>
      <w:r w:rsidR="009E0FF4">
        <w:t>,</w:t>
      </w:r>
      <w:r>
        <w:t xml:space="preserve"> </w:t>
      </w:r>
      <w:r w:rsidR="009E0FF4">
        <w:t>the</w:t>
      </w:r>
      <w:r>
        <w:t xml:space="preserve"> a</w:t>
      </w:r>
      <w:r w:rsidR="00873E14">
        <w:t xml:space="preserve">rea of applicable crops was obtained for Australia and </w:t>
      </w:r>
      <w:r w:rsidR="009E0FF4">
        <w:t>the US</w:t>
      </w:r>
      <w:r w:rsidR="00873E14">
        <w:t xml:space="preserve"> from UN FAO’s </w:t>
      </w:r>
      <w:proofErr w:type="spellStart"/>
      <w:r w:rsidR="00873E14">
        <w:t>FAOstat</w:t>
      </w:r>
      <w:proofErr w:type="spellEnd"/>
      <w:r w:rsidR="00873E14">
        <w:t xml:space="preserve"> database – which reports annual cropping areas in hectares for a range of countries.</w:t>
      </w:r>
    </w:p>
    <w:p w:rsidR="00D649BB" w:rsidRDefault="002E0C13" w:rsidP="00D649BB">
      <w:pPr>
        <w:rPr>
          <w:b/>
        </w:rPr>
      </w:pPr>
      <w:r>
        <w:t xml:space="preserve">Indicative revenue assumes the chemical is able to capture the entire market once registered in Australia. However, this is unlikely to be the case. Many novel chemicals would have to compete with already established products in the market. For example, BASF’s </w:t>
      </w:r>
      <w:proofErr w:type="spellStart"/>
      <w:r w:rsidRPr="00600C49">
        <w:t>Cara</w:t>
      </w:r>
      <w:r w:rsidR="00600C49" w:rsidRPr="00600C49">
        <w:t>mb</w:t>
      </w:r>
      <w:r w:rsidRPr="00600C49">
        <w:t>a</w:t>
      </w:r>
      <w:proofErr w:type="spellEnd"/>
      <w:r>
        <w:t xml:space="preserve"> (used to treat Fusarium head blight), if registered would enter a market where Bayer’s </w:t>
      </w:r>
      <w:proofErr w:type="spellStart"/>
      <w:r w:rsidRPr="00600C49">
        <w:t>Prosaro</w:t>
      </w:r>
      <w:proofErr w:type="spellEnd"/>
      <w:r>
        <w:t xml:space="preserve"> 420SC is already established</w:t>
      </w:r>
      <w:r w:rsidR="00F10D30">
        <w:t xml:space="preserve"> </w:t>
      </w:r>
      <w:r w:rsidR="00EE4CBB" w:rsidRPr="00EE4CBB">
        <w:t>(</w:t>
      </w:r>
      <w:proofErr w:type="spellStart"/>
      <w:r w:rsidR="00EE4CBB" w:rsidRPr="00EE4CBB">
        <w:t>Tonneson</w:t>
      </w:r>
      <w:proofErr w:type="spellEnd"/>
      <w:r w:rsidR="00EE4CBB" w:rsidRPr="00EE4CBB">
        <w:t xml:space="preserve"> 2017)</w:t>
      </w:r>
      <w:r w:rsidR="00F10D30">
        <w:t>.</w:t>
      </w:r>
      <w:r>
        <w:t xml:space="preserve"> As such estimated potential market share over estimates the potential revenue for a particular agvet chemical and should be treated as an upper bound indicator.</w:t>
      </w:r>
      <w:r w:rsidR="00F753EB">
        <w:t xml:space="preserve"> </w:t>
      </w:r>
      <w:r w:rsidR="00D649BB">
        <w:rPr>
          <w:b/>
        </w:rPr>
        <w:br w:type="page"/>
      </w:r>
    </w:p>
    <w:p w:rsidR="00A60FD0" w:rsidRPr="00FE6A25" w:rsidRDefault="00C02345" w:rsidP="00FE6A25">
      <w:pPr>
        <w:rPr>
          <w:b/>
        </w:rPr>
      </w:pPr>
      <w:r w:rsidRPr="00FE6A25">
        <w:rPr>
          <w:b/>
        </w:rPr>
        <w:t xml:space="preserve">Summit </w:t>
      </w:r>
      <w:proofErr w:type="spellStart"/>
      <w:r w:rsidRPr="00FE6A25">
        <w:rPr>
          <w:b/>
        </w:rPr>
        <w:t>Agro’s</w:t>
      </w:r>
      <w:proofErr w:type="spellEnd"/>
      <w:r w:rsidRPr="00FE6A25">
        <w:rPr>
          <w:b/>
        </w:rPr>
        <w:t xml:space="preserve"> SHIELDEX 400SC</w:t>
      </w:r>
    </w:p>
    <w:p w:rsidR="00EC535C" w:rsidRPr="00F10D30" w:rsidRDefault="00C02345" w:rsidP="00EC535C">
      <w:pPr>
        <w:pStyle w:val="Caption"/>
        <w:rPr>
          <w:iCs w:val="0"/>
          <w:color w:val="auto"/>
          <w:sz w:val="18"/>
        </w:rPr>
      </w:pPr>
      <w:r w:rsidRPr="00F10D30">
        <w:rPr>
          <w:iCs w:val="0"/>
          <w:color w:val="auto"/>
          <w:sz w:val="18"/>
        </w:rPr>
        <w:t>In 2017 Summit Agro US launc</w:t>
      </w:r>
      <w:r w:rsidR="00136C85" w:rsidRPr="00F10D30">
        <w:rPr>
          <w:iCs w:val="0"/>
          <w:color w:val="auto"/>
          <w:sz w:val="18"/>
        </w:rPr>
        <w:t>h</w:t>
      </w:r>
      <w:r w:rsidRPr="00F10D30">
        <w:rPr>
          <w:iCs w:val="0"/>
          <w:color w:val="auto"/>
          <w:sz w:val="18"/>
        </w:rPr>
        <w:t xml:space="preserve">ed SHIELDEX 400SC </w:t>
      </w:r>
      <w:r w:rsidR="00A60FD0" w:rsidRPr="00F10D30">
        <w:rPr>
          <w:iCs w:val="0"/>
          <w:color w:val="auto"/>
          <w:sz w:val="18"/>
        </w:rPr>
        <w:t xml:space="preserve">(SHIELDEX) </w:t>
      </w:r>
      <w:r w:rsidRPr="00F10D30">
        <w:rPr>
          <w:iCs w:val="0"/>
          <w:color w:val="auto"/>
          <w:sz w:val="18"/>
        </w:rPr>
        <w:t xml:space="preserve">in the </w:t>
      </w:r>
      <w:r w:rsidR="003B30F5" w:rsidRPr="00F10D30">
        <w:rPr>
          <w:iCs w:val="0"/>
          <w:color w:val="auto"/>
          <w:sz w:val="18"/>
        </w:rPr>
        <w:t>US</w:t>
      </w:r>
      <w:r w:rsidR="0030631E">
        <w:rPr>
          <w:iCs w:val="0"/>
          <w:color w:val="auto"/>
          <w:sz w:val="18"/>
        </w:rPr>
        <w:t xml:space="preserve"> </w:t>
      </w:r>
      <w:r w:rsidR="00EE4CBB" w:rsidRPr="00F10D30">
        <w:rPr>
          <w:color w:val="auto"/>
        </w:rPr>
        <w:t xml:space="preserve">(Summit Agro USA </w:t>
      </w:r>
      <w:proofErr w:type="spellStart"/>
      <w:r w:rsidR="00EE4CBB" w:rsidRPr="00F10D30">
        <w:rPr>
          <w:color w:val="auto"/>
        </w:rPr>
        <w:t>n.d.</w:t>
      </w:r>
      <w:proofErr w:type="spellEnd"/>
      <w:r w:rsidR="00EE4CBB" w:rsidRPr="00F10D30">
        <w:rPr>
          <w:color w:val="auto"/>
        </w:rPr>
        <w:t>)</w:t>
      </w:r>
      <w:r w:rsidR="0030631E">
        <w:rPr>
          <w:color w:val="auto"/>
        </w:rPr>
        <w:t>.</w:t>
      </w:r>
      <w:r w:rsidR="00A60FD0" w:rsidRPr="00F10D30">
        <w:rPr>
          <w:iCs w:val="0"/>
          <w:color w:val="auto"/>
          <w:sz w:val="18"/>
        </w:rPr>
        <w:t xml:space="preserve"> </w:t>
      </w:r>
      <w:r w:rsidRPr="00F10D30">
        <w:rPr>
          <w:iCs w:val="0"/>
          <w:color w:val="auto"/>
          <w:sz w:val="18"/>
        </w:rPr>
        <w:t>SHIELDEX is a post-emergent contact herbicide designed for use on corn</w:t>
      </w:r>
      <w:r w:rsidR="00A60FD0" w:rsidRPr="00F10D30">
        <w:rPr>
          <w:iCs w:val="0"/>
          <w:color w:val="auto"/>
          <w:sz w:val="18"/>
        </w:rPr>
        <w:t xml:space="preserve">. Its </w:t>
      </w:r>
      <w:r w:rsidRPr="00F10D30">
        <w:rPr>
          <w:iCs w:val="0"/>
          <w:color w:val="auto"/>
          <w:sz w:val="18"/>
        </w:rPr>
        <w:t xml:space="preserve">active ingredient </w:t>
      </w:r>
      <w:r w:rsidR="00A60FD0" w:rsidRPr="00F10D30">
        <w:rPr>
          <w:iCs w:val="0"/>
          <w:color w:val="auto"/>
          <w:sz w:val="18"/>
        </w:rPr>
        <w:t xml:space="preserve">is </w:t>
      </w:r>
      <w:proofErr w:type="spellStart"/>
      <w:r w:rsidRPr="00F10D30">
        <w:rPr>
          <w:iCs w:val="0"/>
          <w:color w:val="auto"/>
          <w:sz w:val="18"/>
        </w:rPr>
        <w:t>Tolpyralate</w:t>
      </w:r>
      <w:proofErr w:type="spellEnd"/>
      <w:r w:rsidR="003B30F5" w:rsidRPr="00F10D30">
        <w:rPr>
          <w:iCs w:val="0"/>
          <w:color w:val="auto"/>
          <w:sz w:val="18"/>
        </w:rPr>
        <w:t>,</w:t>
      </w:r>
      <w:r w:rsidR="00A60FD0" w:rsidRPr="00F10D30">
        <w:rPr>
          <w:iCs w:val="0"/>
          <w:color w:val="auto"/>
          <w:sz w:val="18"/>
        </w:rPr>
        <w:t xml:space="preserve"> </w:t>
      </w:r>
      <w:r w:rsidR="003B30F5" w:rsidRPr="00F10D30">
        <w:rPr>
          <w:iCs w:val="0"/>
          <w:color w:val="auto"/>
          <w:sz w:val="18"/>
        </w:rPr>
        <w:t xml:space="preserve">which </w:t>
      </w:r>
      <w:r w:rsidR="00A60FD0" w:rsidRPr="00F10D30">
        <w:rPr>
          <w:iCs w:val="0"/>
          <w:color w:val="auto"/>
          <w:sz w:val="18"/>
        </w:rPr>
        <w:t xml:space="preserve">controls weeds by inhibiting HPPD (pigment synthesis) biochemical process. </w:t>
      </w:r>
      <w:r w:rsidR="00EE4CBB" w:rsidRPr="00F10D30">
        <w:rPr>
          <w:color w:val="auto"/>
        </w:rPr>
        <w:t>(Summit Agro USA 2014)</w:t>
      </w:r>
      <w:r w:rsidR="00A60FD0" w:rsidRPr="00F10D30">
        <w:rPr>
          <w:iCs w:val="0"/>
          <w:color w:val="auto"/>
          <w:sz w:val="18"/>
        </w:rPr>
        <w:t xml:space="preserve"> The product </w:t>
      </w:r>
      <w:r w:rsidR="003B30F5" w:rsidRPr="00F10D30">
        <w:rPr>
          <w:iCs w:val="0"/>
          <w:color w:val="auto"/>
          <w:sz w:val="18"/>
        </w:rPr>
        <w:t>can</w:t>
      </w:r>
      <w:r w:rsidR="00A60FD0" w:rsidRPr="00F10D30">
        <w:rPr>
          <w:iCs w:val="0"/>
          <w:color w:val="auto"/>
          <w:sz w:val="18"/>
        </w:rPr>
        <w:t xml:space="preserve"> be used in the </w:t>
      </w:r>
      <w:r w:rsidR="003B30F5" w:rsidRPr="00F10D30">
        <w:rPr>
          <w:iCs w:val="0"/>
          <w:color w:val="auto"/>
          <w:sz w:val="18"/>
        </w:rPr>
        <w:t>US</w:t>
      </w:r>
      <w:r w:rsidR="00A60FD0" w:rsidRPr="00F10D30">
        <w:rPr>
          <w:iCs w:val="0"/>
          <w:color w:val="auto"/>
          <w:sz w:val="18"/>
        </w:rPr>
        <w:t xml:space="preserve"> on </w:t>
      </w:r>
      <w:r w:rsidRPr="00F10D30">
        <w:rPr>
          <w:iCs w:val="0"/>
          <w:color w:val="auto"/>
          <w:sz w:val="18"/>
        </w:rPr>
        <w:t>field corn, see</w:t>
      </w:r>
      <w:r w:rsidR="00A60FD0" w:rsidRPr="00F10D30">
        <w:rPr>
          <w:iCs w:val="0"/>
          <w:color w:val="auto"/>
          <w:sz w:val="18"/>
        </w:rPr>
        <w:t>d corn, sweet corn and popcorn</w:t>
      </w:r>
      <w:r w:rsidR="0030631E">
        <w:rPr>
          <w:iCs w:val="0"/>
          <w:color w:val="auto"/>
          <w:sz w:val="18"/>
        </w:rPr>
        <w:t xml:space="preserve"> </w:t>
      </w:r>
      <w:r w:rsidR="00EE4CBB" w:rsidRPr="00F10D30">
        <w:rPr>
          <w:color w:val="auto"/>
        </w:rPr>
        <w:t>(Summit Agro USA 2014)</w:t>
      </w:r>
      <w:r w:rsidR="0030631E">
        <w:rPr>
          <w:color w:val="auto"/>
        </w:rPr>
        <w:t>.</w:t>
      </w:r>
      <w:r w:rsidR="00A60FD0" w:rsidRPr="00F10D30">
        <w:rPr>
          <w:iCs w:val="0"/>
          <w:color w:val="auto"/>
          <w:sz w:val="18"/>
        </w:rPr>
        <w:t xml:space="preserve"> SHIELDEX is not currently registered </w:t>
      </w:r>
      <w:r w:rsidR="00164606" w:rsidRPr="00F10D30">
        <w:rPr>
          <w:iCs w:val="0"/>
          <w:color w:val="auto"/>
          <w:sz w:val="18"/>
        </w:rPr>
        <w:t>in Australia</w:t>
      </w:r>
      <w:r w:rsidR="00A60FD0" w:rsidRPr="00F10D30">
        <w:rPr>
          <w:iCs w:val="0"/>
          <w:color w:val="auto"/>
          <w:sz w:val="18"/>
        </w:rPr>
        <w:t>.</w:t>
      </w:r>
    </w:p>
    <w:p w:rsidR="00C02345" w:rsidRPr="00DC6DCB" w:rsidRDefault="00C02345" w:rsidP="00A60FD0">
      <w:pPr>
        <w:pStyle w:val="Caption"/>
        <w:rPr>
          <w:b/>
        </w:rPr>
      </w:pPr>
      <w:bookmarkStart w:id="393" w:name="_Toc4544847"/>
      <w:r w:rsidRPr="00DC6DCB">
        <w:t xml:space="preserve">Table </w:t>
      </w:r>
      <w:r w:rsidR="00FE6A25">
        <w:t>D</w:t>
      </w:r>
      <w:r>
        <w:t>.</w:t>
      </w:r>
      <w:r w:rsidR="00FE6A25">
        <w:t>2 E</w:t>
      </w:r>
      <w:r>
        <w:t xml:space="preserve">stimated annual market revenue for </w:t>
      </w:r>
      <w:r w:rsidRPr="00DC6DCB">
        <w:t xml:space="preserve">Summit </w:t>
      </w:r>
      <w:proofErr w:type="spellStart"/>
      <w:r w:rsidRPr="00DC6DCB">
        <w:t>Agro’s</w:t>
      </w:r>
      <w:proofErr w:type="spellEnd"/>
      <w:r w:rsidRPr="00DC6DCB">
        <w:t xml:space="preserve"> </w:t>
      </w:r>
      <w:r w:rsidRPr="00FD65A9">
        <w:rPr>
          <w:i/>
        </w:rPr>
        <w:t>SHIELDEX 400SC</w:t>
      </w:r>
      <w:bookmarkEnd w:id="393"/>
    </w:p>
    <w:tbl>
      <w:tblPr>
        <w:tblStyle w:val="Deloittetable"/>
        <w:tblW w:w="9670" w:type="dxa"/>
        <w:tblLook w:val="04A0" w:firstRow="1" w:lastRow="0" w:firstColumn="1" w:lastColumn="0" w:noHBand="0" w:noVBand="1"/>
      </w:tblPr>
      <w:tblGrid>
        <w:gridCol w:w="5849"/>
        <w:gridCol w:w="1121"/>
        <w:gridCol w:w="1337"/>
        <w:gridCol w:w="1363"/>
      </w:tblGrid>
      <w:tr w:rsidR="00C02345" w:rsidTr="00A24225">
        <w:trPr>
          <w:cnfStyle w:val="100000000000" w:firstRow="1" w:lastRow="0" w:firstColumn="0" w:lastColumn="0" w:oddVBand="0" w:evenVBand="0" w:oddHBand="0" w:evenHBand="0" w:firstRowFirstColumn="0" w:firstRowLastColumn="0" w:lastRowFirstColumn="0" w:lastRowLastColumn="0"/>
          <w:cantSplit/>
          <w:trHeight w:val="385"/>
          <w:tblHeader/>
        </w:trPr>
        <w:tc>
          <w:tcPr>
            <w:tcW w:w="5849" w:type="dxa"/>
          </w:tcPr>
          <w:p w:rsidR="00C02345" w:rsidRDefault="001924FB" w:rsidP="001924FB">
            <w:pPr>
              <w:spacing w:line="240" w:lineRule="auto"/>
              <w:rPr>
                <w:b/>
                <w:bCs/>
              </w:rPr>
            </w:pPr>
            <w:r>
              <w:rPr>
                <w:b/>
                <w:bCs/>
              </w:rPr>
              <w:t>Steps</w:t>
            </w:r>
          </w:p>
        </w:tc>
        <w:tc>
          <w:tcPr>
            <w:tcW w:w="1121" w:type="dxa"/>
          </w:tcPr>
          <w:p w:rsidR="00C02345" w:rsidRDefault="00C02345" w:rsidP="00C02345">
            <w:pPr>
              <w:spacing w:line="240" w:lineRule="auto"/>
              <w:rPr>
                <w:b/>
                <w:bCs/>
              </w:rPr>
            </w:pPr>
            <w:r>
              <w:rPr>
                <w:b/>
                <w:bCs/>
              </w:rPr>
              <w:t>Units</w:t>
            </w:r>
          </w:p>
        </w:tc>
        <w:tc>
          <w:tcPr>
            <w:tcW w:w="1337" w:type="dxa"/>
          </w:tcPr>
          <w:p w:rsidR="00C02345" w:rsidRDefault="00C02345" w:rsidP="00C02345">
            <w:pPr>
              <w:spacing w:line="240" w:lineRule="auto"/>
              <w:rPr>
                <w:b/>
                <w:bCs/>
              </w:rPr>
            </w:pPr>
            <w:r>
              <w:rPr>
                <w:b/>
                <w:bCs/>
              </w:rPr>
              <w:t>United States</w:t>
            </w:r>
          </w:p>
        </w:tc>
        <w:tc>
          <w:tcPr>
            <w:tcW w:w="1363" w:type="dxa"/>
          </w:tcPr>
          <w:p w:rsidR="00C02345" w:rsidRDefault="00C02345" w:rsidP="00753DF4">
            <w:pPr>
              <w:spacing w:line="240" w:lineRule="auto"/>
              <w:jc w:val="right"/>
              <w:rPr>
                <w:b/>
                <w:bCs/>
              </w:rPr>
            </w:pPr>
            <w:r>
              <w:rPr>
                <w:b/>
                <w:bCs/>
              </w:rPr>
              <w:t>Australia</w:t>
            </w:r>
          </w:p>
        </w:tc>
      </w:tr>
      <w:tr w:rsidR="00C02345" w:rsidTr="00F10D30">
        <w:trPr>
          <w:trHeight w:val="372"/>
        </w:trPr>
        <w:tc>
          <w:tcPr>
            <w:tcW w:w="5849" w:type="dxa"/>
          </w:tcPr>
          <w:p w:rsidR="00C02345" w:rsidRPr="002559DC" w:rsidRDefault="00C02345" w:rsidP="00F10D30">
            <w:pPr>
              <w:spacing w:line="240" w:lineRule="auto"/>
              <w:rPr>
                <w:bCs/>
              </w:rPr>
            </w:pPr>
            <w:r w:rsidRPr="002559DC">
              <w:rPr>
                <w:bCs/>
              </w:rPr>
              <w:t>Application rate</w:t>
            </w:r>
          </w:p>
        </w:tc>
        <w:tc>
          <w:tcPr>
            <w:tcW w:w="1121" w:type="dxa"/>
            <w:vAlign w:val="center"/>
          </w:tcPr>
          <w:p w:rsidR="00C02345" w:rsidRPr="00E24414" w:rsidRDefault="00C02345" w:rsidP="00F10D30">
            <w:pPr>
              <w:spacing w:line="240" w:lineRule="auto"/>
              <w:rPr>
                <w:bCs/>
              </w:rPr>
            </w:pPr>
            <w:r w:rsidRPr="00E24414">
              <w:rPr>
                <w:bCs/>
              </w:rPr>
              <w:t>L/ha</w:t>
            </w:r>
          </w:p>
        </w:tc>
        <w:tc>
          <w:tcPr>
            <w:tcW w:w="1337" w:type="dxa"/>
            <w:vAlign w:val="center"/>
          </w:tcPr>
          <w:p w:rsidR="00C02345" w:rsidRPr="00F10D30" w:rsidRDefault="00F10D30" w:rsidP="00F10D30">
            <w:pPr>
              <w:spacing w:line="240" w:lineRule="auto"/>
              <w:jc w:val="right"/>
              <w:rPr>
                <w:color w:val="000000"/>
                <w:sz w:val="18"/>
              </w:rPr>
            </w:pPr>
            <w:r>
              <w:rPr>
                <w:color w:val="000000"/>
                <w:sz w:val="18"/>
              </w:rPr>
              <w:t>0.0859</w:t>
            </w:r>
          </w:p>
        </w:tc>
        <w:tc>
          <w:tcPr>
            <w:tcW w:w="1363" w:type="dxa"/>
            <w:vAlign w:val="center"/>
          </w:tcPr>
          <w:p w:rsidR="00C02345" w:rsidRPr="006D3848" w:rsidRDefault="00C02345" w:rsidP="00EF4446">
            <w:pPr>
              <w:spacing w:line="240" w:lineRule="auto"/>
              <w:jc w:val="right"/>
              <w:rPr>
                <w:i/>
                <w:color w:val="000000"/>
                <w:sz w:val="18"/>
              </w:rPr>
            </w:pPr>
            <w:r w:rsidRPr="006D3848">
              <w:rPr>
                <w:i/>
                <w:color w:val="000000"/>
                <w:sz w:val="18"/>
              </w:rPr>
              <w:t>0.0859</w:t>
            </w:r>
          </w:p>
        </w:tc>
      </w:tr>
      <w:tr w:rsidR="00C02345" w:rsidTr="007E3D92">
        <w:trPr>
          <w:trHeight w:val="371"/>
        </w:trPr>
        <w:tc>
          <w:tcPr>
            <w:tcW w:w="5849" w:type="dxa"/>
          </w:tcPr>
          <w:p w:rsidR="00C02345" w:rsidRPr="002559DC" w:rsidRDefault="00C02345" w:rsidP="001924FB">
            <w:pPr>
              <w:spacing w:line="240" w:lineRule="auto"/>
              <w:rPr>
                <w:bCs/>
              </w:rPr>
            </w:pPr>
            <w:r w:rsidRPr="002559DC">
              <w:rPr>
                <w:bCs/>
              </w:rPr>
              <w:t>Applications per year</w:t>
            </w:r>
            <w:r w:rsidR="001924FB">
              <w:rPr>
                <w:bCs/>
              </w:rPr>
              <w:t xml:space="preserve"> </w:t>
            </w:r>
          </w:p>
        </w:tc>
        <w:tc>
          <w:tcPr>
            <w:tcW w:w="1121" w:type="dxa"/>
            <w:vAlign w:val="center"/>
          </w:tcPr>
          <w:p w:rsidR="00C02345" w:rsidRPr="00E24414" w:rsidRDefault="006C34F2" w:rsidP="00C02345">
            <w:pPr>
              <w:spacing w:line="240" w:lineRule="auto"/>
              <w:rPr>
                <w:bCs/>
              </w:rPr>
            </w:pPr>
            <w:r>
              <w:rPr>
                <w:bCs/>
              </w:rPr>
              <w:t>N</w:t>
            </w:r>
            <w:r w:rsidR="00C02345" w:rsidRPr="00E24414">
              <w:rPr>
                <w:bCs/>
              </w:rPr>
              <w:t>o</w:t>
            </w:r>
            <w:r>
              <w:rPr>
                <w:bCs/>
              </w:rPr>
              <w:t>.</w:t>
            </w:r>
          </w:p>
        </w:tc>
        <w:tc>
          <w:tcPr>
            <w:tcW w:w="1337" w:type="dxa"/>
            <w:vAlign w:val="center"/>
          </w:tcPr>
          <w:p w:rsidR="00C02345" w:rsidRPr="00E24414" w:rsidRDefault="00C02345" w:rsidP="00F10D30">
            <w:pPr>
              <w:spacing w:line="240" w:lineRule="auto"/>
              <w:jc w:val="right"/>
              <w:rPr>
                <w:bCs/>
              </w:rPr>
            </w:pPr>
            <w:r w:rsidRPr="00E24414">
              <w:rPr>
                <w:bCs/>
              </w:rPr>
              <w:t>1.</w:t>
            </w:r>
            <w:r>
              <w:rPr>
                <w:bCs/>
              </w:rPr>
              <w:t>07</w:t>
            </w:r>
          </w:p>
        </w:tc>
        <w:tc>
          <w:tcPr>
            <w:tcW w:w="1363" w:type="dxa"/>
            <w:vAlign w:val="center"/>
          </w:tcPr>
          <w:p w:rsidR="00C02345" w:rsidRPr="006D3848" w:rsidRDefault="00C02345" w:rsidP="00EF4446">
            <w:pPr>
              <w:spacing w:line="240" w:lineRule="auto"/>
              <w:jc w:val="right"/>
              <w:rPr>
                <w:bCs/>
                <w:i/>
              </w:rPr>
            </w:pPr>
            <w:r w:rsidRPr="006D3848">
              <w:rPr>
                <w:bCs/>
                <w:i/>
              </w:rPr>
              <w:t>1.07</w:t>
            </w:r>
          </w:p>
        </w:tc>
      </w:tr>
      <w:tr w:rsidR="00C02345" w:rsidTr="007E3D92">
        <w:trPr>
          <w:trHeight w:val="585"/>
        </w:trPr>
        <w:tc>
          <w:tcPr>
            <w:tcW w:w="5849" w:type="dxa"/>
          </w:tcPr>
          <w:p w:rsidR="00423DBC" w:rsidRDefault="00C02345" w:rsidP="00423DBC">
            <w:pPr>
              <w:spacing w:line="240" w:lineRule="auto"/>
              <w:rPr>
                <w:b/>
                <w:bCs/>
              </w:rPr>
            </w:pPr>
            <w:r w:rsidRPr="002559DC">
              <w:rPr>
                <w:b/>
                <w:bCs/>
              </w:rPr>
              <w:t>Annual application rate</w:t>
            </w:r>
          </w:p>
          <w:p w:rsidR="00C02345" w:rsidRPr="002559DC" w:rsidRDefault="00C02345" w:rsidP="00423DBC">
            <w:pPr>
              <w:spacing w:line="240" w:lineRule="auto"/>
              <w:rPr>
                <w:b/>
                <w:bCs/>
              </w:rPr>
            </w:pPr>
            <w:r w:rsidRPr="002559DC">
              <w:rPr>
                <w:b/>
                <w:bCs/>
              </w:rPr>
              <w:t>(Application rate X Applications per year)</w:t>
            </w:r>
          </w:p>
        </w:tc>
        <w:tc>
          <w:tcPr>
            <w:tcW w:w="1121" w:type="dxa"/>
            <w:vAlign w:val="center"/>
          </w:tcPr>
          <w:p w:rsidR="00C02345" w:rsidRPr="002559DC" w:rsidRDefault="00C02345" w:rsidP="00C02345">
            <w:pPr>
              <w:spacing w:line="240" w:lineRule="auto"/>
              <w:rPr>
                <w:b/>
                <w:bCs/>
              </w:rPr>
            </w:pPr>
            <w:r w:rsidRPr="002559DC">
              <w:rPr>
                <w:b/>
                <w:bCs/>
              </w:rPr>
              <w:t>L/year</w:t>
            </w:r>
          </w:p>
        </w:tc>
        <w:tc>
          <w:tcPr>
            <w:tcW w:w="1337" w:type="dxa"/>
            <w:vAlign w:val="center"/>
          </w:tcPr>
          <w:p w:rsidR="00C02345" w:rsidRPr="002559DC" w:rsidRDefault="00C02345" w:rsidP="00C02345">
            <w:pPr>
              <w:spacing w:line="240" w:lineRule="auto"/>
              <w:jc w:val="right"/>
              <w:rPr>
                <w:b/>
                <w:bCs/>
              </w:rPr>
            </w:pPr>
            <w:r w:rsidRPr="002559DC">
              <w:rPr>
                <w:b/>
                <w:bCs/>
              </w:rPr>
              <w:t>0.0919</w:t>
            </w:r>
          </w:p>
        </w:tc>
        <w:tc>
          <w:tcPr>
            <w:tcW w:w="1363" w:type="dxa"/>
            <w:vAlign w:val="center"/>
          </w:tcPr>
          <w:p w:rsidR="00C02345" w:rsidRPr="002559DC" w:rsidRDefault="00C02345" w:rsidP="00833FC6">
            <w:pPr>
              <w:spacing w:line="240" w:lineRule="auto"/>
              <w:jc w:val="right"/>
              <w:rPr>
                <w:b/>
                <w:bCs/>
              </w:rPr>
            </w:pPr>
            <w:r w:rsidRPr="002559DC">
              <w:rPr>
                <w:b/>
                <w:bCs/>
              </w:rPr>
              <w:t>0.0919</w:t>
            </w:r>
          </w:p>
        </w:tc>
      </w:tr>
      <w:tr w:rsidR="00C02345" w:rsidTr="007E3D92">
        <w:trPr>
          <w:trHeight w:val="585"/>
        </w:trPr>
        <w:tc>
          <w:tcPr>
            <w:tcW w:w="5849" w:type="dxa"/>
          </w:tcPr>
          <w:p w:rsidR="004A7A11" w:rsidRDefault="00C02345" w:rsidP="00423DBC">
            <w:pPr>
              <w:spacing w:line="240" w:lineRule="auto"/>
              <w:rPr>
                <w:bCs/>
              </w:rPr>
            </w:pPr>
            <w:r w:rsidRPr="002559DC">
              <w:rPr>
                <w:bCs/>
              </w:rPr>
              <w:t>Average harvested area of corn</w:t>
            </w:r>
          </w:p>
          <w:p w:rsidR="00C02345" w:rsidRPr="002559DC" w:rsidRDefault="00C02345" w:rsidP="00F10D30">
            <w:pPr>
              <w:spacing w:line="240" w:lineRule="auto"/>
              <w:rPr>
                <w:bCs/>
              </w:rPr>
            </w:pPr>
            <w:r w:rsidRPr="002559DC">
              <w:rPr>
                <w:bCs/>
              </w:rPr>
              <w:t>(5 years to 2017)</w:t>
            </w:r>
          </w:p>
        </w:tc>
        <w:tc>
          <w:tcPr>
            <w:tcW w:w="1121" w:type="dxa"/>
            <w:vAlign w:val="center"/>
          </w:tcPr>
          <w:p w:rsidR="00C02345" w:rsidRPr="00E24414" w:rsidRDefault="00C02345" w:rsidP="00C02345">
            <w:pPr>
              <w:spacing w:line="240" w:lineRule="auto"/>
              <w:rPr>
                <w:bCs/>
              </w:rPr>
            </w:pPr>
            <w:r w:rsidRPr="00E24414">
              <w:rPr>
                <w:bCs/>
              </w:rPr>
              <w:t>ha</w:t>
            </w:r>
          </w:p>
        </w:tc>
        <w:tc>
          <w:tcPr>
            <w:tcW w:w="1337" w:type="dxa"/>
            <w:vAlign w:val="center"/>
          </w:tcPr>
          <w:p w:rsidR="00C02345" w:rsidRPr="00E24414" w:rsidRDefault="00C02345" w:rsidP="00833FC6">
            <w:pPr>
              <w:spacing w:line="240" w:lineRule="auto"/>
              <w:jc w:val="right"/>
              <w:rPr>
                <w:bCs/>
              </w:rPr>
            </w:pPr>
            <w:r w:rsidRPr="00E24414">
              <w:rPr>
                <w:bCs/>
              </w:rPr>
              <w:t>34,057,660</w:t>
            </w:r>
          </w:p>
        </w:tc>
        <w:tc>
          <w:tcPr>
            <w:tcW w:w="1363" w:type="dxa"/>
            <w:vAlign w:val="center"/>
          </w:tcPr>
          <w:p w:rsidR="00C02345" w:rsidRPr="00E24414" w:rsidRDefault="00C02345" w:rsidP="00C02345">
            <w:pPr>
              <w:spacing w:line="240" w:lineRule="auto"/>
              <w:jc w:val="right"/>
              <w:rPr>
                <w:bCs/>
              </w:rPr>
            </w:pPr>
            <w:r w:rsidRPr="00E24414">
              <w:rPr>
                <w:bCs/>
              </w:rPr>
              <w:t>62,327</w:t>
            </w:r>
          </w:p>
        </w:tc>
      </w:tr>
      <w:tr w:rsidR="00C02345" w:rsidTr="00C02345">
        <w:trPr>
          <w:trHeight w:val="371"/>
        </w:trPr>
        <w:tc>
          <w:tcPr>
            <w:tcW w:w="5849" w:type="dxa"/>
          </w:tcPr>
          <w:p w:rsidR="00C02345" w:rsidRPr="002559DC" w:rsidRDefault="00C02345" w:rsidP="00C02345">
            <w:pPr>
              <w:spacing w:line="240" w:lineRule="auto"/>
              <w:rPr>
                <w:bCs/>
              </w:rPr>
            </w:pPr>
            <w:r w:rsidRPr="002559DC">
              <w:rPr>
                <w:bCs/>
              </w:rPr>
              <w:t xml:space="preserve">Treated area </w:t>
            </w:r>
            <w:r w:rsidR="00B7669F">
              <w:rPr>
                <w:bCs/>
              </w:rPr>
              <w:t>per cent</w:t>
            </w:r>
            <w:r w:rsidRPr="002559DC">
              <w:rPr>
                <w:bCs/>
              </w:rPr>
              <w:t xml:space="preserve"> of area planted</w:t>
            </w:r>
          </w:p>
        </w:tc>
        <w:tc>
          <w:tcPr>
            <w:tcW w:w="1121" w:type="dxa"/>
            <w:vAlign w:val="center"/>
          </w:tcPr>
          <w:p w:rsidR="00C02345" w:rsidRPr="00E24414" w:rsidRDefault="00B7669F" w:rsidP="00C02345">
            <w:pPr>
              <w:spacing w:line="240" w:lineRule="auto"/>
              <w:rPr>
                <w:bCs/>
              </w:rPr>
            </w:pPr>
            <w:r>
              <w:rPr>
                <w:bCs/>
              </w:rPr>
              <w:t>per cent</w:t>
            </w:r>
          </w:p>
        </w:tc>
        <w:tc>
          <w:tcPr>
            <w:tcW w:w="1337" w:type="dxa"/>
            <w:vAlign w:val="center"/>
          </w:tcPr>
          <w:p w:rsidR="00C02345" w:rsidRPr="00E24414" w:rsidRDefault="00C02345" w:rsidP="00F10D30">
            <w:pPr>
              <w:spacing w:line="240" w:lineRule="auto"/>
              <w:jc w:val="right"/>
              <w:rPr>
                <w:bCs/>
              </w:rPr>
            </w:pPr>
            <w:r w:rsidRPr="00E24414">
              <w:rPr>
                <w:bCs/>
              </w:rPr>
              <w:t>10</w:t>
            </w:r>
          </w:p>
        </w:tc>
        <w:tc>
          <w:tcPr>
            <w:tcW w:w="1363" w:type="dxa"/>
            <w:vAlign w:val="center"/>
          </w:tcPr>
          <w:p w:rsidR="00C02345" w:rsidRPr="00E24414" w:rsidRDefault="00C02345" w:rsidP="00EF4446">
            <w:pPr>
              <w:spacing w:line="240" w:lineRule="auto"/>
              <w:jc w:val="right"/>
              <w:rPr>
                <w:bCs/>
              </w:rPr>
            </w:pPr>
            <w:r w:rsidRPr="006D3848">
              <w:rPr>
                <w:bCs/>
                <w:i/>
              </w:rPr>
              <w:t>10</w:t>
            </w:r>
          </w:p>
        </w:tc>
      </w:tr>
      <w:tr w:rsidR="00C02345" w:rsidRPr="00E24414" w:rsidTr="00C02345">
        <w:trPr>
          <w:trHeight w:val="570"/>
        </w:trPr>
        <w:tc>
          <w:tcPr>
            <w:tcW w:w="5849" w:type="dxa"/>
          </w:tcPr>
          <w:p w:rsidR="00423DBC" w:rsidRDefault="00C02345" w:rsidP="00423DBC">
            <w:pPr>
              <w:spacing w:line="240" w:lineRule="auto"/>
              <w:rPr>
                <w:b/>
                <w:bCs/>
              </w:rPr>
            </w:pPr>
            <w:r w:rsidRPr="002559DC">
              <w:rPr>
                <w:b/>
                <w:bCs/>
              </w:rPr>
              <w:t>Applied area</w:t>
            </w:r>
          </w:p>
          <w:p w:rsidR="00C02345" w:rsidRPr="002559DC" w:rsidRDefault="00C02345" w:rsidP="00423DBC">
            <w:pPr>
              <w:spacing w:line="240" w:lineRule="auto"/>
              <w:rPr>
                <w:b/>
                <w:bCs/>
              </w:rPr>
            </w:pPr>
            <w:r w:rsidRPr="002559DC">
              <w:rPr>
                <w:b/>
                <w:bCs/>
              </w:rPr>
              <w:t xml:space="preserve">(Average harvested area X </w:t>
            </w:r>
            <w:r w:rsidR="00B7669F">
              <w:rPr>
                <w:b/>
                <w:bCs/>
              </w:rPr>
              <w:t>per cent</w:t>
            </w:r>
            <w:r w:rsidRPr="002559DC">
              <w:rPr>
                <w:b/>
                <w:bCs/>
              </w:rPr>
              <w:t xml:space="preserve"> of planted area treated)</w:t>
            </w:r>
          </w:p>
        </w:tc>
        <w:tc>
          <w:tcPr>
            <w:tcW w:w="1121" w:type="dxa"/>
            <w:vAlign w:val="center"/>
          </w:tcPr>
          <w:p w:rsidR="00C02345" w:rsidRPr="002559DC" w:rsidRDefault="00C02345" w:rsidP="00C02345">
            <w:pPr>
              <w:spacing w:line="240" w:lineRule="auto"/>
              <w:rPr>
                <w:b/>
                <w:bCs/>
              </w:rPr>
            </w:pPr>
            <w:r w:rsidRPr="002559DC">
              <w:rPr>
                <w:b/>
                <w:bCs/>
              </w:rPr>
              <w:t>ha</w:t>
            </w:r>
          </w:p>
        </w:tc>
        <w:tc>
          <w:tcPr>
            <w:tcW w:w="1337" w:type="dxa"/>
            <w:vAlign w:val="center"/>
          </w:tcPr>
          <w:p w:rsidR="00C02345" w:rsidRPr="002559DC" w:rsidRDefault="00C02345" w:rsidP="00C02345">
            <w:pPr>
              <w:spacing w:line="240" w:lineRule="auto"/>
              <w:jc w:val="right"/>
              <w:rPr>
                <w:b/>
                <w:bCs/>
              </w:rPr>
            </w:pPr>
            <w:r w:rsidRPr="002559DC">
              <w:rPr>
                <w:b/>
                <w:bCs/>
              </w:rPr>
              <w:t>3,405,766</w:t>
            </w:r>
          </w:p>
        </w:tc>
        <w:tc>
          <w:tcPr>
            <w:tcW w:w="1363" w:type="dxa"/>
            <w:vAlign w:val="center"/>
          </w:tcPr>
          <w:p w:rsidR="00C02345" w:rsidRPr="002559DC" w:rsidRDefault="00C02345" w:rsidP="00C02345">
            <w:pPr>
              <w:spacing w:line="240" w:lineRule="auto"/>
              <w:jc w:val="right"/>
              <w:rPr>
                <w:b/>
                <w:bCs/>
              </w:rPr>
            </w:pPr>
            <w:r w:rsidRPr="002559DC">
              <w:rPr>
                <w:b/>
                <w:bCs/>
              </w:rPr>
              <w:t>6,046</w:t>
            </w:r>
          </w:p>
        </w:tc>
      </w:tr>
      <w:tr w:rsidR="00C02345" w:rsidRPr="00E24414" w:rsidTr="007E3D92">
        <w:trPr>
          <w:trHeight w:val="585"/>
        </w:trPr>
        <w:tc>
          <w:tcPr>
            <w:tcW w:w="5849" w:type="dxa"/>
          </w:tcPr>
          <w:p w:rsidR="00423DBC" w:rsidRDefault="00C02345" w:rsidP="00C02345">
            <w:pPr>
              <w:spacing w:line="240" w:lineRule="auto"/>
              <w:rPr>
                <w:b/>
                <w:bCs/>
              </w:rPr>
            </w:pPr>
            <w:r>
              <w:rPr>
                <w:b/>
                <w:bCs/>
              </w:rPr>
              <w:t>Annual volume of agvet chemical applied</w:t>
            </w:r>
          </w:p>
          <w:p w:rsidR="00C02345" w:rsidRPr="00376909" w:rsidRDefault="00C02345" w:rsidP="00C02345">
            <w:pPr>
              <w:spacing w:line="240" w:lineRule="auto"/>
              <w:rPr>
                <w:b/>
                <w:bCs/>
              </w:rPr>
            </w:pPr>
            <w:r>
              <w:rPr>
                <w:b/>
                <w:bCs/>
              </w:rPr>
              <w:t>(applied area X annual application rate)</w:t>
            </w:r>
          </w:p>
        </w:tc>
        <w:tc>
          <w:tcPr>
            <w:tcW w:w="1121" w:type="dxa"/>
            <w:vAlign w:val="center"/>
          </w:tcPr>
          <w:p w:rsidR="00C02345" w:rsidRPr="004802B0" w:rsidRDefault="00C02345" w:rsidP="00C02345">
            <w:pPr>
              <w:spacing w:line="240" w:lineRule="auto"/>
              <w:rPr>
                <w:b/>
              </w:rPr>
            </w:pPr>
            <w:r w:rsidRPr="004802B0">
              <w:rPr>
                <w:b/>
              </w:rPr>
              <w:t>L</w:t>
            </w:r>
          </w:p>
        </w:tc>
        <w:tc>
          <w:tcPr>
            <w:tcW w:w="1337" w:type="dxa"/>
            <w:vAlign w:val="center"/>
          </w:tcPr>
          <w:p w:rsidR="00C02345" w:rsidRPr="004802B0" w:rsidRDefault="00C02345" w:rsidP="00C02345">
            <w:pPr>
              <w:spacing w:line="240" w:lineRule="auto"/>
              <w:jc w:val="right"/>
              <w:rPr>
                <w:b/>
              </w:rPr>
            </w:pPr>
            <w:r w:rsidRPr="004802B0">
              <w:rPr>
                <w:b/>
              </w:rPr>
              <w:t>312,990</w:t>
            </w:r>
          </w:p>
        </w:tc>
        <w:tc>
          <w:tcPr>
            <w:tcW w:w="1363" w:type="dxa"/>
            <w:vAlign w:val="center"/>
          </w:tcPr>
          <w:p w:rsidR="00C02345" w:rsidRPr="004802B0" w:rsidRDefault="00C02345" w:rsidP="00C02345">
            <w:pPr>
              <w:spacing w:line="240" w:lineRule="auto"/>
              <w:jc w:val="right"/>
              <w:rPr>
                <w:b/>
              </w:rPr>
            </w:pPr>
            <w:r w:rsidRPr="004802B0">
              <w:rPr>
                <w:b/>
              </w:rPr>
              <w:t>556</w:t>
            </w:r>
          </w:p>
        </w:tc>
      </w:tr>
      <w:tr w:rsidR="00C02345" w:rsidRPr="00E24414" w:rsidTr="007E3D92">
        <w:trPr>
          <w:trHeight w:val="385"/>
        </w:trPr>
        <w:tc>
          <w:tcPr>
            <w:tcW w:w="5849" w:type="dxa"/>
          </w:tcPr>
          <w:p w:rsidR="00C02345" w:rsidRPr="002559DC" w:rsidRDefault="00C02345" w:rsidP="00C02345">
            <w:pPr>
              <w:spacing w:line="240" w:lineRule="auto"/>
              <w:rPr>
                <w:bCs/>
              </w:rPr>
            </w:pPr>
            <w:r w:rsidRPr="002559DC">
              <w:rPr>
                <w:bCs/>
              </w:rPr>
              <w:t>Sale price</w:t>
            </w:r>
          </w:p>
        </w:tc>
        <w:tc>
          <w:tcPr>
            <w:tcW w:w="1121" w:type="dxa"/>
            <w:vAlign w:val="center"/>
          </w:tcPr>
          <w:p w:rsidR="00C02345" w:rsidRPr="002559DC" w:rsidRDefault="00C02345" w:rsidP="00C02345">
            <w:pPr>
              <w:spacing w:line="240" w:lineRule="auto"/>
              <w:rPr>
                <w:bCs/>
              </w:rPr>
            </w:pPr>
            <w:r w:rsidRPr="002559DC">
              <w:rPr>
                <w:bCs/>
              </w:rPr>
              <w:t>US$/L</w:t>
            </w:r>
          </w:p>
        </w:tc>
        <w:tc>
          <w:tcPr>
            <w:tcW w:w="1337" w:type="dxa"/>
            <w:vAlign w:val="center"/>
          </w:tcPr>
          <w:p w:rsidR="00C02345" w:rsidRPr="002559DC" w:rsidRDefault="00C02345" w:rsidP="00F10D30">
            <w:pPr>
              <w:spacing w:line="240" w:lineRule="auto"/>
              <w:jc w:val="right"/>
              <w:rPr>
                <w:bCs/>
              </w:rPr>
            </w:pPr>
            <w:r w:rsidRPr="002559DC">
              <w:rPr>
                <w:color w:val="000000"/>
                <w:sz w:val="18"/>
              </w:rPr>
              <w:t>$357</w:t>
            </w:r>
          </w:p>
        </w:tc>
        <w:tc>
          <w:tcPr>
            <w:tcW w:w="1363" w:type="dxa"/>
            <w:vAlign w:val="center"/>
          </w:tcPr>
          <w:p w:rsidR="00C02345" w:rsidRPr="002559DC" w:rsidRDefault="00C02345" w:rsidP="00EF4446">
            <w:pPr>
              <w:spacing w:line="240" w:lineRule="auto"/>
              <w:jc w:val="right"/>
              <w:rPr>
                <w:bCs/>
              </w:rPr>
            </w:pPr>
            <w:r w:rsidRPr="002559DC">
              <w:rPr>
                <w:color w:val="000000"/>
                <w:sz w:val="18"/>
              </w:rPr>
              <w:t>$357</w:t>
            </w:r>
          </w:p>
        </w:tc>
      </w:tr>
      <w:tr w:rsidR="00C02345" w:rsidRPr="00E24414" w:rsidTr="00C02345">
        <w:trPr>
          <w:trHeight w:val="570"/>
        </w:trPr>
        <w:tc>
          <w:tcPr>
            <w:tcW w:w="5849" w:type="dxa"/>
          </w:tcPr>
          <w:p w:rsidR="00423DBC" w:rsidRDefault="00C02345" w:rsidP="00423DBC">
            <w:pPr>
              <w:spacing w:line="240" w:lineRule="auto"/>
              <w:rPr>
                <w:b/>
                <w:bCs/>
              </w:rPr>
            </w:pPr>
            <w:r w:rsidRPr="002559DC">
              <w:rPr>
                <w:b/>
                <w:bCs/>
              </w:rPr>
              <w:t xml:space="preserve">Indicative </w:t>
            </w:r>
            <w:r>
              <w:rPr>
                <w:b/>
                <w:bCs/>
              </w:rPr>
              <w:t>revenue</w:t>
            </w:r>
          </w:p>
          <w:p w:rsidR="00C02345" w:rsidRPr="002559DC" w:rsidRDefault="00C02345" w:rsidP="00423DBC">
            <w:pPr>
              <w:spacing w:line="240" w:lineRule="auto"/>
              <w:rPr>
                <w:b/>
                <w:bCs/>
              </w:rPr>
            </w:pPr>
            <w:r w:rsidRPr="002559DC">
              <w:rPr>
                <w:b/>
                <w:bCs/>
              </w:rPr>
              <w:t>(Annual volume of agvet chemical applied X sale price)</w:t>
            </w:r>
          </w:p>
        </w:tc>
        <w:tc>
          <w:tcPr>
            <w:tcW w:w="1121" w:type="dxa"/>
            <w:vAlign w:val="center"/>
          </w:tcPr>
          <w:p w:rsidR="00C02345" w:rsidRPr="002559DC" w:rsidRDefault="00C02345" w:rsidP="00466E9E">
            <w:pPr>
              <w:spacing w:line="240" w:lineRule="auto"/>
              <w:rPr>
                <w:b/>
                <w:bCs/>
              </w:rPr>
            </w:pPr>
            <w:proofErr w:type="spellStart"/>
            <w:r w:rsidRPr="002559DC">
              <w:rPr>
                <w:b/>
                <w:bCs/>
              </w:rPr>
              <w:t>US$</w:t>
            </w:r>
            <w:r w:rsidR="001B0D93">
              <w:rPr>
                <w:b/>
                <w:bCs/>
              </w:rPr>
              <w:t>m</w:t>
            </w:r>
            <w:proofErr w:type="spellEnd"/>
            <w:r w:rsidRPr="002559DC">
              <w:rPr>
                <w:b/>
                <w:bCs/>
              </w:rPr>
              <w:t>/year</w:t>
            </w:r>
          </w:p>
        </w:tc>
        <w:tc>
          <w:tcPr>
            <w:tcW w:w="1337" w:type="dxa"/>
            <w:vAlign w:val="center"/>
          </w:tcPr>
          <w:p w:rsidR="00C02345" w:rsidRPr="002559DC" w:rsidRDefault="00C02345" w:rsidP="00C02345">
            <w:pPr>
              <w:spacing w:line="240" w:lineRule="auto"/>
              <w:jc w:val="right"/>
              <w:rPr>
                <w:b/>
                <w:bCs/>
              </w:rPr>
            </w:pPr>
            <w:r w:rsidRPr="002559DC">
              <w:rPr>
                <w:b/>
                <w:bCs/>
              </w:rPr>
              <w:t>$111</w:t>
            </w:r>
            <w:r w:rsidR="001B0D93">
              <w:rPr>
                <w:b/>
                <w:bCs/>
              </w:rPr>
              <w:t>.7</w:t>
            </w:r>
          </w:p>
        </w:tc>
        <w:tc>
          <w:tcPr>
            <w:tcW w:w="1363" w:type="dxa"/>
            <w:vAlign w:val="center"/>
          </w:tcPr>
          <w:p w:rsidR="00C02345" w:rsidRPr="002559DC" w:rsidRDefault="00C02345" w:rsidP="00C02345">
            <w:pPr>
              <w:spacing w:line="240" w:lineRule="auto"/>
              <w:jc w:val="right"/>
              <w:rPr>
                <w:b/>
                <w:bCs/>
              </w:rPr>
            </w:pPr>
            <w:r w:rsidRPr="002559DC">
              <w:rPr>
                <w:b/>
                <w:bCs/>
              </w:rPr>
              <w:t>$</w:t>
            </w:r>
            <w:r w:rsidR="001B0D93">
              <w:rPr>
                <w:b/>
                <w:bCs/>
              </w:rPr>
              <w:t>0.2</w:t>
            </w:r>
          </w:p>
        </w:tc>
      </w:tr>
    </w:tbl>
    <w:p w:rsidR="00F10D30" w:rsidRDefault="00F10D30" w:rsidP="00F10D30">
      <w:pPr>
        <w:pStyle w:val="Source"/>
        <w:rPr>
          <w:rFonts w:cs="Times New Roman"/>
          <w:szCs w:val="24"/>
        </w:rPr>
      </w:pPr>
      <w:r w:rsidRPr="00EF4446">
        <w:rPr>
          <w:rFonts w:cs="Times New Roman"/>
          <w:szCs w:val="24"/>
        </w:rPr>
        <w:t xml:space="preserve">Sources: </w:t>
      </w:r>
      <w:r w:rsidR="00916B38" w:rsidRPr="00916B38">
        <w:rPr>
          <w:rFonts w:cs="Times New Roman"/>
          <w:szCs w:val="24"/>
        </w:rPr>
        <w:t xml:space="preserve">Summit Agro USA </w:t>
      </w:r>
      <w:r w:rsidR="00C9710C">
        <w:rPr>
          <w:rFonts w:cs="Times New Roman"/>
          <w:szCs w:val="24"/>
        </w:rPr>
        <w:t>(</w:t>
      </w:r>
      <w:r w:rsidR="00916B38" w:rsidRPr="00916B38">
        <w:rPr>
          <w:rFonts w:cs="Times New Roman"/>
          <w:szCs w:val="24"/>
        </w:rPr>
        <w:t>2014</w:t>
      </w:r>
      <w:r w:rsidR="00C9710C">
        <w:rPr>
          <w:rFonts w:cs="Times New Roman"/>
          <w:szCs w:val="24"/>
        </w:rPr>
        <w:t>)</w:t>
      </w:r>
      <w:r w:rsidR="00916B38" w:rsidRPr="00916B38">
        <w:rPr>
          <w:rFonts w:cs="Times New Roman"/>
          <w:szCs w:val="24"/>
        </w:rPr>
        <w:t xml:space="preserve">; USDA NASS </w:t>
      </w:r>
      <w:r w:rsidR="00C9710C">
        <w:rPr>
          <w:rFonts w:cs="Times New Roman"/>
          <w:szCs w:val="24"/>
        </w:rPr>
        <w:t>(</w:t>
      </w:r>
      <w:r w:rsidR="00916B38" w:rsidRPr="00916B38">
        <w:rPr>
          <w:rFonts w:cs="Times New Roman"/>
          <w:szCs w:val="24"/>
        </w:rPr>
        <w:t>2019</w:t>
      </w:r>
      <w:r w:rsidR="00C9710C">
        <w:rPr>
          <w:rFonts w:cs="Times New Roman"/>
          <w:szCs w:val="24"/>
        </w:rPr>
        <w:t>)</w:t>
      </w:r>
      <w:r w:rsidR="00916B38" w:rsidRPr="00916B38">
        <w:rPr>
          <w:rFonts w:cs="Times New Roman"/>
          <w:szCs w:val="24"/>
        </w:rPr>
        <w:t xml:space="preserve">; </w:t>
      </w:r>
      <w:r w:rsidR="00B97FB7">
        <w:rPr>
          <w:rFonts w:cs="Times New Roman"/>
          <w:szCs w:val="24"/>
        </w:rPr>
        <w:t>FAO</w:t>
      </w:r>
      <w:r w:rsidR="00916B38" w:rsidRPr="00916B38">
        <w:rPr>
          <w:rFonts w:cs="Times New Roman"/>
          <w:szCs w:val="24"/>
        </w:rPr>
        <w:t xml:space="preserve"> </w:t>
      </w:r>
      <w:r w:rsidR="00C9710C">
        <w:rPr>
          <w:rFonts w:cs="Times New Roman"/>
          <w:szCs w:val="24"/>
        </w:rPr>
        <w:t>(</w:t>
      </w:r>
      <w:r w:rsidR="00916B38" w:rsidRPr="00916B38">
        <w:rPr>
          <w:rFonts w:cs="Times New Roman"/>
          <w:szCs w:val="24"/>
        </w:rPr>
        <w:t>201</w:t>
      </w:r>
      <w:r w:rsidR="00B97FB7">
        <w:rPr>
          <w:rFonts w:cs="Times New Roman"/>
          <w:szCs w:val="24"/>
        </w:rPr>
        <w:t>9</w:t>
      </w:r>
      <w:r w:rsidR="00C9710C">
        <w:rPr>
          <w:rFonts w:cs="Times New Roman"/>
          <w:szCs w:val="24"/>
        </w:rPr>
        <w:t>)</w:t>
      </w:r>
      <w:r w:rsidR="00916B38" w:rsidRPr="00916B38">
        <w:rPr>
          <w:rFonts w:cs="Times New Roman"/>
          <w:szCs w:val="24"/>
        </w:rPr>
        <w:t xml:space="preserve">; </w:t>
      </w:r>
      <w:proofErr w:type="spellStart"/>
      <w:r w:rsidR="00916B38" w:rsidRPr="00916B38">
        <w:rPr>
          <w:rFonts w:cs="Times New Roman"/>
          <w:szCs w:val="24"/>
        </w:rPr>
        <w:t>Pestrong</w:t>
      </w:r>
      <w:proofErr w:type="spellEnd"/>
      <w:r w:rsidR="00916B38" w:rsidRPr="00916B38">
        <w:rPr>
          <w:rFonts w:cs="Times New Roman"/>
          <w:szCs w:val="24"/>
        </w:rPr>
        <w:t xml:space="preserve"> </w:t>
      </w:r>
      <w:r w:rsidR="00C9710C">
        <w:rPr>
          <w:rFonts w:cs="Times New Roman"/>
          <w:szCs w:val="24"/>
        </w:rPr>
        <w:t>(</w:t>
      </w:r>
      <w:r w:rsidR="00FF02C5">
        <w:rPr>
          <w:rFonts w:cs="Times New Roman"/>
          <w:szCs w:val="24"/>
        </w:rPr>
        <w:t>2019a)</w:t>
      </w:r>
    </w:p>
    <w:p w:rsidR="00EF4446" w:rsidRPr="00EF4446" w:rsidRDefault="00EF4446" w:rsidP="00EF4446">
      <w:pPr>
        <w:rPr>
          <w:rFonts w:cs="Times New Roman"/>
          <w:iCs/>
          <w:color w:val="75787B" w:themeColor="accent6"/>
          <w:sz w:val="14"/>
          <w:szCs w:val="24"/>
        </w:rPr>
      </w:pPr>
      <w:r w:rsidRPr="00EF4446">
        <w:rPr>
          <w:rFonts w:cs="Times New Roman"/>
          <w:iCs/>
          <w:color w:val="75787B" w:themeColor="accent6"/>
          <w:sz w:val="14"/>
          <w:szCs w:val="24"/>
        </w:rPr>
        <w:t xml:space="preserve">Note: application rates, applications per year, treated area and sale price are assumed to be equivalent </w:t>
      </w:r>
      <w:r>
        <w:rPr>
          <w:rFonts w:cs="Times New Roman"/>
          <w:iCs/>
          <w:color w:val="75787B" w:themeColor="accent6"/>
          <w:sz w:val="14"/>
          <w:szCs w:val="24"/>
        </w:rPr>
        <w:t>in</w:t>
      </w:r>
      <w:r w:rsidRPr="00EF4446">
        <w:rPr>
          <w:rFonts w:cs="Times New Roman"/>
          <w:iCs/>
          <w:color w:val="75787B" w:themeColor="accent6"/>
          <w:sz w:val="14"/>
          <w:szCs w:val="24"/>
        </w:rPr>
        <w:t xml:space="preserve"> Australia and the United States.</w:t>
      </w:r>
    </w:p>
    <w:p w:rsidR="00B15D21" w:rsidRDefault="00B15D21">
      <w:pPr>
        <w:spacing w:after="0"/>
      </w:pPr>
      <w:r>
        <w:br w:type="page"/>
      </w:r>
    </w:p>
    <w:p w:rsidR="00016D4A" w:rsidRPr="00B572A1" w:rsidRDefault="00016D4A" w:rsidP="00B572A1">
      <w:pPr>
        <w:rPr>
          <w:b/>
        </w:rPr>
      </w:pPr>
      <w:r w:rsidRPr="00B572A1">
        <w:rPr>
          <w:b/>
        </w:rPr>
        <w:t xml:space="preserve">BASF </w:t>
      </w:r>
      <w:proofErr w:type="spellStart"/>
      <w:r w:rsidRPr="00B572A1">
        <w:rPr>
          <w:b/>
        </w:rPr>
        <w:t>Caramba</w:t>
      </w:r>
      <w:proofErr w:type="spellEnd"/>
    </w:p>
    <w:p w:rsidR="00016D4A" w:rsidRPr="00B15D21" w:rsidRDefault="000D0AEB" w:rsidP="00B15D21">
      <w:r>
        <w:t xml:space="preserve">In </w:t>
      </w:r>
      <w:r w:rsidR="00B15D21">
        <w:t>2014</w:t>
      </w:r>
      <w:r>
        <w:t xml:space="preserve"> BASF released </w:t>
      </w:r>
      <w:proofErr w:type="spellStart"/>
      <w:r w:rsidRPr="00600C49">
        <w:t>Caramba</w:t>
      </w:r>
      <w:proofErr w:type="spellEnd"/>
      <w:r w:rsidRPr="00600C49">
        <w:t xml:space="preserve">. </w:t>
      </w:r>
      <w:proofErr w:type="spellStart"/>
      <w:r w:rsidRPr="00600C49">
        <w:t>Caramba</w:t>
      </w:r>
      <w:proofErr w:type="spellEnd"/>
      <w:r>
        <w:t xml:space="preserve"> </w:t>
      </w:r>
      <w:r w:rsidRPr="007A33FD">
        <w:t xml:space="preserve">is a </w:t>
      </w:r>
      <w:r>
        <w:t xml:space="preserve">fungicide for use on cereals crops, soybeans and </w:t>
      </w:r>
      <w:proofErr w:type="spellStart"/>
      <w:r>
        <w:t>sugarbeet</w:t>
      </w:r>
      <w:proofErr w:type="spellEnd"/>
      <w:r>
        <w:t xml:space="preserve">. Its active ingredient is </w:t>
      </w:r>
      <w:proofErr w:type="spellStart"/>
      <w:r>
        <w:t>metconazole</w:t>
      </w:r>
      <w:proofErr w:type="spellEnd"/>
      <w:r w:rsidR="00B15D21">
        <w:t xml:space="preserve">, it is registered in the </w:t>
      </w:r>
      <w:r w:rsidR="003B30F5">
        <w:t>US</w:t>
      </w:r>
      <w:r w:rsidR="00B15D21">
        <w:t xml:space="preserve"> but not Australia</w:t>
      </w:r>
      <w:r>
        <w:t>.</w:t>
      </w:r>
    </w:p>
    <w:p w:rsidR="00016D4A" w:rsidRPr="00B15D21" w:rsidRDefault="00016D4A" w:rsidP="00B15D21">
      <w:pPr>
        <w:pStyle w:val="Caption"/>
      </w:pPr>
      <w:bookmarkStart w:id="394" w:name="_Toc4544848"/>
      <w:r w:rsidRPr="00DC6DCB">
        <w:t xml:space="preserve">Table </w:t>
      </w:r>
      <w:r w:rsidR="00FE6A25">
        <w:t>D</w:t>
      </w:r>
      <w:r>
        <w:t>.</w:t>
      </w:r>
      <w:r w:rsidR="00FE6A25">
        <w:t>3</w:t>
      </w:r>
      <w:r w:rsidRPr="00DC6DCB">
        <w:t xml:space="preserve"> </w:t>
      </w:r>
      <w:r w:rsidR="00FE6A25">
        <w:t>E</w:t>
      </w:r>
      <w:r w:rsidRPr="00DC6DCB">
        <w:t>stimated annual market revenue for BASF</w:t>
      </w:r>
      <w:r w:rsidR="002F15F5">
        <w:t>’s</w:t>
      </w:r>
      <w:r w:rsidRPr="00DC6DCB">
        <w:t xml:space="preserve"> </w:t>
      </w:r>
      <w:proofErr w:type="spellStart"/>
      <w:r w:rsidRPr="00600C49">
        <w:t>Caramba</w:t>
      </w:r>
      <w:bookmarkEnd w:id="394"/>
      <w:proofErr w:type="spellEnd"/>
    </w:p>
    <w:tbl>
      <w:tblPr>
        <w:tblStyle w:val="Deloittetable"/>
        <w:tblW w:w="9629" w:type="dxa"/>
        <w:tblLayout w:type="fixed"/>
        <w:tblLook w:val="04A0" w:firstRow="1" w:lastRow="0" w:firstColumn="1" w:lastColumn="0" w:noHBand="0" w:noVBand="1"/>
      </w:tblPr>
      <w:tblGrid>
        <w:gridCol w:w="5670"/>
        <w:gridCol w:w="1276"/>
        <w:gridCol w:w="1312"/>
        <w:gridCol w:w="1371"/>
      </w:tblGrid>
      <w:tr w:rsidR="00016D4A" w:rsidTr="00A24225">
        <w:trPr>
          <w:cnfStyle w:val="100000000000" w:firstRow="1" w:lastRow="0" w:firstColumn="0" w:lastColumn="0" w:oddVBand="0" w:evenVBand="0" w:oddHBand="0" w:evenHBand="0" w:firstRowFirstColumn="0" w:firstRowLastColumn="0" w:lastRowFirstColumn="0" w:lastRowLastColumn="0"/>
          <w:cantSplit/>
          <w:tblHeader/>
        </w:trPr>
        <w:tc>
          <w:tcPr>
            <w:tcW w:w="5670" w:type="dxa"/>
          </w:tcPr>
          <w:p w:rsidR="00016D4A" w:rsidRDefault="001924FB" w:rsidP="00016D4A">
            <w:pPr>
              <w:spacing w:line="240" w:lineRule="auto"/>
              <w:rPr>
                <w:b/>
                <w:bCs/>
              </w:rPr>
            </w:pPr>
            <w:r>
              <w:rPr>
                <w:b/>
                <w:bCs/>
              </w:rPr>
              <w:t>Steps</w:t>
            </w:r>
          </w:p>
        </w:tc>
        <w:tc>
          <w:tcPr>
            <w:tcW w:w="1276" w:type="dxa"/>
          </w:tcPr>
          <w:p w:rsidR="00016D4A" w:rsidRDefault="00016D4A" w:rsidP="00016D4A">
            <w:pPr>
              <w:spacing w:line="240" w:lineRule="auto"/>
              <w:rPr>
                <w:b/>
                <w:bCs/>
              </w:rPr>
            </w:pPr>
            <w:r>
              <w:rPr>
                <w:b/>
                <w:bCs/>
              </w:rPr>
              <w:t>Units</w:t>
            </w:r>
          </w:p>
        </w:tc>
        <w:tc>
          <w:tcPr>
            <w:tcW w:w="1312" w:type="dxa"/>
          </w:tcPr>
          <w:p w:rsidR="00016D4A" w:rsidRDefault="00466E9E" w:rsidP="00753DF4">
            <w:pPr>
              <w:spacing w:line="240" w:lineRule="auto"/>
              <w:jc w:val="right"/>
              <w:rPr>
                <w:b/>
                <w:bCs/>
              </w:rPr>
            </w:pPr>
            <w:r>
              <w:rPr>
                <w:b/>
                <w:bCs/>
              </w:rPr>
              <w:t xml:space="preserve">United </w:t>
            </w:r>
            <w:r w:rsidR="00016D4A">
              <w:rPr>
                <w:b/>
                <w:bCs/>
              </w:rPr>
              <w:t>States</w:t>
            </w:r>
          </w:p>
        </w:tc>
        <w:tc>
          <w:tcPr>
            <w:tcW w:w="1371" w:type="dxa"/>
          </w:tcPr>
          <w:p w:rsidR="00016D4A" w:rsidRDefault="00016D4A" w:rsidP="00753DF4">
            <w:pPr>
              <w:spacing w:line="240" w:lineRule="auto"/>
              <w:jc w:val="right"/>
              <w:rPr>
                <w:b/>
                <w:bCs/>
              </w:rPr>
            </w:pPr>
            <w:r>
              <w:rPr>
                <w:b/>
                <w:bCs/>
              </w:rPr>
              <w:t>Australia</w:t>
            </w:r>
          </w:p>
        </w:tc>
      </w:tr>
      <w:tr w:rsidR="00016D4A" w:rsidTr="008E695A">
        <w:tc>
          <w:tcPr>
            <w:tcW w:w="5670" w:type="dxa"/>
            <w:vAlign w:val="center"/>
          </w:tcPr>
          <w:p w:rsidR="00016D4A" w:rsidRPr="002559DC" w:rsidRDefault="00016D4A" w:rsidP="00016D4A">
            <w:pPr>
              <w:spacing w:line="240" w:lineRule="auto"/>
              <w:rPr>
                <w:bCs/>
              </w:rPr>
            </w:pPr>
            <w:r w:rsidRPr="002559DC">
              <w:rPr>
                <w:bCs/>
              </w:rPr>
              <w:t>Application rate</w:t>
            </w:r>
          </w:p>
        </w:tc>
        <w:tc>
          <w:tcPr>
            <w:tcW w:w="1276" w:type="dxa"/>
            <w:vAlign w:val="center"/>
          </w:tcPr>
          <w:p w:rsidR="00016D4A" w:rsidRPr="00E24414" w:rsidRDefault="00016D4A" w:rsidP="00016D4A">
            <w:pPr>
              <w:spacing w:line="240" w:lineRule="auto"/>
              <w:rPr>
                <w:bCs/>
              </w:rPr>
            </w:pPr>
            <w:r w:rsidRPr="00E24414">
              <w:rPr>
                <w:bCs/>
              </w:rPr>
              <w:t>L/ha</w:t>
            </w:r>
          </w:p>
        </w:tc>
        <w:tc>
          <w:tcPr>
            <w:tcW w:w="1312" w:type="dxa"/>
            <w:vAlign w:val="center"/>
          </w:tcPr>
          <w:p w:rsidR="00016D4A" w:rsidRPr="00F2122E" w:rsidRDefault="00016D4A" w:rsidP="00CE17C9">
            <w:pPr>
              <w:spacing w:line="240" w:lineRule="auto"/>
              <w:jc w:val="right"/>
              <w:rPr>
                <w:bCs/>
              </w:rPr>
            </w:pPr>
            <w:r w:rsidRPr="00F2122E">
              <w:rPr>
                <w:color w:val="000000"/>
                <w:sz w:val="18"/>
              </w:rPr>
              <w:t>0.877</w:t>
            </w:r>
          </w:p>
        </w:tc>
        <w:tc>
          <w:tcPr>
            <w:tcW w:w="1371" w:type="dxa"/>
            <w:vAlign w:val="center"/>
          </w:tcPr>
          <w:p w:rsidR="00016D4A" w:rsidRPr="00F2122E" w:rsidRDefault="00016D4A" w:rsidP="00EF4446">
            <w:pPr>
              <w:spacing w:line="240" w:lineRule="auto"/>
              <w:jc w:val="right"/>
              <w:rPr>
                <w:color w:val="000000"/>
                <w:sz w:val="18"/>
              </w:rPr>
            </w:pPr>
            <w:r w:rsidRPr="00F2122E">
              <w:rPr>
                <w:color w:val="000000"/>
                <w:sz w:val="18"/>
              </w:rPr>
              <w:t>0.877</w:t>
            </w:r>
          </w:p>
        </w:tc>
      </w:tr>
      <w:tr w:rsidR="00016D4A" w:rsidTr="00466E9E">
        <w:tc>
          <w:tcPr>
            <w:tcW w:w="5670" w:type="dxa"/>
          </w:tcPr>
          <w:p w:rsidR="00016D4A" w:rsidRPr="002559DC" w:rsidRDefault="00016D4A" w:rsidP="00016D4A">
            <w:pPr>
              <w:spacing w:line="240" w:lineRule="auto"/>
              <w:rPr>
                <w:bCs/>
              </w:rPr>
            </w:pPr>
            <w:r w:rsidRPr="002559DC">
              <w:rPr>
                <w:bCs/>
              </w:rPr>
              <w:t>Applications per year</w:t>
            </w:r>
          </w:p>
        </w:tc>
        <w:tc>
          <w:tcPr>
            <w:tcW w:w="1276" w:type="dxa"/>
            <w:vAlign w:val="center"/>
          </w:tcPr>
          <w:p w:rsidR="00016D4A" w:rsidRPr="00E24414" w:rsidRDefault="00423DBC" w:rsidP="00016D4A">
            <w:pPr>
              <w:spacing w:line="240" w:lineRule="auto"/>
              <w:rPr>
                <w:bCs/>
              </w:rPr>
            </w:pPr>
            <w:r>
              <w:rPr>
                <w:bCs/>
              </w:rPr>
              <w:t>n</w:t>
            </w:r>
            <w:r w:rsidR="00016D4A" w:rsidRPr="00E24414">
              <w:rPr>
                <w:bCs/>
              </w:rPr>
              <w:t>o</w:t>
            </w:r>
            <w:r w:rsidR="006C34F2">
              <w:rPr>
                <w:bCs/>
              </w:rPr>
              <w:t>.</w:t>
            </w:r>
          </w:p>
        </w:tc>
        <w:tc>
          <w:tcPr>
            <w:tcW w:w="1312" w:type="dxa"/>
            <w:vAlign w:val="center"/>
          </w:tcPr>
          <w:p w:rsidR="00016D4A" w:rsidRPr="00706BF7" w:rsidRDefault="00016D4A" w:rsidP="00AD2AFF">
            <w:pPr>
              <w:spacing w:line="240" w:lineRule="auto"/>
              <w:jc w:val="right"/>
              <w:rPr>
                <w:bCs/>
              </w:rPr>
            </w:pPr>
            <w:r w:rsidRPr="00706BF7">
              <w:rPr>
                <w:bCs/>
              </w:rPr>
              <w:t>1.06</w:t>
            </w:r>
          </w:p>
        </w:tc>
        <w:tc>
          <w:tcPr>
            <w:tcW w:w="1371" w:type="dxa"/>
            <w:vAlign w:val="center"/>
          </w:tcPr>
          <w:p w:rsidR="00016D4A" w:rsidRPr="00706BF7" w:rsidRDefault="00016D4A" w:rsidP="00EF4446">
            <w:pPr>
              <w:spacing w:line="240" w:lineRule="auto"/>
              <w:jc w:val="right"/>
              <w:rPr>
                <w:bCs/>
              </w:rPr>
            </w:pPr>
            <w:r w:rsidRPr="00706BF7">
              <w:rPr>
                <w:bCs/>
              </w:rPr>
              <w:t>1.06</w:t>
            </w:r>
          </w:p>
        </w:tc>
      </w:tr>
      <w:tr w:rsidR="00016D4A" w:rsidTr="00466E9E">
        <w:tc>
          <w:tcPr>
            <w:tcW w:w="5670" w:type="dxa"/>
          </w:tcPr>
          <w:p w:rsidR="00423DBC" w:rsidRDefault="00016D4A" w:rsidP="00423DBC">
            <w:pPr>
              <w:spacing w:line="240" w:lineRule="auto"/>
              <w:rPr>
                <w:b/>
                <w:bCs/>
              </w:rPr>
            </w:pPr>
            <w:r w:rsidRPr="002559DC">
              <w:rPr>
                <w:b/>
                <w:bCs/>
              </w:rPr>
              <w:t>Annual application rate</w:t>
            </w:r>
          </w:p>
          <w:p w:rsidR="00016D4A" w:rsidRPr="002559DC" w:rsidRDefault="00016D4A" w:rsidP="00423DBC">
            <w:pPr>
              <w:spacing w:line="240" w:lineRule="auto"/>
              <w:rPr>
                <w:b/>
                <w:bCs/>
              </w:rPr>
            </w:pPr>
            <w:r w:rsidRPr="002559DC">
              <w:rPr>
                <w:b/>
                <w:bCs/>
              </w:rPr>
              <w:t>(Application rate X Applications per year)</w:t>
            </w:r>
          </w:p>
        </w:tc>
        <w:tc>
          <w:tcPr>
            <w:tcW w:w="1276" w:type="dxa"/>
            <w:vAlign w:val="center"/>
          </w:tcPr>
          <w:p w:rsidR="00016D4A" w:rsidRPr="002559DC" w:rsidRDefault="00016D4A" w:rsidP="00016D4A">
            <w:pPr>
              <w:spacing w:line="240" w:lineRule="auto"/>
              <w:rPr>
                <w:b/>
                <w:bCs/>
              </w:rPr>
            </w:pPr>
            <w:r w:rsidRPr="002559DC">
              <w:rPr>
                <w:b/>
                <w:bCs/>
              </w:rPr>
              <w:t>L/year</w:t>
            </w:r>
          </w:p>
        </w:tc>
        <w:tc>
          <w:tcPr>
            <w:tcW w:w="1312" w:type="dxa"/>
            <w:vAlign w:val="center"/>
          </w:tcPr>
          <w:p w:rsidR="00016D4A" w:rsidRPr="00706BF7" w:rsidRDefault="00016D4A" w:rsidP="00016D4A">
            <w:pPr>
              <w:spacing w:line="240" w:lineRule="auto"/>
              <w:jc w:val="right"/>
              <w:rPr>
                <w:b/>
                <w:bCs/>
              </w:rPr>
            </w:pPr>
            <w:r w:rsidRPr="00706BF7">
              <w:rPr>
                <w:b/>
                <w:bCs/>
              </w:rPr>
              <w:t>0.928</w:t>
            </w:r>
          </w:p>
        </w:tc>
        <w:tc>
          <w:tcPr>
            <w:tcW w:w="1371" w:type="dxa"/>
            <w:vAlign w:val="center"/>
          </w:tcPr>
          <w:p w:rsidR="00016D4A" w:rsidRPr="00706BF7" w:rsidRDefault="00016D4A" w:rsidP="00833FC6">
            <w:pPr>
              <w:spacing w:line="240" w:lineRule="auto"/>
              <w:jc w:val="right"/>
              <w:rPr>
                <w:b/>
                <w:bCs/>
              </w:rPr>
            </w:pPr>
            <w:r w:rsidRPr="00706BF7">
              <w:rPr>
                <w:b/>
                <w:bCs/>
              </w:rPr>
              <w:t>0.928</w:t>
            </w:r>
          </w:p>
        </w:tc>
      </w:tr>
      <w:tr w:rsidR="00016D4A" w:rsidTr="00466E9E">
        <w:tc>
          <w:tcPr>
            <w:tcW w:w="5670" w:type="dxa"/>
          </w:tcPr>
          <w:p w:rsidR="00423DBC" w:rsidRDefault="00016D4A" w:rsidP="00423DBC">
            <w:pPr>
              <w:spacing w:line="240" w:lineRule="auto"/>
              <w:rPr>
                <w:bCs/>
              </w:rPr>
            </w:pPr>
            <w:r>
              <w:rPr>
                <w:bCs/>
              </w:rPr>
              <w:t>Average harvested area</w:t>
            </w:r>
          </w:p>
          <w:p w:rsidR="00016D4A" w:rsidRPr="002559DC" w:rsidRDefault="00016D4A" w:rsidP="00AD2AFF">
            <w:pPr>
              <w:spacing w:line="240" w:lineRule="auto"/>
              <w:rPr>
                <w:bCs/>
              </w:rPr>
            </w:pPr>
            <w:r w:rsidRPr="002559DC">
              <w:rPr>
                <w:bCs/>
              </w:rPr>
              <w:t>(5 years to 2017)</w:t>
            </w:r>
            <w:r w:rsidR="00833FC6" w:rsidRPr="00133F52">
              <w:rPr>
                <w:rStyle w:val="FootnoteReference"/>
              </w:rPr>
              <w:t xml:space="preserve"> </w:t>
            </w:r>
          </w:p>
        </w:tc>
        <w:tc>
          <w:tcPr>
            <w:tcW w:w="1276" w:type="dxa"/>
            <w:vAlign w:val="center"/>
          </w:tcPr>
          <w:p w:rsidR="00016D4A" w:rsidRPr="00E24414" w:rsidRDefault="00016D4A" w:rsidP="00016D4A">
            <w:pPr>
              <w:spacing w:line="240" w:lineRule="auto"/>
              <w:rPr>
                <w:bCs/>
              </w:rPr>
            </w:pPr>
            <w:r w:rsidRPr="00E24414">
              <w:rPr>
                <w:bCs/>
              </w:rPr>
              <w:t>ha</w:t>
            </w:r>
          </w:p>
        </w:tc>
        <w:tc>
          <w:tcPr>
            <w:tcW w:w="1312" w:type="dxa"/>
            <w:vAlign w:val="center"/>
          </w:tcPr>
          <w:p w:rsidR="00016D4A" w:rsidRPr="00706BF7" w:rsidRDefault="00016D4A" w:rsidP="00016D4A">
            <w:pPr>
              <w:spacing w:line="240" w:lineRule="auto"/>
              <w:jc w:val="right"/>
              <w:rPr>
                <w:bCs/>
              </w:rPr>
            </w:pPr>
            <w:r>
              <w:rPr>
                <w:bCs/>
              </w:rPr>
              <w:t>439,352,920</w:t>
            </w:r>
          </w:p>
        </w:tc>
        <w:tc>
          <w:tcPr>
            <w:tcW w:w="1371" w:type="dxa"/>
            <w:vAlign w:val="center"/>
          </w:tcPr>
          <w:p w:rsidR="00016D4A" w:rsidRPr="00706BF7" w:rsidRDefault="00016D4A" w:rsidP="00016D4A">
            <w:pPr>
              <w:spacing w:line="240" w:lineRule="auto"/>
              <w:jc w:val="right"/>
              <w:rPr>
                <w:bCs/>
              </w:rPr>
            </w:pPr>
            <w:r w:rsidRPr="00706BF7">
              <w:rPr>
                <w:bCs/>
              </w:rPr>
              <w:t>86,923,135</w:t>
            </w:r>
          </w:p>
        </w:tc>
      </w:tr>
      <w:tr w:rsidR="00016D4A" w:rsidTr="00466E9E">
        <w:tc>
          <w:tcPr>
            <w:tcW w:w="5670" w:type="dxa"/>
          </w:tcPr>
          <w:p w:rsidR="00016D4A" w:rsidRPr="002559DC" w:rsidRDefault="00016D4A" w:rsidP="00016D4A">
            <w:pPr>
              <w:spacing w:line="240" w:lineRule="auto"/>
              <w:rPr>
                <w:bCs/>
              </w:rPr>
            </w:pPr>
            <w:r w:rsidRPr="002559DC">
              <w:rPr>
                <w:bCs/>
              </w:rPr>
              <w:t xml:space="preserve">Treated area </w:t>
            </w:r>
            <w:r w:rsidR="00B7669F">
              <w:rPr>
                <w:bCs/>
              </w:rPr>
              <w:t>per cent</w:t>
            </w:r>
            <w:r w:rsidRPr="002559DC">
              <w:rPr>
                <w:bCs/>
              </w:rPr>
              <w:t xml:space="preserve"> of area planted</w:t>
            </w:r>
          </w:p>
        </w:tc>
        <w:tc>
          <w:tcPr>
            <w:tcW w:w="1276" w:type="dxa"/>
            <w:vAlign w:val="center"/>
          </w:tcPr>
          <w:p w:rsidR="00016D4A" w:rsidRPr="00E24414" w:rsidRDefault="00B7669F" w:rsidP="00016D4A">
            <w:pPr>
              <w:spacing w:line="240" w:lineRule="auto"/>
              <w:rPr>
                <w:bCs/>
              </w:rPr>
            </w:pPr>
            <w:r>
              <w:rPr>
                <w:bCs/>
              </w:rPr>
              <w:t>per cent</w:t>
            </w:r>
          </w:p>
        </w:tc>
        <w:tc>
          <w:tcPr>
            <w:tcW w:w="1312" w:type="dxa"/>
            <w:vAlign w:val="center"/>
          </w:tcPr>
          <w:p w:rsidR="00016D4A" w:rsidRPr="00706BF7" w:rsidRDefault="00016D4A" w:rsidP="00AD2AFF">
            <w:pPr>
              <w:spacing w:line="240" w:lineRule="auto"/>
              <w:jc w:val="right"/>
              <w:rPr>
                <w:bCs/>
              </w:rPr>
            </w:pPr>
            <w:r w:rsidRPr="00706BF7">
              <w:rPr>
                <w:bCs/>
              </w:rPr>
              <w:t>5.9</w:t>
            </w:r>
          </w:p>
        </w:tc>
        <w:tc>
          <w:tcPr>
            <w:tcW w:w="1371" w:type="dxa"/>
            <w:vAlign w:val="center"/>
          </w:tcPr>
          <w:p w:rsidR="00016D4A" w:rsidRPr="00706BF7" w:rsidRDefault="00016D4A" w:rsidP="00EF4446">
            <w:pPr>
              <w:spacing w:line="240" w:lineRule="auto"/>
              <w:jc w:val="right"/>
              <w:rPr>
                <w:bCs/>
              </w:rPr>
            </w:pPr>
            <w:r w:rsidRPr="00706BF7">
              <w:rPr>
                <w:bCs/>
              </w:rPr>
              <w:t>11.4</w:t>
            </w:r>
          </w:p>
        </w:tc>
      </w:tr>
      <w:tr w:rsidR="00016D4A" w:rsidRPr="00E24414" w:rsidTr="00466E9E">
        <w:tc>
          <w:tcPr>
            <w:tcW w:w="5670" w:type="dxa"/>
          </w:tcPr>
          <w:p w:rsidR="00423DBC" w:rsidRDefault="00016D4A" w:rsidP="00423DBC">
            <w:pPr>
              <w:spacing w:line="240" w:lineRule="auto"/>
              <w:rPr>
                <w:b/>
                <w:bCs/>
              </w:rPr>
            </w:pPr>
            <w:r w:rsidRPr="002559DC">
              <w:rPr>
                <w:b/>
                <w:bCs/>
              </w:rPr>
              <w:t>Applied area</w:t>
            </w:r>
          </w:p>
          <w:p w:rsidR="00016D4A" w:rsidRPr="002559DC" w:rsidRDefault="00016D4A" w:rsidP="00423DBC">
            <w:pPr>
              <w:spacing w:line="240" w:lineRule="auto"/>
              <w:rPr>
                <w:b/>
                <w:bCs/>
              </w:rPr>
            </w:pPr>
            <w:r w:rsidRPr="002559DC">
              <w:rPr>
                <w:b/>
                <w:bCs/>
              </w:rPr>
              <w:t xml:space="preserve">(Average harvested area X </w:t>
            </w:r>
            <w:r w:rsidR="00B7669F">
              <w:rPr>
                <w:b/>
                <w:bCs/>
              </w:rPr>
              <w:t>per cent</w:t>
            </w:r>
            <w:r w:rsidRPr="002559DC">
              <w:rPr>
                <w:b/>
                <w:bCs/>
              </w:rPr>
              <w:t xml:space="preserve"> of planted area treated)</w:t>
            </w:r>
          </w:p>
        </w:tc>
        <w:tc>
          <w:tcPr>
            <w:tcW w:w="1276" w:type="dxa"/>
            <w:vAlign w:val="center"/>
          </w:tcPr>
          <w:p w:rsidR="00016D4A" w:rsidRPr="002559DC" w:rsidRDefault="00016D4A" w:rsidP="00016D4A">
            <w:pPr>
              <w:spacing w:line="240" w:lineRule="auto"/>
              <w:rPr>
                <w:b/>
                <w:bCs/>
              </w:rPr>
            </w:pPr>
            <w:r w:rsidRPr="002559DC">
              <w:rPr>
                <w:b/>
                <w:bCs/>
              </w:rPr>
              <w:t>ha</w:t>
            </w:r>
          </w:p>
        </w:tc>
        <w:tc>
          <w:tcPr>
            <w:tcW w:w="1312" w:type="dxa"/>
            <w:vAlign w:val="center"/>
          </w:tcPr>
          <w:p w:rsidR="00016D4A" w:rsidRPr="00706BF7" w:rsidRDefault="00016D4A" w:rsidP="00016D4A">
            <w:pPr>
              <w:spacing w:line="240" w:lineRule="auto"/>
              <w:jc w:val="right"/>
              <w:rPr>
                <w:b/>
                <w:bCs/>
              </w:rPr>
            </w:pPr>
            <w:r w:rsidRPr="004802B0">
              <w:rPr>
                <w:b/>
              </w:rPr>
              <w:t>25,740,550</w:t>
            </w:r>
          </w:p>
        </w:tc>
        <w:tc>
          <w:tcPr>
            <w:tcW w:w="1371" w:type="dxa"/>
            <w:vAlign w:val="center"/>
          </w:tcPr>
          <w:p w:rsidR="00016D4A" w:rsidRPr="00706BF7" w:rsidRDefault="00016D4A" w:rsidP="00016D4A">
            <w:pPr>
              <w:spacing w:line="240" w:lineRule="auto"/>
              <w:jc w:val="right"/>
              <w:rPr>
                <w:b/>
                <w:bCs/>
              </w:rPr>
            </w:pPr>
            <w:r w:rsidRPr="00706BF7">
              <w:rPr>
                <w:b/>
                <w:bCs/>
              </w:rPr>
              <w:t>9,865,917</w:t>
            </w:r>
          </w:p>
        </w:tc>
      </w:tr>
      <w:tr w:rsidR="00016D4A" w:rsidRPr="00E24414" w:rsidTr="00466E9E">
        <w:tc>
          <w:tcPr>
            <w:tcW w:w="5670" w:type="dxa"/>
          </w:tcPr>
          <w:p w:rsidR="00423DBC" w:rsidRDefault="00016D4A" w:rsidP="00423DBC">
            <w:pPr>
              <w:spacing w:line="240" w:lineRule="auto"/>
              <w:rPr>
                <w:b/>
                <w:bCs/>
              </w:rPr>
            </w:pPr>
            <w:r>
              <w:rPr>
                <w:b/>
                <w:bCs/>
              </w:rPr>
              <w:t>Annual volume of agvet chemical applied</w:t>
            </w:r>
          </w:p>
          <w:p w:rsidR="00016D4A" w:rsidRPr="00376909" w:rsidRDefault="00016D4A" w:rsidP="00423DBC">
            <w:pPr>
              <w:spacing w:line="240" w:lineRule="auto"/>
              <w:rPr>
                <w:b/>
                <w:bCs/>
              </w:rPr>
            </w:pPr>
            <w:r>
              <w:rPr>
                <w:b/>
                <w:bCs/>
              </w:rPr>
              <w:t>(applied area X annual application rate)</w:t>
            </w:r>
          </w:p>
        </w:tc>
        <w:tc>
          <w:tcPr>
            <w:tcW w:w="1276" w:type="dxa"/>
            <w:vAlign w:val="center"/>
          </w:tcPr>
          <w:p w:rsidR="00016D4A" w:rsidRPr="004802B0" w:rsidRDefault="00016D4A" w:rsidP="00016D4A">
            <w:pPr>
              <w:spacing w:line="240" w:lineRule="auto"/>
              <w:rPr>
                <w:b/>
              </w:rPr>
            </w:pPr>
            <w:r w:rsidRPr="004802B0">
              <w:rPr>
                <w:b/>
              </w:rPr>
              <w:t>L</w:t>
            </w:r>
          </w:p>
        </w:tc>
        <w:tc>
          <w:tcPr>
            <w:tcW w:w="1312" w:type="dxa"/>
            <w:vAlign w:val="center"/>
          </w:tcPr>
          <w:p w:rsidR="00016D4A" w:rsidRPr="004802B0" w:rsidRDefault="00016D4A" w:rsidP="00016D4A">
            <w:pPr>
              <w:spacing w:line="240" w:lineRule="auto"/>
              <w:jc w:val="right"/>
              <w:rPr>
                <w:b/>
              </w:rPr>
            </w:pPr>
            <w:r w:rsidRPr="00706BF7">
              <w:rPr>
                <w:b/>
                <w:bCs/>
              </w:rPr>
              <w:t>23,898,659</w:t>
            </w:r>
          </w:p>
        </w:tc>
        <w:tc>
          <w:tcPr>
            <w:tcW w:w="1371" w:type="dxa"/>
            <w:vAlign w:val="center"/>
          </w:tcPr>
          <w:p w:rsidR="00016D4A" w:rsidRPr="004802B0" w:rsidRDefault="00016D4A" w:rsidP="00016D4A">
            <w:pPr>
              <w:spacing w:line="240" w:lineRule="auto"/>
              <w:jc w:val="right"/>
              <w:rPr>
                <w:b/>
              </w:rPr>
            </w:pPr>
            <w:r w:rsidRPr="004802B0">
              <w:rPr>
                <w:b/>
              </w:rPr>
              <w:t>9,159,952</w:t>
            </w:r>
          </w:p>
        </w:tc>
      </w:tr>
      <w:tr w:rsidR="00016D4A" w:rsidRPr="00E24414" w:rsidTr="00466E9E">
        <w:tc>
          <w:tcPr>
            <w:tcW w:w="5670" w:type="dxa"/>
          </w:tcPr>
          <w:p w:rsidR="00016D4A" w:rsidRPr="002559DC" w:rsidRDefault="00016D4A" w:rsidP="00016D4A">
            <w:pPr>
              <w:spacing w:line="240" w:lineRule="auto"/>
              <w:rPr>
                <w:bCs/>
              </w:rPr>
            </w:pPr>
            <w:r w:rsidRPr="002559DC">
              <w:rPr>
                <w:bCs/>
              </w:rPr>
              <w:t>Sale price</w:t>
            </w:r>
          </w:p>
        </w:tc>
        <w:tc>
          <w:tcPr>
            <w:tcW w:w="1276" w:type="dxa"/>
            <w:vAlign w:val="center"/>
          </w:tcPr>
          <w:p w:rsidR="00016D4A" w:rsidRPr="002559DC" w:rsidRDefault="00016D4A" w:rsidP="00016D4A">
            <w:pPr>
              <w:spacing w:line="240" w:lineRule="auto"/>
              <w:rPr>
                <w:bCs/>
              </w:rPr>
            </w:pPr>
            <w:r w:rsidRPr="002559DC">
              <w:rPr>
                <w:bCs/>
              </w:rPr>
              <w:t>US$/L</w:t>
            </w:r>
          </w:p>
        </w:tc>
        <w:tc>
          <w:tcPr>
            <w:tcW w:w="1312" w:type="dxa"/>
            <w:vAlign w:val="center"/>
          </w:tcPr>
          <w:p w:rsidR="00016D4A" w:rsidRPr="00706BF7" w:rsidRDefault="00016D4A" w:rsidP="00F10D30">
            <w:pPr>
              <w:spacing w:line="240" w:lineRule="auto"/>
              <w:jc w:val="right"/>
              <w:rPr>
                <w:bCs/>
              </w:rPr>
            </w:pPr>
            <w:r w:rsidRPr="00706BF7">
              <w:rPr>
                <w:color w:val="000000"/>
                <w:sz w:val="18"/>
              </w:rPr>
              <w:t>$44.88</w:t>
            </w:r>
          </w:p>
        </w:tc>
        <w:tc>
          <w:tcPr>
            <w:tcW w:w="1371" w:type="dxa"/>
            <w:vAlign w:val="center"/>
          </w:tcPr>
          <w:p w:rsidR="00016D4A" w:rsidRPr="00706BF7" w:rsidRDefault="00016D4A" w:rsidP="00F10D30">
            <w:pPr>
              <w:spacing w:line="240" w:lineRule="auto"/>
              <w:jc w:val="right"/>
              <w:rPr>
                <w:bCs/>
              </w:rPr>
            </w:pPr>
            <w:r w:rsidRPr="00706BF7">
              <w:rPr>
                <w:color w:val="000000"/>
                <w:sz w:val="18"/>
              </w:rPr>
              <w:t>$44.88</w:t>
            </w:r>
          </w:p>
        </w:tc>
      </w:tr>
      <w:tr w:rsidR="00016D4A" w:rsidRPr="00E24414" w:rsidTr="00466E9E">
        <w:tc>
          <w:tcPr>
            <w:tcW w:w="5670" w:type="dxa"/>
          </w:tcPr>
          <w:p w:rsidR="00423DBC" w:rsidRDefault="00016D4A" w:rsidP="00423DBC">
            <w:pPr>
              <w:spacing w:line="240" w:lineRule="auto"/>
              <w:rPr>
                <w:b/>
                <w:bCs/>
              </w:rPr>
            </w:pPr>
            <w:r w:rsidRPr="002559DC">
              <w:rPr>
                <w:b/>
                <w:bCs/>
              </w:rPr>
              <w:t xml:space="preserve">Indicative </w:t>
            </w:r>
            <w:r>
              <w:rPr>
                <w:b/>
                <w:bCs/>
              </w:rPr>
              <w:t>revenue</w:t>
            </w:r>
          </w:p>
          <w:p w:rsidR="00016D4A" w:rsidRPr="002559DC" w:rsidRDefault="00016D4A" w:rsidP="00423DBC">
            <w:pPr>
              <w:spacing w:line="240" w:lineRule="auto"/>
              <w:rPr>
                <w:b/>
                <w:bCs/>
              </w:rPr>
            </w:pPr>
            <w:r w:rsidRPr="002559DC">
              <w:rPr>
                <w:b/>
                <w:bCs/>
              </w:rPr>
              <w:t>(Annual volume of agvet chemical applied X sale price)</w:t>
            </w:r>
          </w:p>
        </w:tc>
        <w:tc>
          <w:tcPr>
            <w:tcW w:w="1276" w:type="dxa"/>
            <w:vAlign w:val="center"/>
          </w:tcPr>
          <w:p w:rsidR="00016D4A" w:rsidRPr="002559DC" w:rsidRDefault="00016D4A" w:rsidP="00825CF0">
            <w:pPr>
              <w:spacing w:line="240" w:lineRule="auto"/>
              <w:rPr>
                <w:b/>
                <w:bCs/>
              </w:rPr>
            </w:pPr>
            <w:proofErr w:type="spellStart"/>
            <w:r w:rsidRPr="002559DC">
              <w:rPr>
                <w:b/>
                <w:bCs/>
              </w:rPr>
              <w:t>US$</w:t>
            </w:r>
            <w:r w:rsidR="001B0D93">
              <w:rPr>
                <w:b/>
                <w:bCs/>
              </w:rPr>
              <w:t>m</w:t>
            </w:r>
            <w:proofErr w:type="spellEnd"/>
            <w:r w:rsidRPr="002559DC">
              <w:rPr>
                <w:b/>
                <w:bCs/>
              </w:rPr>
              <w:t>/year</w:t>
            </w:r>
          </w:p>
        </w:tc>
        <w:tc>
          <w:tcPr>
            <w:tcW w:w="1312" w:type="dxa"/>
            <w:vAlign w:val="center"/>
          </w:tcPr>
          <w:p w:rsidR="00016D4A" w:rsidRPr="00706BF7" w:rsidRDefault="00016D4A" w:rsidP="00016D4A">
            <w:pPr>
              <w:spacing w:line="240" w:lineRule="auto"/>
              <w:jc w:val="right"/>
              <w:rPr>
                <w:b/>
                <w:bCs/>
              </w:rPr>
            </w:pPr>
            <w:r w:rsidRPr="00706BF7">
              <w:rPr>
                <w:b/>
                <w:bCs/>
              </w:rPr>
              <w:t>$1,072</w:t>
            </w:r>
            <w:r w:rsidR="001B0D93">
              <w:rPr>
                <w:b/>
                <w:bCs/>
              </w:rPr>
              <w:t>.6</w:t>
            </w:r>
          </w:p>
        </w:tc>
        <w:tc>
          <w:tcPr>
            <w:tcW w:w="1371" w:type="dxa"/>
            <w:vAlign w:val="center"/>
          </w:tcPr>
          <w:p w:rsidR="00016D4A" w:rsidRPr="00706BF7" w:rsidRDefault="00016D4A" w:rsidP="00016D4A">
            <w:pPr>
              <w:spacing w:line="240" w:lineRule="auto"/>
              <w:jc w:val="right"/>
              <w:rPr>
                <w:b/>
                <w:bCs/>
              </w:rPr>
            </w:pPr>
            <w:r w:rsidRPr="00706BF7">
              <w:rPr>
                <w:b/>
                <w:bCs/>
              </w:rPr>
              <w:t>$411</w:t>
            </w:r>
            <w:r w:rsidR="001B0D93">
              <w:rPr>
                <w:b/>
                <w:bCs/>
              </w:rPr>
              <w:t>.1</w:t>
            </w:r>
          </w:p>
        </w:tc>
      </w:tr>
    </w:tbl>
    <w:p w:rsidR="00C9710C" w:rsidRDefault="00C9710C" w:rsidP="00C9710C">
      <w:pPr>
        <w:pStyle w:val="Source"/>
        <w:rPr>
          <w:rFonts w:cs="Times New Roman"/>
          <w:szCs w:val="24"/>
        </w:rPr>
      </w:pPr>
      <w:r>
        <w:t xml:space="preserve">Sources: </w:t>
      </w:r>
      <w:r w:rsidR="00CE17C9">
        <w:rPr>
          <w:rFonts w:cs="Times New Roman"/>
          <w:szCs w:val="24"/>
        </w:rPr>
        <w:t>BASF</w:t>
      </w:r>
      <w:r w:rsidRPr="00916B38">
        <w:rPr>
          <w:rFonts w:cs="Times New Roman"/>
          <w:szCs w:val="24"/>
        </w:rPr>
        <w:t xml:space="preserve"> </w:t>
      </w:r>
      <w:r>
        <w:rPr>
          <w:rFonts w:cs="Times New Roman"/>
          <w:szCs w:val="24"/>
        </w:rPr>
        <w:t>(</w:t>
      </w:r>
      <w:proofErr w:type="spellStart"/>
      <w:r w:rsidR="000368C4">
        <w:rPr>
          <w:rFonts w:cs="Times New Roman"/>
          <w:szCs w:val="24"/>
        </w:rPr>
        <w:t>n.d.</w:t>
      </w:r>
      <w:proofErr w:type="spellEnd"/>
      <w:r>
        <w:rPr>
          <w:rFonts w:cs="Times New Roman"/>
          <w:szCs w:val="24"/>
        </w:rPr>
        <w:t>)</w:t>
      </w:r>
      <w:r w:rsidRPr="00916B38">
        <w:rPr>
          <w:rFonts w:cs="Times New Roman"/>
          <w:szCs w:val="24"/>
        </w:rPr>
        <w:t xml:space="preserve">; USDA NASS </w:t>
      </w:r>
      <w:r>
        <w:rPr>
          <w:rFonts w:cs="Times New Roman"/>
          <w:szCs w:val="24"/>
        </w:rPr>
        <w:t>(</w:t>
      </w:r>
      <w:r w:rsidRPr="00916B38">
        <w:rPr>
          <w:rFonts w:cs="Times New Roman"/>
          <w:szCs w:val="24"/>
        </w:rPr>
        <w:t>2019</w:t>
      </w:r>
      <w:r>
        <w:rPr>
          <w:rFonts w:cs="Times New Roman"/>
          <w:szCs w:val="24"/>
        </w:rPr>
        <w:t>)</w:t>
      </w:r>
      <w:r w:rsidRPr="00916B38">
        <w:rPr>
          <w:rFonts w:cs="Times New Roman"/>
          <w:szCs w:val="24"/>
        </w:rPr>
        <w:t xml:space="preserve">; </w:t>
      </w:r>
      <w:r w:rsidR="00B97FB7">
        <w:rPr>
          <w:rFonts w:cs="Times New Roman"/>
          <w:szCs w:val="24"/>
        </w:rPr>
        <w:t>FAO</w:t>
      </w:r>
      <w:r w:rsidR="00B97FB7" w:rsidRPr="00916B38">
        <w:rPr>
          <w:rFonts w:cs="Times New Roman"/>
          <w:szCs w:val="24"/>
        </w:rPr>
        <w:t xml:space="preserve"> </w:t>
      </w:r>
      <w:r w:rsidR="00B97FB7">
        <w:rPr>
          <w:rFonts w:cs="Times New Roman"/>
          <w:szCs w:val="24"/>
        </w:rPr>
        <w:t>(</w:t>
      </w:r>
      <w:r w:rsidR="00B97FB7" w:rsidRPr="00916B38">
        <w:rPr>
          <w:rFonts w:cs="Times New Roman"/>
          <w:szCs w:val="24"/>
        </w:rPr>
        <w:t>201</w:t>
      </w:r>
      <w:r w:rsidR="00B97FB7">
        <w:rPr>
          <w:rFonts w:cs="Times New Roman"/>
          <w:szCs w:val="24"/>
        </w:rPr>
        <w:t>9);</w:t>
      </w:r>
      <w:r w:rsidRPr="00916B38">
        <w:rPr>
          <w:rFonts w:cs="Times New Roman"/>
          <w:szCs w:val="24"/>
        </w:rPr>
        <w:t xml:space="preserve"> </w:t>
      </w:r>
      <w:proofErr w:type="spellStart"/>
      <w:r w:rsidR="00CE17C9">
        <w:rPr>
          <w:rFonts w:cs="Times New Roman"/>
          <w:szCs w:val="24"/>
        </w:rPr>
        <w:t>Cropwatch</w:t>
      </w:r>
      <w:proofErr w:type="spellEnd"/>
      <w:r w:rsidR="00CE17C9">
        <w:rPr>
          <w:rFonts w:cs="Times New Roman"/>
          <w:szCs w:val="24"/>
        </w:rPr>
        <w:t xml:space="preserve"> (2017)</w:t>
      </w:r>
    </w:p>
    <w:p w:rsidR="00EF4446" w:rsidRPr="00EF4446" w:rsidRDefault="00EF4446" w:rsidP="00EF4446">
      <w:pPr>
        <w:rPr>
          <w:rFonts w:cs="Times New Roman"/>
          <w:iCs/>
          <w:color w:val="75787B" w:themeColor="accent6"/>
          <w:sz w:val="14"/>
          <w:szCs w:val="24"/>
        </w:rPr>
      </w:pPr>
      <w:r w:rsidRPr="00EF4446">
        <w:rPr>
          <w:rFonts w:cs="Times New Roman"/>
          <w:iCs/>
          <w:color w:val="75787B" w:themeColor="accent6"/>
          <w:sz w:val="14"/>
          <w:szCs w:val="24"/>
        </w:rPr>
        <w:t xml:space="preserve">Note: application rates and sale price are assumed to be equivalent </w:t>
      </w:r>
      <w:r>
        <w:rPr>
          <w:rFonts w:cs="Times New Roman"/>
          <w:iCs/>
          <w:color w:val="75787B" w:themeColor="accent6"/>
          <w:sz w:val="14"/>
          <w:szCs w:val="24"/>
        </w:rPr>
        <w:t>in</w:t>
      </w:r>
      <w:r w:rsidRPr="00EF4446">
        <w:rPr>
          <w:rFonts w:cs="Times New Roman"/>
          <w:iCs/>
          <w:color w:val="75787B" w:themeColor="accent6"/>
          <w:sz w:val="14"/>
          <w:szCs w:val="24"/>
        </w:rPr>
        <w:t xml:space="preserve"> Australia and the United States.</w:t>
      </w:r>
      <w:r>
        <w:rPr>
          <w:rFonts w:cs="Times New Roman"/>
          <w:iCs/>
          <w:color w:val="75787B" w:themeColor="accent6"/>
          <w:sz w:val="14"/>
          <w:szCs w:val="24"/>
        </w:rPr>
        <w:t xml:space="preserve"> A</w:t>
      </w:r>
      <w:r w:rsidRPr="00EF4446">
        <w:rPr>
          <w:rFonts w:cs="Times New Roman"/>
          <w:iCs/>
          <w:color w:val="75787B" w:themeColor="accent6"/>
          <w:sz w:val="14"/>
          <w:szCs w:val="24"/>
        </w:rPr>
        <w:t>pplications per year</w:t>
      </w:r>
      <w:r>
        <w:rPr>
          <w:rFonts w:cs="Times New Roman"/>
          <w:iCs/>
          <w:color w:val="75787B" w:themeColor="accent6"/>
          <w:sz w:val="14"/>
          <w:szCs w:val="24"/>
        </w:rPr>
        <w:t xml:space="preserve"> and </w:t>
      </w:r>
      <w:r w:rsidRPr="00EF4446">
        <w:rPr>
          <w:rFonts w:cs="Times New Roman"/>
          <w:iCs/>
          <w:color w:val="75787B" w:themeColor="accent6"/>
          <w:sz w:val="14"/>
          <w:szCs w:val="24"/>
        </w:rPr>
        <w:t>treated area</w:t>
      </w:r>
      <w:r>
        <w:rPr>
          <w:rFonts w:cs="Times New Roman"/>
          <w:iCs/>
          <w:color w:val="75787B" w:themeColor="accent6"/>
          <w:sz w:val="14"/>
          <w:szCs w:val="24"/>
        </w:rPr>
        <w:t xml:space="preserve"> are also assumed to be equivalent</w:t>
      </w:r>
      <w:r w:rsidR="0056752D">
        <w:rPr>
          <w:rFonts w:cs="Times New Roman"/>
          <w:iCs/>
          <w:color w:val="75787B" w:themeColor="accent6"/>
          <w:sz w:val="14"/>
          <w:szCs w:val="24"/>
        </w:rPr>
        <w:t xml:space="preserve"> at the individual crop level, but values differ when aggregated across broader crop groupings.</w:t>
      </w:r>
      <w:r w:rsidR="0056752D">
        <w:t xml:space="preserve"> </w:t>
      </w:r>
    </w:p>
    <w:p w:rsidR="00C9710C" w:rsidRDefault="00C9710C" w:rsidP="00C9710C">
      <w:pPr>
        <w:rPr>
          <w:color w:val="75787B" w:themeColor="accent6"/>
          <w:sz w:val="14"/>
        </w:rPr>
      </w:pPr>
      <w:r>
        <w:br w:type="page"/>
      </w:r>
    </w:p>
    <w:p w:rsidR="00016D4A" w:rsidRPr="00FE6A25" w:rsidRDefault="00016D4A" w:rsidP="00FE6A25">
      <w:pPr>
        <w:rPr>
          <w:b/>
        </w:rPr>
      </w:pPr>
      <w:r w:rsidRPr="00FE6A25">
        <w:rPr>
          <w:b/>
        </w:rPr>
        <w:t xml:space="preserve">Valent </w:t>
      </w:r>
      <w:proofErr w:type="spellStart"/>
      <w:r w:rsidRPr="00FE6A25">
        <w:rPr>
          <w:b/>
        </w:rPr>
        <w:t>Elumin</w:t>
      </w:r>
      <w:proofErr w:type="spellEnd"/>
    </w:p>
    <w:p w:rsidR="00B15D21" w:rsidRPr="00B15D21" w:rsidRDefault="00B15D21" w:rsidP="00B15D21">
      <w:r w:rsidRPr="00B15D21">
        <w:t xml:space="preserve">In 2014 </w:t>
      </w:r>
      <w:r>
        <w:t xml:space="preserve">Valent </w:t>
      </w:r>
      <w:r w:rsidRPr="00B15D21">
        <w:t xml:space="preserve">released </w:t>
      </w:r>
      <w:proofErr w:type="spellStart"/>
      <w:r>
        <w:t>Elumin</w:t>
      </w:r>
      <w:proofErr w:type="spellEnd"/>
      <w:r>
        <w:t xml:space="preserve"> in the United States</w:t>
      </w:r>
      <w:r w:rsidRPr="00B15D21">
        <w:t xml:space="preserve">. </w:t>
      </w:r>
      <w:proofErr w:type="spellStart"/>
      <w:r>
        <w:t>Elumin</w:t>
      </w:r>
      <w:proofErr w:type="spellEnd"/>
      <w:r>
        <w:t xml:space="preserve"> is a thiazole </w:t>
      </w:r>
      <w:proofErr w:type="spellStart"/>
      <w:r>
        <w:t>carboxamide</w:t>
      </w:r>
      <w:proofErr w:type="spellEnd"/>
      <w:r>
        <w:t xml:space="preserve"> fungicide</w:t>
      </w:r>
      <w:r w:rsidRPr="00B15D21">
        <w:t xml:space="preserve"> for use on </w:t>
      </w:r>
      <w:r>
        <w:t>watermelons, squash and other cucu</w:t>
      </w:r>
      <w:r w:rsidR="00094408">
        <w:t>r</w:t>
      </w:r>
      <w:r>
        <w:t>bits</w:t>
      </w:r>
      <w:r w:rsidRPr="00B15D21">
        <w:t xml:space="preserve">. Its active ingredient is </w:t>
      </w:r>
      <w:proofErr w:type="spellStart"/>
      <w:r>
        <w:t>ethaboxam</w:t>
      </w:r>
      <w:proofErr w:type="spellEnd"/>
      <w:r w:rsidR="00164606">
        <w:t>,</w:t>
      </w:r>
      <w:r w:rsidR="008D4B1B">
        <w:t xml:space="preserve"> </w:t>
      </w:r>
      <w:r w:rsidR="00164606">
        <w:t xml:space="preserve">which </w:t>
      </w:r>
      <w:r>
        <w:t>control</w:t>
      </w:r>
      <w:r w:rsidR="00164606">
        <w:t>s</w:t>
      </w:r>
      <w:r>
        <w:t xml:space="preserve"> foliar and </w:t>
      </w:r>
      <w:r w:rsidR="008D4B1B">
        <w:t>soil borne</w:t>
      </w:r>
      <w:r>
        <w:t xml:space="preserve"> disease.</w:t>
      </w:r>
    </w:p>
    <w:p w:rsidR="00016D4A" w:rsidRPr="00DC6DCB" w:rsidRDefault="00016D4A" w:rsidP="00B15D21">
      <w:pPr>
        <w:pStyle w:val="Caption"/>
        <w:rPr>
          <w:b/>
        </w:rPr>
      </w:pPr>
      <w:bookmarkStart w:id="395" w:name="_Toc4544849"/>
      <w:r w:rsidRPr="00DC6DCB">
        <w:t xml:space="preserve">Table </w:t>
      </w:r>
      <w:r w:rsidR="00FE6A25">
        <w:t>D</w:t>
      </w:r>
      <w:r>
        <w:t>.</w:t>
      </w:r>
      <w:r w:rsidR="00FE6A25">
        <w:t>4</w:t>
      </w:r>
      <w:r w:rsidRPr="00DC6DCB">
        <w:t xml:space="preserve"> </w:t>
      </w:r>
      <w:r w:rsidR="00FE6A25">
        <w:t>E</w:t>
      </w:r>
      <w:r w:rsidRPr="00DC6DCB">
        <w:t xml:space="preserve">stimated annual market revenue for </w:t>
      </w:r>
      <w:proofErr w:type="spellStart"/>
      <w:r>
        <w:t>Valent</w:t>
      </w:r>
      <w:r w:rsidR="002F15F5">
        <w:t>’s</w:t>
      </w:r>
      <w:proofErr w:type="spellEnd"/>
      <w:r>
        <w:t xml:space="preserve"> </w:t>
      </w:r>
      <w:proofErr w:type="spellStart"/>
      <w:r w:rsidR="002F15F5">
        <w:t>Elumin</w:t>
      </w:r>
      <w:bookmarkEnd w:id="395"/>
      <w:proofErr w:type="spellEnd"/>
    </w:p>
    <w:tbl>
      <w:tblPr>
        <w:tblStyle w:val="Deloittetable"/>
        <w:tblW w:w="9629" w:type="dxa"/>
        <w:tblLook w:val="04A0" w:firstRow="1" w:lastRow="0" w:firstColumn="1" w:lastColumn="0" w:noHBand="0" w:noVBand="1"/>
      </w:tblPr>
      <w:tblGrid>
        <w:gridCol w:w="5117"/>
        <w:gridCol w:w="1099"/>
        <w:gridCol w:w="1757"/>
        <w:gridCol w:w="1656"/>
      </w:tblGrid>
      <w:tr w:rsidR="00016D4A" w:rsidTr="00C9710C">
        <w:trPr>
          <w:cnfStyle w:val="100000000000" w:firstRow="1" w:lastRow="0" w:firstColumn="0" w:lastColumn="0" w:oddVBand="0" w:evenVBand="0" w:oddHBand="0" w:evenHBand="0" w:firstRowFirstColumn="0" w:firstRowLastColumn="0" w:lastRowFirstColumn="0" w:lastRowLastColumn="0"/>
          <w:cantSplit/>
          <w:trHeight w:val="20"/>
          <w:tblHeader/>
        </w:trPr>
        <w:tc>
          <w:tcPr>
            <w:tcW w:w="5117" w:type="dxa"/>
          </w:tcPr>
          <w:p w:rsidR="00016D4A" w:rsidRDefault="001924FB" w:rsidP="00016D4A">
            <w:pPr>
              <w:spacing w:line="240" w:lineRule="auto"/>
              <w:rPr>
                <w:b/>
                <w:bCs/>
              </w:rPr>
            </w:pPr>
            <w:r>
              <w:rPr>
                <w:b/>
                <w:bCs/>
              </w:rPr>
              <w:t>Steps</w:t>
            </w:r>
          </w:p>
        </w:tc>
        <w:tc>
          <w:tcPr>
            <w:tcW w:w="1099" w:type="dxa"/>
            <w:vAlign w:val="center"/>
          </w:tcPr>
          <w:p w:rsidR="00016D4A" w:rsidRDefault="00016D4A" w:rsidP="002F15F5">
            <w:pPr>
              <w:spacing w:line="240" w:lineRule="auto"/>
              <w:rPr>
                <w:b/>
                <w:bCs/>
              </w:rPr>
            </w:pPr>
            <w:r>
              <w:rPr>
                <w:b/>
                <w:bCs/>
              </w:rPr>
              <w:t>Units</w:t>
            </w:r>
          </w:p>
        </w:tc>
        <w:tc>
          <w:tcPr>
            <w:tcW w:w="1757" w:type="dxa"/>
            <w:vAlign w:val="center"/>
          </w:tcPr>
          <w:p w:rsidR="00016D4A" w:rsidRDefault="002F15F5" w:rsidP="00016D4A">
            <w:pPr>
              <w:spacing w:line="240" w:lineRule="auto"/>
              <w:jc w:val="right"/>
              <w:rPr>
                <w:b/>
                <w:bCs/>
              </w:rPr>
            </w:pPr>
            <w:r>
              <w:rPr>
                <w:b/>
                <w:bCs/>
              </w:rPr>
              <w:t xml:space="preserve">United </w:t>
            </w:r>
            <w:r w:rsidR="00016D4A">
              <w:rPr>
                <w:b/>
                <w:bCs/>
              </w:rPr>
              <w:t>States</w:t>
            </w:r>
          </w:p>
        </w:tc>
        <w:tc>
          <w:tcPr>
            <w:tcW w:w="1656" w:type="dxa"/>
            <w:vAlign w:val="center"/>
          </w:tcPr>
          <w:p w:rsidR="00016D4A" w:rsidRDefault="00016D4A" w:rsidP="00016D4A">
            <w:pPr>
              <w:spacing w:line="240" w:lineRule="auto"/>
              <w:jc w:val="right"/>
              <w:rPr>
                <w:b/>
                <w:bCs/>
              </w:rPr>
            </w:pPr>
            <w:r>
              <w:rPr>
                <w:b/>
                <w:bCs/>
              </w:rPr>
              <w:t>Australia</w:t>
            </w:r>
          </w:p>
        </w:tc>
      </w:tr>
      <w:tr w:rsidR="00016D4A" w:rsidTr="00C9710C">
        <w:tc>
          <w:tcPr>
            <w:tcW w:w="5117" w:type="dxa"/>
          </w:tcPr>
          <w:p w:rsidR="00016D4A" w:rsidRPr="002559DC" w:rsidRDefault="00016D4A" w:rsidP="00016D4A">
            <w:pPr>
              <w:spacing w:line="240" w:lineRule="auto"/>
              <w:rPr>
                <w:bCs/>
              </w:rPr>
            </w:pPr>
            <w:r w:rsidRPr="002559DC">
              <w:rPr>
                <w:bCs/>
              </w:rPr>
              <w:t>Application rate</w:t>
            </w:r>
          </w:p>
        </w:tc>
        <w:tc>
          <w:tcPr>
            <w:tcW w:w="1099" w:type="dxa"/>
            <w:vAlign w:val="center"/>
          </w:tcPr>
          <w:p w:rsidR="00016D4A" w:rsidRPr="00E24414" w:rsidRDefault="00016D4A" w:rsidP="00016D4A">
            <w:pPr>
              <w:spacing w:line="240" w:lineRule="auto"/>
              <w:rPr>
                <w:bCs/>
              </w:rPr>
            </w:pPr>
            <w:r w:rsidRPr="00E24414">
              <w:rPr>
                <w:bCs/>
              </w:rPr>
              <w:t>L/ha</w:t>
            </w:r>
          </w:p>
        </w:tc>
        <w:tc>
          <w:tcPr>
            <w:tcW w:w="1757" w:type="dxa"/>
            <w:vAlign w:val="center"/>
          </w:tcPr>
          <w:p w:rsidR="00016D4A" w:rsidRPr="00F2122E" w:rsidRDefault="00016D4A" w:rsidP="00016D4A">
            <w:pPr>
              <w:spacing w:line="240" w:lineRule="auto"/>
              <w:jc w:val="right"/>
              <w:rPr>
                <w:bCs/>
              </w:rPr>
            </w:pPr>
            <w:r w:rsidRPr="00D47C7E">
              <w:rPr>
                <w:bCs/>
              </w:rPr>
              <w:t>0.58</w:t>
            </w:r>
            <w:r w:rsidR="00833FC6">
              <w:rPr>
                <w:bCs/>
              </w:rPr>
              <w:t>5</w:t>
            </w:r>
          </w:p>
        </w:tc>
        <w:tc>
          <w:tcPr>
            <w:tcW w:w="1656" w:type="dxa"/>
            <w:vAlign w:val="center"/>
          </w:tcPr>
          <w:p w:rsidR="00016D4A" w:rsidRPr="00F2122E" w:rsidRDefault="00016D4A" w:rsidP="0056752D">
            <w:pPr>
              <w:spacing w:line="240" w:lineRule="auto"/>
              <w:jc w:val="right"/>
              <w:rPr>
                <w:color w:val="000000"/>
                <w:sz w:val="18"/>
              </w:rPr>
            </w:pPr>
            <w:r w:rsidRPr="00D47C7E">
              <w:rPr>
                <w:color w:val="000000"/>
                <w:sz w:val="18"/>
              </w:rPr>
              <w:t>0.</w:t>
            </w:r>
            <w:r w:rsidR="00833FC6" w:rsidRPr="00D47C7E">
              <w:rPr>
                <w:color w:val="000000"/>
                <w:sz w:val="18"/>
              </w:rPr>
              <w:t>58</w:t>
            </w:r>
            <w:r w:rsidR="00833FC6">
              <w:rPr>
                <w:color w:val="000000"/>
                <w:sz w:val="18"/>
              </w:rPr>
              <w:t>5</w:t>
            </w:r>
          </w:p>
        </w:tc>
      </w:tr>
      <w:tr w:rsidR="00016D4A" w:rsidTr="00C9710C">
        <w:tc>
          <w:tcPr>
            <w:tcW w:w="5117" w:type="dxa"/>
          </w:tcPr>
          <w:p w:rsidR="00016D4A" w:rsidRPr="002559DC" w:rsidRDefault="00016D4A" w:rsidP="00016D4A">
            <w:pPr>
              <w:spacing w:line="240" w:lineRule="auto"/>
              <w:rPr>
                <w:bCs/>
              </w:rPr>
            </w:pPr>
            <w:r w:rsidRPr="002559DC">
              <w:rPr>
                <w:bCs/>
              </w:rPr>
              <w:t>Applications per year</w:t>
            </w:r>
          </w:p>
        </w:tc>
        <w:tc>
          <w:tcPr>
            <w:tcW w:w="1099" w:type="dxa"/>
            <w:vAlign w:val="center"/>
          </w:tcPr>
          <w:p w:rsidR="00016D4A" w:rsidRPr="00E24414" w:rsidRDefault="00423DBC" w:rsidP="00016D4A">
            <w:pPr>
              <w:spacing w:line="240" w:lineRule="auto"/>
              <w:rPr>
                <w:bCs/>
              </w:rPr>
            </w:pPr>
            <w:r>
              <w:rPr>
                <w:bCs/>
              </w:rPr>
              <w:t>n</w:t>
            </w:r>
            <w:r w:rsidR="00016D4A" w:rsidRPr="00E24414">
              <w:rPr>
                <w:bCs/>
              </w:rPr>
              <w:t>o</w:t>
            </w:r>
            <w:r w:rsidR="00825CF0">
              <w:rPr>
                <w:bCs/>
              </w:rPr>
              <w:t>.</w:t>
            </w:r>
          </w:p>
        </w:tc>
        <w:tc>
          <w:tcPr>
            <w:tcW w:w="1757" w:type="dxa"/>
            <w:vAlign w:val="center"/>
          </w:tcPr>
          <w:p w:rsidR="00016D4A" w:rsidRPr="00706BF7" w:rsidRDefault="00016D4A" w:rsidP="00AD2AFF">
            <w:pPr>
              <w:spacing w:line="240" w:lineRule="auto"/>
              <w:jc w:val="right"/>
              <w:rPr>
                <w:bCs/>
              </w:rPr>
            </w:pPr>
            <w:r>
              <w:rPr>
                <w:bCs/>
              </w:rPr>
              <w:t>2.11</w:t>
            </w:r>
          </w:p>
        </w:tc>
        <w:tc>
          <w:tcPr>
            <w:tcW w:w="1656" w:type="dxa"/>
            <w:vAlign w:val="center"/>
          </w:tcPr>
          <w:p w:rsidR="00016D4A" w:rsidRPr="00706BF7" w:rsidRDefault="00016D4A" w:rsidP="0056752D">
            <w:pPr>
              <w:spacing w:line="240" w:lineRule="auto"/>
              <w:jc w:val="right"/>
              <w:rPr>
                <w:bCs/>
              </w:rPr>
            </w:pPr>
            <w:r>
              <w:rPr>
                <w:bCs/>
              </w:rPr>
              <w:t>2.23</w:t>
            </w:r>
          </w:p>
        </w:tc>
      </w:tr>
      <w:tr w:rsidR="00016D4A" w:rsidTr="00C9710C">
        <w:tc>
          <w:tcPr>
            <w:tcW w:w="5117" w:type="dxa"/>
          </w:tcPr>
          <w:p w:rsidR="00423DBC" w:rsidRDefault="00016D4A" w:rsidP="00423DBC">
            <w:pPr>
              <w:spacing w:line="240" w:lineRule="auto"/>
              <w:rPr>
                <w:b/>
                <w:bCs/>
              </w:rPr>
            </w:pPr>
            <w:r w:rsidRPr="002559DC">
              <w:rPr>
                <w:b/>
                <w:bCs/>
              </w:rPr>
              <w:t>Annual application rate</w:t>
            </w:r>
          </w:p>
          <w:p w:rsidR="00016D4A" w:rsidRPr="002559DC" w:rsidRDefault="00016D4A" w:rsidP="00423DBC">
            <w:pPr>
              <w:spacing w:line="240" w:lineRule="auto"/>
              <w:rPr>
                <w:b/>
                <w:bCs/>
              </w:rPr>
            </w:pPr>
            <w:r w:rsidRPr="002559DC">
              <w:rPr>
                <w:b/>
                <w:bCs/>
              </w:rPr>
              <w:t>(Application rate X Applications per year)</w:t>
            </w:r>
          </w:p>
        </w:tc>
        <w:tc>
          <w:tcPr>
            <w:tcW w:w="1099" w:type="dxa"/>
            <w:vAlign w:val="center"/>
          </w:tcPr>
          <w:p w:rsidR="00016D4A" w:rsidRPr="002559DC" w:rsidRDefault="00016D4A" w:rsidP="00016D4A">
            <w:pPr>
              <w:spacing w:line="240" w:lineRule="auto"/>
              <w:rPr>
                <w:b/>
                <w:bCs/>
              </w:rPr>
            </w:pPr>
            <w:r w:rsidRPr="002559DC">
              <w:rPr>
                <w:b/>
                <w:bCs/>
              </w:rPr>
              <w:t>L/year</w:t>
            </w:r>
          </w:p>
        </w:tc>
        <w:tc>
          <w:tcPr>
            <w:tcW w:w="1757" w:type="dxa"/>
            <w:vAlign w:val="center"/>
          </w:tcPr>
          <w:p w:rsidR="00016D4A" w:rsidRPr="00706BF7" w:rsidRDefault="00016D4A" w:rsidP="00833FC6">
            <w:pPr>
              <w:spacing w:line="240" w:lineRule="auto"/>
              <w:jc w:val="right"/>
              <w:rPr>
                <w:b/>
                <w:bCs/>
              </w:rPr>
            </w:pPr>
            <w:r>
              <w:rPr>
                <w:b/>
                <w:bCs/>
              </w:rPr>
              <w:t>1.234</w:t>
            </w:r>
          </w:p>
        </w:tc>
        <w:tc>
          <w:tcPr>
            <w:tcW w:w="1656" w:type="dxa"/>
            <w:vAlign w:val="center"/>
          </w:tcPr>
          <w:p w:rsidR="00016D4A" w:rsidRPr="00706BF7" w:rsidRDefault="00016D4A" w:rsidP="00833FC6">
            <w:pPr>
              <w:spacing w:line="240" w:lineRule="auto"/>
              <w:jc w:val="right"/>
              <w:rPr>
                <w:b/>
                <w:bCs/>
              </w:rPr>
            </w:pPr>
            <w:r>
              <w:rPr>
                <w:b/>
                <w:bCs/>
              </w:rPr>
              <w:t>1.304</w:t>
            </w:r>
          </w:p>
        </w:tc>
      </w:tr>
      <w:tr w:rsidR="00016D4A" w:rsidTr="00C9710C">
        <w:tc>
          <w:tcPr>
            <w:tcW w:w="5117" w:type="dxa"/>
          </w:tcPr>
          <w:p w:rsidR="00423DBC" w:rsidRDefault="00016D4A" w:rsidP="00423DBC">
            <w:pPr>
              <w:spacing w:line="240" w:lineRule="auto"/>
              <w:rPr>
                <w:bCs/>
              </w:rPr>
            </w:pPr>
            <w:r>
              <w:rPr>
                <w:bCs/>
              </w:rPr>
              <w:t>Average harvested area</w:t>
            </w:r>
          </w:p>
          <w:p w:rsidR="00016D4A" w:rsidRPr="002559DC" w:rsidRDefault="00016D4A" w:rsidP="00AD2AFF">
            <w:pPr>
              <w:spacing w:line="240" w:lineRule="auto"/>
              <w:rPr>
                <w:bCs/>
              </w:rPr>
            </w:pPr>
            <w:r w:rsidRPr="002559DC">
              <w:rPr>
                <w:bCs/>
              </w:rPr>
              <w:t>(5 years to 2017)</w:t>
            </w:r>
          </w:p>
        </w:tc>
        <w:tc>
          <w:tcPr>
            <w:tcW w:w="1099" w:type="dxa"/>
            <w:vAlign w:val="center"/>
          </w:tcPr>
          <w:p w:rsidR="00016D4A" w:rsidRPr="00E24414" w:rsidRDefault="00016D4A" w:rsidP="00016D4A">
            <w:pPr>
              <w:spacing w:line="240" w:lineRule="auto"/>
              <w:rPr>
                <w:bCs/>
              </w:rPr>
            </w:pPr>
            <w:r w:rsidRPr="00E24414">
              <w:rPr>
                <w:bCs/>
              </w:rPr>
              <w:t>ha</w:t>
            </w:r>
          </w:p>
        </w:tc>
        <w:tc>
          <w:tcPr>
            <w:tcW w:w="1757" w:type="dxa"/>
            <w:vAlign w:val="center"/>
          </w:tcPr>
          <w:p w:rsidR="00016D4A" w:rsidRPr="00706BF7" w:rsidRDefault="00016D4A" w:rsidP="00016D4A">
            <w:pPr>
              <w:spacing w:line="240" w:lineRule="auto"/>
              <w:jc w:val="right"/>
              <w:rPr>
                <w:bCs/>
              </w:rPr>
            </w:pPr>
            <w:r>
              <w:rPr>
                <w:bCs/>
              </w:rPr>
              <w:t>161,500</w:t>
            </w:r>
          </w:p>
        </w:tc>
        <w:tc>
          <w:tcPr>
            <w:tcW w:w="1656" w:type="dxa"/>
            <w:vAlign w:val="center"/>
          </w:tcPr>
          <w:p w:rsidR="00016D4A" w:rsidRPr="00706BF7" w:rsidRDefault="00016D4A" w:rsidP="00016D4A">
            <w:pPr>
              <w:spacing w:line="240" w:lineRule="auto"/>
              <w:jc w:val="right"/>
              <w:rPr>
                <w:bCs/>
              </w:rPr>
            </w:pPr>
            <w:r>
              <w:rPr>
                <w:bCs/>
              </w:rPr>
              <w:t>15,329</w:t>
            </w:r>
          </w:p>
        </w:tc>
      </w:tr>
      <w:tr w:rsidR="00016D4A" w:rsidTr="00C9710C">
        <w:tc>
          <w:tcPr>
            <w:tcW w:w="5117" w:type="dxa"/>
          </w:tcPr>
          <w:p w:rsidR="00016D4A" w:rsidRPr="002559DC" w:rsidRDefault="00016D4A" w:rsidP="00016D4A">
            <w:pPr>
              <w:spacing w:line="240" w:lineRule="auto"/>
              <w:rPr>
                <w:bCs/>
              </w:rPr>
            </w:pPr>
            <w:r w:rsidRPr="002559DC">
              <w:rPr>
                <w:bCs/>
              </w:rPr>
              <w:t xml:space="preserve">Treated area </w:t>
            </w:r>
            <w:r w:rsidR="00B7669F">
              <w:rPr>
                <w:bCs/>
              </w:rPr>
              <w:t>per cent</w:t>
            </w:r>
            <w:r w:rsidRPr="002559DC">
              <w:rPr>
                <w:bCs/>
              </w:rPr>
              <w:t xml:space="preserve"> of area planted</w:t>
            </w:r>
          </w:p>
        </w:tc>
        <w:tc>
          <w:tcPr>
            <w:tcW w:w="1099" w:type="dxa"/>
            <w:vAlign w:val="center"/>
          </w:tcPr>
          <w:p w:rsidR="00016D4A" w:rsidRPr="00E24414" w:rsidRDefault="00B7669F" w:rsidP="00016D4A">
            <w:pPr>
              <w:spacing w:line="240" w:lineRule="auto"/>
              <w:rPr>
                <w:bCs/>
              </w:rPr>
            </w:pPr>
            <w:r>
              <w:rPr>
                <w:bCs/>
              </w:rPr>
              <w:t>per cent</w:t>
            </w:r>
          </w:p>
        </w:tc>
        <w:tc>
          <w:tcPr>
            <w:tcW w:w="1757" w:type="dxa"/>
            <w:vAlign w:val="center"/>
          </w:tcPr>
          <w:p w:rsidR="00016D4A" w:rsidRPr="00706BF7" w:rsidRDefault="00016D4A" w:rsidP="00AD2AFF">
            <w:pPr>
              <w:spacing w:line="240" w:lineRule="auto"/>
              <w:jc w:val="right"/>
              <w:rPr>
                <w:bCs/>
              </w:rPr>
            </w:pPr>
            <w:r>
              <w:rPr>
                <w:bCs/>
              </w:rPr>
              <w:t>18.05</w:t>
            </w:r>
          </w:p>
        </w:tc>
        <w:tc>
          <w:tcPr>
            <w:tcW w:w="1656" w:type="dxa"/>
            <w:vAlign w:val="center"/>
          </w:tcPr>
          <w:p w:rsidR="00016D4A" w:rsidRPr="00706BF7" w:rsidRDefault="00016D4A" w:rsidP="0056752D">
            <w:pPr>
              <w:spacing w:line="240" w:lineRule="auto"/>
              <w:jc w:val="right"/>
              <w:rPr>
                <w:bCs/>
              </w:rPr>
            </w:pPr>
            <w:r>
              <w:rPr>
                <w:bCs/>
              </w:rPr>
              <w:t>16.12</w:t>
            </w:r>
          </w:p>
        </w:tc>
      </w:tr>
      <w:tr w:rsidR="00016D4A" w:rsidRPr="00E24414" w:rsidTr="00C9710C">
        <w:tc>
          <w:tcPr>
            <w:tcW w:w="5117" w:type="dxa"/>
          </w:tcPr>
          <w:p w:rsidR="00423DBC" w:rsidRDefault="00016D4A" w:rsidP="00423DBC">
            <w:pPr>
              <w:spacing w:line="240" w:lineRule="auto"/>
              <w:rPr>
                <w:b/>
                <w:bCs/>
              </w:rPr>
            </w:pPr>
            <w:r w:rsidRPr="002559DC">
              <w:rPr>
                <w:b/>
                <w:bCs/>
              </w:rPr>
              <w:t>Applied area</w:t>
            </w:r>
          </w:p>
          <w:p w:rsidR="00016D4A" w:rsidRPr="002559DC" w:rsidRDefault="00016D4A" w:rsidP="00423DBC">
            <w:pPr>
              <w:spacing w:line="240" w:lineRule="auto"/>
              <w:rPr>
                <w:b/>
                <w:bCs/>
              </w:rPr>
            </w:pPr>
            <w:r w:rsidRPr="002559DC">
              <w:rPr>
                <w:b/>
                <w:bCs/>
              </w:rPr>
              <w:t xml:space="preserve">(Average harvested area X </w:t>
            </w:r>
            <w:r w:rsidR="00B7669F">
              <w:rPr>
                <w:b/>
                <w:bCs/>
              </w:rPr>
              <w:t>per cent</w:t>
            </w:r>
            <w:r w:rsidRPr="002559DC">
              <w:rPr>
                <w:b/>
                <w:bCs/>
              </w:rPr>
              <w:t xml:space="preserve"> of planted area treated)</w:t>
            </w:r>
          </w:p>
        </w:tc>
        <w:tc>
          <w:tcPr>
            <w:tcW w:w="1099" w:type="dxa"/>
            <w:vAlign w:val="center"/>
          </w:tcPr>
          <w:p w:rsidR="00016D4A" w:rsidRPr="002559DC" w:rsidRDefault="00016D4A" w:rsidP="00016D4A">
            <w:pPr>
              <w:spacing w:line="240" w:lineRule="auto"/>
              <w:rPr>
                <w:b/>
                <w:bCs/>
              </w:rPr>
            </w:pPr>
            <w:r w:rsidRPr="002559DC">
              <w:rPr>
                <w:b/>
                <w:bCs/>
              </w:rPr>
              <w:t>ha</w:t>
            </w:r>
          </w:p>
        </w:tc>
        <w:tc>
          <w:tcPr>
            <w:tcW w:w="1757" w:type="dxa"/>
            <w:vAlign w:val="center"/>
          </w:tcPr>
          <w:p w:rsidR="00016D4A" w:rsidRPr="00706BF7" w:rsidRDefault="00016D4A" w:rsidP="00016D4A">
            <w:pPr>
              <w:spacing w:line="240" w:lineRule="auto"/>
              <w:jc w:val="right"/>
              <w:rPr>
                <w:b/>
                <w:bCs/>
              </w:rPr>
            </w:pPr>
            <w:r>
              <w:rPr>
                <w:b/>
                <w:bCs/>
              </w:rPr>
              <w:t>29,145</w:t>
            </w:r>
          </w:p>
        </w:tc>
        <w:tc>
          <w:tcPr>
            <w:tcW w:w="1656" w:type="dxa"/>
            <w:vAlign w:val="center"/>
          </w:tcPr>
          <w:p w:rsidR="00016D4A" w:rsidRPr="00706BF7" w:rsidRDefault="00016D4A" w:rsidP="00016D4A">
            <w:pPr>
              <w:spacing w:line="240" w:lineRule="auto"/>
              <w:jc w:val="right"/>
              <w:rPr>
                <w:b/>
                <w:bCs/>
              </w:rPr>
            </w:pPr>
            <w:r>
              <w:rPr>
                <w:b/>
                <w:bCs/>
              </w:rPr>
              <w:t>2,471</w:t>
            </w:r>
          </w:p>
        </w:tc>
      </w:tr>
      <w:tr w:rsidR="00016D4A" w:rsidRPr="00E24414" w:rsidTr="00C9710C">
        <w:tc>
          <w:tcPr>
            <w:tcW w:w="5117" w:type="dxa"/>
          </w:tcPr>
          <w:p w:rsidR="00423DBC" w:rsidRDefault="00016D4A" w:rsidP="00016D4A">
            <w:pPr>
              <w:spacing w:line="240" w:lineRule="auto"/>
              <w:rPr>
                <w:b/>
                <w:bCs/>
              </w:rPr>
            </w:pPr>
            <w:r>
              <w:rPr>
                <w:b/>
                <w:bCs/>
              </w:rPr>
              <w:t>Annual volume of agvet chemical applied</w:t>
            </w:r>
          </w:p>
          <w:p w:rsidR="00016D4A" w:rsidRPr="00376909" w:rsidRDefault="00016D4A" w:rsidP="00016D4A">
            <w:pPr>
              <w:spacing w:line="240" w:lineRule="auto"/>
              <w:rPr>
                <w:b/>
                <w:bCs/>
              </w:rPr>
            </w:pPr>
            <w:r>
              <w:rPr>
                <w:b/>
                <w:bCs/>
              </w:rPr>
              <w:t>(applied area X annual application rate)</w:t>
            </w:r>
          </w:p>
        </w:tc>
        <w:tc>
          <w:tcPr>
            <w:tcW w:w="1099" w:type="dxa"/>
            <w:vAlign w:val="center"/>
          </w:tcPr>
          <w:p w:rsidR="00016D4A" w:rsidRPr="004802B0" w:rsidRDefault="00016D4A" w:rsidP="00016D4A">
            <w:pPr>
              <w:spacing w:line="240" w:lineRule="auto"/>
              <w:rPr>
                <w:b/>
              </w:rPr>
            </w:pPr>
            <w:r w:rsidRPr="004802B0">
              <w:rPr>
                <w:b/>
              </w:rPr>
              <w:t>L</w:t>
            </w:r>
          </w:p>
        </w:tc>
        <w:tc>
          <w:tcPr>
            <w:tcW w:w="1757" w:type="dxa"/>
            <w:vAlign w:val="center"/>
          </w:tcPr>
          <w:p w:rsidR="00016D4A" w:rsidRPr="004802B0" w:rsidRDefault="00016D4A" w:rsidP="00016D4A">
            <w:pPr>
              <w:spacing w:line="240" w:lineRule="auto"/>
              <w:jc w:val="right"/>
              <w:rPr>
                <w:b/>
              </w:rPr>
            </w:pPr>
            <w:r w:rsidRPr="004802B0">
              <w:rPr>
                <w:b/>
                <w:bCs/>
              </w:rPr>
              <w:t>35</w:t>
            </w:r>
            <w:r>
              <w:rPr>
                <w:b/>
                <w:bCs/>
              </w:rPr>
              <w:t>,965</w:t>
            </w:r>
          </w:p>
        </w:tc>
        <w:tc>
          <w:tcPr>
            <w:tcW w:w="1656" w:type="dxa"/>
            <w:vAlign w:val="center"/>
          </w:tcPr>
          <w:p w:rsidR="00016D4A" w:rsidRPr="004802B0" w:rsidRDefault="00016D4A" w:rsidP="00016D4A">
            <w:pPr>
              <w:spacing w:line="240" w:lineRule="auto"/>
              <w:jc w:val="right"/>
              <w:rPr>
                <w:b/>
              </w:rPr>
            </w:pPr>
            <w:r>
              <w:rPr>
                <w:b/>
                <w:bCs/>
              </w:rPr>
              <w:t>3</w:t>
            </w:r>
            <w:r w:rsidR="00833FC6">
              <w:rPr>
                <w:b/>
                <w:bCs/>
              </w:rPr>
              <w:t>,</w:t>
            </w:r>
            <w:r>
              <w:rPr>
                <w:b/>
                <w:bCs/>
              </w:rPr>
              <w:t>222</w:t>
            </w:r>
          </w:p>
        </w:tc>
      </w:tr>
      <w:tr w:rsidR="00016D4A" w:rsidRPr="00E24414" w:rsidTr="00C9710C">
        <w:tc>
          <w:tcPr>
            <w:tcW w:w="5117" w:type="dxa"/>
          </w:tcPr>
          <w:p w:rsidR="00016D4A" w:rsidRPr="002559DC" w:rsidRDefault="00016D4A" w:rsidP="00016D4A">
            <w:pPr>
              <w:spacing w:line="240" w:lineRule="auto"/>
              <w:rPr>
                <w:bCs/>
              </w:rPr>
            </w:pPr>
            <w:r w:rsidRPr="002559DC">
              <w:rPr>
                <w:bCs/>
              </w:rPr>
              <w:t>Sale price</w:t>
            </w:r>
          </w:p>
        </w:tc>
        <w:tc>
          <w:tcPr>
            <w:tcW w:w="1099" w:type="dxa"/>
            <w:vAlign w:val="center"/>
          </w:tcPr>
          <w:p w:rsidR="00016D4A" w:rsidRPr="002559DC" w:rsidRDefault="00016D4A" w:rsidP="00016D4A">
            <w:pPr>
              <w:spacing w:line="240" w:lineRule="auto"/>
              <w:rPr>
                <w:bCs/>
              </w:rPr>
            </w:pPr>
            <w:r w:rsidRPr="002559DC">
              <w:rPr>
                <w:bCs/>
              </w:rPr>
              <w:t>US$/L</w:t>
            </w:r>
          </w:p>
        </w:tc>
        <w:tc>
          <w:tcPr>
            <w:tcW w:w="1757" w:type="dxa"/>
            <w:vAlign w:val="center"/>
          </w:tcPr>
          <w:p w:rsidR="00016D4A" w:rsidRPr="00706BF7" w:rsidRDefault="00016D4A" w:rsidP="00AD2AFF">
            <w:pPr>
              <w:spacing w:line="240" w:lineRule="auto"/>
              <w:jc w:val="right"/>
              <w:rPr>
                <w:bCs/>
              </w:rPr>
            </w:pPr>
            <w:r>
              <w:rPr>
                <w:color w:val="000000"/>
                <w:sz w:val="18"/>
              </w:rPr>
              <w:t>$121.52</w:t>
            </w:r>
          </w:p>
        </w:tc>
        <w:tc>
          <w:tcPr>
            <w:tcW w:w="1656" w:type="dxa"/>
            <w:vAlign w:val="center"/>
          </w:tcPr>
          <w:p w:rsidR="00016D4A" w:rsidRPr="00706BF7" w:rsidRDefault="00016D4A" w:rsidP="0056752D">
            <w:pPr>
              <w:spacing w:line="240" w:lineRule="auto"/>
              <w:jc w:val="right"/>
              <w:rPr>
                <w:bCs/>
              </w:rPr>
            </w:pPr>
            <w:r>
              <w:rPr>
                <w:color w:val="000000"/>
                <w:sz w:val="18"/>
              </w:rPr>
              <w:t>$121.52</w:t>
            </w:r>
          </w:p>
        </w:tc>
      </w:tr>
      <w:tr w:rsidR="00016D4A" w:rsidRPr="00E24414" w:rsidTr="00C9710C">
        <w:tc>
          <w:tcPr>
            <w:tcW w:w="5117" w:type="dxa"/>
          </w:tcPr>
          <w:p w:rsidR="00423DBC" w:rsidRDefault="00016D4A" w:rsidP="00423DBC">
            <w:pPr>
              <w:spacing w:line="240" w:lineRule="auto"/>
              <w:rPr>
                <w:b/>
                <w:bCs/>
              </w:rPr>
            </w:pPr>
            <w:r w:rsidRPr="002559DC">
              <w:rPr>
                <w:b/>
                <w:bCs/>
              </w:rPr>
              <w:t xml:space="preserve">Indicative </w:t>
            </w:r>
            <w:r>
              <w:rPr>
                <w:b/>
                <w:bCs/>
              </w:rPr>
              <w:t>revenue</w:t>
            </w:r>
          </w:p>
          <w:p w:rsidR="00016D4A" w:rsidRPr="002559DC" w:rsidRDefault="00016D4A" w:rsidP="00423DBC">
            <w:pPr>
              <w:spacing w:line="240" w:lineRule="auto"/>
              <w:rPr>
                <w:b/>
                <w:bCs/>
              </w:rPr>
            </w:pPr>
            <w:r w:rsidRPr="002559DC">
              <w:rPr>
                <w:b/>
                <w:bCs/>
              </w:rPr>
              <w:t>(Annual volume of agvet chemical applied X sale price)</w:t>
            </w:r>
          </w:p>
        </w:tc>
        <w:tc>
          <w:tcPr>
            <w:tcW w:w="1099" w:type="dxa"/>
            <w:vAlign w:val="center"/>
          </w:tcPr>
          <w:p w:rsidR="00016D4A" w:rsidRPr="002559DC" w:rsidRDefault="00016D4A" w:rsidP="00016D4A">
            <w:pPr>
              <w:spacing w:line="240" w:lineRule="auto"/>
              <w:rPr>
                <w:b/>
                <w:bCs/>
              </w:rPr>
            </w:pPr>
            <w:proofErr w:type="spellStart"/>
            <w:r w:rsidRPr="002559DC">
              <w:rPr>
                <w:b/>
                <w:bCs/>
              </w:rPr>
              <w:t>US$</w:t>
            </w:r>
            <w:r w:rsidR="001B0D93">
              <w:rPr>
                <w:b/>
                <w:bCs/>
              </w:rPr>
              <w:t>m</w:t>
            </w:r>
            <w:proofErr w:type="spellEnd"/>
            <w:r w:rsidRPr="002559DC">
              <w:rPr>
                <w:b/>
                <w:bCs/>
              </w:rPr>
              <w:t>/year</w:t>
            </w:r>
          </w:p>
        </w:tc>
        <w:tc>
          <w:tcPr>
            <w:tcW w:w="1757" w:type="dxa"/>
            <w:vAlign w:val="center"/>
          </w:tcPr>
          <w:p w:rsidR="00016D4A" w:rsidRPr="00706BF7" w:rsidRDefault="00016D4A" w:rsidP="00016D4A">
            <w:pPr>
              <w:spacing w:line="240" w:lineRule="auto"/>
              <w:jc w:val="right"/>
              <w:rPr>
                <w:b/>
                <w:bCs/>
              </w:rPr>
            </w:pPr>
            <w:r>
              <w:rPr>
                <w:b/>
                <w:bCs/>
              </w:rPr>
              <w:t>$</w:t>
            </w:r>
            <w:r w:rsidRPr="004802B0">
              <w:rPr>
                <w:b/>
                <w:bCs/>
              </w:rPr>
              <w:t>4</w:t>
            </w:r>
            <w:r w:rsidR="001B0D93">
              <w:rPr>
                <w:b/>
                <w:bCs/>
              </w:rPr>
              <w:t>.4</w:t>
            </w:r>
          </w:p>
        </w:tc>
        <w:tc>
          <w:tcPr>
            <w:tcW w:w="1656" w:type="dxa"/>
            <w:vAlign w:val="center"/>
          </w:tcPr>
          <w:p w:rsidR="00016D4A" w:rsidRPr="00706BF7" w:rsidRDefault="00016D4A" w:rsidP="00016D4A">
            <w:pPr>
              <w:spacing w:line="240" w:lineRule="auto"/>
              <w:jc w:val="right"/>
              <w:rPr>
                <w:b/>
                <w:bCs/>
              </w:rPr>
            </w:pPr>
            <w:r>
              <w:rPr>
                <w:b/>
                <w:bCs/>
              </w:rPr>
              <w:t>$</w:t>
            </w:r>
            <w:r w:rsidR="001B0D93">
              <w:rPr>
                <w:b/>
                <w:bCs/>
              </w:rPr>
              <w:t>0.4</w:t>
            </w:r>
          </w:p>
        </w:tc>
      </w:tr>
    </w:tbl>
    <w:p w:rsidR="0056752D" w:rsidRDefault="00C9710C" w:rsidP="00C9710C">
      <w:pPr>
        <w:pStyle w:val="Source"/>
      </w:pPr>
      <w:r>
        <w:t xml:space="preserve">Sources: </w:t>
      </w:r>
      <w:r w:rsidR="0056752D">
        <w:rPr>
          <w:rFonts w:cs="Times New Roman"/>
          <w:szCs w:val="24"/>
        </w:rPr>
        <w:t>Valent</w:t>
      </w:r>
      <w:r w:rsidR="0056752D" w:rsidRPr="00916B38">
        <w:rPr>
          <w:rFonts w:cs="Times New Roman"/>
          <w:szCs w:val="24"/>
        </w:rPr>
        <w:t xml:space="preserve"> </w:t>
      </w:r>
      <w:r>
        <w:rPr>
          <w:rFonts w:cs="Times New Roman"/>
          <w:szCs w:val="24"/>
        </w:rPr>
        <w:t>(</w:t>
      </w:r>
      <w:r w:rsidR="0056752D" w:rsidRPr="00916B38">
        <w:rPr>
          <w:rFonts w:cs="Times New Roman"/>
          <w:szCs w:val="24"/>
        </w:rPr>
        <w:t>201</w:t>
      </w:r>
      <w:r w:rsidR="0056752D">
        <w:rPr>
          <w:rFonts w:cs="Times New Roman"/>
          <w:szCs w:val="24"/>
        </w:rPr>
        <w:t>7</w:t>
      </w:r>
      <w:r>
        <w:rPr>
          <w:rFonts w:cs="Times New Roman"/>
          <w:szCs w:val="24"/>
        </w:rPr>
        <w:t>)</w:t>
      </w:r>
      <w:r w:rsidRPr="00916B38">
        <w:rPr>
          <w:rFonts w:cs="Times New Roman"/>
          <w:szCs w:val="24"/>
        </w:rPr>
        <w:t xml:space="preserve">; USDA NASS </w:t>
      </w:r>
      <w:r>
        <w:rPr>
          <w:rFonts w:cs="Times New Roman"/>
          <w:szCs w:val="24"/>
        </w:rPr>
        <w:t>(</w:t>
      </w:r>
      <w:r w:rsidRPr="00916B38">
        <w:rPr>
          <w:rFonts w:cs="Times New Roman"/>
          <w:szCs w:val="24"/>
        </w:rPr>
        <w:t>2019</w:t>
      </w:r>
      <w:r>
        <w:rPr>
          <w:rFonts w:cs="Times New Roman"/>
          <w:szCs w:val="24"/>
        </w:rPr>
        <w:t>)</w:t>
      </w:r>
      <w:r w:rsidRPr="00916B38">
        <w:rPr>
          <w:rFonts w:cs="Times New Roman"/>
          <w:szCs w:val="24"/>
        </w:rPr>
        <w:t xml:space="preserve">; </w:t>
      </w:r>
      <w:r w:rsidR="00B97FB7">
        <w:rPr>
          <w:rFonts w:cs="Times New Roman"/>
          <w:szCs w:val="24"/>
        </w:rPr>
        <w:t>FAO</w:t>
      </w:r>
      <w:r w:rsidR="00B97FB7" w:rsidRPr="00916B38">
        <w:rPr>
          <w:rFonts w:cs="Times New Roman"/>
          <w:szCs w:val="24"/>
        </w:rPr>
        <w:t xml:space="preserve"> </w:t>
      </w:r>
      <w:r w:rsidR="00B97FB7">
        <w:rPr>
          <w:rFonts w:cs="Times New Roman"/>
          <w:szCs w:val="24"/>
        </w:rPr>
        <w:t>(</w:t>
      </w:r>
      <w:r w:rsidR="00B97FB7" w:rsidRPr="00916B38">
        <w:rPr>
          <w:rFonts w:cs="Times New Roman"/>
          <w:szCs w:val="24"/>
        </w:rPr>
        <w:t>201</w:t>
      </w:r>
      <w:r w:rsidR="00B97FB7">
        <w:rPr>
          <w:rFonts w:cs="Times New Roman"/>
          <w:szCs w:val="24"/>
        </w:rPr>
        <w:t>9);</w:t>
      </w:r>
      <w:r w:rsidRPr="00916B38">
        <w:rPr>
          <w:rFonts w:cs="Times New Roman"/>
          <w:szCs w:val="24"/>
        </w:rPr>
        <w:t xml:space="preserve"> </w:t>
      </w:r>
      <w:proofErr w:type="spellStart"/>
      <w:r w:rsidRPr="00916B38">
        <w:rPr>
          <w:rFonts w:cs="Times New Roman"/>
          <w:szCs w:val="24"/>
        </w:rPr>
        <w:t>Pestrong</w:t>
      </w:r>
      <w:proofErr w:type="spellEnd"/>
      <w:r w:rsidRPr="00916B38">
        <w:rPr>
          <w:rFonts w:cs="Times New Roman"/>
          <w:szCs w:val="24"/>
        </w:rPr>
        <w:t xml:space="preserve"> </w:t>
      </w:r>
      <w:r>
        <w:rPr>
          <w:rFonts w:cs="Times New Roman"/>
          <w:szCs w:val="24"/>
        </w:rPr>
        <w:t>(</w:t>
      </w:r>
      <w:r w:rsidR="00FF02C5">
        <w:rPr>
          <w:rFonts w:cs="Times New Roman"/>
          <w:szCs w:val="24"/>
        </w:rPr>
        <w:t>2019b</w:t>
      </w:r>
      <w:r w:rsidRPr="00916B38">
        <w:rPr>
          <w:rFonts w:cs="Times New Roman"/>
          <w:szCs w:val="24"/>
        </w:rPr>
        <w:t>)</w:t>
      </w:r>
    </w:p>
    <w:p w:rsidR="0056752D" w:rsidRPr="00EF4446" w:rsidRDefault="0056752D" w:rsidP="0056752D">
      <w:pPr>
        <w:rPr>
          <w:rFonts w:cs="Times New Roman"/>
          <w:iCs/>
          <w:color w:val="75787B" w:themeColor="accent6"/>
          <w:sz w:val="14"/>
          <w:szCs w:val="24"/>
        </w:rPr>
      </w:pPr>
      <w:r w:rsidRPr="00EF4446">
        <w:rPr>
          <w:rFonts w:cs="Times New Roman"/>
          <w:iCs/>
          <w:color w:val="75787B" w:themeColor="accent6"/>
          <w:sz w:val="14"/>
          <w:szCs w:val="24"/>
        </w:rPr>
        <w:t xml:space="preserve">Note: application rates and sale price are assumed to be equivalent </w:t>
      </w:r>
      <w:r>
        <w:rPr>
          <w:rFonts w:cs="Times New Roman"/>
          <w:iCs/>
          <w:color w:val="75787B" w:themeColor="accent6"/>
          <w:sz w:val="14"/>
          <w:szCs w:val="24"/>
        </w:rPr>
        <w:t>in</w:t>
      </w:r>
      <w:r w:rsidRPr="00EF4446">
        <w:rPr>
          <w:rFonts w:cs="Times New Roman"/>
          <w:iCs/>
          <w:color w:val="75787B" w:themeColor="accent6"/>
          <w:sz w:val="14"/>
          <w:szCs w:val="24"/>
        </w:rPr>
        <w:t xml:space="preserve"> Australia and the United States.</w:t>
      </w:r>
      <w:r>
        <w:rPr>
          <w:rFonts w:cs="Times New Roman"/>
          <w:iCs/>
          <w:color w:val="75787B" w:themeColor="accent6"/>
          <w:sz w:val="14"/>
          <w:szCs w:val="24"/>
        </w:rPr>
        <w:t xml:space="preserve"> A</w:t>
      </w:r>
      <w:r w:rsidRPr="00EF4446">
        <w:rPr>
          <w:rFonts w:cs="Times New Roman"/>
          <w:iCs/>
          <w:color w:val="75787B" w:themeColor="accent6"/>
          <w:sz w:val="14"/>
          <w:szCs w:val="24"/>
        </w:rPr>
        <w:t>pplications per year</w:t>
      </w:r>
      <w:r>
        <w:rPr>
          <w:rFonts w:cs="Times New Roman"/>
          <w:iCs/>
          <w:color w:val="75787B" w:themeColor="accent6"/>
          <w:sz w:val="14"/>
          <w:szCs w:val="24"/>
        </w:rPr>
        <w:t xml:space="preserve"> and </w:t>
      </w:r>
      <w:r w:rsidRPr="00EF4446">
        <w:rPr>
          <w:rFonts w:cs="Times New Roman"/>
          <w:iCs/>
          <w:color w:val="75787B" w:themeColor="accent6"/>
          <w:sz w:val="14"/>
          <w:szCs w:val="24"/>
        </w:rPr>
        <w:t>treated area</w:t>
      </w:r>
      <w:r>
        <w:rPr>
          <w:rFonts w:cs="Times New Roman"/>
          <w:iCs/>
          <w:color w:val="75787B" w:themeColor="accent6"/>
          <w:sz w:val="14"/>
          <w:szCs w:val="24"/>
        </w:rPr>
        <w:t xml:space="preserve"> are also assumed to be equivalent at the individual crop level, but values differ when aggregated across broader crop groupings.</w:t>
      </w:r>
      <w:r>
        <w:t xml:space="preserve"> </w:t>
      </w:r>
    </w:p>
    <w:p w:rsidR="00C9710C" w:rsidRDefault="00C9710C" w:rsidP="00C9710C">
      <w:pPr>
        <w:pStyle w:val="Source"/>
      </w:pPr>
    </w:p>
    <w:p w:rsidR="00AD2AFF" w:rsidRDefault="00AD2AFF" w:rsidP="00493401"/>
    <w:p w:rsidR="00B45D96" w:rsidRDefault="00B45D96" w:rsidP="00B45D96">
      <w:pPr>
        <w:pStyle w:val="Heading1un-numbered"/>
        <w:sectPr w:rsidR="00B45D96" w:rsidSect="00144C3A">
          <w:headerReference w:type="even" r:id="rId137"/>
          <w:headerReference w:type="default" r:id="rId138"/>
          <w:headerReference w:type="first" r:id="rId139"/>
          <w:pgSz w:w="11906" w:h="16838" w:code="9"/>
          <w:pgMar w:top="1985" w:right="1106" w:bottom="1134" w:left="680" w:header="680" w:footer="425" w:gutter="0"/>
          <w:cols w:space="284"/>
          <w:docGrid w:linePitch="360"/>
        </w:sectPr>
      </w:pPr>
    </w:p>
    <w:p w:rsidR="00FE6A25" w:rsidRDefault="00FE6A25" w:rsidP="00FE6A25">
      <w:pPr>
        <w:pStyle w:val="Heading1un-numbered"/>
        <w:numPr>
          <w:ilvl w:val="0"/>
          <w:numId w:val="19"/>
        </w:numPr>
      </w:pPr>
      <w:bookmarkStart w:id="396" w:name="_Toc12024331"/>
      <w:bookmarkStart w:id="397" w:name="_Toc14107340"/>
      <w:bookmarkStart w:id="398" w:name="_Toc1057253"/>
      <w:bookmarkStart w:id="399" w:name="_Toc2336629"/>
      <w:bookmarkStart w:id="400" w:name="_Toc4586272"/>
      <w:bookmarkStart w:id="401" w:name="_Toc4672743"/>
      <w:bookmarkStart w:id="402" w:name="_Toc4764890"/>
      <w:bookmarkStart w:id="403" w:name="_Toc6413763"/>
      <w:bookmarkStart w:id="404" w:name="_Toc4586271"/>
      <w:bookmarkStart w:id="405" w:name="_Toc4672742"/>
      <w:bookmarkStart w:id="406" w:name="_Toc4764889"/>
      <w:bookmarkStart w:id="407" w:name="_Toc6413762"/>
      <w:r>
        <w:t>International evaluation criteria comparison</w:t>
      </w:r>
      <w:bookmarkEnd w:id="396"/>
      <w:bookmarkEnd w:id="397"/>
    </w:p>
    <w:bookmarkEnd w:id="398"/>
    <w:bookmarkEnd w:id="399"/>
    <w:bookmarkEnd w:id="400"/>
    <w:bookmarkEnd w:id="401"/>
    <w:bookmarkEnd w:id="402"/>
    <w:bookmarkEnd w:id="403"/>
    <w:p w:rsidR="00FE6A25" w:rsidRDefault="00FE6A25" w:rsidP="00FE6A25">
      <w:r>
        <w:t>Th</w:t>
      </w:r>
      <w:r w:rsidR="007D1E52">
        <w:t xml:space="preserve">is appendix presents </w:t>
      </w:r>
      <w:r>
        <w:t xml:space="preserve">criteria </w:t>
      </w:r>
      <w:r w:rsidR="007D1E52">
        <w:t xml:space="preserve">against which </w:t>
      </w:r>
      <w:r>
        <w:t xml:space="preserve">agvet chemical regulators </w:t>
      </w:r>
      <w:r w:rsidR="00164606">
        <w:t xml:space="preserve">in </w:t>
      </w:r>
      <w:r>
        <w:t>Australia, NZ, Canada, the US and the EU assess agricultural chemicals and veterinary medicines.</w:t>
      </w:r>
    </w:p>
    <w:p w:rsidR="00FE6A25" w:rsidRPr="00D82E3C" w:rsidRDefault="00D82E3C" w:rsidP="00D82E3C">
      <w:pPr>
        <w:pStyle w:val="Caption"/>
      </w:pPr>
      <w:r w:rsidRPr="00DC6DCB">
        <w:t xml:space="preserve">Table </w:t>
      </w:r>
      <w:r>
        <w:t>E.1</w:t>
      </w:r>
      <w:r w:rsidRPr="00DC6DCB">
        <w:t xml:space="preserve"> </w:t>
      </w:r>
      <w:r w:rsidRPr="00D82E3C">
        <w:t xml:space="preserve">Agricultural </w:t>
      </w:r>
      <w:r w:rsidR="00AD2AFF">
        <w:t>c</w:t>
      </w:r>
      <w:r w:rsidRPr="00D82E3C">
        <w:t xml:space="preserve">hemical </w:t>
      </w:r>
      <w:r w:rsidR="00AD2AFF">
        <w:t>r</w:t>
      </w:r>
      <w:r w:rsidRPr="00D82E3C">
        <w:t>egistration</w:t>
      </w:r>
      <w:r w:rsidR="00EF7481">
        <w:t xml:space="preserve"> criteria by country</w:t>
      </w:r>
    </w:p>
    <w:tbl>
      <w:tblPr>
        <w:tblStyle w:val="Deloittetable"/>
        <w:tblW w:w="14454" w:type="dxa"/>
        <w:tblLook w:val="04A0" w:firstRow="1" w:lastRow="0" w:firstColumn="1" w:lastColumn="0" w:noHBand="0" w:noVBand="1"/>
      </w:tblPr>
      <w:tblGrid>
        <w:gridCol w:w="596"/>
        <w:gridCol w:w="2692"/>
        <w:gridCol w:w="2567"/>
        <w:gridCol w:w="2709"/>
        <w:gridCol w:w="3135"/>
        <w:gridCol w:w="2851"/>
      </w:tblGrid>
      <w:tr w:rsidR="00FE6A25" w:rsidRPr="00B70C11" w:rsidTr="00A24225">
        <w:trPr>
          <w:cnfStyle w:val="100000000000" w:firstRow="1" w:lastRow="0" w:firstColumn="0" w:lastColumn="0" w:oddVBand="0" w:evenVBand="0" w:oddHBand="0" w:evenHBand="0" w:firstRowFirstColumn="0" w:firstRowLastColumn="0" w:lastRowFirstColumn="0" w:lastRowLastColumn="0"/>
          <w:cantSplit/>
          <w:trHeight w:val="456"/>
          <w:tblHeader/>
        </w:trPr>
        <w:tc>
          <w:tcPr>
            <w:tcW w:w="580" w:type="dxa"/>
            <w:noWrap/>
            <w:hideMark/>
          </w:tcPr>
          <w:p w:rsidR="00FE6A25" w:rsidRPr="00B70C11" w:rsidRDefault="00FE6A25" w:rsidP="00FF70C6">
            <w:pPr>
              <w:rPr>
                <w:rFonts w:asciiTheme="majorHAnsi" w:eastAsia="Times New Roman" w:hAnsiTheme="majorHAnsi" w:cs="OpenSansRegular"/>
                <w:sz w:val="20"/>
                <w:szCs w:val="20"/>
                <w:lang w:eastAsia="en-AU"/>
              </w:rPr>
            </w:pPr>
          </w:p>
        </w:tc>
        <w:tc>
          <w:tcPr>
            <w:tcW w:w="2676" w:type="dxa"/>
            <w:noWrap/>
            <w:hideMark/>
          </w:tcPr>
          <w:p w:rsidR="00FE6A25" w:rsidRPr="00B70C11" w:rsidRDefault="00FE6A25"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 xml:space="preserve">Efficacy </w:t>
            </w:r>
          </w:p>
        </w:tc>
        <w:tc>
          <w:tcPr>
            <w:tcW w:w="2551" w:type="dxa"/>
          </w:tcPr>
          <w:p w:rsidR="00FE6A25" w:rsidRPr="00B70C11" w:rsidRDefault="00FE6A25"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 xml:space="preserve">Distribution </w:t>
            </w:r>
          </w:p>
        </w:tc>
        <w:tc>
          <w:tcPr>
            <w:tcW w:w="2693" w:type="dxa"/>
            <w:noWrap/>
            <w:hideMark/>
          </w:tcPr>
          <w:p w:rsidR="00FE6A25" w:rsidRPr="00B70C11" w:rsidRDefault="00FE6A25"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Hazard</w:t>
            </w:r>
          </w:p>
        </w:tc>
        <w:tc>
          <w:tcPr>
            <w:tcW w:w="3119" w:type="dxa"/>
            <w:noWrap/>
            <w:hideMark/>
          </w:tcPr>
          <w:p w:rsidR="00FE6A25" w:rsidRPr="00B70C11" w:rsidRDefault="00FE6A25"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Exposure</w:t>
            </w:r>
          </w:p>
        </w:tc>
        <w:tc>
          <w:tcPr>
            <w:tcW w:w="2835" w:type="dxa"/>
            <w:noWrap/>
            <w:hideMark/>
          </w:tcPr>
          <w:p w:rsidR="00FE6A25" w:rsidRPr="00B70C11" w:rsidRDefault="00FE6A25"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Trade implications</w:t>
            </w:r>
          </w:p>
        </w:tc>
      </w:tr>
      <w:tr w:rsidR="00A4321F" w:rsidRPr="00B70C11" w:rsidTr="00AD2AFF">
        <w:trPr>
          <w:trHeight w:val="533"/>
        </w:trPr>
        <w:tc>
          <w:tcPr>
            <w:tcW w:w="580" w:type="dxa"/>
            <w:noWrap/>
            <w:hideMark/>
          </w:tcPr>
          <w:p w:rsidR="00A4321F" w:rsidRPr="00B70C11" w:rsidRDefault="00A4321F"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AUS</w:t>
            </w:r>
          </w:p>
        </w:tc>
        <w:tc>
          <w:tcPr>
            <w:tcW w:w="2676"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Effective if it would achieve one of effects listed</w:t>
            </w:r>
          </w:p>
        </w:tc>
        <w:tc>
          <w:tcPr>
            <w:tcW w:w="2551"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Droplet size classification subject to extra regulation</w:t>
            </w:r>
            <w:r w:rsidRPr="00A604E2">
              <w:rPr>
                <w:rStyle w:val="FootnoteReference"/>
                <w:color w:val="767171" w:themeColor="background2" w:themeShade="80"/>
              </w:rPr>
              <w:t xml:space="preserve"> </w:t>
            </w:r>
          </w:p>
        </w:tc>
        <w:tc>
          <w:tcPr>
            <w:tcW w:w="2693"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Toxicity posed by chemical /potential harm</w:t>
            </w:r>
          </w:p>
        </w:tc>
        <w:tc>
          <w:tcPr>
            <w:tcW w:w="3119"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Amount of contact with hazard</w:t>
            </w:r>
          </w:p>
        </w:tc>
        <w:tc>
          <w:tcPr>
            <w:tcW w:w="2835"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 xml:space="preserve">Meets criteria if use does/would not prejudice trade between Australia &amp; other countries </w:t>
            </w:r>
          </w:p>
        </w:tc>
      </w:tr>
      <w:tr w:rsidR="00A4321F" w:rsidRPr="00B70C11" w:rsidTr="00A4321F">
        <w:trPr>
          <w:trHeight w:val="187"/>
        </w:trPr>
        <w:tc>
          <w:tcPr>
            <w:tcW w:w="580" w:type="dxa"/>
            <w:noWrap/>
            <w:hideMark/>
          </w:tcPr>
          <w:p w:rsidR="00A4321F" w:rsidRPr="00B70C11" w:rsidRDefault="00A4321F"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CAN</w:t>
            </w:r>
          </w:p>
        </w:tc>
        <w:tc>
          <w:tcPr>
            <w:tcW w:w="2676"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Efficacy assessments are part of testing if chemicals provide demonstrated benefit/value</w:t>
            </w:r>
          </w:p>
        </w:tc>
        <w:tc>
          <w:tcPr>
            <w:tcW w:w="2551" w:type="dxa"/>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Bridging trials needed to show product is evenly distributed</w:t>
            </w:r>
          </w:p>
        </w:tc>
        <w:tc>
          <w:tcPr>
            <w:tcW w:w="2693" w:type="dxa"/>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Approved when there is reasonable certainty there will be no harm to health/environment</w:t>
            </w:r>
          </w:p>
        </w:tc>
        <w:tc>
          <w:tcPr>
            <w:tcW w:w="3119" w:type="dxa"/>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Dynamic Risk Assessment to estimate human exposure over single day vs. lifetime</w:t>
            </w:r>
            <w:r w:rsidRPr="00A604E2">
              <w:rPr>
                <w:rStyle w:val="FootnoteReference"/>
                <w:color w:val="767171" w:themeColor="background2" w:themeShade="80"/>
              </w:rPr>
              <w:t xml:space="preserve"> </w:t>
            </w:r>
            <w:r w:rsidRPr="00A604E2">
              <w:rPr>
                <w:rFonts w:asciiTheme="majorHAnsi" w:eastAsia="OpenSansRegular,Times New Roman" w:hAnsiTheme="majorHAnsi" w:cs="OpenSansRegular,Times New Roman"/>
                <w:color w:val="767171" w:themeColor="background2" w:themeShade="80"/>
                <w:sz w:val="14"/>
                <w:szCs w:val="14"/>
                <w:lang w:eastAsia="en-AU"/>
              </w:rPr>
              <w:t>- estimates from residue level &amp; food consumption</w:t>
            </w:r>
          </w:p>
        </w:tc>
        <w:tc>
          <w:tcPr>
            <w:tcW w:w="2835" w:type="dxa"/>
          </w:tcPr>
          <w:p w:rsidR="00A4321F" w:rsidRPr="00A604E2" w:rsidRDefault="00AD2AFF" w:rsidP="00AD2AFF">
            <w:pPr>
              <w:rPr>
                <w:rFonts w:asciiTheme="majorHAnsi" w:eastAsia="Times New Roman" w:hAnsiTheme="majorHAnsi" w:cs="OpenSansRegular"/>
                <w:color w:val="767171" w:themeColor="background2" w:themeShade="80"/>
                <w:sz w:val="14"/>
                <w:szCs w:val="20"/>
                <w:lang w:eastAsia="en-AU"/>
              </w:rPr>
            </w:pPr>
            <w:proofErr w:type="spellStart"/>
            <w:r>
              <w:rPr>
                <w:rFonts w:asciiTheme="majorHAnsi" w:eastAsia="Times New Roman" w:hAnsiTheme="majorHAnsi" w:cs="OpenSansRegular"/>
                <w:color w:val="767171" w:themeColor="background2" w:themeShade="80"/>
                <w:sz w:val="14"/>
                <w:szCs w:val="16"/>
                <w:lang w:eastAsia="en-AU"/>
              </w:rPr>
              <w:t>na</w:t>
            </w:r>
            <w:proofErr w:type="spellEnd"/>
          </w:p>
        </w:tc>
      </w:tr>
      <w:tr w:rsidR="00A4321F" w:rsidRPr="00B70C11" w:rsidTr="00A4321F">
        <w:trPr>
          <w:trHeight w:val="548"/>
        </w:trPr>
        <w:tc>
          <w:tcPr>
            <w:tcW w:w="580" w:type="dxa"/>
            <w:noWrap/>
            <w:hideMark/>
          </w:tcPr>
          <w:p w:rsidR="00A4321F" w:rsidRPr="00B70C11" w:rsidRDefault="00A4321F"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EU</w:t>
            </w:r>
          </w:p>
        </w:tc>
        <w:tc>
          <w:tcPr>
            <w:tcW w:w="2676"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Overall improvement of yield or quality</w:t>
            </w:r>
          </w:p>
        </w:tc>
        <w:tc>
          <w:tcPr>
            <w:tcW w:w="2551" w:type="dxa"/>
          </w:tcPr>
          <w:p w:rsidR="00A4321F" w:rsidRPr="00A604E2" w:rsidRDefault="00AD2AFF" w:rsidP="00AD2AFF">
            <w:pPr>
              <w:rPr>
                <w:rFonts w:asciiTheme="majorHAnsi" w:eastAsia="Times New Roman" w:hAnsiTheme="majorHAnsi" w:cs="OpenSansRegular"/>
                <w:color w:val="767171" w:themeColor="background2" w:themeShade="80"/>
                <w:sz w:val="20"/>
                <w:szCs w:val="20"/>
                <w:lang w:eastAsia="en-AU"/>
              </w:rPr>
            </w:pPr>
            <w:proofErr w:type="spellStart"/>
            <w:r>
              <w:rPr>
                <w:rFonts w:asciiTheme="majorHAnsi" w:eastAsia="Times New Roman" w:hAnsiTheme="majorHAnsi" w:cs="OpenSansRegular"/>
                <w:color w:val="767171" w:themeColor="background2" w:themeShade="80"/>
                <w:sz w:val="14"/>
                <w:szCs w:val="16"/>
                <w:lang w:eastAsia="en-AU"/>
              </w:rPr>
              <w:t>na</w:t>
            </w:r>
            <w:proofErr w:type="spellEnd"/>
          </w:p>
        </w:tc>
        <w:tc>
          <w:tcPr>
            <w:tcW w:w="2693" w:type="dxa"/>
          </w:tcPr>
          <w:p w:rsidR="00A4321F" w:rsidRPr="00A604E2" w:rsidRDefault="00A4321F" w:rsidP="00AD2AFF">
            <w:pPr>
              <w:rPr>
                <w:rFonts w:asciiTheme="majorHAnsi" w:eastAsia="OpenSansRegular,Times New Roman" w:hAnsiTheme="majorHAnsi" w:cs="OpenSansRegular,Times New Roman"/>
                <w:color w:val="767171" w:themeColor="background2" w:themeShade="80"/>
                <w:sz w:val="20"/>
                <w:szCs w:val="20"/>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Assesses extent of direct or indirect harm to human or animal health</w:t>
            </w:r>
          </w:p>
        </w:tc>
        <w:tc>
          <w:tcPr>
            <w:tcW w:w="3119" w:type="dxa"/>
          </w:tcPr>
          <w:p w:rsidR="00A4321F" w:rsidRPr="00A604E2" w:rsidRDefault="00A4321F" w:rsidP="00AD2AFF">
            <w:pPr>
              <w:rPr>
                <w:rFonts w:asciiTheme="majorHAnsi" w:eastAsia="Times New Roman" w:hAnsiTheme="majorHAnsi" w:cs="OpenSansRegular"/>
                <w:color w:val="767171" w:themeColor="background2" w:themeShade="80"/>
                <w:sz w:val="20"/>
                <w:szCs w:val="20"/>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Exposure not part of process – shift from risk-based approach to hazard-based</w:t>
            </w:r>
          </w:p>
        </w:tc>
        <w:tc>
          <w:tcPr>
            <w:tcW w:w="2835" w:type="dxa"/>
          </w:tcPr>
          <w:p w:rsidR="00A4321F" w:rsidRPr="00A604E2" w:rsidRDefault="00AD2AFF" w:rsidP="00AD2AFF">
            <w:pPr>
              <w:rPr>
                <w:rFonts w:asciiTheme="majorHAnsi" w:eastAsia="Times New Roman" w:hAnsiTheme="majorHAnsi" w:cs="OpenSansRegular"/>
                <w:color w:val="767171" w:themeColor="background2" w:themeShade="80"/>
                <w:sz w:val="20"/>
                <w:szCs w:val="20"/>
                <w:lang w:eastAsia="en-AU"/>
              </w:rPr>
            </w:pPr>
            <w:proofErr w:type="spellStart"/>
            <w:r>
              <w:rPr>
                <w:rFonts w:asciiTheme="majorHAnsi" w:eastAsia="Times New Roman" w:hAnsiTheme="majorHAnsi" w:cs="OpenSansRegular"/>
                <w:color w:val="767171" w:themeColor="background2" w:themeShade="80"/>
                <w:sz w:val="14"/>
                <w:szCs w:val="16"/>
                <w:lang w:eastAsia="en-AU"/>
              </w:rPr>
              <w:t>na</w:t>
            </w:r>
            <w:proofErr w:type="spellEnd"/>
          </w:p>
        </w:tc>
      </w:tr>
      <w:tr w:rsidR="00A4321F" w:rsidRPr="00B70C11" w:rsidTr="00A4321F">
        <w:trPr>
          <w:trHeight w:val="548"/>
        </w:trPr>
        <w:tc>
          <w:tcPr>
            <w:tcW w:w="580" w:type="dxa"/>
            <w:noWrap/>
            <w:hideMark/>
          </w:tcPr>
          <w:p w:rsidR="00A4321F" w:rsidRPr="00B70C11" w:rsidRDefault="00A4321F"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NZ</w:t>
            </w:r>
          </w:p>
        </w:tc>
        <w:tc>
          <w:tcPr>
            <w:tcW w:w="2676"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Efficacy standards complemented by criteria regarding crop tolerance &amp; pest resistance</w:t>
            </w:r>
          </w:p>
        </w:tc>
        <w:tc>
          <w:tcPr>
            <w:tcW w:w="2551" w:type="dxa"/>
            <w:noWrap/>
            <w:hideMark/>
          </w:tcPr>
          <w:p w:rsidR="00A4321F" w:rsidRPr="00A604E2" w:rsidRDefault="00A4321F" w:rsidP="00AD2AFF">
            <w:pPr>
              <w:rPr>
                <w:rFonts w:asciiTheme="majorHAnsi" w:eastAsia="Times New Roman" w:hAnsiTheme="majorHAnsi" w:cs="OpenSansRegular"/>
                <w:color w:val="767171" w:themeColor="background2" w:themeShade="80"/>
                <w:sz w:val="14"/>
                <w:szCs w:val="16"/>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 xml:space="preserve">No explicit mention of how distribution plays into evaluation – dietary exposure forms basis for measurement </w:t>
            </w:r>
          </w:p>
        </w:tc>
        <w:tc>
          <w:tcPr>
            <w:tcW w:w="2693" w:type="dxa"/>
            <w:noWrap/>
            <w:hideMark/>
          </w:tcPr>
          <w:p w:rsidR="00A4321F" w:rsidRPr="00A604E2" w:rsidRDefault="00AD2AFF" w:rsidP="00AD2AFF">
            <w:pPr>
              <w:rPr>
                <w:rFonts w:asciiTheme="majorHAnsi" w:eastAsia="OpenSansRegular,Times New Roman" w:hAnsiTheme="majorHAnsi" w:cs="OpenSansRegular,Times New Roman"/>
                <w:color w:val="767171" w:themeColor="background2" w:themeShade="80"/>
                <w:sz w:val="14"/>
                <w:szCs w:val="14"/>
                <w:lang w:eastAsia="en-AU"/>
              </w:rPr>
            </w:pPr>
            <w:proofErr w:type="spellStart"/>
            <w:r>
              <w:rPr>
                <w:rFonts w:asciiTheme="majorHAnsi" w:eastAsia="Times New Roman" w:hAnsiTheme="majorHAnsi" w:cs="OpenSansRegular"/>
                <w:color w:val="767171" w:themeColor="background2" w:themeShade="80"/>
                <w:sz w:val="14"/>
                <w:szCs w:val="16"/>
                <w:lang w:eastAsia="en-AU"/>
              </w:rPr>
              <w:t>na</w:t>
            </w:r>
            <w:proofErr w:type="spellEnd"/>
          </w:p>
        </w:tc>
        <w:tc>
          <w:tcPr>
            <w:tcW w:w="3119" w:type="dxa"/>
          </w:tcPr>
          <w:p w:rsidR="00A4321F" w:rsidRPr="00A604E2" w:rsidRDefault="00AD2AFF" w:rsidP="00AD2AFF">
            <w:pPr>
              <w:rPr>
                <w:rFonts w:asciiTheme="majorHAnsi" w:eastAsia="OpenSansRegular,Times New Roman" w:hAnsiTheme="majorHAnsi" w:cs="OpenSansRegular,Times New Roman"/>
                <w:color w:val="767171" w:themeColor="background2" w:themeShade="80"/>
                <w:sz w:val="14"/>
                <w:szCs w:val="14"/>
                <w:lang w:eastAsia="en-AU"/>
              </w:rPr>
            </w:pPr>
            <w:proofErr w:type="spellStart"/>
            <w:r>
              <w:rPr>
                <w:rFonts w:asciiTheme="majorHAnsi" w:eastAsia="Times New Roman" w:hAnsiTheme="majorHAnsi" w:cs="OpenSansRegular"/>
                <w:color w:val="767171" w:themeColor="background2" w:themeShade="80"/>
                <w:sz w:val="14"/>
                <w:szCs w:val="16"/>
                <w:lang w:eastAsia="en-AU"/>
              </w:rPr>
              <w:t>na</w:t>
            </w:r>
            <w:proofErr w:type="spellEnd"/>
          </w:p>
        </w:tc>
        <w:tc>
          <w:tcPr>
            <w:tcW w:w="2835" w:type="dxa"/>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Information &amp; technical data required regarding any possible impact on trade from use</w:t>
            </w:r>
          </w:p>
        </w:tc>
      </w:tr>
      <w:tr w:rsidR="00A4321F" w:rsidRPr="00B70C11" w:rsidTr="00A4321F">
        <w:trPr>
          <w:trHeight w:val="68"/>
        </w:trPr>
        <w:tc>
          <w:tcPr>
            <w:tcW w:w="580" w:type="dxa"/>
            <w:noWrap/>
            <w:hideMark/>
          </w:tcPr>
          <w:p w:rsidR="00A4321F" w:rsidRPr="00B70C11" w:rsidRDefault="00A4321F" w:rsidP="00AD2AFF">
            <w:pP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US</w:t>
            </w:r>
          </w:p>
        </w:tc>
        <w:tc>
          <w:tcPr>
            <w:tcW w:w="2676" w:type="dxa"/>
            <w:noWrap/>
            <w:hideMark/>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Efficacy requirements – data submitted as part of application</w:t>
            </w:r>
          </w:p>
        </w:tc>
        <w:tc>
          <w:tcPr>
            <w:tcW w:w="2551" w:type="dxa"/>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Implicit – testing of intensity</w:t>
            </w:r>
          </w:p>
        </w:tc>
        <w:tc>
          <w:tcPr>
            <w:tcW w:w="2693" w:type="dxa"/>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‘EPA must evaluate both hazard and exposure’</w:t>
            </w:r>
            <w:r w:rsidRPr="00A604E2">
              <w:rPr>
                <w:rStyle w:val="FootnoteReference"/>
                <w:color w:val="767171" w:themeColor="background2" w:themeShade="80"/>
              </w:rPr>
              <w:t xml:space="preserve"> </w:t>
            </w:r>
            <w:r w:rsidRPr="00A604E2">
              <w:rPr>
                <w:rFonts w:asciiTheme="majorHAnsi" w:eastAsia="OpenSansRegular,Times New Roman" w:hAnsiTheme="majorHAnsi" w:cs="OpenSansRegular,Times New Roman"/>
                <w:color w:val="767171" w:themeColor="background2" w:themeShade="80"/>
                <w:sz w:val="14"/>
                <w:szCs w:val="14"/>
                <w:lang w:eastAsia="en-AU"/>
              </w:rPr>
              <w:t>– will identify adverse effects on health/environment as part of testing process</w:t>
            </w:r>
          </w:p>
        </w:tc>
        <w:tc>
          <w:tcPr>
            <w:tcW w:w="3119" w:type="dxa"/>
          </w:tcPr>
          <w:p w:rsidR="00A4321F" w:rsidRPr="00A604E2" w:rsidRDefault="00A4321F" w:rsidP="00AD2AFF">
            <w:pPr>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 xml:space="preserve">Duration, intensity, frequency, number of exposures </w:t>
            </w:r>
          </w:p>
        </w:tc>
        <w:tc>
          <w:tcPr>
            <w:tcW w:w="2835" w:type="dxa"/>
          </w:tcPr>
          <w:p w:rsidR="00A4321F" w:rsidRPr="00A604E2" w:rsidRDefault="00AD2AFF" w:rsidP="00AD2AFF">
            <w:pPr>
              <w:rPr>
                <w:rFonts w:asciiTheme="majorHAnsi" w:eastAsia="Times New Roman" w:hAnsiTheme="majorHAnsi" w:cs="OpenSansRegular"/>
                <w:color w:val="767171" w:themeColor="background2" w:themeShade="80"/>
                <w:sz w:val="14"/>
                <w:szCs w:val="16"/>
                <w:lang w:eastAsia="en-AU"/>
              </w:rPr>
            </w:pPr>
            <w:proofErr w:type="spellStart"/>
            <w:r>
              <w:rPr>
                <w:rFonts w:asciiTheme="majorHAnsi" w:eastAsia="Times New Roman" w:hAnsiTheme="majorHAnsi" w:cs="OpenSansRegular"/>
                <w:color w:val="767171" w:themeColor="background2" w:themeShade="80"/>
                <w:sz w:val="14"/>
                <w:szCs w:val="16"/>
                <w:lang w:eastAsia="en-AU"/>
              </w:rPr>
              <w:t>na</w:t>
            </w:r>
            <w:proofErr w:type="spellEnd"/>
          </w:p>
        </w:tc>
      </w:tr>
    </w:tbl>
    <w:p w:rsidR="00AD2AFF" w:rsidRPr="00AD2AFF" w:rsidRDefault="00AD2AFF" w:rsidP="00AD2AFF">
      <w:pPr>
        <w:pStyle w:val="Source"/>
      </w:pPr>
      <w:r>
        <w:t xml:space="preserve">Sources: </w:t>
      </w:r>
      <w:r w:rsidR="00FF02C5">
        <w:rPr>
          <w:rFonts w:cs="Times New Roman"/>
          <w:szCs w:val="24"/>
        </w:rPr>
        <w:t>Australian</w:t>
      </w:r>
      <w:r w:rsidR="00916B38" w:rsidRPr="00916B38">
        <w:rPr>
          <w:rFonts w:cs="Times New Roman"/>
          <w:szCs w:val="24"/>
        </w:rPr>
        <w:t xml:space="preserve"> </w:t>
      </w:r>
      <w:r w:rsidR="00FF02C5">
        <w:rPr>
          <w:rFonts w:cs="Times New Roman"/>
          <w:szCs w:val="24"/>
        </w:rPr>
        <w:t xml:space="preserve">Government </w:t>
      </w:r>
      <w:r w:rsidR="00C9710C">
        <w:rPr>
          <w:rFonts w:cs="Times New Roman"/>
          <w:szCs w:val="24"/>
        </w:rPr>
        <w:t>(</w:t>
      </w:r>
      <w:r w:rsidR="00916B38" w:rsidRPr="00916B38">
        <w:rPr>
          <w:rFonts w:cs="Times New Roman"/>
          <w:szCs w:val="24"/>
        </w:rPr>
        <w:t>2014</w:t>
      </w:r>
      <w:r w:rsidR="00C9710C">
        <w:rPr>
          <w:rFonts w:cs="Times New Roman"/>
          <w:szCs w:val="24"/>
        </w:rPr>
        <w:t>)</w:t>
      </w:r>
      <w:r w:rsidR="00916B38" w:rsidRPr="00916B38">
        <w:rPr>
          <w:rFonts w:cs="Times New Roman"/>
          <w:szCs w:val="24"/>
        </w:rPr>
        <w:t xml:space="preserve">; APVMA </w:t>
      </w:r>
      <w:r w:rsidR="00C9710C">
        <w:rPr>
          <w:rFonts w:cs="Times New Roman"/>
          <w:szCs w:val="24"/>
        </w:rPr>
        <w:t>(</w:t>
      </w:r>
      <w:proofErr w:type="spellStart"/>
      <w:r w:rsidR="00FF02C5">
        <w:rPr>
          <w:rFonts w:cs="Times New Roman"/>
          <w:szCs w:val="24"/>
        </w:rPr>
        <w:t>n.d.</w:t>
      </w:r>
      <w:proofErr w:type="spellEnd"/>
      <w:r w:rsidR="00FF02C5">
        <w:rPr>
          <w:rFonts w:cs="Times New Roman"/>
          <w:szCs w:val="24"/>
        </w:rPr>
        <w:t xml:space="preserve">; </w:t>
      </w:r>
      <w:r w:rsidR="00916B38" w:rsidRPr="00916B38">
        <w:rPr>
          <w:rFonts w:cs="Times New Roman"/>
          <w:szCs w:val="24"/>
        </w:rPr>
        <w:t>201</w:t>
      </w:r>
      <w:r w:rsidR="00FF02C5">
        <w:rPr>
          <w:rFonts w:cs="Times New Roman"/>
          <w:szCs w:val="24"/>
        </w:rPr>
        <w:t>4</w:t>
      </w:r>
      <w:r w:rsidR="00916B38" w:rsidRPr="00916B38">
        <w:rPr>
          <w:rFonts w:cs="Times New Roman"/>
          <w:szCs w:val="24"/>
        </w:rPr>
        <w:t>b</w:t>
      </w:r>
      <w:r w:rsidR="004E4751">
        <w:rPr>
          <w:rFonts w:cs="Times New Roman"/>
          <w:szCs w:val="24"/>
        </w:rPr>
        <w:t>; 2018d</w:t>
      </w:r>
      <w:r w:rsidR="00C9710C">
        <w:rPr>
          <w:rFonts w:cs="Times New Roman"/>
          <w:szCs w:val="24"/>
        </w:rPr>
        <w:t>)</w:t>
      </w:r>
      <w:r w:rsidR="00916B38" w:rsidRPr="00916B38">
        <w:rPr>
          <w:rFonts w:cs="Times New Roman"/>
          <w:szCs w:val="24"/>
        </w:rPr>
        <w:t xml:space="preserve">; </w:t>
      </w:r>
      <w:r w:rsidR="004E4751">
        <w:rPr>
          <w:rFonts w:cs="Times New Roman"/>
          <w:szCs w:val="24"/>
        </w:rPr>
        <w:t xml:space="preserve">US </w:t>
      </w:r>
      <w:r w:rsidR="00916B38" w:rsidRPr="00916B38">
        <w:rPr>
          <w:rFonts w:cs="Times New Roman"/>
          <w:szCs w:val="24"/>
        </w:rPr>
        <w:t xml:space="preserve">EPA </w:t>
      </w:r>
      <w:r w:rsidR="00C9710C">
        <w:rPr>
          <w:rFonts w:cs="Times New Roman"/>
          <w:szCs w:val="24"/>
        </w:rPr>
        <w:t>(</w:t>
      </w:r>
      <w:r w:rsidR="00916B38" w:rsidRPr="00916B38">
        <w:rPr>
          <w:rFonts w:cs="Times New Roman"/>
          <w:szCs w:val="24"/>
        </w:rPr>
        <w:t>2018, 2017</w:t>
      </w:r>
      <w:r w:rsidR="00C9710C">
        <w:rPr>
          <w:rFonts w:cs="Times New Roman"/>
          <w:szCs w:val="24"/>
        </w:rPr>
        <w:t>)</w:t>
      </w:r>
      <w:r w:rsidR="00916B38" w:rsidRPr="00916B38">
        <w:rPr>
          <w:rFonts w:cs="Times New Roman"/>
          <w:szCs w:val="24"/>
        </w:rPr>
        <w:t xml:space="preserve">; </w:t>
      </w:r>
      <w:r w:rsidR="004E4751">
        <w:rPr>
          <w:rFonts w:cs="Times New Roman"/>
          <w:szCs w:val="24"/>
        </w:rPr>
        <w:t xml:space="preserve">NZ </w:t>
      </w:r>
      <w:r w:rsidR="00916B38" w:rsidRPr="00916B38">
        <w:rPr>
          <w:rFonts w:cs="Times New Roman"/>
          <w:szCs w:val="24"/>
        </w:rPr>
        <w:t xml:space="preserve">MPI </w:t>
      </w:r>
      <w:r w:rsidR="00C9710C">
        <w:rPr>
          <w:rFonts w:cs="Times New Roman"/>
          <w:szCs w:val="24"/>
        </w:rPr>
        <w:t>(</w:t>
      </w:r>
      <w:r w:rsidR="00916B38" w:rsidRPr="00916B38">
        <w:rPr>
          <w:rFonts w:cs="Times New Roman"/>
          <w:szCs w:val="24"/>
        </w:rPr>
        <w:t>2014</w:t>
      </w:r>
      <w:r w:rsidR="00C9710C">
        <w:rPr>
          <w:rFonts w:cs="Times New Roman"/>
          <w:szCs w:val="24"/>
        </w:rPr>
        <w:t>)</w:t>
      </w:r>
      <w:r w:rsidR="00916B38" w:rsidRPr="00916B38">
        <w:rPr>
          <w:rFonts w:cs="Times New Roman"/>
          <w:szCs w:val="24"/>
        </w:rPr>
        <w:t xml:space="preserve">; PMRA </w:t>
      </w:r>
      <w:r w:rsidR="00C9710C">
        <w:rPr>
          <w:rFonts w:cs="Times New Roman"/>
          <w:szCs w:val="24"/>
        </w:rPr>
        <w:t>(</w:t>
      </w:r>
      <w:r w:rsidR="00916B38" w:rsidRPr="00916B38">
        <w:rPr>
          <w:rFonts w:cs="Times New Roman"/>
          <w:szCs w:val="24"/>
        </w:rPr>
        <w:t>2003b, 2003a</w:t>
      </w:r>
      <w:r w:rsidR="00C9710C">
        <w:rPr>
          <w:rFonts w:cs="Times New Roman"/>
          <w:szCs w:val="24"/>
        </w:rPr>
        <w:t>)</w:t>
      </w:r>
      <w:r w:rsidR="00916B38" w:rsidRPr="00916B38">
        <w:rPr>
          <w:rFonts w:cs="Times New Roman"/>
          <w:szCs w:val="24"/>
        </w:rPr>
        <w:t xml:space="preserve">; Government of Canada </w:t>
      </w:r>
      <w:r w:rsidR="00C9710C">
        <w:rPr>
          <w:rFonts w:cs="Times New Roman"/>
          <w:szCs w:val="24"/>
        </w:rPr>
        <w:t>(</w:t>
      </w:r>
      <w:r w:rsidR="00916B38" w:rsidRPr="00916B38">
        <w:rPr>
          <w:rFonts w:cs="Times New Roman"/>
          <w:szCs w:val="24"/>
        </w:rPr>
        <w:t>2019</w:t>
      </w:r>
      <w:r w:rsidR="00C9710C">
        <w:rPr>
          <w:rFonts w:cs="Times New Roman"/>
          <w:szCs w:val="24"/>
        </w:rPr>
        <w:t>)</w:t>
      </w:r>
      <w:r w:rsidR="00916B38" w:rsidRPr="00916B38">
        <w:rPr>
          <w:rFonts w:cs="Times New Roman"/>
          <w:szCs w:val="24"/>
        </w:rPr>
        <w:t xml:space="preserve">; den Hoed </w:t>
      </w:r>
      <w:r w:rsidR="00C9710C">
        <w:rPr>
          <w:rFonts w:cs="Times New Roman"/>
          <w:szCs w:val="24"/>
        </w:rPr>
        <w:t>(</w:t>
      </w:r>
      <w:r w:rsidR="00916B38" w:rsidRPr="00916B38">
        <w:rPr>
          <w:rFonts w:cs="Times New Roman"/>
          <w:szCs w:val="24"/>
        </w:rPr>
        <w:t>2007)</w:t>
      </w:r>
    </w:p>
    <w:p w:rsidR="00FE6A25" w:rsidRPr="00D82E3C" w:rsidRDefault="00AD2AFF" w:rsidP="00D82E3C">
      <w:pPr>
        <w:pStyle w:val="Caption"/>
      </w:pPr>
      <w:r w:rsidRPr="00DC6DCB">
        <w:t xml:space="preserve">Table </w:t>
      </w:r>
      <w:r>
        <w:t>E.2</w:t>
      </w:r>
      <w:r w:rsidRPr="00DC6DCB">
        <w:t xml:space="preserve"> </w:t>
      </w:r>
      <w:r w:rsidR="00D82E3C" w:rsidRPr="00D82E3C">
        <w:t>Veterinary Chemical Registration</w:t>
      </w:r>
      <w:r w:rsidR="00EF7481">
        <w:t xml:space="preserve"> criteria by country</w:t>
      </w:r>
    </w:p>
    <w:tbl>
      <w:tblPr>
        <w:tblStyle w:val="Deloittetable"/>
        <w:tblW w:w="9295" w:type="dxa"/>
        <w:tblLook w:val="04A0" w:firstRow="1" w:lastRow="0" w:firstColumn="1" w:lastColumn="0" w:noHBand="0" w:noVBand="1"/>
      </w:tblPr>
      <w:tblGrid>
        <w:gridCol w:w="405"/>
        <w:gridCol w:w="3369"/>
        <w:gridCol w:w="3651"/>
        <w:gridCol w:w="1934"/>
      </w:tblGrid>
      <w:tr w:rsidR="00FE6A25" w:rsidRPr="00B70C11" w:rsidTr="00A24225">
        <w:trPr>
          <w:cnfStyle w:val="100000000000" w:firstRow="1" w:lastRow="0" w:firstColumn="0" w:lastColumn="0" w:oddVBand="0" w:evenVBand="0" w:oddHBand="0" w:evenHBand="0" w:firstRowFirstColumn="0" w:firstRowLastColumn="0" w:lastRowFirstColumn="0" w:lastRowLastColumn="0"/>
          <w:cantSplit/>
          <w:trHeight w:val="392"/>
          <w:tblHeader/>
        </w:trPr>
        <w:tc>
          <w:tcPr>
            <w:tcW w:w="389" w:type="dxa"/>
            <w:noWrap/>
            <w:hideMark/>
          </w:tcPr>
          <w:p w:rsidR="00FE6A25" w:rsidRPr="00B70C11" w:rsidRDefault="00FE6A25" w:rsidP="00FF70C6">
            <w:pPr>
              <w:rPr>
                <w:rFonts w:asciiTheme="majorHAnsi" w:eastAsia="Times New Roman" w:hAnsiTheme="majorHAnsi" w:cs="OpenSansRegular"/>
                <w:sz w:val="20"/>
                <w:szCs w:val="20"/>
                <w:lang w:eastAsia="en-AU"/>
              </w:rPr>
            </w:pPr>
          </w:p>
        </w:tc>
        <w:tc>
          <w:tcPr>
            <w:tcW w:w="3353" w:type="dxa"/>
            <w:noWrap/>
            <w:hideMark/>
          </w:tcPr>
          <w:p w:rsidR="00FE6A25" w:rsidRPr="00B70C11" w:rsidRDefault="00FE6A25" w:rsidP="00FF70C6">
            <w:pPr>
              <w:jc w:val="cente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Efficacy</w:t>
            </w:r>
          </w:p>
        </w:tc>
        <w:tc>
          <w:tcPr>
            <w:tcW w:w="3635" w:type="dxa"/>
            <w:noWrap/>
            <w:hideMark/>
          </w:tcPr>
          <w:p w:rsidR="00FE6A25" w:rsidRPr="00B70C11" w:rsidRDefault="00FE6A25" w:rsidP="00FF70C6">
            <w:pPr>
              <w:jc w:val="cente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Animal welfare</w:t>
            </w:r>
          </w:p>
        </w:tc>
        <w:tc>
          <w:tcPr>
            <w:tcW w:w="1918" w:type="dxa"/>
            <w:noWrap/>
            <w:hideMark/>
          </w:tcPr>
          <w:p w:rsidR="00FE6A25" w:rsidRPr="00B70C11" w:rsidRDefault="00FE6A25" w:rsidP="00FF70C6">
            <w:pPr>
              <w:jc w:val="cente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Trade implications</w:t>
            </w:r>
          </w:p>
        </w:tc>
      </w:tr>
      <w:tr w:rsidR="00A4321F" w:rsidRPr="00B70C11" w:rsidTr="003A19A5">
        <w:trPr>
          <w:trHeight w:val="274"/>
        </w:trPr>
        <w:tc>
          <w:tcPr>
            <w:tcW w:w="389" w:type="dxa"/>
            <w:noWrap/>
            <w:hideMark/>
          </w:tcPr>
          <w:p w:rsidR="00A4321F" w:rsidRPr="00B70C11" w:rsidRDefault="00A4321F" w:rsidP="00A4321F">
            <w:pPr>
              <w:jc w:val="cente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AUS</w:t>
            </w:r>
          </w:p>
        </w:tc>
        <w:tc>
          <w:tcPr>
            <w:tcW w:w="3353" w:type="dxa"/>
            <w:noWrap/>
            <w:hideMark/>
          </w:tcPr>
          <w:p w:rsidR="00A4321F" w:rsidRPr="00A604E2" w:rsidRDefault="00EF7481"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Effective if it would achieve one of effects listed</w:t>
            </w:r>
          </w:p>
        </w:tc>
        <w:tc>
          <w:tcPr>
            <w:tcW w:w="3635" w:type="dxa"/>
          </w:tcPr>
          <w:p w:rsidR="00A4321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‘is not/would not be likely to have unintended effect that is harmful to animals’</w:t>
            </w:r>
          </w:p>
        </w:tc>
        <w:tc>
          <w:tcPr>
            <w:tcW w:w="1918" w:type="dxa"/>
            <w:noWrap/>
            <w:hideMark/>
          </w:tcPr>
          <w:p w:rsidR="00A4321F" w:rsidRPr="00A604E2" w:rsidRDefault="00EF7481"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Meets criteria if use does/would not prejudice trade between Australia &amp; other countries</w:t>
            </w:r>
          </w:p>
        </w:tc>
      </w:tr>
      <w:tr w:rsidR="00A4321F" w:rsidRPr="00B70C11" w:rsidTr="003A19A5">
        <w:trPr>
          <w:trHeight w:val="274"/>
        </w:trPr>
        <w:tc>
          <w:tcPr>
            <w:tcW w:w="389" w:type="dxa"/>
            <w:noWrap/>
            <w:hideMark/>
          </w:tcPr>
          <w:p w:rsidR="00A4321F" w:rsidRPr="00B70C11" w:rsidRDefault="00A4321F" w:rsidP="00A4321F">
            <w:pPr>
              <w:jc w:val="cente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CAN</w:t>
            </w:r>
          </w:p>
        </w:tc>
        <w:tc>
          <w:tcPr>
            <w:tcW w:w="3353" w:type="dxa"/>
            <w:noWrap/>
            <w:hideMark/>
          </w:tcPr>
          <w:p w:rsidR="00A4321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Monitors effectiveness of vet medicine – ‘pure, potent, safe &amp; efficacious’</w:t>
            </w:r>
          </w:p>
        </w:tc>
        <w:tc>
          <w:tcPr>
            <w:tcW w:w="3635" w:type="dxa"/>
          </w:tcPr>
          <w:p w:rsidR="00A4321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‘works to protect animal health’ (more explicit discussion of human consumption of animal products)</w:t>
            </w:r>
            <w:r w:rsidR="003A19A5" w:rsidRPr="00A604E2">
              <w:rPr>
                <w:rFonts w:asciiTheme="majorHAnsi" w:eastAsia="OpenSansRegular,Times New Roman" w:hAnsiTheme="majorHAnsi" w:cs="OpenSansRegular,Times New Roman"/>
                <w:color w:val="767171" w:themeColor="background2" w:themeShade="80"/>
                <w:sz w:val="14"/>
                <w:szCs w:val="14"/>
                <w:lang w:eastAsia="en-AU"/>
              </w:rPr>
              <w:t xml:space="preserve"> </w:t>
            </w:r>
          </w:p>
        </w:tc>
        <w:tc>
          <w:tcPr>
            <w:tcW w:w="1918" w:type="dxa"/>
          </w:tcPr>
          <w:p w:rsidR="00A4321F" w:rsidRPr="00A604E2" w:rsidRDefault="003A19A5" w:rsidP="003A19A5">
            <w:pPr>
              <w:ind w:left="166"/>
              <w:rPr>
                <w:rFonts w:asciiTheme="majorHAnsi" w:eastAsia="Times New Roman" w:hAnsiTheme="majorHAnsi" w:cs="OpenSansRegular"/>
                <w:color w:val="767171" w:themeColor="background2" w:themeShade="80"/>
                <w:sz w:val="14"/>
                <w:szCs w:val="20"/>
                <w:lang w:eastAsia="en-AU"/>
              </w:rPr>
            </w:pPr>
            <w:proofErr w:type="spellStart"/>
            <w:r>
              <w:rPr>
                <w:rFonts w:asciiTheme="majorHAnsi" w:eastAsia="Times New Roman" w:hAnsiTheme="majorHAnsi" w:cs="OpenSansRegular"/>
                <w:color w:val="767171" w:themeColor="background2" w:themeShade="80"/>
                <w:sz w:val="14"/>
                <w:lang w:eastAsia="en-AU"/>
              </w:rPr>
              <w:t>na</w:t>
            </w:r>
            <w:proofErr w:type="spellEnd"/>
          </w:p>
        </w:tc>
      </w:tr>
      <w:tr w:rsidR="00A4321F" w:rsidRPr="00B70C11" w:rsidTr="003A19A5">
        <w:trPr>
          <w:trHeight w:val="274"/>
        </w:trPr>
        <w:tc>
          <w:tcPr>
            <w:tcW w:w="389" w:type="dxa"/>
            <w:noWrap/>
            <w:hideMark/>
          </w:tcPr>
          <w:p w:rsidR="00A4321F" w:rsidRPr="00B70C11" w:rsidRDefault="00A4321F" w:rsidP="00A4321F">
            <w:pPr>
              <w:jc w:val="cente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EU</w:t>
            </w:r>
          </w:p>
        </w:tc>
        <w:tc>
          <w:tcPr>
            <w:tcW w:w="3353" w:type="dxa"/>
            <w:noWrap/>
            <w:hideMark/>
          </w:tcPr>
          <w:p w:rsidR="00A4321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Guidelines on efficacy pre-market authorisation application</w:t>
            </w:r>
          </w:p>
        </w:tc>
        <w:tc>
          <w:tcPr>
            <w:tcW w:w="3635" w:type="dxa"/>
          </w:tcPr>
          <w:p w:rsidR="00A4321F" w:rsidRPr="00A604E2" w:rsidRDefault="00EF7481"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Pr>
                <w:rFonts w:asciiTheme="majorHAnsi" w:eastAsia="OpenSansRegular,Times New Roman" w:hAnsiTheme="majorHAnsi" w:cs="OpenSansRegular,Times New Roman"/>
                <w:color w:val="767171" w:themeColor="background2" w:themeShade="80"/>
                <w:sz w:val="14"/>
                <w:szCs w:val="14"/>
                <w:lang w:eastAsia="en-AU"/>
              </w:rPr>
              <w:t>Target animal safety</w:t>
            </w:r>
            <w:r w:rsidR="00A4321F" w:rsidRPr="00A604E2">
              <w:rPr>
                <w:rFonts w:asciiTheme="majorHAnsi" w:eastAsia="OpenSansRegular,Times New Roman" w:hAnsiTheme="majorHAnsi" w:cs="OpenSansRegular,Times New Roman"/>
                <w:color w:val="767171" w:themeColor="background2" w:themeShade="80"/>
                <w:sz w:val="14"/>
                <w:szCs w:val="14"/>
                <w:lang w:eastAsia="en-AU"/>
              </w:rPr>
              <w:t xml:space="preserve"> evaluation for submission of product application </w:t>
            </w:r>
          </w:p>
        </w:tc>
        <w:tc>
          <w:tcPr>
            <w:tcW w:w="1918" w:type="dxa"/>
          </w:tcPr>
          <w:p w:rsidR="00A4321F" w:rsidRPr="00A604E2" w:rsidRDefault="003A19A5" w:rsidP="003A19A5">
            <w:pPr>
              <w:ind w:left="166"/>
              <w:rPr>
                <w:rFonts w:asciiTheme="majorHAnsi" w:eastAsia="Times New Roman" w:hAnsiTheme="majorHAnsi" w:cs="OpenSansRegular"/>
                <w:color w:val="767171" w:themeColor="background2" w:themeShade="80"/>
                <w:sz w:val="14"/>
                <w:szCs w:val="20"/>
                <w:lang w:eastAsia="en-AU"/>
              </w:rPr>
            </w:pPr>
            <w:proofErr w:type="spellStart"/>
            <w:r>
              <w:rPr>
                <w:rFonts w:asciiTheme="majorHAnsi" w:eastAsia="Times New Roman" w:hAnsiTheme="majorHAnsi" w:cs="OpenSansRegular"/>
                <w:color w:val="767171" w:themeColor="background2" w:themeShade="80"/>
                <w:sz w:val="14"/>
                <w:lang w:eastAsia="en-AU"/>
              </w:rPr>
              <w:t>na</w:t>
            </w:r>
            <w:proofErr w:type="spellEnd"/>
          </w:p>
        </w:tc>
      </w:tr>
      <w:tr w:rsidR="00A4321F" w:rsidRPr="00B70C11" w:rsidTr="003A19A5">
        <w:trPr>
          <w:trHeight w:val="274"/>
        </w:trPr>
        <w:tc>
          <w:tcPr>
            <w:tcW w:w="389" w:type="dxa"/>
            <w:noWrap/>
            <w:hideMark/>
          </w:tcPr>
          <w:p w:rsidR="00A4321F" w:rsidRPr="00B70C11" w:rsidRDefault="00A4321F" w:rsidP="00A4321F">
            <w:pPr>
              <w:jc w:val="cente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NZ</w:t>
            </w:r>
          </w:p>
        </w:tc>
        <w:tc>
          <w:tcPr>
            <w:tcW w:w="3353" w:type="dxa"/>
            <w:noWrap/>
            <w:hideMark/>
          </w:tcPr>
          <w:p w:rsidR="00A4321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Risks to animal welfare &amp; national productivity as result of lack of efficacy – included in submission</w:t>
            </w:r>
          </w:p>
        </w:tc>
        <w:tc>
          <w:tcPr>
            <w:tcW w:w="3635" w:type="dxa"/>
          </w:tcPr>
          <w:p w:rsidR="00A4321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Potential risks must be discussed in submission (apparent trade-off between efficacy and welfare?*)</w:t>
            </w:r>
          </w:p>
        </w:tc>
        <w:tc>
          <w:tcPr>
            <w:tcW w:w="1918" w:type="dxa"/>
          </w:tcPr>
          <w:p w:rsidR="00A4321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Same as</w:t>
            </w:r>
            <w:r w:rsidR="003A19A5">
              <w:rPr>
                <w:rFonts w:asciiTheme="majorHAnsi" w:eastAsia="OpenSansRegular,Times New Roman" w:hAnsiTheme="majorHAnsi" w:cs="OpenSansRegular,Times New Roman"/>
                <w:color w:val="767171" w:themeColor="background2" w:themeShade="80"/>
                <w:sz w:val="14"/>
                <w:szCs w:val="14"/>
                <w:lang w:eastAsia="en-AU"/>
              </w:rPr>
              <w:t xml:space="preserve"> agricultural </w:t>
            </w:r>
            <w:proofErr w:type="spellStart"/>
            <w:r w:rsidR="003A19A5">
              <w:rPr>
                <w:rFonts w:asciiTheme="majorHAnsi" w:eastAsia="OpenSansRegular,Times New Roman" w:hAnsiTheme="majorHAnsi" w:cs="OpenSansRegular,Times New Roman"/>
                <w:color w:val="767171" w:themeColor="background2" w:themeShade="80"/>
                <w:sz w:val="14"/>
                <w:szCs w:val="14"/>
                <w:lang w:eastAsia="en-AU"/>
              </w:rPr>
              <w:t>chemcials</w:t>
            </w:r>
            <w:proofErr w:type="spellEnd"/>
          </w:p>
        </w:tc>
      </w:tr>
      <w:tr w:rsidR="00A4321F" w:rsidRPr="00B70C11" w:rsidTr="003A19A5">
        <w:trPr>
          <w:trHeight w:val="274"/>
        </w:trPr>
        <w:tc>
          <w:tcPr>
            <w:tcW w:w="389" w:type="dxa"/>
            <w:noWrap/>
            <w:hideMark/>
          </w:tcPr>
          <w:p w:rsidR="00A4321F" w:rsidRPr="00B70C11" w:rsidRDefault="00A4321F" w:rsidP="00A4321F">
            <w:pPr>
              <w:jc w:val="center"/>
              <w:rPr>
                <w:rFonts w:asciiTheme="majorHAnsi" w:eastAsia="OpenSansRegular,Times New Roman" w:hAnsiTheme="majorHAnsi" w:cs="OpenSansRegular,Times New Roman"/>
                <w:b/>
                <w:color w:val="000000" w:themeColor="text1"/>
                <w:lang w:eastAsia="en-AU"/>
              </w:rPr>
            </w:pPr>
            <w:r w:rsidRPr="00B70C11">
              <w:rPr>
                <w:rFonts w:asciiTheme="majorHAnsi" w:eastAsia="OpenSansRegular,Times New Roman" w:hAnsiTheme="majorHAnsi" w:cs="OpenSansRegular,Times New Roman"/>
                <w:b/>
                <w:color w:val="000000" w:themeColor="text1"/>
                <w:lang w:eastAsia="en-AU"/>
              </w:rPr>
              <w:t>US</w:t>
            </w:r>
          </w:p>
        </w:tc>
        <w:tc>
          <w:tcPr>
            <w:tcW w:w="3353" w:type="dxa"/>
            <w:noWrap/>
            <w:hideMark/>
          </w:tcPr>
          <w:p w:rsidR="00AD2AF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Animal drug must be proven effective before approval (2</w:t>
            </w:r>
            <w:r w:rsidRPr="00A604E2">
              <w:rPr>
                <w:rFonts w:asciiTheme="majorHAnsi" w:eastAsia="OpenSansRegular,Times New Roman" w:hAnsiTheme="majorHAnsi" w:cs="OpenSansRegular,Times New Roman"/>
                <w:color w:val="767171" w:themeColor="background2" w:themeShade="80"/>
                <w:sz w:val="14"/>
                <w:szCs w:val="14"/>
                <w:vertAlign w:val="superscript"/>
                <w:lang w:eastAsia="en-AU"/>
              </w:rPr>
              <w:t>nd</w:t>
            </w:r>
            <w:r w:rsidRPr="00A604E2">
              <w:rPr>
                <w:rFonts w:asciiTheme="majorHAnsi" w:eastAsia="OpenSansRegular,Times New Roman" w:hAnsiTheme="majorHAnsi" w:cs="OpenSansRegular,Times New Roman"/>
                <w:color w:val="767171" w:themeColor="background2" w:themeShade="80"/>
                <w:sz w:val="14"/>
                <w:szCs w:val="14"/>
                <w:lang w:eastAsia="en-AU"/>
              </w:rPr>
              <w:t xml:space="preserve"> criteria) </w:t>
            </w:r>
          </w:p>
        </w:tc>
        <w:tc>
          <w:tcPr>
            <w:tcW w:w="3635" w:type="dxa"/>
          </w:tcPr>
          <w:p w:rsidR="00A4321F" w:rsidRPr="00A604E2" w:rsidRDefault="00A4321F" w:rsidP="003A19A5">
            <w:pPr>
              <w:ind w:left="166"/>
              <w:rPr>
                <w:rFonts w:asciiTheme="majorHAnsi" w:eastAsia="OpenSansRegular,Times New Roman" w:hAnsiTheme="majorHAnsi" w:cs="OpenSansRegular,Times New Roman"/>
                <w:color w:val="767171" w:themeColor="background2" w:themeShade="80"/>
                <w:sz w:val="14"/>
                <w:szCs w:val="14"/>
                <w:lang w:eastAsia="en-AU"/>
              </w:rPr>
            </w:pPr>
            <w:r w:rsidRPr="00A604E2">
              <w:rPr>
                <w:rFonts w:asciiTheme="majorHAnsi" w:eastAsia="OpenSansRegular,Times New Roman" w:hAnsiTheme="majorHAnsi" w:cs="OpenSansRegular,Times New Roman"/>
                <w:color w:val="767171" w:themeColor="background2" w:themeShade="80"/>
                <w:sz w:val="14"/>
                <w:szCs w:val="14"/>
                <w:lang w:eastAsia="en-AU"/>
              </w:rPr>
              <w:t>Safety as primary criterion e.g. ensuring medicines are made under sanitary conditions before animal can consume</w:t>
            </w:r>
          </w:p>
        </w:tc>
        <w:tc>
          <w:tcPr>
            <w:tcW w:w="1918" w:type="dxa"/>
          </w:tcPr>
          <w:p w:rsidR="00A4321F" w:rsidRPr="00A604E2" w:rsidRDefault="003A19A5" w:rsidP="003A19A5">
            <w:pPr>
              <w:ind w:left="166"/>
              <w:rPr>
                <w:rFonts w:asciiTheme="majorHAnsi" w:eastAsia="Times New Roman" w:hAnsiTheme="majorHAnsi" w:cs="OpenSansRegular"/>
                <w:color w:val="767171" w:themeColor="background2" w:themeShade="80"/>
                <w:sz w:val="14"/>
                <w:lang w:eastAsia="en-AU"/>
              </w:rPr>
            </w:pPr>
            <w:proofErr w:type="spellStart"/>
            <w:r>
              <w:rPr>
                <w:rFonts w:asciiTheme="majorHAnsi" w:eastAsia="Times New Roman" w:hAnsiTheme="majorHAnsi" w:cs="OpenSansRegular"/>
                <w:color w:val="767171" w:themeColor="background2" w:themeShade="80"/>
                <w:sz w:val="14"/>
                <w:lang w:eastAsia="en-AU"/>
              </w:rPr>
              <w:t>na</w:t>
            </w:r>
            <w:proofErr w:type="spellEnd"/>
          </w:p>
        </w:tc>
      </w:tr>
    </w:tbl>
    <w:p w:rsidR="00AD2AFF" w:rsidRDefault="00AD2AFF" w:rsidP="003A19A5">
      <w:pPr>
        <w:pStyle w:val="Source"/>
      </w:pPr>
      <w:bookmarkStart w:id="408" w:name="_Toc12024332"/>
      <w:bookmarkStart w:id="409" w:name="_Toc14107341"/>
      <w:r>
        <w:t>S</w:t>
      </w:r>
      <w:r w:rsidRPr="00A24225">
        <w:t>ources:</w:t>
      </w:r>
      <w:r w:rsidR="00C9710C">
        <w:rPr>
          <w:rFonts w:cs="Times New Roman"/>
          <w:szCs w:val="24"/>
        </w:rPr>
        <w:t xml:space="preserve"> </w:t>
      </w:r>
      <w:r w:rsidR="00916B38" w:rsidRPr="00916B38">
        <w:rPr>
          <w:rFonts w:cs="Times New Roman"/>
          <w:szCs w:val="24"/>
        </w:rPr>
        <w:t xml:space="preserve">Canadian Food Inspection Agency </w:t>
      </w:r>
      <w:r w:rsidR="00C9710C">
        <w:rPr>
          <w:rFonts w:cs="Times New Roman"/>
          <w:szCs w:val="24"/>
        </w:rPr>
        <w:t>(</w:t>
      </w:r>
      <w:r w:rsidR="00916B38" w:rsidRPr="00916B38">
        <w:rPr>
          <w:rFonts w:cs="Times New Roman"/>
          <w:szCs w:val="24"/>
        </w:rPr>
        <w:t>2019</w:t>
      </w:r>
      <w:r w:rsidR="00C9710C">
        <w:rPr>
          <w:rFonts w:cs="Times New Roman"/>
          <w:szCs w:val="24"/>
        </w:rPr>
        <w:t>)</w:t>
      </w:r>
      <w:r w:rsidR="00916B38" w:rsidRPr="00916B38">
        <w:rPr>
          <w:rFonts w:cs="Times New Roman"/>
          <w:szCs w:val="24"/>
        </w:rPr>
        <w:t xml:space="preserve">; VDD </w:t>
      </w:r>
      <w:r w:rsidR="00C9710C">
        <w:rPr>
          <w:rFonts w:cs="Times New Roman"/>
          <w:szCs w:val="24"/>
        </w:rPr>
        <w:t>(</w:t>
      </w:r>
      <w:r w:rsidR="00916B38" w:rsidRPr="00916B38">
        <w:rPr>
          <w:rFonts w:cs="Times New Roman"/>
          <w:szCs w:val="24"/>
        </w:rPr>
        <w:t>2019</w:t>
      </w:r>
      <w:r w:rsidR="00C9710C">
        <w:rPr>
          <w:rFonts w:cs="Times New Roman"/>
          <w:szCs w:val="24"/>
        </w:rPr>
        <w:t>)</w:t>
      </w:r>
      <w:r w:rsidR="00916B38" w:rsidRPr="00916B38">
        <w:rPr>
          <w:rFonts w:cs="Times New Roman"/>
          <w:szCs w:val="24"/>
        </w:rPr>
        <w:t xml:space="preserve">; EMA </w:t>
      </w:r>
      <w:r w:rsidR="00C9710C">
        <w:rPr>
          <w:rFonts w:cs="Times New Roman"/>
          <w:szCs w:val="24"/>
        </w:rPr>
        <w:t>(</w:t>
      </w:r>
      <w:r w:rsidR="00916B38" w:rsidRPr="00916B38">
        <w:rPr>
          <w:rFonts w:cs="Times New Roman"/>
          <w:szCs w:val="24"/>
        </w:rPr>
        <w:t xml:space="preserve">2008, </w:t>
      </w:r>
      <w:proofErr w:type="spellStart"/>
      <w:r w:rsidR="00916B38" w:rsidRPr="00916B38">
        <w:rPr>
          <w:rFonts w:cs="Times New Roman"/>
          <w:szCs w:val="24"/>
        </w:rPr>
        <w:t>n.d</w:t>
      </w:r>
      <w:proofErr w:type="spellEnd"/>
      <w:r w:rsidR="00C9710C">
        <w:rPr>
          <w:rFonts w:cs="Times New Roman"/>
          <w:szCs w:val="24"/>
        </w:rPr>
        <w:t>)</w:t>
      </w:r>
      <w:r w:rsidR="00916B38" w:rsidRPr="00916B38">
        <w:rPr>
          <w:rFonts w:cs="Times New Roman"/>
          <w:szCs w:val="24"/>
        </w:rPr>
        <w:t xml:space="preserve">; </w:t>
      </w:r>
      <w:r w:rsidR="004E4751">
        <w:rPr>
          <w:rFonts w:cs="Times New Roman"/>
          <w:szCs w:val="24"/>
        </w:rPr>
        <w:t xml:space="preserve">NZ </w:t>
      </w:r>
      <w:r w:rsidR="00916B38" w:rsidRPr="00916B38">
        <w:rPr>
          <w:rFonts w:cs="Times New Roman"/>
          <w:szCs w:val="24"/>
        </w:rPr>
        <w:t xml:space="preserve">MPI </w:t>
      </w:r>
      <w:r w:rsidR="00C9710C">
        <w:rPr>
          <w:rFonts w:cs="Times New Roman"/>
          <w:szCs w:val="24"/>
        </w:rPr>
        <w:t>(</w:t>
      </w:r>
      <w:r w:rsidR="00916B38" w:rsidRPr="00916B38">
        <w:rPr>
          <w:rFonts w:cs="Times New Roman"/>
          <w:szCs w:val="24"/>
        </w:rPr>
        <w:t>2015</w:t>
      </w:r>
      <w:r w:rsidR="00C9710C">
        <w:rPr>
          <w:rFonts w:cs="Times New Roman"/>
          <w:szCs w:val="24"/>
        </w:rPr>
        <w:t>)</w:t>
      </w:r>
      <w:r w:rsidR="00916B38" w:rsidRPr="00916B38">
        <w:rPr>
          <w:rFonts w:cs="Times New Roman"/>
          <w:szCs w:val="24"/>
        </w:rPr>
        <w:t>;</w:t>
      </w:r>
      <w:r w:rsidR="004E4751">
        <w:rPr>
          <w:rFonts w:cs="Times New Roman"/>
          <w:szCs w:val="24"/>
        </w:rPr>
        <w:t xml:space="preserve"> US</w:t>
      </w:r>
      <w:r w:rsidR="00916B38" w:rsidRPr="00916B38">
        <w:rPr>
          <w:rFonts w:cs="Times New Roman"/>
          <w:szCs w:val="24"/>
        </w:rPr>
        <w:t xml:space="preserve"> FDA </w:t>
      </w:r>
      <w:r w:rsidR="00C9710C">
        <w:rPr>
          <w:rFonts w:cs="Times New Roman"/>
          <w:szCs w:val="24"/>
        </w:rPr>
        <w:t>(</w:t>
      </w:r>
      <w:r w:rsidR="00916B38" w:rsidRPr="00916B38">
        <w:rPr>
          <w:rFonts w:cs="Times New Roman"/>
          <w:szCs w:val="24"/>
        </w:rPr>
        <w:t>2018</w:t>
      </w:r>
      <w:r w:rsidR="00C9710C">
        <w:rPr>
          <w:rFonts w:cs="Times New Roman"/>
          <w:szCs w:val="24"/>
        </w:rPr>
        <w:t>)</w:t>
      </w:r>
      <w:r w:rsidR="00916B38" w:rsidRPr="00916B38">
        <w:rPr>
          <w:rFonts w:cs="Times New Roman"/>
          <w:szCs w:val="24"/>
        </w:rPr>
        <w:t xml:space="preserve">; APVMA </w:t>
      </w:r>
      <w:r w:rsidR="00C9710C">
        <w:rPr>
          <w:rFonts w:cs="Times New Roman"/>
          <w:szCs w:val="24"/>
        </w:rPr>
        <w:t>(</w:t>
      </w:r>
      <w:r w:rsidR="004E4751">
        <w:rPr>
          <w:rFonts w:cs="Times New Roman"/>
          <w:szCs w:val="24"/>
        </w:rPr>
        <w:t>2018e</w:t>
      </w:r>
      <w:r w:rsidR="00916B38" w:rsidRPr="00916B38">
        <w:rPr>
          <w:rFonts w:cs="Times New Roman"/>
          <w:szCs w:val="24"/>
        </w:rPr>
        <w:t>)</w:t>
      </w:r>
    </w:p>
    <w:p w:rsidR="00BF2229" w:rsidRDefault="00BF2229" w:rsidP="00FE6A25">
      <w:pPr>
        <w:pStyle w:val="Heading1un-numbered"/>
        <w:numPr>
          <w:ilvl w:val="0"/>
          <w:numId w:val="19"/>
        </w:numPr>
      </w:pPr>
      <w:r>
        <w:t>International registration time and statutory fees</w:t>
      </w:r>
      <w:bookmarkEnd w:id="408"/>
      <w:bookmarkEnd w:id="409"/>
    </w:p>
    <w:bookmarkEnd w:id="404"/>
    <w:bookmarkEnd w:id="405"/>
    <w:bookmarkEnd w:id="406"/>
    <w:bookmarkEnd w:id="407"/>
    <w:p w:rsidR="008D4B1B" w:rsidRDefault="008D4B1B" w:rsidP="008D4B1B">
      <w:r>
        <w:t>The following table details the various application types, and each application’s indicative assessment period and fee required to be registered in the relevant country.</w:t>
      </w:r>
    </w:p>
    <w:p w:rsidR="00D82E3C" w:rsidRPr="008D4B1B" w:rsidRDefault="00D82E3C" w:rsidP="00D82E3C">
      <w:pPr>
        <w:pStyle w:val="Caption"/>
      </w:pPr>
      <w:r w:rsidRPr="00DC6DCB">
        <w:t xml:space="preserve">Table </w:t>
      </w:r>
      <w:r>
        <w:t>F.1</w:t>
      </w:r>
      <w:r w:rsidRPr="00DC6DCB">
        <w:t xml:space="preserve"> </w:t>
      </w:r>
      <w:r>
        <w:t>International registration times and statutory fees</w:t>
      </w:r>
      <w:r w:rsidR="00EF7481">
        <w:t xml:space="preserve"> for selected registration types and countries</w:t>
      </w:r>
    </w:p>
    <w:tbl>
      <w:tblPr>
        <w:tblStyle w:val="Deloittetable"/>
        <w:tblW w:w="14737" w:type="dxa"/>
        <w:tblLook w:val="04A0" w:firstRow="1" w:lastRow="0" w:firstColumn="1" w:lastColumn="0" w:noHBand="0" w:noVBand="1"/>
      </w:tblPr>
      <w:tblGrid>
        <w:gridCol w:w="6223"/>
        <w:gridCol w:w="1680"/>
        <w:gridCol w:w="1648"/>
        <w:gridCol w:w="1901"/>
        <w:gridCol w:w="1588"/>
        <w:gridCol w:w="1697"/>
      </w:tblGrid>
      <w:tr w:rsidR="00A77C72" w:rsidRPr="00B70C11" w:rsidTr="002906EA">
        <w:trPr>
          <w:cnfStyle w:val="100000000000" w:firstRow="1" w:lastRow="0" w:firstColumn="0" w:lastColumn="0" w:oddVBand="0" w:evenVBand="0" w:oddHBand="0" w:evenHBand="0" w:firstRowFirstColumn="0" w:firstRowLastColumn="0" w:lastRowFirstColumn="0" w:lastRowLastColumn="0"/>
          <w:cantSplit/>
          <w:tblHeader/>
        </w:trPr>
        <w:tc>
          <w:tcPr>
            <w:tcW w:w="6303" w:type="dxa"/>
            <w:vMerge w:val="restart"/>
            <w:hideMark/>
          </w:tcPr>
          <w:p w:rsidR="00A77C72" w:rsidRPr="00B70C11" w:rsidRDefault="00A77C72" w:rsidP="00B45D96">
            <w:pPr>
              <w:spacing w:after="0" w:line="240" w:lineRule="auto"/>
              <w:jc w:val="center"/>
              <w:rPr>
                <w:rFonts w:asciiTheme="majorHAnsi" w:eastAsia="Arial,Times New Roman" w:hAnsiTheme="majorHAnsi" w:cs="Arial,Times New Roman"/>
                <w:b/>
                <w:color w:val="000000" w:themeColor="text1"/>
                <w:sz w:val="20"/>
                <w:szCs w:val="20"/>
                <w:lang w:eastAsia="en-AU"/>
              </w:rPr>
            </w:pPr>
            <w:r w:rsidRPr="00B70C11">
              <w:rPr>
                <w:rFonts w:asciiTheme="majorHAnsi" w:eastAsia="Arial,Times New Roman" w:hAnsiTheme="majorHAnsi" w:cs="Arial,Times New Roman"/>
                <w:b/>
                <w:color w:val="000000" w:themeColor="text1"/>
                <w:sz w:val="20"/>
                <w:szCs w:val="20"/>
                <w:lang w:eastAsia="en-AU"/>
              </w:rPr>
              <w:t>Application type</w:t>
            </w:r>
          </w:p>
        </w:tc>
        <w:tc>
          <w:tcPr>
            <w:tcW w:w="1664" w:type="dxa"/>
            <w:noWrap/>
            <w:hideMark/>
          </w:tcPr>
          <w:p w:rsidR="00A77C72" w:rsidRPr="00B70C11" w:rsidRDefault="00A77C72" w:rsidP="00B45D96">
            <w:pPr>
              <w:spacing w:after="0" w:line="240" w:lineRule="auto"/>
              <w:jc w:val="center"/>
              <w:rPr>
                <w:rFonts w:asciiTheme="majorHAnsi" w:eastAsia="Times New Roman" w:hAnsiTheme="majorHAnsi" w:cs="Times New Roman"/>
                <w:b/>
                <w:color w:val="000000" w:themeColor="text1"/>
                <w:lang w:eastAsia="en-AU"/>
              </w:rPr>
            </w:pPr>
            <w:r w:rsidRPr="00B70C11">
              <w:rPr>
                <w:rFonts w:asciiTheme="majorHAnsi" w:eastAsia="Times New Roman" w:hAnsiTheme="majorHAnsi" w:cs="Times New Roman"/>
                <w:b/>
                <w:color w:val="000000" w:themeColor="text1"/>
                <w:lang w:eastAsia="en-AU"/>
              </w:rPr>
              <w:t>Australia</w:t>
            </w:r>
          </w:p>
        </w:tc>
        <w:tc>
          <w:tcPr>
            <w:tcW w:w="1632" w:type="dxa"/>
            <w:noWrap/>
            <w:hideMark/>
          </w:tcPr>
          <w:p w:rsidR="00A77C72" w:rsidRPr="00B70C11" w:rsidRDefault="00A77C72" w:rsidP="00EF7481">
            <w:pPr>
              <w:spacing w:after="0" w:line="240" w:lineRule="auto"/>
              <w:jc w:val="center"/>
              <w:rPr>
                <w:rFonts w:asciiTheme="majorHAnsi" w:eastAsia="Times New Roman" w:hAnsiTheme="majorHAnsi" w:cs="Times New Roman"/>
                <w:b/>
                <w:color w:val="000000" w:themeColor="text1"/>
                <w:lang w:eastAsia="en-AU"/>
              </w:rPr>
            </w:pPr>
            <w:r w:rsidRPr="00B70C11">
              <w:rPr>
                <w:rFonts w:asciiTheme="majorHAnsi" w:eastAsia="Times New Roman" w:hAnsiTheme="majorHAnsi" w:cs="Times New Roman"/>
                <w:b/>
                <w:color w:val="000000" w:themeColor="text1"/>
                <w:lang w:eastAsia="en-AU"/>
              </w:rPr>
              <w:t xml:space="preserve">New </w:t>
            </w:r>
            <w:proofErr w:type="spellStart"/>
            <w:r w:rsidRPr="00B70C11">
              <w:rPr>
                <w:rFonts w:asciiTheme="majorHAnsi" w:eastAsia="Times New Roman" w:hAnsiTheme="majorHAnsi" w:cs="Times New Roman"/>
                <w:b/>
                <w:color w:val="000000" w:themeColor="text1"/>
                <w:lang w:eastAsia="en-AU"/>
              </w:rPr>
              <w:t>Zealand</w:t>
            </w:r>
            <w:r w:rsidR="00EF7481" w:rsidRPr="00EF7481">
              <w:rPr>
                <w:rFonts w:asciiTheme="majorHAnsi" w:eastAsia="Times New Roman" w:hAnsiTheme="majorHAnsi" w:cs="Times New Roman"/>
                <w:b/>
                <w:color w:val="000000" w:themeColor="text1"/>
                <w:vertAlign w:val="superscript"/>
                <w:lang w:eastAsia="en-AU"/>
              </w:rPr>
              <w:t>A</w:t>
            </w:r>
            <w:proofErr w:type="spellEnd"/>
          </w:p>
        </w:tc>
        <w:tc>
          <w:tcPr>
            <w:tcW w:w="1885" w:type="dxa"/>
            <w:noWrap/>
            <w:hideMark/>
          </w:tcPr>
          <w:p w:rsidR="00A77C72" w:rsidRPr="00B70C11" w:rsidRDefault="00A77C72" w:rsidP="00EF7481">
            <w:pPr>
              <w:spacing w:after="0" w:line="240" w:lineRule="auto"/>
              <w:jc w:val="center"/>
              <w:rPr>
                <w:rFonts w:asciiTheme="majorHAnsi" w:eastAsia="Times New Roman" w:hAnsiTheme="majorHAnsi" w:cs="Times New Roman"/>
                <w:b/>
                <w:color w:val="000000" w:themeColor="text1"/>
                <w:lang w:eastAsia="en-AU"/>
              </w:rPr>
            </w:pPr>
            <w:r w:rsidRPr="00B70C11">
              <w:rPr>
                <w:rFonts w:asciiTheme="majorHAnsi" w:eastAsia="Times New Roman" w:hAnsiTheme="majorHAnsi" w:cs="Times New Roman"/>
                <w:b/>
                <w:color w:val="000000" w:themeColor="text1"/>
                <w:lang w:eastAsia="en-AU"/>
              </w:rPr>
              <w:t xml:space="preserve">United </w:t>
            </w:r>
            <w:proofErr w:type="spellStart"/>
            <w:r w:rsidRPr="00B70C11">
              <w:rPr>
                <w:rFonts w:asciiTheme="majorHAnsi" w:eastAsia="Times New Roman" w:hAnsiTheme="majorHAnsi" w:cs="Times New Roman"/>
                <w:b/>
                <w:color w:val="000000" w:themeColor="text1"/>
                <w:lang w:eastAsia="en-AU"/>
              </w:rPr>
              <w:t>States</w:t>
            </w:r>
            <w:r w:rsidR="00EF7481" w:rsidRPr="00EF7481">
              <w:rPr>
                <w:rFonts w:asciiTheme="majorHAnsi" w:eastAsia="Times New Roman" w:hAnsiTheme="majorHAnsi" w:cs="Times New Roman"/>
                <w:b/>
                <w:color w:val="000000" w:themeColor="text1"/>
                <w:vertAlign w:val="superscript"/>
                <w:lang w:eastAsia="en-AU"/>
              </w:rPr>
              <w:t>B</w:t>
            </w:r>
            <w:proofErr w:type="spellEnd"/>
          </w:p>
        </w:tc>
        <w:tc>
          <w:tcPr>
            <w:tcW w:w="1572" w:type="dxa"/>
            <w:noWrap/>
            <w:hideMark/>
          </w:tcPr>
          <w:p w:rsidR="00A77C72" w:rsidRPr="00B70C11" w:rsidRDefault="00A77C72" w:rsidP="00B45D96">
            <w:pPr>
              <w:spacing w:after="0" w:line="240" w:lineRule="auto"/>
              <w:jc w:val="center"/>
              <w:rPr>
                <w:rFonts w:asciiTheme="majorHAnsi" w:eastAsia="Times New Roman" w:hAnsiTheme="majorHAnsi" w:cs="Times New Roman"/>
                <w:b/>
                <w:color w:val="000000" w:themeColor="text1"/>
                <w:lang w:eastAsia="en-AU"/>
              </w:rPr>
            </w:pPr>
            <w:r w:rsidRPr="00B70C11">
              <w:rPr>
                <w:rFonts w:asciiTheme="majorHAnsi" w:eastAsia="Times New Roman" w:hAnsiTheme="majorHAnsi" w:cs="Times New Roman"/>
                <w:b/>
                <w:color w:val="000000" w:themeColor="text1"/>
                <w:lang w:eastAsia="en-AU"/>
              </w:rPr>
              <w:t>United Kingdom</w:t>
            </w:r>
          </w:p>
        </w:tc>
        <w:tc>
          <w:tcPr>
            <w:tcW w:w="1681" w:type="dxa"/>
            <w:noWrap/>
            <w:hideMark/>
          </w:tcPr>
          <w:p w:rsidR="00A77C72" w:rsidRPr="00B70C11" w:rsidRDefault="00A77C72" w:rsidP="00B45D96">
            <w:pPr>
              <w:spacing w:after="0" w:line="240" w:lineRule="auto"/>
              <w:jc w:val="center"/>
              <w:rPr>
                <w:rFonts w:asciiTheme="majorHAnsi" w:eastAsia="Times New Roman" w:hAnsiTheme="majorHAnsi" w:cs="Times New Roman"/>
                <w:b/>
                <w:color w:val="000000" w:themeColor="text1"/>
                <w:lang w:eastAsia="en-AU"/>
              </w:rPr>
            </w:pPr>
            <w:r w:rsidRPr="00B70C11">
              <w:rPr>
                <w:rFonts w:asciiTheme="majorHAnsi" w:eastAsia="Times New Roman" w:hAnsiTheme="majorHAnsi" w:cs="Times New Roman"/>
                <w:b/>
                <w:color w:val="000000" w:themeColor="text1"/>
                <w:lang w:eastAsia="en-AU"/>
              </w:rPr>
              <w:t>Canada</w:t>
            </w:r>
          </w:p>
        </w:tc>
      </w:tr>
      <w:tr w:rsidR="00A77C72" w:rsidRPr="00B70C11" w:rsidTr="00D82E3C">
        <w:trPr>
          <w:cantSplit/>
          <w:trHeight w:val="167"/>
          <w:tblHeader/>
        </w:trPr>
        <w:tc>
          <w:tcPr>
            <w:tcW w:w="6303" w:type="dxa"/>
            <w:vMerge/>
            <w:hideMark/>
          </w:tcPr>
          <w:p w:rsidR="00A77C72" w:rsidRPr="00B70C11" w:rsidRDefault="00A77C72" w:rsidP="00B45D96">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eastAsia="en-AU"/>
              </w:rPr>
            </w:pPr>
          </w:p>
        </w:tc>
        <w:tc>
          <w:tcPr>
            <w:tcW w:w="8434" w:type="dxa"/>
            <w:gridSpan w:val="5"/>
            <w:hideMark/>
          </w:tcPr>
          <w:p w:rsidR="00A77C72" w:rsidRPr="00600C49" w:rsidRDefault="00A77C72" w:rsidP="00B45D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Times New Roman" w:hAnsiTheme="majorHAnsi" w:cs="Arial,Times New Roman"/>
                <w:color w:val="000000" w:themeColor="text1"/>
                <w:szCs w:val="17"/>
                <w:lang w:eastAsia="en-AU"/>
              </w:rPr>
            </w:pPr>
            <w:r w:rsidRPr="00600C49">
              <w:rPr>
                <w:rFonts w:asciiTheme="majorHAnsi" w:eastAsia="Arial,Times New Roman" w:hAnsiTheme="majorHAnsi" w:cs="Arial,Times New Roman"/>
                <w:color w:val="000000" w:themeColor="text1"/>
                <w:szCs w:val="17"/>
                <w:lang w:eastAsia="en-AU"/>
              </w:rPr>
              <w:t>Assessment period (fees</w:t>
            </w:r>
            <w:r w:rsidR="00423DBC">
              <w:rPr>
                <w:rFonts w:asciiTheme="majorHAnsi" w:eastAsia="Arial,Times New Roman" w:hAnsiTheme="majorHAnsi" w:cs="Arial,Times New Roman"/>
                <w:color w:val="000000" w:themeColor="text1"/>
                <w:szCs w:val="17"/>
                <w:lang w:eastAsia="en-AU"/>
              </w:rPr>
              <w:t xml:space="preserve"> in local currency</w:t>
            </w:r>
            <w:r w:rsidRPr="00600C49">
              <w:rPr>
                <w:rFonts w:asciiTheme="majorHAnsi" w:eastAsia="Arial,Times New Roman" w:hAnsiTheme="majorHAnsi" w:cs="Arial,Times New Roman"/>
                <w:color w:val="000000" w:themeColor="text1"/>
                <w:szCs w:val="17"/>
                <w:lang w:eastAsia="en-AU"/>
              </w:rPr>
              <w:t>)</w:t>
            </w:r>
          </w:p>
        </w:tc>
      </w:tr>
      <w:tr w:rsidR="00A77C72" w:rsidRPr="00B70C11" w:rsidTr="00D82E3C">
        <w:trPr>
          <w:cantSplit/>
          <w:trHeight w:val="726"/>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Approval of an</w:t>
            </w:r>
            <w:r w:rsidRPr="00B70C11">
              <w:rPr>
                <w:rFonts w:asciiTheme="majorHAnsi" w:eastAsia="Times New Roman" w:hAnsiTheme="majorHAnsi" w:cs="Times New Roman"/>
                <w:b/>
                <w:color w:val="000000" w:themeColor="text1"/>
                <w:lang w:eastAsia="en-AU"/>
              </w:rPr>
              <w:t xml:space="preserve"> active</w:t>
            </w:r>
            <w:r w:rsidRPr="00B70C11">
              <w:rPr>
                <w:rFonts w:asciiTheme="majorHAnsi" w:eastAsia="Times New Roman" w:hAnsiTheme="majorHAnsi" w:cs="Times New Roman"/>
                <w:color w:val="000000" w:themeColor="text1"/>
                <w:lang w:eastAsia="en-AU"/>
              </w:rPr>
              <w:t xml:space="preserve"> constituent contained in a chemical product, </w:t>
            </w:r>
            <w:r w:rsidRPr="00B70C11">
              <w:rPr>
                <w:rFonts w:asciiTheme="majorHAnsi" w:eastAsia="Times New Roman" w:hAnsiTheme="majorHAnsi" w:cs="Times New Roman"/>
                <w:b/>
                <w:color w:val="000000" w:themeColor="text1"/>
                <w:lang w:eastAsia="en-AU"/>
              </w:rPr>
              <w:t>registration</w:t>
            </w:r>
            <w:r w:rsidRPr="00B70C11">
              <w:rPr>
                <w:rFonts w:asciiTheme="majorHAnsi" w:eastAsia="Times New Roman" w:hAnsiTheme="majorHAnsi" w:cs="Times New Roman"/>
                <w:color w:val="000000" w:themeColor="text1"/>
                <w:lang w:eastAsia="en-AU"/>
              </w:rPr>
              <w:t xml:space="preserve"> of the associated chemical product and approval of the product</w:t>
            </w:r>
            <w:r w:rsidRPr="00B70C11">
              <w:rPr>
                <w:rFonts w:asciiTheme="majorHAnsi" w:eastAsia="Times New Roman" w:hAnsiTheme="majorHAnsi" w:cs="Times New Roman"/>
                <w:b/>
                <w:color w:val="000000" w:themeColor="text1"/>
                <w:lang w:eastAsia="en-AU"/>
              </w:rPr>
              <w:t xml:space="preserve"> labe</w:t>
            </w:r>
            <w:r w:rsidRPr="00B70C11">
              <w:rPr>
                <w:rFonts w:asciiTheme="majorHAnsi" w:eastAsia="Times New Roman" w:hAnsiTheme="majorHAnsi" w:cs="Times New Roman"/>
                <w:color w:val="000000" w:themeColor="text1"/>
                <w:lang w:eastAsia="en-AU"/>
              </w:rPr>
              <w:t>l requiring a</w:t>
            </w:r>
            <w:r w:rsidRPr="00B70C11">
              <w:rPr>
                <w:rFonts w:asciiTheme="majorHAnsi" w:eastAsia="Times New Roman" w:hAnsiTheme="majorHAnsi" w:cs="Times New Roman"/>
                <w:b/>
                <w:color w:val="000000" w:themeColor="text1"/>
                <w:lang w:eastAsia="en-AU"/>
              </w:rPr>
              <w:t xml:space="preserve"> full assessmen</w:t>
            </w:r>
            <w:r w:rsidRPr="00B70C11">
              <w:rPr>
                <w:rFonts w:asciiTheme="majorHAnsi" w:eastAsia="Times New Roman" w:hAnsiTheme="majorHAnsi" w:cs="Times New Roman"/>
                <w:color w:val="000000" w:themeColor="text1"/>
                <w:lang w:eastAsia="en-AU"/>
              </w:rPr>
              <w:t>t of the active constituent and product</w:t>
            </w:r>
          </w:p>
        </w:tc>
        <w:tc>
          <w:tcPr>
            <w:tcW w:w="1664"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18 months</w:t>
            </w:r>
            <w:r w:rsidR="0084010E" w:rsidRPr="00A604E2">
              <w:rPr>
                <w:rFonts w:asciiTheme="majorHAnsi" w:eastAsia="Times New Roman" w:hAnsiTheme="majorHAnsi" w:cs="Times New Roman"/>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($96,135)</w:t>
            </w:r>
          </w:p>
        </w:tc>
        <w:tc>
          <w:tcPr>
            <w:tcW w:w="1632"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r w:rsidR="0084010E" w:rsidRPr="00A604E2">
              <w:rPr>
                <w:rFonts w:asciiTheme="majorHAnsi" w:eastAsia="Times New Roman" w:hAnsiTheme="majorHAnsi" w:cs="Times New Roman"/>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(NZ$2,000- $5,000)</w:t>
            </w:r>
          </w:p>
        </w:tc>
        <w:tc>
          <w:tcPr>
            <w:tcW w:w="1885"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14-24 months</w:t>
            </w:r>
            <w:r w:rsidR="0084010E"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(US</w:t>
            </w:r>
            <w:r w:rsidRPr="00A604E2">
              <w:rPr>
                <w:rFonts w:asciiTheme="majorHAnsi" w:eastAsia="Times New Roman" w:hAnsiTheme="majorHAnsi" w:cs="Times New Roman"/>
                <w:color w:val="767171" w:themeColor="background2" w:themeShade="80"/>
                <w:lang w:eastAsia="en-AU"/>
              </w:rPr>
              <w:t>$182,000 - $627,500)</w:t>
            </w:r>
          </w:p>
        </w:tc>
        <w:tc>
          <w:tcPr>
            <w:tcW w:w="1572"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30-42 months</w:t>
            </w:r>
            <w:r w:rsidR="0084010E" w:rsidRPr="00A604E2">
              <w:rPr>
                <w:rFonts w:asciiTheme="majorHAnsi" w:eastAsia="Times New Roman" w:hAnsiTheme="majorHAnsi" w:cs="Times New Roman"/>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(~£197,600)</w:t>
            </w:r>
          </w:p>
        </w:tc>
        <w:tc>
          <w:tcPr>
            <w:tcW w:w="1681" w:type="dxa"/>
            <w:vAlign w:val="center"/>
            <w:hideMark/>
          </w:tcPr>
          <w:p w:rsidR="00A77C72" w:rsidRPr="00A604E2" w:rsidRDefault="005C2405"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22 months</w:t>
            </w:r>
            <w:r w:rsidR="0084010E"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 CA</w:t>
            </w:r>
            <w:r w:rsidR="00A77C72" w:rsidRPr="00A604E2">
              <w:rPr>
                <w:rFonts w:asciiTheme="majorHAnsi" w:eastAsia="Times New Roman" w:hAnsiTheme="majorHAnsi" w:cs="Times New Roman"/>
                <w:color w:val="767171" w:themeColor="background2" w:themeShade="80"/>
                <w:lang w:eastAsia="en-AU"/>
              </w:rPr>
              <w:t>$194,535)</w:t>
            </w:r>
          </w:p>
        </w:tc>
      </w:tr>
      <w:tr w:rsidR="00A77C72" w:rsidRPr="00B70C11" w:rsidTr="00D82E3C">
        <w:trPr>
          <w:cantSplit/>
          <w:trHeight w:val="1062"/>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Approval of an </w:t>
            </w:r>
            <w:r w:rsidRPr="00B70C11">
              <w:rPr>
                <w:rFonts w:asciiTheme="majorHAnsi" w:eastAsia="Times New Roman" w:hAnsiTheme="majorHAnsi" w:cs="Times New Roman"/>
                <w:b/>
                <w:color w:val="000000" w:themeColor="text1"/>
                <w:lang w:eastAsia="en-AU"/>
              </w:rPr>
              <w:t>active</w:t>
            </w:r>
            <w:r w:rsidRPr="00B70C11">
              <w:rPr>
                <w:rFonts w:asciiTheme="majorHAnsi" w:eastAsia="Times New Roman" w:hAnsiTheme="majorHAnsi" w:cs="Times New Roman"/>
                <w:color w:val="000000" w:themeColor="text1"/>
                <w:lang w:eastAsia="en-AU"/>
              </w:rPr>
              <w:t xml:space="preserve"> constituent contained in a chemical product, registration of the associated chemical product and approval of the product label requiring</w:t>
            </w:r>
            <w:r w:rsidRPr="00B70C11">
              <w:rPr>
                <w:rFonts w:asciiTheme="majorHAnsi" w:eastAsia="Times New Roman" w:hAnsiTheme="majorHAnsi" w:cs="Times New Roman"/>
                <w:b/>
                <w:color w:val="000000" w:themeColor="text1"/>
                <w:lang w:eastAsia="en-AU"/>
              </w:rPr>
              <w:t xml:space="preserve"> less than full assessment </w:t>
            </w:r>
            <w:r w:rsidRPr="00B70C11">
              <w:rPr>
                <w:rFonts w:asciiTheme="majorHAnsi" w:eastAsia="Times New Roman" w:hAnsiTheme="majorHAnsi" w:cs="Times New Roman"/>
                <w:color w:val="000000" w:themeColor="text1"/>
                <w:lang w:eastAsia="en-AU"/>
              </w:rPr>
              <w:t>of the active constituent and product</w:t>
            </w:r>
          </w:p>
        </w:tc>
        <w:tc>
          <w:tcPr>
            <w:tcW w:w="1664"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Modular assessment period and fee</w:t>
            </w:r>
          </w:p>
        </w:tc>
        <w:tc>
          <w:tcPr>
            <w:tcW w:w="1632" w:type="dxa"/>
            <w:vAlign w:val="center"/>
            <w:hideMark/>
          </w:tcPr>
          <w:p w:rsidR="00A77C72" w:rsidRPr="00A604E2" w:rsidRDefault="00A77C72" w:rsidP="0084010E">
            <w:pPr>
              <w:spacing w:after="0" w:line="240" w:lineRule="auto"/>
              <w:jc w:val="center"/>
              <w:rPr>
                <w:rFonts w:asciiTheme="majorHAnsi" w:hAnsiTheme="majorHAnsi"/>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r w:rsidR="0084010E"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(NZ</w:t>
            </w:r>
            <w:r w:rsidRPr="00A604E2">
              <w:rPr>
                <w:rFonts w:asciiTheme="majorHAnsi" w:eastAsia="Times New Roman" w:hAnsiTheme="majorHAnsi" w:cs="Times New Roman"/>
                <w:color w:val="767171" w:themeColor="background2" w:themeShade="80"/>
                <w:lang w:eastAsia="en-AU"/>
              </w:rPr>
              <w:t>$2,000- $5,000*)</w:t>
            </w:r>
          </w:p>
        </w:tc>
        <w:tc>
          <w:tcPr>
            <w:tcW w:w="1885"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14-24 months</w:t>
            </w:r>
            <w:r w:rsidR="0084010E"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(US</w:t>
            </w:r>
            <w:r w:rsidRPr="00A604E2">
              <w:rPr>
                <w:rFonts w:asciiTheme="majorHAnsi" w:eastAsia="Times New Roman" w:hAnsiTheme="majorHAnsi" w:cs="Times New Roman"/>
                <w:color w:val="767171" w:themeColor="background2" w:themeShade="80"/>
                <w:lang w:eastAsia="en-AU"/>
              </w:rPr>
              <w:t>$182,000 - $627,500)</w:t>
            </w:r>
          </w:p>
        </w:tc>
        <w:tc>
          <w:tcPr>
            <w:tcW w:w="1572"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30-42 Months  (~£197,600)</w:t>
            </w:r>
          </w:p>
        </w:tc>
        <w:tc>
          <w:tcPr>
            <w:tcW w:w="1681" w:type="dxa"/>
            <w:vAlign w:val="center"/>
            <w:hideMark/>
          </w:tcPr>
          <w:p w:rsidR="0084010E" w:rsidRDefault="00D82E3C" w:rsidP="0084010E">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p w:rsidR="00A77C72" w:rsidRPr="00A604E2" w:rsidRDefault="00E65233"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CA</w:t>
            </w:r>
            <w:r w:rsidR="00A77C72" w:rsidRPr="00A604E2">
              <w:rPr>
                <w:rFonts w:asciiTheme="majorHAnsi" w:eastAsia="Times New Roman" w:hAnsiTheme="majorHAnsi" w:cs="Times New Roman"/>
                <w:color w:val="767171" w:themeColor="background2" w:themeShade="80"/>
                <w:lang w:eastAsia="en-AU"/>
              </w:rPr>
              <w:t>$194,535)</w:t>
            </w:r>
          </w:p>
        </w:tc>
      </w:tr>
      <w:tr w:rsidR="00A77C72" w:rsidRPr="00B70C11" w:rsidTr="00D82E3C">
        <w:trPr>
          <w:cantSplit/>
          <w:trHeight w:val="726"/>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Registration of a chemical product containing</w:t>
            </w:r>
            <w:r w:rsidRPr="00B70C11">
              <w:rPr>
                <w:rFonts w:asciiTheme="majorHAnsi" w:eastAsia="Times New Roman" w:hAnsiTheme="majorHAnsi" w:cs="Times New Roman"/>
                <w:b/>
                <w:color w:val="000000" w:themeColor="text1"/>
                <w:lang w:eastAsia="en-AU"/>
              </w:rPr>
              <w:t xml:space="preserve"> an approved active</w:t>
            </w:r>
            <w:r w:rsidRPr="00B70C11">
              <w:rPr>
                <w:rFonts w:asciiTheme="majorHAnsi" w:eastAsia="Times New Roman" w:hAnsiTheme="majorHAnsi" w:cs="Times New Roman"/>
                <w:color w:val="000000" w:themeColor="text1"/>
                <w:lang w:eastAsia="en-AU"/>
              </w:rPr>
              <w:t xml:space="preserve"> constituent, and </w:t>
            </w:r>
            <w:r w:rsidRPr="00B70C11">
              <w:rPr>
                <w:rFonts w:asciiTheme="majorHAnsi" w:eastAsia="Times New Roman" w:hAnsiTheme="majorHAnsi" w:cs="Times New Roman"/>
                <w:b/>
                <w:color w:val="000000" w:themeColor="text1"/>
                <w:lang w:eastAsia="en-AU"/>
              </w:rPr>
              <w:t xml:space="preserve">approval of the product </w:t>
            </w:r>
            <w:r w:rsidRPr="00B70C11">
              <w:rPr>
                <w:rFonts w:asciiTheme="majorHAnsi" w:eastAsia="Times New Roman" w:hAnsiTheme="majorHAnsi" w:cs="Times New Roman"/>
                <w:color w:val="000000" w:themeColor="text1"/>
                <w:lang w:eastAsia="en-AU"/>
              </w:rPr>
              <w:t xml:space="preserve">label, if there is </w:t>
            </w:r>
            <w:r w:rsidRPr="00B70C11">
              <w:rPr>
                <w:rFonts w:asciiTheme="majorHAnsi" w:eastAsia="Times New Roman" w:hAnsiTheme="majorHAnsi" w:cs="Times New Roman"/>
                <w:b/>
                <w:color w:val="000000" w:themeColor="text1"/>
                <w:lang w:eastAsia="en-AU"/>
              </w:rPr>
              <w:t>no registered chemical product</w:t>
            </w:r>
            <w:r w:rsidRPr="00B70C11">
              <w:rPr>
                <w:rFonts w:asciiTheme="majorHAnsi" w:eastAsia="Times New Roman" w:hAnsiTheme="majorHAnsi" w:cs="Times New Roman"/>
                <w:color w:val="000000" w:themeColor="text1"/>
                <w:lang w:eastAsia="en-AU"/>
              </w:rPr>
              <w:t xml:space="preserve"> containing the active constituent and a</w:t>
            </w:r>
            <w:r w:rsidRPr="00B70C11">
              <w:rPr>
                <w:rFonts w:asciiTheme="majorHAnsi" w:eastAsia="Times New Roman" w:hAnsiTheme="majorHAnsi" w:cs="Times New Roman"/>
                <w:b/>
                <w:color w:val="000000" w:themeColor="text1"/>
                <w:lang w:eastAsia="en-AU"/>
              </w:rPr>
              <w:t xml:space="preserve"> full assessment</w:t>
            </w:r>
            <w:r w:rsidRPr="00B70C11">
              <w:rPr>
                <w:rFonts w:asciiTheme="majorHAnsi" w:eastAsia="Times New Roman" w:hAnsiTheme="majorHAnsi" w:cs="Times New Roman"/>
                <w:color w:val="000000" w:themeColor="text1"/>
                <w:lang w:eastAsia="en-AU"/>
              </w:rPr>
              <w:t xml:space="preserve"> of the product is required</w:t>
            </w:r>
          </w:p>
        </w:tc>
        <w:tc>
          <w:tcPr>
            <w:tcW w:w="1664"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18 months</w:t>
            </w:r>
            <w:r w:rsidR="0084010E" w:rsidRPr="00A604E2">
              <w:rPr>
                <w:rFonts w:asciiTheme="majorHAnsi" w:eastAsia="Times New Roman" w:hAnsiTheme="majorHAnsi" w:cs="Times New Roman"/>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($64,620)</w:t>
            </w:r>
          </w:p>
        </w:tc>
        <w:tc>
          <w:tcPr>
            <w:tcW w:w="1632"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r w:rsidR="0084010E" w:rsidRPr="00A604E2">
              <w:rPr>
                <w:rFonts w:asciiTheme="majorHAnsi" w:eastAsia="Times New Roman" w:hAnsiTheme="majorHAnsi" w:cs="Times New Roman"/>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NZ</w:t>
            </w:r>
            <w:r w:rsidRPr="00A604E2">
              <w:rPr>
                <w:rFonts w:asciiTheme="majorHAnsi" w:eastAsia="Times New Roman" w:hAnsiTheme="majorHAnsi" w:cs="Times New Roman"/>
                <w:color w:val="767171" w:themeColor="background2" w:themeShade="80"/>
                <w:lang w:eastAsia="en-AU"/>
              </w:rPr>
              <w:t>$3,000 - $4,000)</w:t>
            </w:r>
          </w:p>
        </w:tc>
        <w:tc>
          <w:tcPr>
            <w:tcW w:w="1885"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16- 21 months</w:t>
            </w:r>
            <w:r w:rsidR="0084010E" w:rsidRPr="00A604E2">
              <w:rPr>
                <w:rFonts w:asciiTheme="majorHAnsi" w:eastAsia="Times New Roman" w:hAnsiTheme="majorHAnsi" w:cs="Times New Roman"/>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US$</w:t>
            </w:r>
            <w:r w:rsidRPr="00A604E2">
              <w:rPr>
                <w:rFonts w:asciiTheme="majorHAnsi" w:eastAsia="Times New Roman" w:hAnsiTheme="majorHAnsi" w:cs="Times New Roman"/>
                <w:color w:val="767171" w:themeColor="background2" w:themeShade="80"/>
                <w:lang w:eastAsia="en-AU"/>
              </w:rPr>
              <w:t>191,144-264,000)</w:t>
            </w:r>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hideMark/>
          </w:tcPr>
          <w:p w:rsidR="0084010E" w:rsidRDefault="0084010E" w:rsidP="0084010E">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w:t>
            </w:r>
            <w:r w:rsidR="00D82E3C">
              <w:rPr>
                <w:rFonts w:asciiTheme="majorHAnsi" w:eastAsia="Times New Roman" w:hAnsiTheme="majorHAnsi" w:cs="Times New Roman"/>
                <w:color w:val="767171" w:themeColor="background2" w:themeShade="80"/>
                <w:lang w:eastAsia="en-AU"/>
              </w:rPr>
              <w:t>a</w:t>
            </w:r>
            <w:proofErr w:type="spellEnd"/>
          </w:p>
          <w:p w:rsidR="00A77C72" w:rsidRPr="00A604E2" w:rsidRDefault="0084010E"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A77C72"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CA$</w:t>
            </w:r>
            <w:r w:rsidR="00A77C72" w:rsidRPr="00A604E2">
              <w:rPr>
                <w:rFonts w:asciiTheme="majorHAnsi" w:eastAsia="Times New Roman" w:hAnsiTheme="majorHAnsi" w:cs="Times New Roman"/>
                <w:color w:val="767171" w:themeColor="background2" w:themeShade="80"/>
                <w:lang w:eastAsia="en-AU"/>
              </w:rPr>
              <w:t>152,950)</w:t>
            </w:r>
          </w:p>
        </w:tc>
      </w:tr>
      <w:tr w:rsidR="00A77C72" w:rsidRPr="00B70C11" w:rsidTr="00D82E3C">
        <w:trPr>
          <w:cantSplit/>
          <w:trHeight w:val="1013"/>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Registration of a chemical product containing an </w:t>
            </w:r>
            <w:r w:rsidRPr="00B70C11">
              <w:rPr>
                <w:rFonts w:asciiTheme="majorHAnsi" w:eastAsia="Times New Roman" w:hAnsiTheme="majorHAnsi" w:cs="Times New Roman"/>
                <w:b/>
                <w:color w:val="000000" w:themeColor="text1"/>
                <w:lang w:eastAsia="en-AU"/>
              </w:rPr>
              <w:t>approved active</w:t>
            </w:r>
            <w:r w:rsidRPr="00B70C11">
              <w:rPr>
                <w:rFonts w:asciiTheme="majorHAnsi" w:eastAsia="Times New Roman" w:hAnsiTheme="majorHAnsi" w:cs="Times New Roman"/>
                <w:color w:val="000000" w:themeColor="text1"/>
                <w:lang w:eastAsia="en-AU"/>
              </w:rPr>
              <w:t xml:space="preserve"> constituent, and approval of the product label, if there </w:t>
            </w:r>
            <w:r w:rsidRPr="00B70C11">
              <w:rPr>
                <w:rFonts w:asciiTheme="majorHAnsi" w:eastAsia="Times New Roman" w:hAnsiTheme="majorHAnsi" w:cs="Times New Roman"/>
                <w:b/>
                <w:color w:val="000000" w:themeColor="text1"/>
                <w:lang w:eastAsia="en-AU"/>
              </w:rPr>
              <w:t>is a registered chemica</w:t>
            </w:r>
            <w:r w:rsidRPr="00B70C11">
              <w:rPr>
                <w:rFonts w:asciiTheme="majorHAnsi" w:eastAsia="Times New Roman" w:hAnsiTheme="majorHAnsi" w:cs="Times New Roman"/>
                <w:color w:val="000000" w:themeColor="text1"/>
                <w:lang w:eastAsia="en-AU"/>
              </w:rPr>
              <w:t>l product containing the active constituent and a</w:t>
            </w:r>
            <w:r w:rsidRPr="00B70C11">
              <w:rPr>
                <w:rFonts w:asciiTheme="majorHAnsi" w:eastAsia="Times New Roman" w:hAnsiTheme="majorHAnsi" w:cs="Times New Roman"/>
                <w:b/>
                <w:color w:val="000000" w:themeColor="text1"/>
                <w:lang w:eastAsia="en-AU"/>
              </w:rPr>
              <w:t xml:space="preserve"> full assessment</w:t>
            </w:r>
            <w:r w:rsidRPr="00B70C11">
              <w:rPr>
                <w:rFonts w:asciiTheme="majorHAnsi" w:eastAsia="Times New Roman" w:hAnsiTheme="majorHAnsi" w:cs="Times New Roman"/>
                <w:color w:val="000000" w:themeColor="text1"/>
                <w:lang w:eastAsia="en-AU"/>
              </w:rPr>
              <w:t xml:space="preserve"> of the product is required and there are </w:t>
            </w:r>
            <w:r w:rsidRPr="00B70C11">
              <w:rPr>
                <w:rFonts w:asciiTheme="majorHAnsi" w:eastAsia="Times New Roman" w:hAnsiTheme="majorHAnsi" w:cs="Times New Roman"/>
                <w:b/>
                <w:color w:val="000000" w:themeColor="text1"/>
                <w:lang w:eastAsia="en-AU"/>
              </w:rPr>
              <w:t>no relevant maximum residue</w:t>
            </w:r>
            <w:r w:rsidRPr="00B70C11">
              <w:rPr>
                <w:rFonts w:asciiTheme="majorHAnsi" w:eastAsia="Times New Roman" w:hAnsiTheme="majorHAnsi" w:cs="Times New Roman"/>
                <w:color w:val="000000" w:themeColor="text1"/>
                <w:lang w:eastAsia="en-AU"/>
              </w:rPr>
              <w:t xml:space="preserve"> limits and poison schedule classification is required</w:t>
            </w:r>
          </w:p>
        </w:tc>
        <w:tc>
          <w:tcPr>
            <w:tcW w:w="1664" w:type="dxa"/>
            <w:vAlign w:val="center"/>
            <w:hideMark/>
          </w:tcPr>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18 months</w:t>
            </w:r>
            <w:r w:rsidR="0084010E" w:rsidRPr="00A604E2">
              <w:rPr>
                <w:rFonts w:asciiTheme="majorHAnsi" w:eastAsia="Times New Roman" w:hAnsiTheme="majorHAnsi" w:cs="Times New Roman"/>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($36,675)</w:t>
            </w:r>
          </w:p>
        </w:tc>
        <w:tc>
          <w:tcPr>
            <w:tcW w:w="1632" w:type="dxa"/>
            <w:vAlign w:val="center"/>
            <w:hideMark/>
          </w:tcPr>
          <w:p w:rsidR="0084010E" w:rsidRPr="0084010E" w:rsidRDefault="00A77C72" w:rsidP="0084010E">
            <w:pPr>
              <w:spacing w:after="0" w:line="240" w:lineRule="auto"/>
              <w:jc w:val="center"/>
            </w:pPr>
            <w:r w:rsidRPr="00A604E2">
              <w:rPr>
                <w:rFonts w:asciiTheme="majorHAnsi" w:eastAsia="Times New Roman" w:hAnsiTheme="majorHAnsi" w:cs="Times New Roman"/>
                <w:color w:val="767171" w:themeColor="background2" w:themeShade="80"/>
                <w:lang w:eastAsia="en-AU"/>
              </w:rPr>
              <w:t xml:space="preserve">3 </w:t>
            </w:r>
            <w:proofErr w:type="spellStart"/>
            <w:r w:rsidRPr="00A604E2">
              <w:rPr>
                <w:rFonts w:asciiTheme="majorHAnsi" w:eastAsia="Times New Roman" w:hAnsiTheme="majorHAnsi" w:cs="Times New Roman"/>
                <w:color w:val="767171" w:themeColor="background2" w:themeShade="80"/>
                <w:lang w:eastAsia="en-AU"/>
              </w:rPr>
              <w:t>months</w:t>
            </w:r>
            <w:r w:rsidR="00423DBC">
              <w:rPr>
                <w:rFonts w:asciiTheme="majorHAnsi" w:eastAsia="Times New Roman" w:hAnsiTheme="majorHAnsi" w:cs="Times New Roman"/>
                <w:color w:val="767171" w:themeColor="background2" w:themeShade="80"/>
                <w:vertAlign w:val="superscript"/>
                <w:lang w:eastAsia="en-AU"/>
              </w:rPr>
              <w:t>C</w:t>
            </w:r>
            <w:proofErr w:type="spellEnd"/>
          </w:p>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NZ</w:t>
            </w:r>
            <w:r w:rsidRPr="00A604E2">
              <w:rPr>
                <w:rFonts w:asciiTheme="majorHAnsi" w:eastAsia="Times New Roman" w:hAnsiTheme="majorHAnsi" w:cs="Times New Roman"/>
                <w:color w:val="767171" w:themeColor="background2" w:themeShade="80"/>
                <w:lang w:eastAsia="en-AU"/>
              </w:rPr>
              <w:t>$3,150 - $4,150</w:t>
            </w:r>
            <w:r w:rsidR="00423DBC">
              <w:rPr>
                <w:rFonts w:asciiTheme="majorHAnsi" w:eastAsia="Times New Roman" w:hAnsiTheme="majorHAnsi" w:cs="Times New Roman"/>
                <w:color w:val="767171" w:themeColor="background2" w:themeShade="80"/>
                <w:vertAlign w:val="superscript"/>
                <w:lang w:eastAsia="en-AU"/>
              </w:rPr>
              <w:t>C</w:t>
            </w:r>
            <w:r w:rsidRPr="00A604E2">
              <w:rPr>
                <w:rFonts w:asciiTheme="majorHAnsi" w:eastAsia="Times New Roman" w:hAnsiTheme="majorHAnsi" w:cs="Times New Roman"/>
                <w:color w:val="767171" w:themeColor="background2" w:themeShade="80"/>
                <w:lang w:eastAsia="en-AU"/>
              </w:rPr>
              <w:t>)</w:t>
            </w:r>
          </w:p>
        </w:tc>
        <w:tc>
          <w:tcPr>
            <w:tcW w:w="1885"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10-15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US$</w:t>
            </w:r>
            <w:r w:rsidR="00D82E3C">
              <w:rPr>
                <w:rFonts w:asciiTheme="majorHAnsi" w:eastAsia="Times New Roman" w:hAnsiTheme="majorHAnsi" w:cs="Times New Roman"/>
                <w:color w:val="767171" w:themeColor="background2" w:themeShade="80"/>
                <w:lang w:eastAsia="en-AU"/>
              </w:rPr>
              <w:t>26,500 -$66,000</w:t>
            </w:r>
            <w:r w:rsidRPr="00A604E2">
              <w:rPr>
                <w:rFonts w:asciiTheme="majorHAnsi" w:eastAsia="Times New Roman" w:hAnsiTheme="majorHAnsi" w:cs="Times New Roman"/>
                <w:color w:val="767171" w:themeColor="background2" w:themeShade="80"/>
                <w:lang w:eastAsia="en-AU"/>
              </w:rPr>
              <w:t>)</w:t>
            </w:r>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hideMark/>
          </w:tcPr>
          <w:p w:rsidR="0084010E" w:rsidRDefault="0084010E" w:rsidP="0084010E">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w:t>
            </w:r>
            <w:r w:rsidR="00D82E3C">
              <w:rPr>
                <w:rFonts w:asciiTheme="majorHAnsi" w:eastAsia="Times New Roman" w:hAnsiTheme="majorHAnsi" w:cs="Times New Roman"/>
                <w:color w:val="767171" w:themeColor="background2" w:themeShade="80"/>
                <w:lang w:eastAsia="en-AU"/>
              </w:rPr>
              <w:t>a</w:t>
            </w:r>
            <w:proofErr w:type="spellEnd"/>
          </w:p>
          <w:p w:rsidR="00A77C72" w:rsidRPr="00A604E2" w:rsidRDefault="00A77C72" w:rsidP="0084010E">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CA$</w:t>
            </w:r>
            <w:r w:rsidRPr="00A604E2">
              <w:rPr>
                <w:rFonts w:asciiTheme="majorHAnsi" w:eastAsia="Times New Roman" w:hAnsiTheme="majorHAnsi" w:cs="Times New Roman"/>
                <w:color w:val="767171" w:themeColor="background2" w:themeShade="80"/>
                <w:lang w:eastAsia="en-AU"/>
              </w:rPr>
              <w:t>152,950)</w:t>
            </w:r>
          </w:p>
        </w:tc>
      </w:tr>
      <w:tr w:rsidR="00A77C72" w:rsidRPr="00B70C11" w:rsidTr="00D82E3C">
        <w:trPr>
          <w:cantSplit/>
          <w:trHeight w:val="1156"/>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Registration of a chemical product containing an </w:t>
            </w:r>
            <w:r w:rsidRPr="00B70C11">
              <w:rPr>
                <w:rFonts w:asciiTheme="majorHAnsi" w:eastAsia="Times New Roman" w:hAnsiTheme="majorHAnsi" w:cs="Times New Roman"/>
                <w:b/>
                <w:color w:val="000000" w:themeColor="text1"/>
                <w:lang w:eastAsia="en-AU"/>
              </w:rPr>
              <w:t>approved active</w:t>
            </w:r>
            <w:r w:rsidRPr="00B70C11">
              <w:rPr>
                <w:rFonts w:asciiTheme="majorHAnsi" w:eastAsia="Times New Roman" w:hAnsiTheme="majorHAnsi" w:cs="Times New Roman"/>
                <w:color w:val="000000" w:themeColor="text1"/>
                <w:lang w:eastAsia="en-AU"/>
              </w:rPr>
              <w:t xml:space="preserve"> constituent, and approval of the product label, if the product is</w:t>
            </w:r>
            <w:r w:rsidRPr="00B70C11">
              <w:rPr>
                <w:rFonts w:asciiTheme="majorHAnsi" w:eastAsia="Times New Roman" w:hAnsiTheme="majorHAnsi" w:cs="Times New Roman"/>
                <w:b/>
                <w:color w:val="000000" w:themeColor="text1"/>
                <w:lang w:eastAsia="en-AU"/>
              </w:rPr>
              <w:t xml:space="preserve"> similar to a registered</w:t>
            </w:r>
            <w:r w:rsidRPr="00B70C11">
              <w:rPr>
                <w:rFonts w:asciiTheme="majorHAnsi" w:eastAsia="Times New Roman" w:hAnsiTheme="majorHAnsi" w:cs="Times New Roman"/>
                <w:color w:val="000000" w:themeColor="text1"/>
                <w:lang w:eastAsia="en-AU"/>
              </w:rPr>
              <w:t xml:space="preserve"> chemical product and chemistry and manufacture, </w:t>
            </w:r>
            <w:r w:rsidRPr="00B70C11">
              <w:rPr>
                <w:rFonts w:asciiTheme="majorHAnsi" w:eastAsia="Times New Roman" w:hAnsiTheme="majorHAnsi" w:cs="Times New Roman"/>
                <w:b/>
                <w:color w:val="000000" w:themeColor="text1"/>
                <w:lang w:eastAsia="en-AU"/>
              </w:rPr>
              <w:t xml:space="preserve">efficacy </w:t>
            </w:r>
            <w:r w:rsidRPr="00B70C11">
              <w:rPr>
                <w:rFonts w:asciiTheme="majorHAnsi" w:eastAsia="Times New Roman" w:hAnsiTheme="majorHAnsi" w:cs="Times New Roman"/>
                <w:color w:val="000000" w:themeColor="text1"/>
                <w:lang w:eastAsia="en-AU"/>
              </w:rPr>
              <w:t xml:space="preserve">or target species </w:t>
            </w:r>
            <w:r w:rsidRPr="00B70C11">
              <w:rPr>
                <w:rFonts w:asciiTheme="majorHAnsi" w:eastAsia="Times New Roman" w:hAnsiTheme="majorHAnsi" w:cs="Times New Roman"/>
                <w:b/>
                <w:color w:val="000000" w:themeColor="text1"/>
                <w:lang w:eastAsia="en-AU"/>
              </w:rPr>
              <w:t>safety data is the only data</w:t>
            </w:r>
            <w:r w:rsidRPr="00B70C11">
              <w:rPr>
                <w:rFonts w:asciiTheme="majorHAnsi" w:eastAsia="Times New Roman" w:hAnsiTheme="majorHAnsi" w:cs="Times New Roman"/>
                <w:color w:val="000000" w:themeColor="text1"/>
                <w:lang w:eastAsia="en-AU"/>
              </w:rPr>
              <w:t xml:space="preserve"> required to demonstrate the similarity of the product to the registered chemical product</w:t>
            </w:r>
          </w:p>
        </w:tc>
        <w:tc>
          <w:tcPr>
            <w:tcW w:w="1664"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8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($4,870)</w:t>
            </w:r>
          </w:p>
        </w:tc>
        <w:tc>
          <w:tcPr>
            <w:tcW w:w="1632" w:type="dxa"/>
            <w:vAlign w:val="center"/>
            <w:hideMark/>
          </w:tcPr>
          <w:p w:rsidR="00A77C72" w:rsidRPr="004A7A11"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4A7A11">
              <w:rPr>
                <w:rFonts w:asciiTheme="majorHAnsi" w:eastAsia="Times New Roman" w:hAnsiTheme="majorHAnsi" w:cs="Times New Roman"/>
                <w:color w:val="767171" w:themeColor="background2" w:themeShade="80"/>
                <w:lang w:eastAsia="en-AU"/>
              </w:rPr>
              <w:t>2 months</w:t>
            </w:r>
          </w:p>
          <w:p w:rsidR="00A77C72" w:rsidRPr="004A7A11" w:rsidRDefault="00A77C72" w:rsidP="00B45D96">
            <w:pPr>
              <w:jc w:val="center"/>
              <w:rPr>
                <w:rFonts w:asciiTheme="majorHAnsi" w:hAnsiTheme="majorHAnsi"/>
                <w:color w:val="767171" w:themeColor="background2" w:themeShade="80"/>
                <w:lang w:eastAsia="en-AU"/>
              </w:rPr>
            </w:pPr>
            <w:r w:rsidRPr="004A7A11">
              <w:rPr>
                <w:rFonts w:asciiTheme="majorHAnsi" w:hAnsiTheme="majorHAnsi"/>
                <w:color w:val="767171" w:themeColor="background2" w:themeShade="80"/>
              </w:rPr>
              <w:t xml:space="preserve"> </w:t>
            </w:r>
            <w:r w:rsidRPr="004A7A11">
              <w:rPr>
                <w:rFonts w:asciiTheme="majorHAnsi" w:eastAsia="Times New Roman" w:hAnsiTheme="majorHAnsi" w:cs="Times New Roman"/>
                <w:color w:val="767171" w:themeColor="background2" w:themeShade="80"/>
                <w:lang w:eastAsia="en-AU"/>
              </w:rPr>
              <w:t>(</w:t>
            </w:r>
            <w:r w:rsidR="00E65233" w:rsidRPr="004A7A11">
              <w:rPr>
                <w:rFonts w:asciiTheme="majorHAnsi" w:eastAsia="Times New Roman" w:hAnsiTheme="majorHAnsi" w:cs="Times New Roman"/>
                <w:color w:val="767171" w:themeColor="background2" w:themeShade="80"/>
                <w:lang w:eastAsia="en-AU"/>
              </w:rPr>
              <w:t>NZ</w:t>
            </w:r>
            <w:r w:rsidRPr="004A7A11">
              <w:rPr>
                <w:rFonts w:asciiTheme="majorHAnsi" w:eastAsia="Times New Roman" w:hAnsiTheme="majorHAnsi" w:cs="Times New Roman"/>
                <w:color w:val="767171" w:themeColor="background2" w:themeShade="80"/>
                <w:lang w:eastAsia="en-AU"/>
              </w:rPr>
              <w:t>$2,000-$3</w:t>
            </w:r>
            <w:r w:rsidR="00E65233" w:rsidRPr="004A7A11">
              <w:rPr>
                <w:rFonts w:asciiTheme="majorHAnsi" w:eastAsia="Times New Roman" w:hAnsiTheme="majorHAnsi" w:cs="Times New Roman"/>
                <w:color w:val="767171" w:themeColor="background2" w:themeShade="80"/>
                <w:lang w:eastAsia="en-AU"/>
              </w:rPr>
              <w:t>,000</w:t>
            </w:r>
            <w:r w:rsidRPr="004A7A11">
              <w:rPr>
                <w:rFonts w:asciiTheme="majorHAnsi" w:eastAsia="Times New Roman" w:hAnsiTheme="majorHAnsi" w:cs="Times New Roman"/>
                <w:color w:val="767171" w:themeColor="background2" w:themeShade="80"/>
                <w:lang w:eastAsia="en-AU"/>
              </w:rPr>
              <w:t>)</w:t>
            </w:r>
          </w:p>
        </w:tc>
        <w:tc>
          <w:tcPr>
            <w:tcW w:w="1885" w:type="dxa"/>
            <w:vAlign w:val="center"/>
            <w:hideMark/>
          </w:tcPr>
          <w:p w:rsidR="004A7A11" w:rsidRDefault="004A7A11" w:rsidP="004A7A11">
            <w:pPr>
              <w:rPr>
                <w:color w:val="767171" w:themeColor="background2" w:themeShade="80"/>
                <w:lang w:eastAsia="en-AU"/>
              </w:rPr>
            </w:pPr>
            <w:r w:rsidRPr="004A7A11">
              <w:rPr>
                <w:color w:val="767171" w:themeColor="background2" w:themeShade="80"/>
                <w:lang w:eastAsia="en-AU"/>
              </w:rPr>
              <w:t xml:space="preserve">4 </w:t>
            </w:r>
            <w:r w:rsidR="00A77C72" w:rsidRPr="004A7A11">
              <w:rPr>
                <w:color w:val="767171" w:themeColor="background2" w:themeShade="80"/>
                <w:lang w:eastAsia="en-AU"/>
              </w:rPr>
              <w:t>months</w:t>
            </w:r>
          </w:p>
          <w:p w:rsidR="00A77C72" w:rsidRPr="004A7A11" w:rsidRDefault="00A77C72" w:rsidP="004A7A11">
            <w:pPr>
              <w:rPr>
                <w:rFonts w:asciiTheme="majorHAnsi" w:eastAsia="Times New Roman" w:hAnsiTheme="majorHAnsi" w:cs="Times New Roman"/>
                <w:color w:val="767171" w:themeColor="background2" w:themeShade="80"/>
                <w:lang w:eastAsia="en-AU"/>
              </w:rPr>
            </w:pPr>
            <w:r w:rsidRPr="004A7A11">
              <w:rPr>
                <w:rFonts w:asciiTheme="majorHAnsi" w:eastAsia="Times New Roman" w:hAnsiTheme="majorHAnsi" w:cs="Times New Roman"/>
                <w:color w:val="767171" w:themeColor="background2" w:themeShade="80"/>
                <w:lang w:eastAsia="en-AU"/>
              </w:rPr>
              <w:t>(</w:t>
            </w:r>
            <w:r w:rsidR="00E65233" w:rsidRPr="004A7A11">
              <w:rPr>
                <w:rFonts w:asciiTheme="majorHAnsi" w:eastAsia="Times New Roman" w:hAnsiTheme="majorHAnsi" w:cs="Times New Roman"/>
                <w:color w:val="767171" w:themeColor="background2" w:themeShade="80"/>
                <w:lang w:eastAsia="en-AU"/>
              </w:rPr>
              <w:t>US$</w:t>
            </w:r>
            <w:r w:rsidRPr="004A7A11">
              <w:rPr>
                <w:rFonts w:asciiTheme="majorHAnsi" w:eastAsia="Times New Roman" w:hAnsiTheme="majorHAnsi" w:cs="Times New Roman"/>
                <w:color w:val="767171" w:themeColor="background2" w:themeShade="80"/>
                <w:lang w:eastAsia="en-AU"/>
              </w:rPr>
              <w:t>1,500 - $1,900)</w:t>
            </w:r>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hideMark/>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CA$</w:t>
            </w:r>
            <w:r w:rsidRPr="00A604E2">
              <w:rPr>
                <w:rFonts w:asciiTheme="majorHAnsi" w:eastAsia="Times New Roman" w:hAnsiTheme="majorHAnsi" w:cs="Times New Roman"/>
                <w:color w:val="767171" w:themeColor="background2" w:themeShade="80"/>
                <w:lang w:eastAsia="en-AU"/>
              </w:rPr>
              <w:t>152,950)</w:t>
            </w:r>
          </w:p>
        </w:tc>
      </w:tr>
      <w:tr w:rsidR="00A77C72" w:rsidRPr="00B70C11" w:rsidTr="00D82E3C">
        <w:trPr>
          <w:cantSplit/>
          <w:trHeight w:val="1013"/>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Registration of a chemical product containing an</w:t>
            </w:r>
            <w:r w:rsidRPr="00B70C11">
              <w:rPr>
                <w:rFonts w:asciiTheme="majorHAnsi" w:eastAsia="Times New Roman" w:hAnsiTheme="majorHAnsi" w:cs="Times New Roman"/>
                <w:b/>
                <w:color w:val="000000" w:themeColor="text1"/>
                <w:lang w:eastAsia="en-AU"/>
              </w:rPr>
              <w:t xml:space="preserve"> approved active</w:t>
            </w:r>
            <w:r w:rsidRPr="00B70C11">
              <w:rPr>
                <w:rFonts w:asciiTheme="majorHAnsi" w:eastAsia="Times New Roman" w:hAnsiTheme="majorHAnsi" w:cs="Times New Roman"/>
                <w:color w:val="000000" w:themeColor="text1"/>
                <w:lang w:eastAsia="en-AU"/>
              </w:rPr>
              <w:t xml:space="preserve"> constituent, and approval of the product label, if the product is </w:t>
            </w:r>
            <w:r w:rsidRPr="00B70C11">
              <w:rPr>
                <w:rFonts w:asciiTheme="majorHAnsi" w:eastAsia="Times New Roman" w:hAnsiTheme="majorHAnsi" w:cs="Times New Roman"/>
                <w:b/>
                <w:color w:val="000000" w:themeColor="text1"/>
                <w:lang w:eastAsia="en-AU"/>
              </w:rPr>
              <w:t>closely simila</w:t>
            </w:r>
            <w:r w:rsidRPr="00B70C11">
              <w:rPr>
                <w:rFonts w:asciiTheme="majorHAnsi" w:eastAsia="Times New Roman" w:hAnsiTheme="majorHAnsi" w:cs="Times New Roman"/>
                <w:color w:val="000000" w:themeColor="text1"/>
                <w:lang w:eastAsia="en-AU"/>
              </w:rPr>
              <w:t xml:space="preserve">r to a registered chemical product and </w:t>
            </w:r>
            <w:r w:rsidRPr="00B70C11">
              <w:rPr>
                <w:rFonts w:asciiTheme="majorHAnsi" w:eastAsia="Times New Roman" w:hAnsiTheme="majorHAnsi" w:cs="Times New Roman"/>
                <w:b/>
                <w:color w:val="000000" w:themeColor="text1"/>
                <w:lang w:eastAsia="en-AU"/>
              </w:rPr>
              <w:t>efficacy and safety data are not</w:t>
            </w:r>
            <w:r w:rsidRPr="00B70C11">
              <w:rPr>
                <w:rFonts w:asciiTheme="majorHAnsi" w:eastAsia="Times New Roman" w:hAnsiTheme="majorHAnsi" w:cs="Times New Roman"/>
                <w:color w:val="000000" w:themeColor="text1"/>
                <w:lang w:eastAsia="en-AU"/>
              </w:rPr>
              <w:t xml:space="preserve"> required to demonstrate the similarity of the product to the registered </w:t>
            </w:r>
            <w:r w:rsidRPr="00B70C11">
              <w:rPr>
                <w:rFonts w:asciiTheme="majorHAnsi" w:eastAsia="Times New Roman" w:hAnsiTheme="majorHAnsi" w:cs="Times New Roman"/>
                <w:b/>
                <w:color w:val="000000" w:themeColor="text1"/>
                <w:lang w:eastAsia="en-AU"/>
              </w:rPr>
              <w:t>chemical product and chemistry and manufacture data are required</w:t>
            </w:r>
          </w:p>
        </w:tc>
        <w:tc>
          <w:tcPr>
            <w:tcW w:w="1664" w:type="dxa"/>
            <w:vAlign w:val="center"/>
            <w:hideMark/>
          </w:tcPr>
          <w:p w:rsidR="004A7A11" w:rsidRDefault="00A77C72" w:rsidP="00423DBC">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8 months</w:t>
            </w:r>
          </w:p>
          <w:p w:rsidR="00A77C72" w:rsidRPr="00A604E2" w:rsidRDefault="00A77C72" w:rsidP="00423DBC">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($4,290)</w:t>
            </w:r>
          </w:p>
        </w:tc>
        <w:tc>
          <w:tcPr>
            <w:tcW w:w="1632"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jc w:val="center"/>
              <w:rPr>
                <w:rFonts w:asciiTheme="majorHAnsi" w:hAnsiTheme="majorHAnsi"/>
                <w:color w:val="767171" w:themeColor="background2" w:themeShade="80"/>
                <w:lang w:eastAsia="en-AU"/>
              </w:rPr>
            </w:pPr>
            <w:r w:rsidRPr="00A604E2">
              <w:rPr>
                <w:rFonts w:asciiTheme="majorHAnsi" w:hAnsiTheme="majorHAnsi"/>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NZ$2,000-$3,000</w:t>
            </w:r>
            <w:r w:rsidRPr="00A604E2">
              <w:rPr>
                <w:rFonts w:asciiTheme="majorHAnsi" w:eastAsia="Times New Roman" w:hAnsiTheme="majorHAnsi" w:cs="Times New Roman"/>
                <w:color w:val="767171" w:themeColor="background2" w:themeShade="80"/>
                <w:lang w:eastAsia="en-AU"/>
              </w:rPr>
              <w:t>)</w:t>
            </w:r>
          </w:p>
        </w:tc>
        <w:tc>
          <w:tcPr>
            <w:tcW w:w="1885"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7 months</w:t>
            </w:r>
          </w:p>
          <w:p w:rsidR="00A77C72" w:rsidRPr="00A604E2" w:rsidRDefault="00035DDE"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US$</w:t>
            </w:r>
            <w:r w:rsidR="00A77C72" w:rsidRPr="00A604E2">
              <w:rPr>
                <w:rFonts w:asciiTheme="majorHAnsi" w:eastAsia="Times New Roman" w:hAnsiTheme="majorHAnsi" w:cs="Times New Roman"/>
                <w:color w:val="767171" w:themeColor="background2" w:themeShade="80"/>
                <w:lang w:eastAsia="en-AU"/>
              </w:rPr>
              <w:t>5,300)</w:t>
            </w:r>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hideMark/>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CA$</w:t>
            </w:r>
            <w:r w:rsidRPr="00A604E2">
              <w:rPr>
                <w:rFonts w:asciiTheme="majorHAnsi" w:eastAsia="Times New Roman" w:hAnsiTheme="majorHAnsi" w:cs="Times New Roman"/>
                <w:color w:val="767171" w:themeColor="background2" w:themeShade="80"/>
                <w:lang w:eastAsia="en-AU"/>
              </w:rPr>
              <w:t>152,950)</w:t>
            </w:r>
          </w:p>
        </w:tc>
      </w:tr>
      <w:tr w:rsidR="00A77C72" w:rsidRPr="00B70C11" w:rsidTr="00D82E3C">
        <w:trPr>
          <w:cantSplit/>
          <w:trHeight w:val="1156"/>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Registration of a chemical product containing an </w:t>
            </w:r>
            <w:r w:rsidRPr="00B70C11">
              <w:rPr>
                <w:rFonts w:asciiTheme="majorHAnsi" w:eastAsia="Times New Roman" w:hAnsiTheme="majorHAnsi" w:cs="Times New Roman"/>
                <w:b/>
                <w:color w:val="000000" w:themeColor="text1"/>
                <w:lang w:eastAsia="en-AU"/>
              </w:rPr>
              <w:t>approved active</w:t>
            </w:r>
            <w:r w:rsidRPr="00B70C11">
              <w:rPr>
                <w:rFonts w:asciiTheme="majorHAnsi" w:eastAsia="Times New Roman" w:hAnsiTheme="majorHAnsi" w:cs="Times New Roman"/>
                <w:color w:val="000000" w:themeColor="text1"/>
                <w:lang w:eastAsia="en-AU"/>
              </w:rPr>
              <w:t xml:space="preserve"> constituent, and approval of the product label, if the product is</w:t>
            </w:r>
            <w:r w:rsidRPr="00B70C11">
              <w:rPr>
                <w:rFonts w:asciiTheme="majorHAnsi" w:eastAsia="Times New Roman" w:hAnsiTheme="majorHAnsi" w:cs="Times New Roman"/>
                <w:b/>
                <w:color w:val="000000" w:themeColor="text1"/>
                <w:lang w:eastAsia="en-AU"/>
              </w:rPr>
              <w:t xml:space="preserve"> closely similar</w:t>
            </w:r>
            <w:r w:rsidRPr="00B70C11">
              <w:rPr>
                <w:rFonts w:asciiTheme="majorHAnsi" w:eastAsia="Times New Roman" w:hAnsiTheme="majorHAnsi" w:cs="Times New Roman"/>
                <w:color w:val="000000" w:themeColor="text1"/>
                <w:lang w:eastAsia="en-AU"/>
              </w:rPr>
              <w:t xml:space="preserve"> to a registered chemical product and </w:t>
            </w:r>
            <w:r w:rsidRPr="00B70C11">
              <w:rPr>
                <w:rFonts w:asciiTheme="majorHAnsi" w:eastAsia="Times New Roman" w:hAnsiTheme="majorHAnsi" w:cs="Times New Roman"/>
                <w:b/>
                <w:color w:val="000000" w:themeColor="text1"/>
                <w:lang w:eastAsia="en-AU"/>
              </w:rPr>
              <w:t>efficacy and safety data are not</w:t>
            </w:r>
            <w:r w:rsidRPr="00B70C11">
              <w:rPr>
                <w:rFonts w:asciiTheme="majorHAnsi" w:eastAsia="Times New Roman" w:hAnsiTheme="majorHAnsi" w:cs="Times New Roman"/>
                <w:color w:val="000000" w:themeColor="text1"/>
                <w:lang w:eastAsia="en-AU"/>
              </w:rPr>
              <w:t xml:space="preserve"> required to demonstrate the similarity of the product to the registered chemical product and </w:t>
            </w:r>
            <w:r w:rsidRPr="00B70C11">
              <w:rPr>
                <w:rFonts w:asciiTheme="majorHAnsi" w:eastAsia="Times New Roman" w:hAnsiTheme="majorHAnsi" w:cs="Times New Roman"/>
                <w:b/>
                <w:color w:val="000000" w:themeColor="text1"/>
                <w:lang w:eastAsia="en-AU"/>
              </w:rPr>
              <w:t>chemistry and manufacture data are not required</w:t>
            </w:r>
          </w:p>
        </w:tc>
        <w:tc>
          <w:tcPr>
            <w:tcW w:w="1664" w:type="dxa"/>
            <w:vAlign w:val="center"/>
            <w:hideMark/>
          </w:tcPr>
          <w:p w:rsidR="00423DBC"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3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($1,755)</w:t>
            </w:r>
          </w:p>
        </w:tc>
        <w:tc>
          <w:tcPr>
            <w:tcW w:w="1632"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jc w:val="center"/>
              <w:rPr>
                <w:rFonts w:asciiTheme="majorHAnsi" w:hAnsiTheme="majorHAnsi"/>
                <w:color w:val="767171" w:themeColor="background2" w:themeShade="80"/>
                <w:lang w:eastAsia="en-AU"/>
              </w:rPr>
            </w:pPr>
            <w:r w:rsidRPr="00A604E2">
              <w:rPr>
                <w:rFonts w:asciiTheme="majorHAnsi" w:hAnsiTheme="majorHAnsi"/>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NZ$2,000-$3,000</w:t>
            </w:r>
            <w:r w:rsidRPr="00A604E2">
              <w:rPr>
                <w:rFonts w:asciiTheme="majorHAnsi" w:eastAsia="Times New Roman" w:hAnsiTheme="majorHAnsi" w:cs="Times New Roman"/>
                <w:color w:val="767171" w:themeColor="background2" w:themeShade="80"/>
                <w:lang w:eastAsia="en-AU"/>
              </w:rPr>
              <w:t>)</w:t>
            </w:r>
          </w:p>
        </w:tc>
        <w:tc>
          <w:tcPr>
            <w:tcW w:w="1885"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r>
      <w:tr w:rsidR="00A77C72" w:rsidRPr="00B70C11" w:rsidTr="00D82E3C">
        <w:trPr>
          <w:cantSplit/>
          <w:trHeight w:val="726"/>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Registration of a chemical product containing an </w:t>
            </w:r>
            <w:r w:rsidRPr="00B70C11">
              <w:rPr>
                <w:rFonts w:asciiTheme="majorHAnsi" w:eastAsia="Times New Roman" w:hAnsiTheme="majorHAnsi" w:cs="Times New Roman"/>
                <w:b/>
                <w:color w:val="000000" w:themeColor="text1"/>
                <w:lang w:eastAsia="en-AU"/>
              </w:rPr>
              <w:t>approved active</w:t>
            </w:r>
            <w:r w:rsidRPr="00B70C11">
              <w:rPr>
                <w:rFonts w:asciiTheme="majorHAnsi" w:eastAsia="Times New Roman" w:hAnsiTheme="majorHAnsi" w:cs="Times New Roman"/>
                <w:color w:val="000000" w:themeColor="text1"/>
                <w:lang w:eastAsia="en-AU"/>
              </w:rPr>
              <w:t xml:space="preserve"> constituent, and approval of the product label, if the chemical product is the</w:t>
            </w:r>
            <w:r w:rsidRPr="00B70C11">
              <w:rPr>
                <w:rFonts w:asciiTheme="majorHAnsi" w:eastAsia="Times New Roman" w:hAnsiTheme="majorHAnsi" w:cs="Times New Roman"/>
                <w:b/>
                <w:color w:val="000000" w:themeColor="text1"/>
                <w:lang w:eastAsia="en-AU"/>
              </w:rPr>
              <w:t xml:space="preserve"> same as a registered </w:t>
            </w:r>
            <w:r w:rsidRPr="00B70C11">
              <w:rPr>
                <w:rFonts w:asciiTheme="majorHAnsi" w:eastAsia="Times New Roman" w:hAnsiTheme="majorHAnsi" w:cs="Times New Roman"/>
                <w:color w:val="000000" w:themeColor="text1"/>
                <w:lang w:eastAsia="en-AU"/>
              </w:rPr>
              <w:t xml:space="preserve">chemical product and the product is to be registered with </w:t>
            </w:r>
            <w:r w:rsidRPr="00B70C11">
              <w:rPr>
                <w:rFonts w:asciiTheme="majorHAnsi" w:eastAsia="Times New Roman" w:hAnsiTheme="majorHAnsi" w:cs="Times New Roman"/>
                <w:b/>
                <w:color w:val="000000" w:themeColor="text1"/>
                <w:lang w:eastAsia="en-AU"/>
              </w:rPr>
              <w:t>a different name</w:t>
            </w:r>
          </w:p>
        </w:tc>
        <w:tc>
          <w:tcPr>
            <w:tcW w:w="1664" w:type="dxa"/>
            <w:vAlign w:val="center"/>
            <w:hideMark/>
          </w:tcPr>
          <w:p w:rsidR="00A77C7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3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($1,655)</w:t>
            </w:r>
          </w:p>
        </w:tc>
        <w:tc>
          <w:tcPr>
            <w:tcW w:w="1632"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NZ</w:t>
            </w:r>
            <w:r w:rsidRPr="00A604E2">
              <w:rPr>
                <w:rFonts w:asciiTheme="majorHAnsi" w:eastAsia="Times New Roman" w:hAnsiTheme="majorHAnsi" w:cs="Times New Roman"/>
                <w:color w:val="767171" w:themeColor="background2" w:themeShade="80"/>
                <w:lang w:eastAsia="en-AU"/>
              </w:rPr>
              <w:t>$700 - $900)</w:t>
            </w:r>
          </w:p>
        </w:tc>
        <w:tc>
          <w:tcPr>
            <w:tcW w:w="1885"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r>
      <w:tr w:rsidR="00A77C72" w:rsidRPr="00B70C11" w:rsidTr="00D82E3C">
        <w:trPr>
          <w:cantSplit/>
          <w:trHeight w:val="726"/>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Registration of a</w:t>
            </w:r>
            <w:r w:rsidRPr="00B70C11">
              <w:rPr>
                <w:rFonts w:asciiTheme="majorHAnsi" w:eastAsia="Times New Roman" w:hAnsiTheme="majorHAnsi" w:cs="Times New Roman"/>
                <w:b/>
                <w:color w:val="000000" w:themeColor="text1"/>
                <w:lang w:eastAsia="en-AU"/>
              </w:rPr>
              <w:t xml:space="preserve"> listed chemical </w:t>
            </w:r>
            <w:r w:rsidRPr="00B70C11">
              <w:rPr>
                <w:rFonts w:asciiTheme="majorHAnsi" w:eastAsia="Times New Roman" w:hAnsiTheme="majorHAnsi" w:cs="Times New Roman"/>
                <w:color w:val="000000" w:themeColor="text1"/>
                <w:lang w:eastAsia="en-AU"/>
              </w:rPr>
              <w:t>product and approval of a product label where the product and label comply with an</w:t>
            </w:r>
            <w:r w:rsidRPr="00B70C11">
              <w:rPr>
                <w:rFonts w:asciiTheme="majorHAnsi" w:eastAsia="Times New Roman" w:hAnsiTheme="majorHAnsi" w:cs="Times New Roman"/>
                <w:b/>
                <w:color w:val="000000" w:themeColor="text1"/>
                <w:lang w:eastAsia="en-AU"/>
              </w:rPr>
              <w:t xml:space="preserve"> established standard</w:t>
            </w:r>
            <w:r w:rsidRPr="00B70C11">
              <w:rPr>
                <w:rFonts w:asciiTheme="majorHAnsi" w:eastAsia="Times New Roman" w:hAnsiTheme="majorHAnsi" w:cs="Times New Roman"/>
                <w:color w:val="000000" w:themeColor="text1"/>
                <w:lang w:eastAsia="en-AU"/>
              </w:rPr>
              <w:t xml:space="preserve"> that has been approved in accordance with section 8U of the code</w:t>
            </w:r>
          </w:p>
        </w:tc>
        <w:tc>
          <w:tcPr>
            <w:tcW w:w="1664" w:type="dxa"/>
            <w:vAlign w:val="center"/>
            <w:hideMark/>
          </w:tcPr>
          <w:p w:rsidR="00A77C7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2 months </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($1,595)</w:t>
            </w:r>
          </w:p>
        </w:tc>
        <w:tc>
          <w:tcPr>
            <w:tcW w:w="1632"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jc w:val="center"/>
              <w:rPr>
                <w:rFonts w:asciiTheme="majorHAnsi" w:hAnsiTheme="majorHAnsi"/>
                <w:color w:val="767171" w:themeColor="background2" w:themeShade="80"/>
                <w:lang w:eastAsia="en-AU"/>
              </w:rPr>
            </w:pPr>
            <w:r w:rsidRPr="00A604E2">
              <w:rPr>
                <w:rFonts w:asciiTheme="majorHAnsi" w:hAnsiTheme="majorHAnsi"/>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NZ$2,000-$3,000</w:t>
            </w:r>
            <w:r w:rsidRPr="00A604E2">
              <w:rPr>
                <w:rFonts w:asciiTheme="majorHAnsi" w:eastAsia="Times New Roman" w:hAnsiTheme="majorHAnsi" w:cs="Times New Roman"/>
                <w:color w:val="767171" w:themeColor="background2" w:themeShade="80"/>
                <w:lang w:eastAsia="en-AU"/>
              </w:rPr>
              <w:t>)</w:t>
            </w:r>
          </w:p>
        </w:tc>
        <w:tc>
          <w:tcPr>
            <w:tcW w:w="1885"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r>
      <w:tr w:rsidR="00A77C72" w:rsidRPr="00B70C11" w:rsidTr="00D82E3C">
        <w:trPr>
          <w:cantSplit/>
          <w:trHeight w:val="869"/>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Registration of a chemical product containing an </w:t>
            </w:r>
            <w:r w:rsidRPr="00B70C11">
              <w:rPr>
                <w:rFonts w:asciiTheme="majorHAnsi" w:eastAsia="Times New Roman" w:hAnsiTheme="majorHAnsi" w:cs="Times New Roman"/>
                <w:b/>
                <w:color w:val="000000" w:themeColor="text1"/>
                <w:lang w:eastAsia="en-AU"/>
              </w:rPr>
              <w:t>approved active</w:t>
            </w:r>
            <w:r w:rsidRPr="00B70C11">
              <w:rPr>
                <w:rFonts w:asciiTheme="majorHAnsi" w:eastAsia="Times New Roman" w:hAnsiTheme="majorHAnsi" w:cs="Times New Roman"/>
                <w:color w:val="000000" w:themeColor="text1"/>
                <w:lang w:eastAsia="en-AU"/>
              </w:rPr>
              <w:t xml:space="preserve"> constituent (or an active constituent for which the APVMA has received an application for approval) and approval of the product label for </w:t>
            </w:r>
            <w:r w:rsidRPr="00B70C11">
              <w:rPr>
                <w:rFonts w:asciiTheme="majorHAnsi" w:eastAsia="Times New Roman" w:hAnsiTheme="majorHAnsi" w:cs="Times New Roman"/>
                <w:b/>
                <w:color w:val="000000" w:themeColor="text1"/>
                <w:lang w:eastAsia="en-AU"/>
              </w:rPr>
              <w:t>all situations other than those described</w:t>
            </w:r>
            <w:r w:rsidRPr="00B70C11">
              <w:rPr>
                <w:rFonts w:asciiTheme="majorHAnsi" w:eastAsia="Times New Roman" w:hAnsiTheme="majorHAnsi" w:cs="Times New Roman"/>
                <w:color w:val="000000" w:themeColor="text1"/>
                <w:lang w:eastAsia="en-AU"/>
              </w:rPr>
              <w:t xml:space="preserve"> in items 3 to 9</w:t>
            </w:r>
          </w:p>
        </w:tc>
        <w:tc>
          <w:tcPr>
            <w:tcW w:w="1664"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Modular assessment period and fee</w:t>
            </w:r>
          </w:p>
        </w:tc>
        <w:tc>
          <w:tcPr>
            <w:tcW w:w="1632"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jc w:val="center"/>
              <w:rPr>
                <w:rFonts w:asciiTheme="majorHAnsi" w:hAnsiTheme="majorHAnsi"/>
                <w:color w:val="767171" w:themeColor="background2" w:themeShade="80"/>
                <w:lang w:eastAsia="en-AU"/>
              </w:rPr>
            </w:pPr>
            <w:r w:rsidRPr="00A604E2">
              <w:rPr>
                <w:rFonts w:asciiTheme="majorHAnsi" w:hAnsiTheme="majorHAnsi"/>
                <w:color w:val="767171" w:themeColor="background2" w:themeShade="80"/>
                <w:lang w:eastAsia="en-AU"/>
              </w:rPr>
              <w:t xml:space="preserve"> </w:t>
            </w: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NZ$3,000 - $4,000</w:t>
            </w:r>
            <w:r w:rsidRPr="00A604E2">
              <w:rPr>
                <w:rFonts w:asciiTheme="majorHAnsi" w:eastAsia="Times New Roman" w:hAnsiTheme="majorHAnsi" w:cs="Times New Roman"/>
                <w:color w:val="767171" w:themeColor="background2" w:themeShade="80"/>
                <w:lang w:eastAsia="en-AU"/>
              </w:rPr>
              <w:t>)</w:t>
            </w:r>
          </w:p>
        </w:tc>
        <w:tc>
          <w:tcPr>
            <w:tcW w:w="1885"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10-15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w:t>
            </w:r>
            <w:r w:rsidR="00E65233" w:rsidRPr="00A604E2">
              <w:rPr>
                <w:rFonts w:asciiTheme="majorHAnsi" w:eastAsia="Times New Roman" w:hAnsiTheme="majorHAnsi" w:cs="Times New Roman"/>
                <w:color w:val="767171" w:themeColor="background2" w:themeShade="80"/>
                <w:lang w:eastAsia="en-AU"/>
              </w:rPr>
              <w:t>US$26,500 -66,000</w:t>
            </w:r>
            <w:r w:rsidRPr="00A604E2">
              <w:rPr>
                <w:rFonts w:asciiTheme="majorHAnsi" w:eastAsia="Times New Roman" w:hAnsiTheme="majorHAnsi" w:cs="Times New Roman"/>
                <w:color w:val="767171" w:themeColor="background2" w:themeShade="80"/>
                <w:lang w:eastAsia="en-AU"/>
              </w:rPr>
              <w:t>)</w:t>
            </w:r>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r>
      <w:tr w:rsidR="00A77C72" w:rsidRPr="00B70C11" w:rsidTr="00D82E3C">
        <w:trPr>
          <w:cantSplit/>
          <w:trHeight w:val="295"/>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Application for </w:t>
            </w:r>
            <w:r w:rsidRPr="00B70C11">
              <w:rPr>
                <w:rFonts w:asciiTheme="majorHAnsi" w:eastAsia="Times New Roman" w:hAnsiTheme="majorHAnsi" w:cs="Times New Roman"/>
                <w:b/>
                <w:color w:val="000000" w:themeColor="text1"/>
                <w:lang w:eastAsia="en-AU"/>
              </w:rPr>
              <w:t>approval of a labe</w:t>
            </w:r>
            <w:r w:rsidRPr="00B70C11">
              <w:rPr>
                <w:rFonts w:asciiTheme="majorHAnsi" w:eastAsia="Times New Roman" w:hAnsiTheme="majorHAnsi" w:cs="Times New Roman"/>
                <w:color w:val="000000" w:themeColor="text1"/>
                <w:lang w:eastAsia="en-AU"/>
              </w:rPr>
              <w:t xml:space="preserve">l for </w:t>
            </w:r>
            <w:r w:rsidRPr="00B70C11">
              <w:rPr>
                <w:rFonts w:asciiTheme="majorHAnsi" w:eastAsia="Times New Roman" w:hAnsiTheme="majorHAnsi" w:cs="Times New Roman"/>
                <w:b/>
                <w:color w:val="000000" w:themeColor="text1"/>
                <w:lang w:eastAsia="en-AU"/>
              </w:rPr>
              <w:t>containers</w:t>
            </w:r>
            <w:r w:rsidRPr="00B70C11">
              <w:rPr>
                <w:rFonts w:asciiTheme="majorHAnsi" w:eastAsia="Times New Roman" w:hAnsiTheme="majorHAnsi" w:cs="Times New Roman"/>
                <w:color w:val="000000" w:themeColor="text1"/>
                <w:lang w:eastAsia="en-AU"/>
              </w:rPr>
              <w:t xml:space="preserve"> for a </w:t>
            </w:r>
            <w:r w:rsidRPr="00B70C11">
              <w:rPr>
                <w:rFonts w:asciiTheme="majorHAnsi" w:eastAsia="Times New Roman" w:hAnsiTheme="majorHAnsi" w:cs="Times New Roman"/>
                <w:b/>
                <w:color w:val="000000" w:themeColor="text1"/>
                <w:lang w:eastAsia="en-AU"/>
              </w:rPr>
              <w:t>registered chemica</w:t>
            </w:r>
            <w:r w:rsidRPr="00B70C11">
              <w:rPr>
                <w:rFonts w:asciiTheme="majorHAnsi" w:eastAsia="Times New Roman" w:hAnsiTheme="majorHAnsi" w:cs="Times New Roman"/>
                <w:color w:val="000000" w:themeColor="text1"/>
                <w:lang w:eastAsia="en-AU"/>
              </w:rPr>
              <w:t>l product</w:t>
            </w:r>
          </w:p>
        </w:tc>
        <w:tc>
          <w:tcPr>
            <w:tcW w:w="1664"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Modular assessment period and fee</w:t>
            </w:r>
          </w:p>
        </w:tc>
        <w:tc>
          <w:tcPr>
            <w:tcW w:w="163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885"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r>
      <w:tr w:rsidR="00A77C72" w:rsidRPr="00B70C11" w:rsidTr="00D82E3C">
        <w:trPr>
          <w:cantSplit/>
          <w:trHeight w:val="583"/>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Approval of an </w:t>
            </w:r>
            <w:r w:rsidRPr="00B70C11">
              <w:rPr>
                <w:rFonts w:asciiTheme="majorHAnsi" w:eastAsia="Times New Roman" w:hAnsiTheme="majorHAnsi" w:cs="Times New Roman"/>
                <w:b/>
                <w:color w:val="000000" w:themeColor="text1"/>
                <w:lang w:eastAsia="en-AU"/>
              </w:rPr>
              <w:t xml:space="preserve">active </w:t>
            </w:r>
            <w:r w:rsidRPr="00B70C11">
              <w:rPr>
                <w:rFonts w:asciiTheme="majorHAnsi" w:eastAsia="Times New Roman" w:hAnsiTheme="majorHAnsi" w:cs="Times New Roman"/>
                <w:color w:val="000000" w:themeColor="text1"/>
                <w:lang w:eastAsia="en-AU"/>
              </w:rPr>
              <w:t xml:space="preserve">constituent requiring a </w:t>
            </w:r>
            <w:r w:rsidRPr="00B70C11">
              <w:rPr>
                <w:rFonts w:asciiTheme="majorHAnsi" w:eastAsia="Times New Roman" w:hAnsiTheme="majorHAnsi" w:cs="Times New Roman"/>
                <w:b/>
                <w:color w:val="000000" w:themeColor="text1"/>
                <w:lang w:eastAsia="en-AU"/>
              </w:rPr>
              <w:t>full assessment</w:t>
            </w:r>
          </w:p>
        </w:tc>
        <w:tc>
          <w:tcPr>
            <w:tcW w:w="1664" w:type="dxa"/>
            <w:vAlign w:val="center"/>
            <w:hideMark/>
          </w:tcPr>
          <w:p w:rsidR="00A77C7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14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($30,550)</w:t>
            </w:r>
          </w:p>
        </w:tc>
        <w:tc>
          <w:tcPr>
            <w:tcW w:w="1632" w:type="dxa"/>
            <w:vAlign w:val="center"/>
            <w:hideMark/>
          </w:tcPr>
          <w:p w:rsidR="004A7A11"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NZ$2,000- 5,000</w:t>
            </w:r>
            <w:r w:rsidRPr="00A604E2">
              <w:rPr>
                <w:rFonts w:asciiTheme="majorHAnsi" w:eastAsia="Times New Roman" w:hAnsiTheme="majorHAnsi" w:cs="Times New Roman"/>
                <w:color w:val="767171" w:themeColor="background2" w:themeShade="80"/>
                <w:lang w:eastAsia="en-AU"/>
              </w:rPr>
              <w:t>)</w:t>
            </w:r>
          </w:p>
        </w:tc>
        <w:tc>
          <w:tcPr>
            <w:tcW w:w="1885"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vAlign w:val="center"/>
            <w:hideMark/>
          </w:tcPr>
          <w:p w:rsidR="004A7A11"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30-42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(~£197,600)</w:t>
            </w:r>
          </w:p>
        </w:tc>
        <w:tc>
          <w:tcPr>
            <w:tcW w:w="1681" w:type="dxa"/>
            <w:vAlign w:val="center"/>
            <w:hideMark/>
          </w:tcPr>
          <w:p w:rsidR="004A7A11"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 </w:t>
            </w:r>
            <w:r w:rsidR="00E65233" w:rsidRPr="00A604E2">
              <w:rPr>
                <w:rFonts w:asciiTheme="majorHAnsi" w:eastAsia="Times New Roman" w:hAnsiTheme="majorHAnsi" w:cs="Times New Roman"/>
                <w:color w:val="767171" w:themeColor="background2" w:themeShade="80"/>
                <w:lang w:eastAsia="en-AU"/>
              </w:rPr>
              <w:t>CA$</w:t>
            </w:r>
            <w:r w:rsidRPr="00A604E2">
              <w:rPr>
                <w:rFonts w:asciiTheme="majorHAnsi" w:eastAsia="Times New Roman" w:hAnsiTheme="majorHAnsi" w:cs="Times New Roman"/>
                <w:color w:val="767171" w:themeColor="background2" w:themeShade="80"/>
                <w:lang w:eastAsia="en-AU"/>
              </w:rPr>
              <w:t>194,535)</w:t>
            </w:r>
          </w:p>
        </w:tc>
      </w:tr>
      <w:tr w:rsidR="00A77C72" w:rsidRPr="00B70C11" w:rsidTr="00D82E3C">
        <w:trPr>
          <w:cantSplit/>
          <w:trHeight w:val="583"/>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Approval of an active constituent requiring</w:t>
            </w:r>
            <w:r w:rsidRPr="00B70C11">
              <w:rPr>
                <w:rFonts w:asciiTheme="majorHAnsi" w:eastAsia="Times New Roman" w:hAnsiTheme="majorHAnsi" w:cs="Times New Roman"/>
                <w:b/>
                <w:color w:val="000000" w:themeColor="text1"/>
                <w:lang w:eastAsia="en-AU"/>
              </w:rPr>
              <w:t xml:space="preserve"> less than a full assessment</w:t>
            </w:r>
            <w:r w:rsidRPr="00B70C11">
              <w:rPr>
                <w:rFonts w:asciiTheme="majorHAnsi" w:eastAsia="Times New Roman" w:hAnsiTheme="majorHAnsi" w:cs="Times New Roman"/>
                <w:color w:val="000000" w:themeColor="text1"/>
                <w:lang w:eastAsia="en-AU"/>
              </w:rPr>
              <w:t xml:space="preserve"> but requiring a</w:t>
            </w:r>
            <w:r w:rsidRPr="00B70C11">
              <w:rPr>
                <w:rFonts w:asciiTheme="majorHAnsi" w:eastAsia="Times New Roman" w:hAnsiTheme="majorHAnsi" w:cs="Times New Roman"/>
                <w:b/>
                <w:color w:val="000000" w:themeColor="text1"/>
                <w:lang w:eastAsia="en-AU"/>
              </w:rPr>
              <w:t xml:space="preserve"> toxicological</w:t>
            </w:r>
            <w:r w:rsidRPr="00B70C11">
              <w:rPr>
                <w:rFonts w:asciiTheme="majorHAnsi" w:eastAsia="Times New Roman" w:hAnsiTheme="majorHAnsi" w:cs="Times New Roman"/>
                <w:color w:val="000000" w:themeColor="text1"/>
                <w:lang w:eastAsia="en-AU"/>
              </w:rPr>
              <w:t xml:space="preserve"> assessment</w:t>
            </w:r>
          </w:p>
        </w:tc>
        <w:tc>
          <w:tcPr>
            <w:tcW w:w="1664"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9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($18,805)</w:t>
            </w:r>
          </w:p>
        </w:tc>
        <w:tc>
          <w:tcPr>
            <w:tcW w:w="1632"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NZ$2,000- 5,000</w:t>
            </w:r>
            <w:r w:rsidRPr="00A604E2">
              <w:rPr>
                <w:rFonts w:asciiTheme="majorHAnsi" w:eastAsia="Times New Roman" w:hAnsiTheme="majorHAnsi" w:cs="Times New Roman"/>
                <w:color w:val="767171" w:themeColor="background2" w:themeShade="80"/>
                <w:lang w:eastAsia="en-AU"/>
              </w:rPr>
              <w:t>)</w:t>
            </w:r>
          </w:p>
        </w:tc>
        <w:tc>
          <w:tcPr>
            <w:tcW w:w="1885"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hideMark/>
          </w:tcPr>
          <w:p w:rsidR="004A7A11"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 </w:t>
            </w:r>
            <w:r w:rsidR="00E65233" w:rsidRPr="00A604E2">
              <w:rPr>
                <w:rFonts w:asciiTheme="majorHAnsi" w:eastAsia="Times New Roman" w:hAnsiTheme="majorHAnsi" w:cs="Times New Roman"/>
                <w:color w:val="767171" w:themeColor="background2" w:themeShade="80"/>
                <w:lang w:eastAsia="en-AU"/>
              </w:rPr>
              <w:t>CA$</w:t>
            </w:r>
            <w:r w:rsidRPr="00A604E2">
              <w:rPr>
                <w:rFonts w:asciiTheme="majorHAnsi" w:eastAsia="Times New Roman" w:hAnsiTheme="majorHAnsi" w:cs="Times New Roman"/>
                <w:color w:val="767171" w:themeColor="background2" w:themeShade="80"/>
                <w:lang w:eastAsia="en-AU"/>
              </w:rPr>
              <w:t>194,535)</w:t>
            </w:r>
          </w:p>
        </w:tc>
      </w:tr>
      <w:tr w:rsidR="00A77C72" w:rsidRPr="00B70C11" w:rsidTr="00D82E3C">
        <w:trPr>
          <w:cantSplit/>
          <w:trHeight w:val="583"/>
        </w:trPr>
        <w:tc>
          <w:tcPr>
            <w:tcW w:w="6303" w:type="dxa"/>
            <w:vAlign w:val="center"/>
            <w:hideMark/>
          </w:tcPr>
          <w:p w:rsidR="00A77C72" w:rsidRPr="00B70C11" w:rsidRDefault="00A77C72">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Approval of an</w:t>
            </w:r>
            <w:r w:rsidRPr="00B70C11">
              <w:rPr>
                <w:rFonts w:asciiTheme="majorHAnsi" w:eastAsia="Times New Roman" w:hAnsiTheme="majorHAnsi" w:cs="Times New Roman"/>
                <w:b/>
                <w:color w:val="000000" w:themeColor="text1"/>
                <w:lang w:eastAsia="en-AU"/>
              </w:rPr>
              <w:t xml:space="preserve"> active</w:t>
            </w:r>
            <w:r w:rsidRPr="00B70C11">
              <w:rPr>
                <w:rFonts w:asciiTheme="majorHAnsi" w:eastAsia="Times New Roman" w:hAnsiTheme="majorHAnsi" w:cs="Times New Roman"/>
                <w:color w:val="000000" w:themeColor="text1"/>
                <w:lang w:eastAsia="en-AU"/>
              </w:rPr>
              <w:t xml:space="preserve"> constituent requiring</w:t>
            </w:r>
            <w:r w:rsidRPr="00B70C11">
              <w:rPr>
                <w:rFonts w:asciiTheme="majorHAnsi" w:eastAsia="Times New Roman" w:hAnsiTheme="majorHAnsi" w:cs="Times New Roman"/>
                <w:b/>
                <w:color w:val="000000" w:themeColor="text1"/>
                <w:lang w:eastAsia="en-AU"/>
              </w:rPr>
              <w:t xml:space="preserve"> less than a full assessment</w:t>
            </w:r>
            <w:r w:rsidRPr="00B70C11">
              <w:rPr>
                <w:rFonts w:asciiTheme="majorHAnsi" w:eastAsia="Times New Roman" w:hAnsiTheme="majorHAnsi" w:cs="Times New Roman"/>
                <w:color w:val="000000" w:themeColor="text1"/>
                <w:lang w:eastAsia="en-AU"/>
              </w:rPr>
              <w:t xml:space="preserve"> but </w:t>
            </w:r>
            <w:r w:rsidRPr="00B70C11">
              <w:rPr>
                <w:rFonts w:asciiTheme="majorHAnsi" w:eastAsia="Times New Roman" w:hAnsiTheme="majorHAnsi" w:cs="Times New Roman"/>
                <w:b/>
                <w:color w:val="000000" w:themeColor="text1"/>
                <w:lang w:eastAsia="en-AU"/>
              </w:rPr>
              <w:t>not requiring a toxicological</w:t>
            </w:r>
            <w:r w:rsidRPr="00B70C11">
              <w:rPr>
                <w:rFonts w:asciiTheme="majorHAnsi" w:eastAsia="Times New Roman" w:hAnsiTheme="majorHAnsi" w:cs="Times New Roman"/>
                <w:color w:val="000000" w:themeColor="text1"/>
                <w:lang w:eastAsia="en-AU"/>
              </w:rPr>
              <w:t xml:space="preserve"> assessment</w:t>
            </w:r>
          </w:p>
        </w:tc>
        <w:tc>
          <w:tcPr>
            <w:tcW w:w="1664"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7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($3,155)</w:t>
            </w:r>
          </w:p>
        </w:tc>
        <w:tc>
          <w:tcPr>
            <w:tcW w:w="1632" w:type="dxa"/>
            <w:vAlign w:val="center"/>
            <w:hideMark/>
          </w:tcPr>
          <w:p w:rsidR="004A7A11"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NZ</w:t>
            </w:r>
            <w:r w:rsidRPr="00A604E2">
              <w:rPr>
                <w:rFonts w:asciiTheme="majorHAnsi" w:eastAsia="Times New Roman" w:hAnsiTheme="majorHAnsi" w:cs="Times New Roman"/>
                <w:color w:val="767171" w:themeColor="background2" w:themeShade="80"/>
                <w:lang w:eastAsia="en-AU"/>
              </w:rPr>
              <w:t>$2,000- $5,000 )</w:t>
            </w:r>
          </w:p>
        </w:tc>
        <w:tc>
          <w:tcPr>
            <w:tcW w:w="1885"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hideMark/>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 </w:t>
            </w:r>
            <w:r w:rsidR="00E65233" w:rsidRPr="00A604E2">
              <w:rPr>
                <w:rFonts w:asciiTheme="majorHAnsi" w:eastAsia="Times New Roman" w:hAnsiTheme="majorHAnsi" w:cs="Times New Roman"/>
                <w:color w:val="767171" w:themeColor="background2" w:themeShade="80"/>
                <w:lang w:eastAsia="en-AU"/>
              </w:rPr>
              <w:t>CA$</w:t>
            </w:r>
            <w:r w:rsidRPr="00A604E2">
              <w:rPr>
                <w:rFonts w:asciiTheme="majorHAnsi" w:eastAsia="Times New Roman" w:hAnsiTheme="majorHAnsi" w:cs="Times New Roman"/>
                <w:color w:val="767171" w:themeColor="background2" w:themeShade="80"/>
                <w:lang w:eastAsia="en-AU"/>
              </w:rPr>
              <w:t>117,211- 194,535)</w:t>
            </w:r>
          </w:p>
        </w:tc>
      </w:tr>
      <w:tr w:rsidR="00A77C72" w:rsidRPr="00B70C11" w:rsidTr="00D82E3C">
        <w:trPr>
          <w:cantSplit/>
          <w:trHeight w:val="583"/>
        </w:trPr>
        <w:tc>
          <w:tcPr>
            <w:tcW w:w="6303" w:type="dxa"/>
            <w:vAlign w:val="center"/>
            <w:hideMark/>
          </w:tcPr>
          <w:p w:rsidR="00A77C72" w:rsidRPr="00B70C11" w:rsidRDefault="00A77C72" w:rsidP="00B45D96">
            <w:pPr>
              <w:spacing w:after="0" w:line="240" w:lineRule="auto"/>
              <w:rPr>
                <w:rFonts w:asciiTheme="majorHAnsi" w:eastAsia="Times New Roman" w:hAnsiTheme="majorHAnsi" w:cs="Times New Roman"/>
                <w:color w:val="000000" w:themeColor="text1"/>
                <w:lang w:eastAsia="en-AU"/>
              </w:rPr>
            </w:pPr>
            <w:r w:rsidRPr="00B70C11">
              <w:rPr>
                <w:rFonts w:asciiTheme="majorHAnsi" w:eastAsia="Times New Roman" w:hAnsiTheme="majorHAnsi" w:cs="Times New Roman"/>
                <w:color w:val="000000" w:themeColor="text1"/>
                <w:lang w:eastAsia="en-AU"/>
              </w:rPr>
              <w:t xml:space="preserve">Approval or registration under section 10 of the code </w:t>
            </w:r>
            <w:r w:rsidRPr="00B70C11">
              <w:rPr>
                <w:rFonts w:asciiTheme="majorHAnsi" w:eastAsia="Times New Roman" w:hAnsiTheme="majorHAnsi" w:cs="Times New Roman"/>
                <w:b/>
                <w:color w:val="000000" w:themeColor="text1"/>
                <w:lang w:eastAsia="en-AU"/>
              </w:rPr>
              <w:t xml:space="preserve">requiring assessment of a technical </w:t>
            </w:r>
            <w:r w:rsidRPr="00B70C11">
              <w:rPr>
                <w:rFonts w:asciiTheme="majorHAnsi" w:eastAsia="Times New Roman" w:hAnsiTheme="majorHAnsi" w:cs="Times New Roman"/>
                <w:color w:val="000000" w:themeColor="text1"/>
                <w:lang w:eastAsia="en-AU"/>
              </w:rPr>
              <w:t>nature (other than of the kinds described in any of items 1 to 10, 15, 16 or 17)</w:t>
            </w:r>
          </w:p>
        </w:tc>
        <w:tc>
          <w:tcPr>
            <w:tcW w:w="1664" w:type="dxa"/>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Modular assessment period and fee</w:t>
            </w:r>
          </w:p>
        </w:tc>
        <w:tc>
          <w:tcPr>
            <w:tcW w:w="1632" w:type="dxa"/>
            <w:vAlign w:val="center"/>
            <w:hideMark/>
          </w:tcPr>
          <w:p w:rsidR="004A7A11"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2 months</w:t>
            </w:r>
          </w:p>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 xml:space="preserve"> (</w:t>
            </w:r>
            <w:r w:rsidR="00E65233" w:rsidRPr="00A604E2">
              <w:rPr>
                <w:rFonts w:asciiTheme="majorHAnsi" w:eastAsia="Times New Roman" w:hAnsiTheme="majorHAnsi" w:cs="Times New Roman"/>
                <w:color w:val="767171" w:themeColor="background2" w:themeShade="80"/>
                <w:lang w:eastAsia="en-AU"/>
              </w:rPr>
              <w:t>NZ</w:t>
            </w:r>
            <w:r w:rsidRPr="00A604E2">
              <w:rPr>
                <w:rFonts w:asciiTheme="majorHAnsi" w:eastAsia="Times New Roman" w:hAnsiTheme="majorHAnsi" w:cs="Times New Roman"/>
                <w:color w:val="767171" w:themeColor="background2" w:themeShade="80"/>
                <w:lang w:eastAsia="en-AU"/>
              </w:rPr>
              <w:t>$2,000- $5,000)</w:t>
            </w:r>
          </w:p>
        </w:tc>
        <w:tc>
          <w:tcPr>
            <w:tcW w:w="1885"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r>
      <w:tr w:rsidR="00A77C72" w:rsidRPr="00B70C11" w:rsidTr="00D82E3C">
        <w:trPr>
          <w:cantSplit/>
          <w:trHeight w:val="869"/>
        </w:trPr>
        <w:tc>
          <w:tcPr>
            <w:tcW w:w="6303" w:type="dxa"/>
            <w:tcBorders>
              <w:bottom w:val="single" w:sz="4" w:space="0" w:color="000000" w:themeColor="text1"/>
            </w:tcBorders>
            <w:vAlign w:val="center"/>
            <w:hideMark/>
          </w:tcPr>
          <w:p w:rsidR="00A77C72" w:rsidRPr="00B70C11" w:rsidRDefault="00A77C72" w:rsidP="00B45D96">
            <w:pPr>
              <w:spacing w:after="0" w:line="240" w:lineRule="auto"/>
              <w:rPr>
                <w:rFonts w:asciiTheme="majorHAnsi" w:eastAsia="Times New Roman" w:hAnsiTheme="majorHAnsi" w:cs="Times New Roman"/>
                <w:b/>
                <w:color w:val="000000" w:themeColor="text1"/>
                <w:lang w:eastAsia="en-AU"/>
              </w:rPr>
            </w:pPr>
            <w:proofErr w:type="spellStart"/>
            <w:r w:rsidRPr="00B70C11">
              <w:rPr>
                <w:rFonts w:asciiTheme="majorHAnsi" w:eastAsia="Times New Roman" w:hAnsiTheme="majorHAnsi" w:cs="Times New Roman"/>
                <w:b/>
                <w:color w:val="000000" w:themeColor="text1"/>
                <w:lang w:eastAsia="en-AU"/>
              </w:rPr>
              <w:t>Timeshif</w:t>
            </w:r>
            <w:r w:rsidRPr="00F4471B">
              <w:rPr>
                <w:rFonts w:asciiTheme="majorHAnsi" w:eastAsia="Times New Roman" w:hAnsiTheme="majorHAnsi" w:cs="Times New Roman"/>
                <w:b/>
                <w:color w:val="000000" w:themeColor="text1"/>
                <w:lang w:eastAsia="en-AU"/>
              </w:rPr>
              <w:t>t</w:t>
            </w:r>
            <w:proofErr w:type="spellEnd"/>
            <w:r w:rsidRPr="00B70C11">
              <w:rPr>
                <w:rFonts w:asciiTheme="majorHAnsi" w:eastAsia="Times New Roman" w:hAnsiTheme="majorHAnsi" w:cs="Times New Roman"/>
                <w:color w:val="000000" w:themeColor="text1"/>
                <w:lang w:eastAsia="en-AU"/>
              </w:rPr>
              <w:t xml:space="preserve"> application for approval of an active constituent that is </w:t>
            </w:r>
            <w:r w:rsidRPr="00B70C11">
              <w:rPr>
                <w:rFonts w:asciiTheme="majorHAnsi" w:eastAsia="Times New Roman" w:hAnsiTheme="majorHAnsi" w:cs="Times New Roman"/>
                <w:b/>
                <w:color w:val="000000" w:themeColor="text1"/>
                <w:lang w:eastAsia="en-AU"/>
              </w:rPr>
              <w:t>not a previously endorsed active</w:t>
            </w:r>
            <w:r w:rsidRPr="00B70C11">
              <w:rPr>
                <w:rFonts w:asciiTheme="majorHAnsi" w:eastAsia="Times New Roman" w:hAnsiTheme="majorHAnsi" w:cs="Times New Roman"/>
                <w:color w:val="000000" w:themeColor="text1"/>
                <w:lang w:eastAsia="en-AU"/>
              </w:rPr>
              <w:t xml:space="preserve"> constituent or registration of a chemical product containing an active constituent that is not an active constituent contained in any other registered chemical product</w:t>
            </w:r>
          </w:p>
        </w:tc>
        <w:tc>
          <w:tcPr>
            <w:tcW w:w="1664" w:type="dxa"/>
            <w:tcBorders>
              <w:bottom w:val="single" w:sz="4" w:space="0" w:color="000000" w:themeColor="text1"/>
            </w:tcBorders>
            <w:vAlign w:val="center"/>
            <w:hideMark/>
          </w:tcPr>
          <w:p w:rsidR="00A77C72" w:rsidRPr="00A604E2" w:rsidRDefault="00A77C72" w:rsidP="00B45D96">
            <w:pPr>
              <w:spacing w:after="0" w:line="240" w:lineRule="auto"/>
              <w:jc w:val="center"/>
              <w:rPr>
                <w:rFonts w:asciiTheme="majorHAnsi" w:eastAsia="Times New Roman" w:hAnsiTheme="majorHAnsi" w:cs="Times New Roman"/>
                <w:color w:val="767171" w:themeColor="background2" w:themeShade="80"/>
                <w:lang w:eastAsia="en-AU"/>
              </w:rPr>
            </w:pPr>
            <w:r w:rsidRPr="00A604E2">
              <w:rPr>
                <w:rFonts w:asciiTheme="majorHAnsi" w:eastAsia="Times New Roman" w:hAnsiTheme="majorHAnsi" w:cs="Times New Roman"/>
                <w:color w:val="767171" w:themeColor="background2" w:themeShade="80"/>
                <w:lang w:eastAsia="en-AU"/>
              </w:rPr>
              <w:t>Modular assessment period and fee</w:t>
            </w:r>
          </w:p>
        </w:tc>
        <w:tc>
          <w:tcPr>
            <w:tcW w:w="1632" w:type="dxa"/>
            <w:tcBorders>
              <w:bottom w:val="single" w:sz="4" w:space="0" w:color="000000" w:themeColor="text1"/>
            </w:tcBorders>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885" w:type="dxa"/>
            <w:tcBorders>
              <w:bottom w:val="single" w:sz="4" w:space="0" w:color="000000" w:themeColor="text1"/>
            </w:tcBorders>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572" w:type="dxa"/>
            <w:tcBorders>
              <w:bottom w:val="single" w:sz="4" w:space="0" w:color="000000" w:themeColor="text1"/>
            </w:tcBorders>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c>
          <w:tcPr>
            <w:tcW w:w="1681" w:type="dxa"/>
            <w:tcBorders>
              <w:bottom w:val="single" w:sz="4" w:space="0" w:color="000000" w:themeColor="text1"/>
            </w:tcBorders>
            <w:vAlign w:val="center"/>
          </w:tcPr>
          <w:p w:rsidR="00A77C72" w:rsidRPr="00A604E2" w:rsidRDefault="00D82E3C" w:rsidP="00B45D96">
            <w:pPr>
              <w:spacing w:after="0" w:line="240" w:lineRule="auto"/>
              <w:jc w:val="center"/>
              <w:rPr>
                <w:rFonts w:asciiTheme="majorHAnsi" w:eastAsia="Times New Roman" w:hAnsiTheme="majorHAnsi" w:cs="Times New Roman"/>
                <w:color w:val="767171" w:themeColor="background2" w:themeShade="80"/>
                <w:lang w:eastAsia="en-AU"/>
              </w:rPr>
            </w:pPr>
            <w:proofErr w:type="spellStart"/>
            <w:r>
              <w:rPr>
                <w:rFonts w:asciiTheme="majorHAnsi" w:eastAsia="Times New Roman" w:hAnsiTheme="majorHAnsi" w:cs="Times New Roman"/>
                <w:color w:val="767171" w:themeColor="background2" w:themeShade="80"/>
                <w:lang w:eastAsia="en-AU"/>
              </w:rPr>
              <w:t>na</w:t>
            </w:r>
            <w:proofErr w:type="spellEnd"/>
          </w:p>
        </w:tc>
      </w:tr>
    </w:tbl>
    <w:p w:rsidR="00FB67B6" w:rsidRDefault="00D82E3C" w:rsidP="00EF7481">
      <w:pPr>
        <w:rPr>
          <w:iCs/>
          <w:color w:val="75787B" w:themeColor="accent6"/>
          <w:sz w:val="14"/>
        </w:rPr>
      </w:pPr>
      <w:r w:rsidRPr="00EF7481">
        <w:rPr>
          <w:iCs/>
          <w:color w:val="75787B" w:themeColor="accent6"/>
          <w:sz w:val="14"/>
        </w:rPr>
        <w:t xml:space="preserve">Note: </w:t>
      </w:r>
      <w:r w:rsidR="00EF7481" w:rsidRPr="00EF7481">
        <w:rPr>
          <w:b/>
          <w:iCs/>
          <w:color w:val="75787B" w:themeColor="accent6"/>
          <w:sz w:val="14"/>
        </w:rPr>
        <w:t>A</w:t>
      </w:r>
      <w:r w:rsidRPr="00EF7481">
        <w:rPr>
          <w:iCs/>
          <w:color w:val="75787B" w:themeColor="accent6"/>
          <w:sz w:val="14"/>
        </w:rPr>
        <w:t xml:space="preserve"> New Zealand’s allowance of third party, independent assessors by registrants means that prices quoted by the Ministry for Primary Industries is only for their review and subsequent approval of assessments conducted by independent assessors. An additional fee is paid to the independent assessors, as required. </w:t>
      </w:r>
      <w:r w:rsidR="00EF7481" w:rsidRPr="00423DBC">
        <w:rPr>
          <w:b/>
          <w:iCs/>
          <w:color w:val="75787B" w:themeColor="accent6"/>
          <w:sz w:val="14"/>
        </w:rPr>
        <w:t>B</w:t>
      </w:r>
      <w:r w:rsidRPr="00EF7481">
        <w:rPr>
          <w:iCs/>
          <w:color w:val="75787B" w:themeColor="accent6"/>
          <w:sz w:val="14"/>
        </w:rPr>
        <w:t xml:space="preserve"> fees are for 2016–17;</w:t>
      </w:r>
      <w:r w:rsidR="00423DBC">
        <w:rPr>
          <w:iCs/>
          <w:color w:val="75787B" w:themeColor="accent6"/>
          <w:sz w:val="14"/>
        </w:rPr>
        <w:t xml:space="preserve"> </w:t>
      </w:r>
      <w:r w:rsidR="00423DBC" w:rsidRPr="00423DBC">
        <w:rPr>
          <w:b/>
          <w:iCs/>
          <w:color w:val="75787B" w:themeColor="accent6"/>
          <w:sz w:val="14"/>
        </w:rPr>
        <w:t>C</w:t>
      </w:r>
      <w:r w:rsidR="00423DBC" w:rsidRPr="00EF7481">
        <w:rPr>
          <w:iCs/>
          <w:color w:val="75787B" w:themeColor="accent6"/>
          <w:sz w:val="14"/>
        </w:rPr>
        <w:t xml:space="preserve"> indicates values </w:t>
      </w:r>
      <w:r w:rsidR="003A19A5">
        <w:rPr>
          <w:iCs/>
          <w:color w:val="75787B" w:themeColor="accent6"/>
          <w:sz w:val="14"/>
        </w:rPr>
        <w:t>reflect before poison analysis;</w:t>
      </w:r>
      <w:r w:rsidRPr="00EF7481">
        <w:rPr>
          <w:iCs/>
          <w:color w:val="75787B" w:themeColor="accent6"/>
          <w:sz w:val="14"/>
        </w:rPr>
        <w:t xml:space="preserve"> </w:t>
      </w:r>
      <w:proofErr w:type="spellStart"/>
      <w:proofErr w:type="gramStart"/>
      <w:r w:rsidRPr="00EF7481">
        <w:rPr>
          <w:iCs/>
          <w:color w:val="75787B" w:themeColor="accent6"/>
          <w:sz w:val="14"/>
        </w:rPr>
        <w:t>na</w:t>
      </w:r>
      <w:proofErr w:type="spellEnd"/>
      <w:proofErr w:type="gramEnd"/>
      <w:r w:rsidRPr="00EF7481">
        <w:rPr>
          <w:iCs/>
          <w:color w:val="75787B" w:themeColor="accent6"/>
          <w:sz w:val="14"/>
        </w:rPr>
        <w:t xml:space="preserve"> refers to not applicable</w:t>
      </w:r>
      <w:r w:rsidR="00EF7481" w:rsidRPr="00EF7481">
        <w:rPr>
          <w:iCs/>
          <w:color w:val="75787B" w:themeColor="accent6"/>
          <w:sz w:val="14"/>
        </w:rPr>
        <w:t>.</w:t>
      </w:r>
    </w:p>
    <w:p w:rsidR="00036CDC" w:rsidRDefault="00036CDC" w:rsidP="00825CF0">
      <w:pPr>
        <w:spacing w:after="0" w:line="240" w:lineRule="auto"/>
        <w:rPr>
          <w:rFonts w:asciiTheme="majorHAnsi" w:eastAsia="Times New Roman" w:hAnsiTheme="majorHAnsi" w:cs="Times New Roman"/>
          <w:color w:val="000000" w:themeColor="text1"/>
          <w:lang w:eastAsia="en-AU"/>
        </w:rPr>
      </w:pPr>
    </w:p>
    <w:p w:rsidR="00036CDC" w:rsidRDefault="00036CDC" w:rsidP="00825CF0">
      <w:pPr>
        <w:spacing w:after="0" w:line="240" w:lineRule="auto"/>
        <w:rPr>
          <w:rFonts w:asciiTheme="majorHAnsi" w:eastAsia="Times New Roman" w:hAnsiTheme="majorHAnsi" w:cs="Times New Roman"/>
          <w:color w:val="000000" w:themeColor="text1"/>
          <w:lang w:eastAsia="en-AU"/>
        </w:rPr>
        <w:sectPr w:rsidR="00036CDC" w:rsidSect="005C2405">
          <w:pgSz w:w="16838" w:h="11906" w:orient="landscape" w:code="9"/>
          <w:pgMar w:top="680" w:right="1985" w:bottom="1106" w:left="1134" w:header="680" w:footer="425" w:gutter="0"/>
          <w:cols w:space="284"/>
          <w:docGrid w:linePitch="360"/>
        </w:sectPr>
      </w:pPr>
    </w:p>
    <w:p w:rsidR="005B00B8" w:rsidRDefault="00BF4216" w:rsidP="00BF4216">
      <w:pPr>
        <w:pStyle w:val="Heading1un-numbered"/>
      </w:pPr>
      <w:bookmarkStart w:id="410" w:name="_Toc955542"/>
      <w:bookmarkStart w:id="411" w:name="_Toc1057254"/>
      <w:bookmarkStart w:id="412" w:name="_Toc2336631"/>
      <w:bookmarkStart w:id="413" w:name="_Toc4586273"/>
      <w:bookmarkStart w:id="414" w:name="_Toc4672744"/>
      <w:bookmarkStart w:id="415" w:name="_Toc4764891"/>
      <w:bookmarkStart w:id="416" w:name="_Toc6413764"/>
      <w:bookmarkStart w:id="417" w:name="_Toc12024333"/>
      <w:bookmarkStart w:id="418" w:name="_Toc14107342"/>
      <w:r w:rsidRPr="00BF4216">
        <w:t>Limitation of our work</w:t>
      </w:r>
      <w:bookmarkEnd w:id="276"/>
      <w:bookmarkEnd w:id="277"/>
      <w:bookmarkEnd w:id="278"/>
      <w:bookmarkEnd w:id="279"/>
      <w:bookmarkEnd w:id="280"/>
      <w:bookmarkEnd w:id="410"/>
      <w:bookmarkEnd w:id="411"/>
      <w:bookmarkEnd w:id="412"/>
      <w:bookmarkEnd w:id="413"/>
      <w:bookmarkEnd w:id="414"/>
      <w:bookmarkEnd w:id="415"/>
      <w:bookmarkEnd w:id="416"/>
      <w:bookmarkEnd w:id="417"/>
      <w:bookmarkEnd w:id="418"/>
    </w:p>
    <w:p w:rsidR="00BF4216" w:rsidRDefault="00BF4216" w:rsidP="002B09AC">
      <w:pPr>
        <w:pStyle w:val="Heading3"/>
        <w:numPr>
          <w:ilvl w:val="0"/>
          <w:numId w:val="0"/>
        </w:numPr>
        <w:ind w:left="720" w:hanging="720"/>
      </w:pPr>
      <w:bookmarkStart w:id="419" w:name="_Toc463002440"/>
      <w:bookmarkStart w:id="420" w:name="_Toc472586354"/>
      <w:bookmarkStart w:id="421" w:name="_Toc482168132"/>
      <w:bookmarkStart w:id="422" w:name="_Toc482174917"/>
      <w:bookmarkStart w:id="423" w:name="_Toc866279"/>
      <w:bookmarkStart w:id="424" w:name="_Toc955543"/>
      <w:bookmarkStart w:id="425" w:name="_Toc1057255"/>
      <w:bookmarkStart w:id="426" w:name="_Toc2336632"/>
      <w:bookmarkStart w:id="427" w:name="_Toc4449599"/>
      <w:r w:rsidRPr="006345F9">
        <w:t>General use restriction</w:t>
      </w:r>
      <w:bookmarkEnd w:id="419"/>
      <w:bookmarkEnd w:id="420"/>
      <w:bookmarkEnd w:id="421"/>
      <w:bookmarkEnd w:id="422"/>
      <w:bookmarkEnd w:id="423"/>
      <w:bookmarkEnd w:id="424"/>
      <w:bookmarkEnd w:id="425"/>
      <w:bookmarkEnd w:id="426"/>
      <w:bookmarkEnd w:id="427"/>
    </w:p>
    <w:p w:rsidR="00DF06E9" w:rsidRDefault="00BF4216" w:rsidP="007C1760">
      <w:r w:rsidRPr="00BF4216">
        <w:t xml:space="preserve">This report is prepared solely for the use of </w:t>
      </w:r>
      <w:r w:rsidR="00C72CCC">
        <w:t xml:space="preserve">the </w:t>
      </w:r>
      <w:r w:rsidR="00FD65A9">
        <w:t>Department of Agriculture</w:t>
      </w:r>
      <w:r>
        <w:t xml:space="preserve">. </w:t>
      </w:r>
      <w:r w:rsidRPr="00BF4216">
        <w:t>This report is not intended to and should not be used or relied upon by anyone else and we accept no duty of care to any other person or</w:t>
      </w:r>
      <w:r>
        <w:t xml:space="preserve"> entity. </w:t>
      </w:r>
      <w:r w:rsidR="00AE3F33">
        <w:t xml:space="preserve">The report has been prepared for the purpose of reporting to the Department of Agriculture on the market drivers and barriers for the introduction of innovative agvet chemicals into the Australian market. </w:t>
      </w:r>
      <w:r w:rsidRPr="00BF4216">
        <w:t xml:space="preserve">You should not refer to or use our name or the </w:t>
      </w:r>
      <w:r w:rsidR="009F0268">
        <w:t>report</w:t>
      </w:r>
      <w:r w:rsidRPr="00BF4216">
        <w:t xml:space="preserve"> for any other purpose</w:t>
      </w:r>
      <w:r w:rsidR="00211E2E">
        <w:t>.</w:t>
      </w:r>
    </w:p>
    <w:p w:rsidR="00983929" w:rsidRPr="009232DC" w:rsidRDefault="00983929" w:rsidP="00983929">
      <w:pPr>
        <w:pageBreakBefore/>
      </w:pPr>
    </w:p>
    <w:p w:rsidR="00D01239" w:rsidRPr="000F05E4" w:rsidRDefault="00D01239" w:rsidP="00983929"/>
    <w:tbl>
      <w:tblPr>
        <w:tblpPr w:horzAnchor="margin" w:tblpYSpec="bottom"/>
        <w:tblOverlap w:val="never"/>
        <w:tblW w:w="9185" w:type="dxa"/>
        <w:tblLook w:val="04A0" w:firstRow="1" w:lastRow="0" w:firstColumn="1" w:lastColumn="0" w:noHBand="0" w:noVBand="1"/>
      </w:tblPr>
      <w:tblGrid>
        <w:gridCol w:w="9185"/>
      </w:tblGrid>
      <w:tr w:rsidR="00493AF9" w:rsidRPr="00DB2D17" w:rsidTr="00CC75FD">
        <w:trPr>
          <w:trHeight w:val="6379"/>
        </w:trPr>
        <w:tc>
          <w:tcPr>
            <w:tcW w:w="9214" w:type="dxa"/>
            <w:vAlign w:val="bottom"/>
          </w:tcPr>
          <w:p w:rsidR="00493AF9" w:rsidRPr="00DB2D17" w:rsidRDefault="00493AF9" w:rsidP="004D6E06">
            <w:pPr>
              <w:pStyle w:val="Legaltext"/>
            </w:pPr>
          </w:p>
          <w:p w:rsidR="00CC75FD" w:rsidRDefault="004B6F72" w:rsidP="00CC75FD">
            <w:pPr>
              <w:pStyle w:val="Legaltext"/>
            </w:pPr>
            <w:r>
              <w:rPr>
                <w:noProof/>
                <w:lang w:eastAsia="en-AU"/>
              </w:rPr>
              <w:drawing>
                <wp:inline distT="0" distB="0" distL="0" distR="0" wp14:anchorId="008FBBEA" wp14:editId="2528B38F">
                  <wp:extent cx="2086118" cy="914400"/>
                  <wp:effectExtent l="0" t="0" r="0" b="0"/>
                  <wp:docPr id="181" name="Frontpage_Logo_Positiv"/>
                  <wp:cNvGraphicFramePr/>
                  <a:graphic xmlns:a="http://schemas.openxmlformats.org/drawingml/2006/main">
                    <a:graphicData uri="http://schemas.openxmlformats.org/drawingml/2006/picture">
                      <pic:pic xmlns:pic="http://schemas.openxmlformats.org/drawingml/2006/picture">
                        <pic:nvPicPr>
                          <pic:cNvPr id="489565538" name="Frontpage_Logo_Positiv"/>
                          <pic:cNvPicPr/>
                        </pic:nvPicPr>
                        <pic:blipFill>
                          <a:blip r:embed="rId12"/>
                          <a:srcRect/>
                          <a:stretch/>
                        </pic:blipFill>
                        <pic:spPr>
                          <a:xfrm>
                            <a:off x="0" y="0"/>
                            <a:ext cx="2086118" cy="914400"/>
                          </a:xfrm>
                          <a:prstGeom prst="rect">
                            <a:avLst/>
                          </a:prstGeom>
                        </pic:spPr>
                      </pic:pic>
                    </a:graphicData>
                  </a:graphic>
                </wp:inline>
              </w:drawing>
            </w:r>
          </w:p>
          <w:p w:rsidR="00CC75FD" w:rsidRDefault="00D7583E" w:rsidP="00CC75FD">
            <w:pPr>
              <w:pStyle w:val="Legaltext"/>
            </w:pPr>
            <w:r w:rsidRPr="00D7583E">
              <w:t xml:space="preserve">Deloitte refers to one or more of Deloitte </w:t>
            </w:r>
            <w:proofErr w:type="spellStart"/>
            <w:r w:rsidRPr="00D7583E">
              <w:t>Touche</w:t>
            </w:r>
            <w:proofErr w:type="spellEnd"/>
            <w:r w:rsidRPr="00D7583E">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t>
            </w:r>
            <w:hyperlink r:id="rId140" w:history="1">
              <w:r w:rsidRPr="008765D1">
                <w:rPr>
                  <w:rStyle w:val="Hyperlink"/>
                </w:rPr>
                <w:t>www.deloitte.com/about</w:t>
              </w:r>
            </w:hyperlink>
            <w:r>
              <w:t xml:space="preserve"> </w:t>
            </w:r>
            <w:r w:rsidRPr="00D7583E">
              <w:t>to learn more.</w:t>
            </w:r>
          </w:p>
          <w:p w:rsidR="00CC75FD" w:rsidRPr="00CC75FD" w:rsidRDefault="00CC75FD" w:rsidP="00CC75FD">
            <w:pPr>
              <w:pStyle w:val="Legaltext"/>
              <w:rPr>
                <w:b/>
              </w:rPr>
            </w:pPr>
          </w:p>
          <w:p w:rsidR="00CC75FD" w:rsidRDefault="00D7583E" w:rsidP="00CC75FD">
            <w:pPr>
              <w:pStyle w:val="Legaltext"/>
            </w:pPr>
            <w:r w:rsidRPr="00D7583E">
              <w:t xml:space="preserve">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t>
            </w:r>
            <w:hyperlink r:id="rId141" w:history="1">
              <w:r w:rsidRPr="008765D1">
                <w:rPr>
                  <w:rStyle w:val="Hyperlink"/>
                </w:rPr>
                <w:t>www.deloitte.com</w:t>
              </w:r>
            </w:hyperlink>
            <w:r w:rsidRPr="00D7583E">
              <w:t>.</w:t>
            </w:r>
          </w:p>
          <w:p w:rsidR="00D7583E" w:rsidRDefault="00D7583E" w:rsidP="00CC75FD">
            <w:pPr>
              <w:pStyle w:val="Legaltext"/>
            </w:pPr>
          </w:p>
          <w:p w:rsidR="00D7583E" w:rsidRPr="00D7583E" w:rsidRDefault="00D7583E" w:rsidP="00CC75FD">
            <w:pPr>
              <w:pStyle w:val="Legaltext"/>
              <w:rPr>
                <w:b/>
              </w:rPr>
            </w:pPr>
            <w:r w:rsidRPr="00D7583E">
              <w:rPr>
                <w:b/>
              </w:rPr>
              <w:t>Deloitte Asia Pacific</w:t>
            </w:r>
          </w:p>
          <w:p w:rsidR="00D7583E" w:rsidRDefault="00D7583E" w:rsidP="00CC75FD">
            <w:pPr>
              <w:pStyle w:val="Legaltext"/>
            </w:pPr>
            <w:r w:rsidRPr="00D7583E">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rsidR="00D7583E" w:rsidRDefault="00D7583E" w:rsidP="00CC75FD">
            <w:pPr>
              <w:pStyle w:val="Legaltext"/>
            </w:pPr>
          </w:p>
          <w:p w:rsidR="00CC75FD" w:rsidRPr="00CC75FD" w:rsidRDefault="00CC75FD" w:rsidP="00CC75FD">
            <w:pPr>
              <w:pStyle w:val="Legaltext"/>
              <w:rPr>
                <w:b/>
              </w:rPr>
            </w:pPr>
            <w:r w:rsidRPr="00CC75FD">
              <w:rPr>
                <w:b/>
              </w:rPr>
              <w:t>Deloitte Australia</w:t>
            </w:r>
          </w:p>
          <w:p w:rsidR="00CC75FD" w:rsidRDefault="00D7583E" w:rsidP="00CC75FD">
            <w:pPr>
              <w:pStyle w:val="Legaltext"/>
            </w:pPr>
            <w:r w:rsidRPr="00D7583E">
              <w:t xml:space="preserve">In Australia, the Deloitte Network member is the Australian partnership of Deloitte </w:t>
            </w:r>
            <w:proofErr w:type="spellStart"/>
            <w:r w:rsidRPr="00D7583E">
              <w:t>Touche</w:t>
            </w:r>
            <w:proofErr w:type="spellEnd"/>
            <w:r w:rsidRPr="00D7583E">
              <w:t xml:space="preserve"> Tohmatsu. As one of Australia’s leading professional services firms. Deloitte </w:t>
            </w:r>
            <w:proofErr w:type="spellStart"/>
            <w:r w:rsidRPr="00D7583E">
              <w:t>Touche</w:t>
            </w:r>
            <w:proofErr w:type="spellEnd"/>
            <w:r w:rsidRPr="00D7583E">
              <w:t xml:space="preserv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142" w:history="1">
              <w:r w:rsidRPr="008765D1">
                <w:rPr>
                  <w:rStyle w:val="Hyperlink"/>
                </w:rPr>
                <w:t>https://www2.deloitte.com/au/en.html</w:t>
              </w:r>
            </w:hyperlink>
            <w:r w:rsidRPr="00D7583E">
              <w:t>.</w:t>
            </w:r>
          </w:p>
          <w:p w:rsidR="00D7583E" w:rsidRDefault="00D7583E" w:rsidP="00CC75FD">
            <w:pPr>
              <w:pStyle w:val="Legaltext"/>
            </w:pPr>
          </w:p>
          <w:p w:rsidR="00CC75FD" w:rsidRPr="00D7583E" w:rsidRDefault="00CC75FD" w:rsidP="00CC75FD">
            <w:pPr>
              <w:pStyle w:val="Legaltext"/>
              <w:rPr>
                <w:sz w:val="16"/>
              </w:rPr>
            </w:pPr>
            <w:r w:rsidRPr="00D7583E">
              <w:rPr>
                <w:sz w:val="16"/>
              </w:rPr>
              <w:t>Liability limited by a scheme approved under Professional Standards Legislation.</w:t>
            </w:r>
          </w:p>
          <w:p w:rsidR="00CC75FD" w:rsidRDefault="00CC75FD" w:rsidP="00CC75FD">
            <w:pPr>
              <w:pStyle w:val="Legaltext"/>
            </w:pPr>
          </w:p>
          <w:p w:rsidR="00CC75FD" w:rsidRDefault="00D7583E" w:rsidP="00CC75FD">
            <w:pPr>
              <w:pStyle w:val="Legaltext"/>
            </w:pPr>
            <w:r>
              <w:t>Member of Deloitte Asia Pacific Limited and the Deloitte Network.</w:t>
            </w:r>
          </w:p>
          <w:p w:rsidR="00D7583E" w:rsidRDefault="00D7583E" w:rsidP="00CC75FD">
            <w:pPr>
              <w:pStyle w:val="Legaltext"/>
            </w:pPr>
          </w:p>
          <w:p w:rsidR="00493AF9" w:rsidRDefault="006C34F2" w:rsidP="00CC75FD">
            <w:pPr>
              <w:pStyle w:val="Legaltext"/>
            </w:pPr>
            <w:r>
              <w:t>© 2019</w:t>
            </w:r>
            <w:r w:rsidR="00CC75FD">
              <w:t xml:space="preserve"> Deloitte </w:t>
            </w:r>
            <w:proofErr w:type="spellStart"/>
            <w:r w:rsidR="004B6F72">
              <w:t>Touche</w:t>
            </w:r>
            <w:proofErr w:type="spellEnd"/>
            <w:r w:rsidR="004B6F72">
              <w:t xml:space="preserve"> Tohmatsu</w:t>
            </w:r>
          </w:p>
          <w:p w:rsidR="00417D85" w:rsidRPr="00417D85" w:rsidRDefault="00417D85" w:rsidP="00417D85">
            <w:pPr>
              <w:pStyle w:val="Legaltext"/>
              <w:spacing w:line="0" w:lineRule="atLeast"/>
              <w:rPr>
                <w:sz w:val="2"/>
                <w:szCs w:val="2"/>
              </w:rPr>
            </w:pPr>
          </w:p>
        </w:tc>
      </w:tr>
    </w:tbl>
    <w:p w:rsidR="00BF6F8B" w:rsidRPr="000F05E4" w:rsidRDefault="00680CEC" w:rsidP="009B139F">
      <w:r w:rsidRPr="000F05E4">
        <w:rPr>
          <w:noProof/>
          <w:lang w:eastAsia="en-AU"/>
        </w:rPr>
        <mc:AlternateContent>
          <mc:Choice Requires="wps">
            <w:drawing>
              <wp:anchor distT="0" distB="0" distL="114300" distR="114300" simplePos="0" relativeHeight="251658240" behindDoc="1" locked="1" layoutInCell="1" allowOverlap="1" wp14:anchorId="257D4D98" wp14:editId="53167AA0">
                <wp:simplePos x="0" y="0"/>
                <wp:positionH relativeFrom="page">
                  <wp:posOffset>0</wp:posOffset>
                </wp:positionH>
                <wp:positionV relativeFrom="page">
                  <wp:posOffset>0</wp:posOffset>
                </wp:positionV>
                <wp:extent cx="7563600" cy="10695600"/>
                <wp:effectExtent l="0" t="0" r="0" b="0"/>
                <wp:wrapNone/>
                <wp:docPr id="5"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25936" id="Backpage background" o:spid="_x0000_s1026" style="position:absolute;margin-left:0;margin-top:0;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" stroked="f" strokeweight="1.5pt">
                <v:path arrowok="t"/>
                <o:lock v:ext="edit" aspectratio="t"/>
                <v:textbox inset="7pt,7pt,7pt,7pt"/>
                <w10:wrap anchorx="page" anchory="page"/>
                <w10:anchorlock/>
              </v:rect>
            </w:pict>
          </mc:Fallback>
        </mc:AlternateContent>
      </w:r>
    </w:p>
    <w:p w:rsidR="007629C6" w:rsidRPr="000F05E4" w:rsidRDefault="007629C6" w:rsidP="009B139F"/>
    <w:sectPr w:rsidR="007629C6" w:rsidRPr="000F05E4" w:rsidSect="00DA69B4">
      <w:pgSz w:w="11906" w:h="16838" w:code="9"/>
      <w:pgMar w:top="1985" w:right="1106" w:bottom="1134" w:left="680" w:header="680" w:footer="425"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F65" w:rsidRDefault="00407F65" w:rsidP="00C702C7">
      <w:pPr>
        <w:spacing w:line="240" w:lineRule="auto"/>
      </w:pPr>
      <w:r>
        <w:separator/>
      </w:r>
    </w:p>
  </w:endnote>
  <w:endnote w:type="continuationSeparator" w:id="0">
    <w:p w:rsidR="00407F65" w:rsidRDefault="00407F65" w:rsidP="00C702C7">
      <w:pPr>
        <w:spacing w:line="240" w:lineRule="auto"/>
      </w:pPr>
      <w:r>
        <w:continuationSeparator/>
      </w:r>
    </w:p>
  </w:endnote>
  <w:endnote w:type="continuationNotice" w:id="1">
    <w:p w:rsidR="00407F65" w:rsidRDefault="00407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OpenSansRegular">
    <w:charset w:val="00"/>
    <w:family w:val="swiss"/>
    <w:pitch w:val="variable"/>
    <w:sig w:usb0="E00002EF" w:usb1="4000205B" w:usb2="00000028" w:usb3="00000000" w:csb0="0000019F" w:csb1="00000000"/>
  </w:font>
  <w:font w:name="OpenSansRegular,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C1" w:rsidRPr="00423DBC" w:rsidRDefault="00453CC1" w:rsidP="00423DBC">
    <w:pPr>
      <w:pStyle w:val="Disclaimer"/>
      <w:spacing w:after="120" w:line="240" w:lineRule="auto"/>
      <w:rPr>
        <w:szCs w:val="11"/>
      </w:rPr>
    </w:pPr>
    <w:r w:rsidRPr="00423DBC">
      <w:rPr>
        <w:szCs w:val="11"/>
      </w:rPr>
      <w:t xml:space="preserve">Deloitte refers to one or more of Deloitte </w:t>
    </w:r>
    <w:proofErr w:type="spellStart"/>
    <w:r w:rsidRPr="00423DBC">
      <w:rPr>
        <w:szCs w:val="11"/>
      </w:rPr>
      <w:t>Touche</w:t>
    </w:r>
    <w:proofErr w:type="spellEnd"/>
    <w:r w:rsidRPr="00423DBC">
      <w:rPr>
        <w:szCs w:val="11"/>
      </w:rPr>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r w:rsidRPr="00423DBC">
      <w:rPr>
        <w:szCs w:val="11"/>
      </w:rPr>
      <w:br/>
    </w:r>
    <w:r w:rsidRPr="00423DBC">
      <w:rPr>
        <w:szCs w:val="11"/>
      </w:rPr>
      <w:br/>
      <w:t>Liability limited by a scheme approved under Professional Standards Legislation.</w:t>
    </w:r>
    <w:r w:rsidRPr="00423DBC">
      <w:rPr>
        <w:szCs w:val="11"/>
      </w:rPr>
      <w:br/>
    </w:r>
    <w:r w:rsidRPr="00423DBC">
      <w:rPr>
        <w:szCs w:val="11"/>
      </w:rPr>
      <w:br/>
      <w:t>Member of Deloitte Asia Pacific Limited and the Deloitte Network.</w:t>
    </w:r>
  </w:p>
  <w:p w:rsidR="00453CC1" w:rsidRPr="00423DBC" w:rsidRDefault="00453CC1" w:rsidP="00423DBC">
    <w:pPr>
      <w:pStyle w:val="Footer"/>
      <w:rPr>
        <w:sz w:val="11"/>
        <w:szCs w:val="11"/>
      </w:rPr>
    </w:pPr>
    <w:r w:rsidRPr="00423DBC">
      <w:rPr>
        <w:sz w:val="11"/>
        <w:szCs w:val="11"/>
      </w:rPr>
      <w:t xml:space="preserve">© 2019 Deloitte </w:t>
    </w:r>
    <w:proofErr w:type="spellStart"/>
    <w:r w:rsidRPr="00423DBC">
      <w:rPr>
        <w:sz w:val="11"/>
        <w:szCs w:val="11"/>
      </w:rPr>
      <w:t>Touche</w:t>
    </w:r>
    <w:proofErr w:type="spellEnd"/>
    <w:r w:rsidRPr="00423DBC">
      <w:rPr>
        <w:sz w:val="11"/>
        <w:szCs w:val="11"/>
      </w:rPr>
      <w:t xml:space="preserve"> Tohmatsu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C1" w:rsidRPr="00672300" w:rsidRDefault="00453CC1"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F171A2">
      <w:rPr>
        <w:rStyle w:val="PageNumber"/>
        <w:noProof/>
      </w:rPr>
      <w:t>i</w:t>
    </w:r>
    <w:r w:rsidRPr="006C4F6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C1" w:rsidRPr="007E7D93" w:rsidRDefault="00453CC1"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F171A2">
      <w:rPr>
        <w:rStyle w:val="PageNumber"/>
        <w:noProof/>
      </w:rPr>
      <w:t>18</w:t>
    </w:r>
    <w:r w:rsidRPr="006C4F6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F65" w:rsidRDefault="00407F65" w:rsidP="00C702C7">
      <w:pPr>
        <w:spacing w:line="240" w:lineRule="auto"/>
      </w:pPr>
      <w:r>
        <w:separator/>
      </w:r>
    </w:p>
  </w:footnote>
  <w:footnote w:type="continuationSeparator" w:id="0">
    <w:p w:rsidR="00407F65" w:rsidRDefault="00407F65" w:rsidP="00C702C7">
      <w:pPr>
        <w:spacing w:line="240" w:lineRule="auto"/>
      </w:pPr>
      <w:r>
        <w:continuationSeparator/>
      </w:r>
    </w:p>
  </w:footnote>
  <w:footnote w:type="continuationNotice" w:id="1">
    <w:p w:rsidR="00407F65" w:rsidRDefault="00407F6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C1" w:rsidRDefault="00453CC1">
    <w:r>
      <w:rPr>
        <w:noProof/>
        <w:lang w:eastAsia="en-AU"/>
      </w:rPr>
      <w:drawing>
        <wp:anchor distT="0" distB="0" distL="0" distR="0" simplePos="0" relativeHeight="251696128" behindDoc="1" locked="0" layoutInCell="1" allowOverlap="1" wp14:anchorId="7CCE7D85" wp14:editId="18B2423E">
          <wp:simplePos x="0" y="0"/>
          <wp:positionH relativeFrom="page">
            <wp:posOffset>3600000</wp:posOffset>
          </wp:positionH>
          <wp:positionV relativeFrom="page">
            <wp:posOffset>10188000</wp:posOffset>
          </wp:positionV>
          <wp:extent cx="5553450" cy="154800"/>
          <wp:effectExtent l="0" t="0" r="0" b="0"/>
          <wp:wrapNone/>
          <wp:docPr id="22" name="Public_Hide8" hidden="1"/>
          <wp:cNvGraphicFramePr/>
          <a:graphic xmlns:a="http://schemas.openxmlformats.org/drawingml/2006/main">
            <a:graphicData uri="http://schemas.openxmlformats.org/drawingml/2006/picture">
              <pic:pic xmlns:pic="http://schemas.openxmlformats.org/drawingml/2006/picture">
                <pic:nvPicPr>
                  <pic:cNvPr id="62718690" name="Public_Hide8"/>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702272" behindDoc="1" locked="0" layoutInCell="1" allowOverlap="1" wp14:anchorId="09A3FFCC" wp14:editId="7398DC38">
          <wp:simplePos x="0" y="0"/>
          <wp:positionH relativeFrom="page">
            <wp:posOffset>3600000</wp:posOffset>
          </wp:positionH>
          <wp:positionV relativeFrom="page">
            <wp:posOffset>10188000</wp:posOffset>
          </wp:positionV>
          <wp:extent cx="5553450" cy="154800"/>
          <wp:effectExtent l="0" t="0" r="0" b="0"/>
          <wp:wrapNone/>
          <wp:docPr id="23" name="HighRisk_Hide8" hidden="1"/>
          <wp:cNvGraphicFramePr/>
          <a:graphic xmlns:a="http://schemas.openxmlformats.org/drawingml/2006/main">
            <a:graphicData uri="http://schemas.openxmlformats.org/drawingml/2006/picture">
              <pic:pic xmlns:pic="http://schemas.openxmlformats.org/drawingml/2006/picture">
                <pic:nvPicPr>
                  <pic:cNvPr id="1270334778" name="HighRisk_Hide8"/>
                  <pic:cNvPicPr/>
                </pic:nvPicPr>
                <pic:blipFill>
                  <a:blip r:embed="rId2"/>
                  <a:srcRect/>
                  <a:stretch/>
                </pic:blipFill>
                <pic:spPr>
                  <a:xfrm>
                    <a:off x="0" y="0"/>
                    <a:ext cx="5553450" cy="15480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C1" w:rsidRDefault="00453CC1">
    <w:pPr>
      <w:pStyle w:val="Header"/>
    </w:pPr>
    <w:r>
      <w:rPr>
        <w:noProof/>
        <w:lang w:eastAsia="en-AU"/>
      </w:rPr>
      <w:drawing>
        <wp:anchor distT="0" distB="0" distL="0" distR="0" simplePos="0" relativeHeight="251680768" behindDoc="1" locked="0" layoutInCell="1" allowOverlap="1" wp14:anchorId="4A454981" wp14:editId="5F21A8C3">
          <wp:simplePos x="0" y="0"/>
          <wp:positionH relativeFrom="page">
            <wp:posOffset>3600000</wp:posOffset>
          </wp:positionH>
          <wp:positionV relativeFrom="page">
            <wp:posOffset>10188000</wp:posOffset>
          </wp:positionV>
          <wp:extent cx="5553450" cy="154800"/>
          <wp:effectExtent l="0" t="0" r="0" b="0"/>
          <wp:wrapNone/>
          <wp:docPr id="25" name="Public_Hide8" hidden="1"/>
          <wp:cNvGraphicFramePr/>
          <a:graphic xmlns:a="http://schemas.openxmlformats.org/drawingml/2006/main">
            <a:graphicData uri="http://schemas.openxmlformats.org/drawingml/2006/picture">
              <pic:pic xmlns:pic="http://schemas.openxmlformats.org/drawingml/2006/picture">
                <pic:nvPicPr>
                  <pic:cNvPr id="62718690" name="Public_Hide8"/>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86912" behindDoc="1" locked="0" layoutInCell="1" allowOverlap="1" wp14:anchorId="295424F2" wp14:editId="1C1A252B">
          <wp:simplePos x="0" y="0"/>
          <wp:positionH relativeFrom="page">
            <wp:posOffset>3600000</wp:posOffset>
          </wp:positionH>
          <wp:positionV relativeFrom="page">
            <wp:posOffset>10188000</wp:posOffset>
          </wp:positionV>
          <wp:extent cx="5553450" cy="154800"/>
          <wp:effectExtent l="0" t="0" r="0" b="0"/>
          <wp:wrapNone/>
          <wp:docPr id="26" name="HighRisk_Hide8" hidden="1"/>
          <wp:cNvGraphicFramePr/>
          <a:graphic xmlns:a="http://schemas.openxmlformats.org/drawingml/2006/main">
            <a:graphicData uri="http://schemas.openxmlformats.org/drawingml/2006/picture">
              <pic:pic xmlns:pic="http://schemas.openxmlformats.org/drawingml/2006/picture">
                <pic:nvPicPr>
                  <pic:cNvPr id="1270334778" name="HighRisk_Hide8"/>
                  <pic:cNvPicPr/>
                </pic:nvPicPr>
                <pic:blipFill>
                  <a:blip r:embed="rId2"/>
                  <a:srcRect/>
                  <a:stretch/>
                </pic:blipFill>
                <pic:spPr>
                  <a:xfrm>
                    <a:off x="0" y="0"/>
                    <a:ext cx="5553450" cy="154800"/>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C1" w:rsidRPr="000116B0" w:rsidRDefault="00453CC1" w:rsidP="00474643">
    <w:pPr>
      <w:pStyle w:val="Header"/>
    </w:pPr>
    <w:r>
      <w:t>Agvet Chemicals – Market Drivers and Barriers</w:t>
    </w:r>
  </w:p>
  <w:p w:rsidR="00453CC1" w:rsidRDefault="00453CC1" w:rsidP="00474643">
    <w:pPr>
      <w:pStyle w:val="Header"/>
    </w:pPr>
    <w:r>
      <w:rPr>
        <w:noProof/>
        <w:lang w:eastAsia="en-AU"/>
      </w:rPr>
      <mc:AlternateContent>
        <mc:Choice Requires="wps">
          <w:drawing>
            <wp:anchor distT="0" distB="0" distL="0" distR="0" simplePos="0" relativeHeight="251616256" behindDoc="1" locked="1" layoutInCell="1" allowOverlap="1" wp14:anchorId="36E1B17D" wp14:editId="0B62D657">
              <wp:simplePos x="0" y="0"/>
              <wp:positionH relativeFrom="page">
                <wp:posOffset>0</wp:posOffset>
              </wp:positionH>
              <wp:positionV relativeFrom="page">
                <wp:posOffset>0</wp:posOffset>
              </wp:positionV>
              <wp:extent cx="2880000" cy="770400"/>
              <wp:effectExtent l="0" t="0" r="0" b="10795"/>
              <wp:wrapNone/>
              <wp:docPr id="14"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53CC1" w:rsidRPr="00846077" w:rsidRDefault="00453CC1" w:rsidP="00E33B5F">
                          <w:pPr>
                            <w:pStyle w:val="Footer"/>
                            <w:rPr>
                              <w:sz w:val="14"/>
                            </w:rPr>
                          </w:pP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1B17D" id="_x0000_t202" coordsize="21600,21600" o:spt="202" path="m,l,21600r21600,l21600,xe">
              <v:stroke joinstyle="miter"/>
              <v:path gradientshapeok="t" o:connecttype="rect"/>
            </v:shapetype>
            <v:shape id="Commercial-in-confidence_Hide" o:spid="_x0000_s1027" type="#_x0000_t202" style="position:absolute;margin-left:0;margin-top:0;width:226.75pt;height:60.6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" filled="f" stroked="f" strokeweight=".5pt">
              <v:textbox inset="12mm,0,0,0">
                <w:txbxContent>
                  <w:p w:rsidR="00453CC1" w:rsidRPr="00846077" w:rsidRDefault="00453CC1" w:rsidP="00E33B5F">
                    <w:pPr>
                      <w:pStyle w:val="Footer"/>
                      <w:rPr>
                        <w:sz w:val="14"/>
                      </w:rPr>
                    </w:pPr>
                  </w:p>
                </w:txbxContent>
              </v:textbox>
              <w10:wrap anchorx="page" anchory="page"/>
              <w10:anchorlock/>
            </v:shape>
          </w:pict>
        </mc:Fallback>
      </mc:AlternateContent>
    </w:r>
  </w:p>
  <w:p w:rsidR="00453CC1" w:rsidRPr="00423DBC" w:rsidRDefault="00453CC1" w:rsidP="00474643">
    <w:pPr>
      <w:pStyle w:val="Header"/>
      <w:rPr>
        <w:sz w:val="11"/>
        <w:szCs w:val="11"/>
      </w:rPr>
    </w:pPr>
    <w:r>
      <w:rPr>
        <w:noProof/>
        <w:lang w:eastAsia="en-AU"/>
      </w:rPr>
      <w:drawing>
        <wp:anchor distT="0" distB="0" distL="0" distR="0" simplePos="0" relativeHeight="251635712" behindDoc="1" locked="0" layoutInCell="1" allowOverlap="1" wp14:anchorId="69C5777C" wp14:editId="5785AC82">
          <wp:simplePos x="0" y="0"/>
          <wp:positionH relativeFrom="page">
            <wp:posOffset>3600000</wp:posOffset>
          </wp:positionH>
          <wp:positionV relativeFrom="page">
            <wp:posOffset>10188000</wp:posOffset>
          </wp:positionV>
          <wp:extent cx="5553450" cy="154800"/>
          <wp:effectExtent l="0" t="0" r="0" b="0"/>
          <wp:wrapNone/>
          <wp:docPr id="8" name="Public_Hide3" hidden="1"/>
          <wp:cNvGraphicFramePr/>
          <a:graphic xmlns:a="http://schemas.openxmlformats.org/drawingml/2006/main">
            <a:graphicData uri="http://schemas.openxmlformats.org/drawingml/2006/picture">
              <pic:pic xmlns:pic="http://schemas.openxmlformats.org/drawingml/2006/picture">
                <pic:nvPicPr>
                  <pic:cNvPr id="333170976" name="Public_Hide3"/>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43904" behindDoc="1" locked="0" layoutInCell="1" allowOverlap="1" wp14:anchorId="3E37D69C" wp14:editId="7F310146">
          <wp:simplePos x="0" y="0"/>
          <wp:positionH relativeFrom="page">
            <wp:posOffset>3600000</wp:posOffset>
          </wp:positionH>
          <wp:positionV relativeFrom="page">
            <wp:posOffset>10188000</wp:posOffset>
          </wp:positionV>
          <wp:extent cx="5553450" cy="154800"/>
          <wp:effectExtent l="0" t="0" r="0" b="0"/>
          <wp:wrapNone/>
          <wp:docPr id="10" name="HighRisk_Hide3" hidden="1"/>
          <wp:cNvGraphicFramePr/>
          <a:graphic xmlns:a="http://schemas.openxmlformats.org/drawingml/2006/main">
            <a:graphicData uri="http://schemas.openxmlformats.org/drawingml/2006/picture">
              <pic:pic xmlns:pic="http://schemas.openxmlformats.org/drawingml/2006/picture">
                <pic:nvPicPr>
                  <pic:cNvPr id="1708114209" name="HighRisk_Hide3"/>
                  <pic:cNvPicPr/>
                </pic:nvPicPr>
                <pic:blipFill>
                  <a:blip r:embed="rId2"/>
                  <a:srcRect/>
                  <a:stretch/>
                </pic:blipFill>
                <pic:spPr>
                  <a:xfrm>
                    <a:off x="0" y="0"/>
                    <a:ext cx="5553450" cy="1548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C1" w:rsidRPr="00E33B5F" w:rsidRDefault="00453CC1" w:rsidP="00E33B5F">
    <w:pPr>
      <w:pStyle w:val="Header"/>
    </w:pPr>
    <w:r>
      <w:t>Agvet Chemicals – Market Drivers and Barriers</w:t>
    </w:r>
    <w:r>
      <w:rPr>
        <w:noProof/>
        <w:lang w:eastAsia="en-AU"/>
      </w:rPr>
      <w:drawing>
        <wp:anchor distT="0" distB="0" distL="0" distR="0" simplePos="0" relativeHeight="251653120" behindDoc="1" locked="0" layoutInCell="1" allowOverlap="1" wp14:anchorId="5A451E89" wp14:editId="28B1667B">
          <wp:simplePos x="0" y="0"/>
          <wp:positionH relativeFrom="page">
            <wp:posOffset>3600000</wp:posOffset>
          </wp:positionH>
          <wp:positionV relativeFrom="page">
            <wp:posOffset>10188000</wp:posOffset>
          </wp:positionV>
          <wp:extent cx="5553450" cy="154800"/>
          <wp:effectExtent l="0" t="0" r="0" b="0"/>
          <wp:wrapNone/>
          <wp:docPr id="12" name="Public_Hide5" hidden="1"/>
          <wp:cNvGraphicFramePr/>
          <a:graphic xmlns:a="http://schemas.openxmlformats.org/drawingml/2006/main">
            <a:graphicData uri="http://schemas.openxmlformats.org/drawingml/2006/picture">
              <pic:pic xmlns:pic="http://schemas.openxmlformats.org/drawingml/2006/picture">
                <pic:nvPicPr>
                  <pic:cNvPr id="1111769289" name="Public_Hide5"/>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9264" behindDoc="1" locked="0" layoutInCell="1" allowOverlap="1" wp14:anchorId="38B54810" wp14:editId="1D9A5D50">
          <wp:simplePos x="0" y="0"/>
          <wp:positionH relativeFrom="page">
            <wp:posOffset>3600000</wp:posOffset>
          </wp:positionH>
          <wp:positionV relativeFrom="page">
            <wp:posOffset>10188000</wp:posOffset>
          </wp:positionV>
          <wp:extent cx="5553450" cy="154800"/>
          <wp:effectExtent l="0" t="0" r="0" b="0"/>
          <wp:wrapNone/>
          <wp:docPr id="15" name="HighRisk_Hide5" hidden="1"/>
          <wp:cNvGraphicFramePr/>
          <a:graphic xmlns:a="http://schemas.openxmlformats.org/drawingml/2006/main">
            <a:graphicData uri="http://schemas.openxmlformats.org/drawingml/2006/picture">
              <pic:pic xmlns:pic="http://schemas.openxmlformats.org/drawingml/2006/picture">
                <pic:nvPicPr>
                  <pic:cNvPr id="1813037288" name="HighRisk_Hide5"/>
                  <pic:cNvPicPr/>
                </pic:nvPicPr>
                <pic:blipFill>
                  <a:blip r:embed="rId2"/>
                  <a:srcRect/>
                  <a:stretch/>
                </pic:blipFill>
                <pic:spPr>
                  <a:xfrm>
                    <a:off x="0" y="0"/>
                    <a:ext cx="5553450" cy="1548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C1" w:rsidRDefault="00453CC1">
    <w:r>
      <w:rPr>
        <w:noProof/>
        <w:lang w:eastAsia="en-AU"/>
      </w:rPr>
      <w:drawing>
        <wp:anchor distT="0" distB="0" distL="0" distR="0" simplePos="0" relativeHeight="251665408" behindDoc="1" locked="0" layoutInCell="1" allowOverlap="1" wp14:anchorId="45FA9530" wp14:editId="393A2516">
          <wp:simplePos x="0" y="0"/>
          <wp:positionH relativeFrom="page">
            <wp:posOffset>3600000</wp:posOffset>
          </wp:positionH>
          <wp:positionV relativeFrom="page">
            <wp:posOffset>10188000</wp:posOffset>
          </wp:positionV>
          <wp:extent cx="5553450" cy="154800"/>
          <wp:effectExtent l="0" t="0" r="0" b="0"/>
          <wp:wrapNone/>
          <wp:docPr id="17" name="Public_Hide7" hidden="1"/>
          <wp:cNvGraphicFramePr/>
          <a:graphic xmlns:a="http://schemas.openxmlformats.org/drawingml/2006/main">
            <a:graphicData uri="http://schemas.openxmlformats.org/drawingml/2006/picture">
              <pic:pic xmlns:pic="http://schemas.openxmlformats.org/drawingml/2006/picture">
                <pic:nvPicPr>
                  <pic:cNvPr id="40270448" name="Public_Hide7"/>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71552" behindDoc="1" locked="0" layoutInCell="1" allowOverlap="1" wp14:anchorId="06AD7DE2" wp14:editId="48C3061E">
          <wp:simplePos x="0" y="0"/>
          <wp:positionH relativeFrom="page">
            <wp:posOffset>3600000</wp:posOffset>
          </wp:positionH>
          <wp:positionV relativeFrom="page">
            <wp:posOffset>10188000</wp:posOffset>
          </wp:positionV>
          <wp:extent cx="5553450" cy="154800"/>
          <wp:effectExtent l="0" t="0" r="0" b="0"/>
          <wp:wrapNone/>
          <wp:docPr id="21" name="HighRisk_Hide7" hidden="1"/>
          <wp:cNvGraphicFramePr/>
          <a:graphic xmlns:a="http://schemas.openxmlformats.org/drawingml/2006/main">
            <a:graphicData uri="http://schemas.openxmlformats.org/drawingml/2006/picture">
              <pic:pic xmlns:pic="http://schemas.openxmlformats.org/drawingml/2006/picture">
                <pic:nvPicPr>
                  <pic:cNvPr id="819918129" name="HighRisk_Hide7"/>
                  <pic:cNvPicPr/>
                </pic:nvPicPr>
                <pic:blipFill>
                  <a:blip r:embed="rId2"/>
                  <a:srcRect/>
                  <a:stretch/>
                </pic:blipFill>
                <pic:spPr>
                  <a:xfrm>
                    <a:off x="0" y="0"/>
                    <a:ext cx="5553450" cy="154800"/>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1" w:rsidRDefault="004108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2F46DB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BE805CD"/>
    <w:multiLevelType w:val="multilevel"/>
    <w:tmpl w:val="BE0A3C7C"/>
    <w:lvl w:ilvl="0">
      <w:start w:val="1"/>
      <w:numFmt w:val="upperLetter"/>
      <w:pStyle w:val="Appendixhead2"/>
      <w:suff w:val="nothing"/>
      <w:lvlText w:val="Appendix %1"/>
      <w:lvlJc w:val="left"/>
      <w:pPr>
        <w:ind w:left="0" w:firstLine="0"/>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2"/>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7" w15:restartNumberingAfterBreak="0">
    <w:nsid w:val="0F2815A0"/>
    <w:multiLevelType w:val="hybridMultilevel"/>
    <w:tmpl w:val="4C6883FA"/>
    <w:lvl w:ilvl="0" w:tplc="04CEA0F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C1B26"/>
    <w:multiLevelType w:val="hybridMultilevel"/>
    <w:tmpl w:val="4A5C1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79747A"/>
    <w:multiLevelType w:val="multilevel"/>
    <w:tmpl w:val="8BF83372"/>
    <w:lvl w:ilvl="0">
      <w:start w:val="1"/>
      <w:numFmt w:val="none"/>
      <w:pStyle w:val="ExecutiveHeading"/>
      <w:suff w:val="nothing"/>
      <w:lvlText w:val=""/>
      <w:lvlJc w:val="left"/>
      <w:pPr>
        <w:ind w:left="0" w:firstLine="0"/>
      </w:pPr>
      <w:rPr>
        <w:rFonts w:hint="default"/>
      </w:rPr>
    </w:lvl>
    <w:lvl w:ilvl="1">
      <w:start w:val="1"/>
      <w:numFmt w:val="lowerRoman"/>
      <w:lvlRestart w:val="0"/>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Chart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15DA6E48"/>
    <w:multiLevelType w:val="multilevel"/>
    <w:tmpl w:val="0C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2" w15:restartNumberingAfterBreak="0">
    <w:nsid w:val="221129C5"/>
    <w:multiLevelType w:val="hybridMultilevel"/>
    <w:tmpl w:val="5B483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FA3A1A"/>
    <w:multiLevelType w:val="hybridMultilevel"/>
    <w:tmpl w:val="56C2A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506958"/>
    <w:multiLevelType w:val="hybridMultilevel"/>
    <w:tmpl w:val="5986C0D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5"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6" w15:restartNumberingAfterBreak="0">
    <w:nsid w:val="2EEF444A"/>
    <w:multiLevelType w:val="hybridMultilevel"/>
    <w:tmpl w:val="208AA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40085F"/>
    <w:multiLevelType w:val="hybridMultilevel"/>
    <w:tmpl w:val="AA3A2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9"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8F522CF"/>
    <w:multiLevelType w:val="multilevel"/>
    <w:tmpl w:val="4C1C2F20"/>
    <w:lvl w:ilvl="0">
      <w:start w:val="2"/>
      <w:numFmt w:val="upperLetter"/>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027261B"/>
    <w:multiLevelType w:val="hybridMultilevel"/>
    <w:tmpl w:val="BCE89374"/>
    <w:lvl w:ilvl="0" w:tplc="8252F4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1A21F9"/>
    <w:multiLevelType w:val="multilevel"/>
    <w:tmpl w:val="8CEE0E6E"/>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05851CC"/>
    <w:multiLevelType w:val="hybridMultilevel"/>
    <w:tmpl w:val="88804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7" w15:restartNumberingAfterBreak="0">
    <w:nsid w:val="62576351"/>
    <w:multiLevelType w:val="multilevel"/>
    <w:tmpl w:val="514C66A6"/>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2F46508"/>
    <w:multiLevelType w:val="multilevel"/>
    <w:tmpl w:val="1BCCADB8"/>
    <w:lvl w:ilvl="0">
      <w:start w:val="1"/>
      <w:numFmt w:val="bullet"/>
      <w:pStyle w:val="ListBullet2"/>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29" w15:restartNumberingAfterBreak="0">
    <w:nsid w:val="6C2F1426"/>
    <w:multiLevelType w:val="hybridMultilevel"/>
    <w:tmpl w:val="46C0A7EC"/>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30" w15:restartNumberingAfterBreak="0">
    <w:nsid w:val="6D7D21D9"/>
    <w:multiLevelType w:val="hybridMultilevel"/>
    <w:tmpl w:val="C89237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EC4AA7"/>
    <w:multiLevelType w:val="hybridMultilevel"/>
    <w:tmpl w:val="4086A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E74DD7"/>
    <w:multiLevelType w:val="hybridMultilevel"/>
    <w:tmpl w:val="FCF2693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3" w15:restartNumberingAfterBreak="0">
    <w:nsid w:val="7C953ECC"/>
    <w:multiLevelType w:val="hybridMultilevel"/>
    <w:tmpl w:val="A3629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B374E1"/>
    <w:multiLevelType w:val="hybridMultilevel"/>
    <w:tmpl w:val="44223C60"/>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num w:numId="1">
    <w:abstractNumId w:val="15"/>
  </w:num>
  <w:num w:numId="2">
    <w:abstractNumId w:val="3"/>
  </w:num>
  <w:num w:numId="3">
    <w:abstractNumId w:val="2"/>
  </w:num>
  <w:num w:numId="4">
    <w:abstractNumId w:val="1"/>
  </w:num>
  <w:num w:numId="5">
    <w:abstractNumId w:val="0"/>
  </w:num>
  <w:num w:numId="6">
    <w:abstractNumId w:val="20"/>
  </w:num>
  <w:num w:numId="7">
    <w:abstractNumId w:val="19"/>
  </w:num>
  <w:num w:numId="8">
    <w:abstractNumId w:val="26"/>
  </w:num>
  <w:num w:numId="9">
    <w:abstractNumId w:val="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8"/>
  </w:num>
  <w:num w:numId="13">
    <w:abstractNumId w:val="28"/>
  </w:num>
  <w:num w:numId="14">
    <w:abstractNumId w:val="11"/>
  </w:num>
  <w:num w:numId="15">
    <w:abstractNumId w:val="17"/>
  </w:num>
  <w:num w:numId="16">
    <w:abstractNumId w:val="10"/>
  </w:num>
  <w:num w:numId="17">
    <w:abstractNumId w:val="25"/>
  </w:num>
  <w:num w:numId="18">
    <w:abstractNumId w:val="12"/>
  </w:num>
  <w:num w:numId="19">
    <w:abstractNumId w:val="24"/>
  </w:num>
  <w:num w:numId="20">
    <w:abstractNumId w:val="21"/>
  </w:num>
  <w:num w:numId="21">
    <w:abstractNumId w:val="33"/>
  </w:num>
  <w:num w:numId="22">
    <w:abstractNumId w:val="32"/>
  </w:num>
  <w:num w:numId="23">
    <w:abstractNumId w:val="13"/>
  </w:num>
  <w:num w:numId="24">
    <w:abstractNumId w:val="31"/>
  </w:num>
  <w:num w:numId="25">
    <w:abstractNumId w:val="7"/>
  </w:num>
  <w:num w:numId="26">
    <w:abstractNumId w:val="5"/>
  </w:num>
  <w:num w:numId="27">
    <w:abstractNumId w:val="27"/>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3"/>
  </w:num>
  <w:num w:numId="31">
    <w:abstractNumId w:val="34"/>
  </w:num>
  <w:num w:numId="32">
    <w:abstractNumId w:val="29"/>
  </w:num>
  <w:num w:numId="33">
    <w:abstractNumId w:val="14"/>
  </w:num>
  <w:num w:numId="34">
    <w:abstractNumId w:val="27"/>
  </w:num>
  <w:num w:numId="35">
    <w:abstractNumId w:val="27"/>
  </w:num>
  <w:num w:numId="36">
    <w:abstractNumId w:val="27"/>
  </w:num>
  <w:num w:numId="37">
    <w:abstractNumId w:val="8"/>
  </w:num>
  <w:num w:numId="38">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removePersonalInformation/>
  <w:removeDateAndTime/>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035704d1-a0fa-421c-9ba9-becd836a86e0"/>
  </w:docVars>
  <w:rsids>
    <w:rsidRoot w:val="007550AB"/>
    <w:rsid w:val="000005FE"/>
    <w:rsid w:val="0000096D"/>
    <w:rsid w:val="00000CB7"/>
    <w:rsid w:val="00001144"/>
    <w:rsid w:val="000014B4"/>
    <w:rsid w:val="00002935"/>
    <w:rsid w:val="000034AB"/>
    <w:rsid w:val="0000389A"/>
    <w:rsid w:val="00003E4E"/>
    <w:rsid w:val="00005CA7"/>
    <w:rsid w:val="000063C9"/>
    <w:rsid w:val="000105C4"/>
    <w:rsid w:val="00010909"/>
    <w:rsid w:val="000109C3"/>
    <w:rsid w:val="00011264"/>
    <w:rsid w:val="000113A6"/>
    <w:rsid w:val="000116B0"/>
    <w:rsid w:val="00012069"/>
    <w:rsid w:val="00012E56"/>
    <w:rsid w:val="000131A3"/>
    <w:rsid w:val="00013990"/>
    <w:rsid w:val="00013C58"/>
    <w:rsid w:val="00013D18"/>
    <w:rsid w:val="00014B89"/>
    <w:rsid w:val="00014BB4"/>
    <w:rsid w:val="00015088"/>
    <w:rsid w:val="00015CBB"/>
    <w:rsid w:val="00015F88"/>
    <w:rsid w:val="00016D4A"/>
    <w:rsid w:val="000173B3"/>
    <w:rsid w:val="00017446"/>
    <w:rsid w:val="00020297"/>
    <w:rsid w:val="00020624"/>
    <w:rsid w:val="00020D44"/>
    <w:rsid w:val="00021115"/>
    <w:rsid w:val="00021A39"/>
    <w:rsid w:val="000226CF"/>
    <w:rsid w:val="000228E9"/>
    <w:rsid w:val="000239A8"/>
    <w:rsid w:val="00024F0C"/>
    <w:rsid w:val="00025155"/>
    <w:rsid w:val="000252BD"/>
    <w:rsid w:val="000256B5"/>
    <w:rsid w:val="00025E7D"/>
    <w:rsid w:val="000267DD"/>
    <w:rsid w:val="0002772A"/>
    <w:rsid w:val="00027D0C"/>
    <w:rsid w:val="00027E76"/>
    <w:rsid w:val="000301F5"/>
    <w:rsid w:val="00031336"/>
    <w:rsid w:val="00031F08"/>
    <w:rsid w:val="000322DD"/>
    <w:rsid w:val="000327D6"/>
    <w:rsid w:val="00033A1C"/>
    <w:rsid w:val="00033B40"/>
    <w:rsid w:val="00033DEB"/>
    <w:rsid w:val="00034B13"/>
    <w:rsid w:val="00034C03"/>
    <w:rsid w:val="00035B58"/>
    <w:rsid w:val="00035DBA"/>
    <w:rsid w:val="00035DDE"/>
    <w:rsid w:val="00036414"/>
    <w:rsid w:val="000366C9"/>
    <w:rsid w:val="00036732"/>
    <w:rsid w:val="000368C4"/>
    <w:rsid w:val="00036CDC"/>
    <w:rsid w:val="00037C17"/>
    <w:rsid w:val="00040603"/>
    <w:rsid w:val="00041DB4"/>
    <w:rsid w:val="0004216E"/>
    <w:rsid w:val="00042418"/>
    <w:rsid w:val="000429AC"/>
    <w:rsid w:val="00042B6A"/>
    <w:rsid w:val="00042B99"/>
    <w:rsid w:val="00043087"/>
    <w:rsid w:val="00043897"/>
    <w:rsid w:val="00044801"/>
    <w:rsid w:val="00044A8B"/>
    <w:rsid w:val="00044F83"/>
    <w:rsid w:val="000452AF"/>
    <w:rsid w:val="000452FA"/>
    <w:rsid w:val="00045BE9"/>
    <w:rsid w:val="00045ECD"/>
    <w:rsid w:val="00045EE6"/>
    <w:rsid w:val="000462AE"/>
    <w:rsid w:val="000477F8"/>
    <w:rsid w:val="00047CAA"/>
    <w:rsid w:val="000506E6"/>
    <w:rsid w:val="000516C4"/>
    <w:rsid w:val="000517C0"/>
    <w:rsid w:val="00051E68"/>
    <w:rsid w:val="00052B17"/>
    <w:rsid w:val="00053002"/>
    <w:rsid w:val="00053090"/>
    <w:rsid w:val="000530BB"/>
    <w:rsid w:val="000530F3"/>
    <w:rsid w:val="000547D9"/>
    <w:rsid w:val="00054C85"/>
    <w:rsid w:val="00057C98"/>
    <w:rsid w:val="0006041A"/>
    <w:rsid w:val="000637A6"/>
    <w:rsid w:val="00064D3C"/>
    <w:rsid w:val="00064E5C"/>
    <w:rsid w:val="00065481"/>
    <w:rsid w:val="00065D26"/>
    <w:rsid w:val="00066BBA"/>
    <w:rsid w:val="00067C9F"/>
    <w:rsid w:val="0007055C"/>
    <w:rsid w:val="0007087B"/>
    <w:rsid w:val="00070B6C"/>
    <w:rsid w:val="00070DC5"/>
    <w:rsid w:val="0007142E"/>
    <w:rsid w:val="00071509"/>
    <w:rsid w:val="00071FA3"/>
    <w:rsid w:val="0007314B"/>
    <w:rsid w:val="00073FAB"/>
    <w:rsid w:val="00075111"/>
    <w:rsid w:val="000755C9"/>
    <w:rsid w:val="00076294"/>
    <w:rsid w:val="0007645F"/>
    <w:rsid w:val="00077707"/>
    <w:rsid w:val="0008037C"/>
    <w:rsid w:val="00080B4C"/>
    <w:rsid w:val="00081E4E"/>
    <w:rsid w:val="00083DD5"/>
    <w:rsid w:val="0008589B"/>
    <w:rsid w:val="00085ADC"/>
    <w:rsid w:val="00086391"/>
    <w:rsid w:val="000863EA"/>
    <w:rsid w:val="00086A21"/>
    <w:rsid w:val="00087124"/>
    <w:rsid w:val="000877D9"/>
    <w:rsid w:val="000900EA"/>
    <w:rsid w:val="0009060D"/>
    <w:rsid w:val="00090629"/>
    <w:rsid w:val="000911D8"/>
    <w:rsid w:val="00091578"/>
    <w:rsid w:val="0009176C"/>
    <w:rsid w:val="00092341"/>
    <w:rsid w:val="00092708"/>
    <w:rsid w:val="00093BF0"/>
    <w:rsid w:val="000943B6"/>
    <w:rsid w:val="00094408"/>
    <w:rsid w:val="000952ED"/>
    <w:rsid w:val="000961D8"/>
    <w:rsid w:val="0009737C"/>
    <w:rsid w:val="0009781C"/>
    <w:rsid w:val="000A02B0"/>
    <w:rsid w:val="000A0317"/>
    <w:rsid w:val="000A0FC5"/>
    <w:rsid w:val="000A1717"/>
    <w:rsid w:val="000A1C27"/>
    <w:rsid w:val="000A24CD"/>
    <w:rsid w:val="000A273F"/>
    <w:rsid w:val="000A2894"/>
    <w:rsid w:val="000A2AE2"/>
    <w:rsid w:val="000A2D25"/>
    <w:rsid w:val="000A32A8"/>
    <w:rsid w:val="000A346A"/>
    <w:rsid w:val="000A3F42"/>
    <w:rsid w:val="000A4B8F"/>
    <w:rsid w:val="000A4C50"/>
    <w:rsid w:val="000A69CE"/>
    <w:rsid w:val="000A733C"/>
    <w:rsid w:val="000A765D"/>
    <w:rsid w:val="000A7893"/>
    <w:rsid w:val="000A7F05"/>
    <w:rsid w:val="000B048D"/>
    <w:rsid w:val="000B0C13"/>
    <w:rsid w:val="000B10E4"/>
    <w:rsid w:val="000B120F"/>
    <w:rsid w:val="000B136C"/>
    <w:rsid w:val="000B1DA3"/>
    <w:rsid w:val="000B2A71"/>
    <w:rsid w:val="000B2D23"/>
    <w:rsid w:val="000B2E3C"/>
    <w:rsid w:val="000B3647"/>
    <w:rsid w:val="000B364F"/>
    <w:rsid w:val="000B3C0E"/>
    <w:rsid w:val="000B4884"/>
    <w:rsid w:val="000B4D54"/>
    <w:rsid w:val="000B631E"/>
    <w:rsid w:val="000B6A91"/>
    <w:rsid w:val="000B6C05"/>
    <w:rsid w:val="000B6C33"/>
    <w:rsid w:val="000B76F6"/>
    <w:rsid w:val="000B7874"/>
    <w:rsid w:val="000C0668"/>
    <w:rsid w:val="000C1B02"/>
    <w:rsid w:val="000C20BD"/>
    <w:rsid w:val="000C25E6"/>
    <w:rsid w:val="000C2A5E"/>
    <w:rsid w:val="000C2B24"/>
    <w:rsid w:val="000C2E80"/>
    <w:rsid w:val="000C2F60"/>
    <w:rsid w:val="000C35AE"/>
    <w:rsid w:val="000C39C2"/>
    <w:rsid w:val="000C4343"/>
    <w:rsid w:val="000C469E"/>
    <w:rsid w:val="000C4EE3"/>
    <w:rsid w:val="000C5632"/>
    <w:rsid w:val="000C5EA5"/>
    <w:rsid w:val="000C5FE1"/>
    <w:rsid w:val="000C607B"/>
    <w:rsid w:val="000C69FF"/>
    <w:rsid w:val="000C6C1C"/>
    <w:rsid w:val="000C7AAC"/>
    <w:rsid w:val="000D0627"/>
    <w:rsid w:val="000D0AEB"/>
    <w:rsid w:val="000D1262"/>
    <w:rsid w:val="000D1E17"/>
    <w:rsid w:val="000D2106"/>
    <w:rsid w:val="000D212A"/>
    <w:rsid w:val="000D2716"/>
    <w:rsid w:val="000D2B9E"/>
    <w:rsid w:val="000D2DE0"/>
    <w:rsid w:val="000D38FE"/>
    <w:rsid w:val="000D4DA3"/>
    <w:rsid w:val="000D5929"/>
    <w:rsid w:val="000D5B17"/>
    <w:rsid w:val="000D62C7"/>
    <w:rsid w:val="000D71C8"/>
    <w:rsid w:val="000D759C"/>
    <w:rsid w:val="000D7A26"/>
    <w:rsid w:val="000D7D74"/>
    <w:rsid w:val="000E0A45"/>
    <w:rsid w:val="000E23DD"/>
    <w:rsid w:val="000E24FD"/>
    <w:rsid w:val="000E274F"/>
    <w:rsid w:val="000E2B21"/>
    <w:rsid w:val="000E2C94"/>
    <w:rsid w:val="000E345C"/>
    <w:rsid w:val="000E45E9"/>
    <w:rsid w:val="000E4AA4"/>
    <w:rsid w:val="000E5EAE"/>
    <w:rsid w:val="000E74A1"/>
    <w:rsid w:val="000E75C1"/>
    <w:rsid w:val="000E7B75"/>
    <w:rsid w:val="000F01B4"/>
    <w:rsid w:val="000F05D4"/>
    <w:rsid w:val="000F05E4"/>
    <w:rsid w:val="000F24A9"/>
    <w:rsid w:val="000F27F7"/>
    <w:rsid w:val="000F344A"/>
    <w:rsid w:val="000F3805"/>
    <w:rsid w:val="000F3A0F"/>
    <w:rsid w:val="000F3DB4"/>
    <w:rsid w:val="000F4923"/>
    <w:rsid w:val="000F58BC"/>
    <w:rsid w:val="000F5C22"/>
    <w:rsid w:val="000F692E"/>
    <w:rsid w:val="000F70BB"/>
    <w:rsid w:val="000F784F"/>
    <w:rsid w:val="000F7AFB"/>
    <w:rsid w:val="00100047"/>
    <w:rsid w:val="0010059B"/>
    <w:rsid w:val="0010113D"/>
    <w:rsid w:val="001018AB"/>
    <w:rsid w:val="001026CB"/>
    <w:rsid w:val="0010462B"/>
    <w:rsid w:val="00105163"/>
    <w:rsid w:val="00105637"/>
    <w:rsid w:val="00105C47"/>
    <w:rsid w:val="00105DD5"/>
    <w:rsid w:val="00106102"/>
    <w:rsid w:val="00106382"/>
    <w:rsid w:val="0010687C"/>
    <w:rsid w:val="00107023"/>
    <w:rsid w:val="00107526"/>
    <w:rsid w:val="00107E71"/>
    <w:rsid w:val="0011036B"/>
    <w:rsid w:val="001103D2"/>
    <w:rsid w:val="00110AAA"/>
    <w:rsid w:val="00110C92"/>
    <w:rsid w:val="001116A9"/>
    <w:rsid w:val="00111AE3"/>
    <w:rsid w:val="00112666"/>
    <w:rsid w:val="00112BB6"/>
    <w:rsid w:val="00112EEA"/>
    <w:rsid w:val="0011306B"/>
    <w:rsid w:val="00113B50"/>
    <w:rsid w:val="0011439F"/>
    <w:rsid w:val="0011450B"/>
    <w:rsid w:val="0011517C"/>
    <w:rsid w:val="001161FD"/>
    <w:rsid w:val="00116739"/>
    <w:rsid w:val="00116D07"/>
    <w:rsid w:val="00116DC0"/>
    <w:rsid w:val="00116FBA"/>
    <w:rsid w:val="00121DC8"/>
    <w:rsid w:val="001225B2"/>
    <w:rsid w:val="00123040"/>
    <w:rsid w:val="001230E2"/>
    <w:rsid w:val="001237CF"/>
    <w:rsid w:val="001239A8"/>
    <w:rsid w:val="00123AD3"/>
    <w:rsid w:val="00124B34"/>
    <w:rsid w:val="00125020"/>
    <w:rsid w:val="00126212"/>
    <w:rsid w:val="001265CF"/>
    <w:rsid w:val="00126C3B"/>
    <w:rsid w:val="001272C3"/>
    <w:rsid w:val="00130191"/>
    <w:rsid w:val="0013158F"/>
    <w:rsid w:val="00131673"/>
    <w:rsid w:val="00132B70"/>
    <w:rsid w:val="00132D5F"/>
    <w:rsid w:val="00132E0F"/>
    <w:rsid w:val="00133E73"/>
    <w:rsid w:val="00133F52"/>
    <w:rsid w:val="0013418D"/>
    <w:rsid w:val="001349D1"/>
    <w:rsid w:val="001352F8"/>
    <w:rsid w:val="00135585"/>
    <w:rsid w:val="0013581E"/>
    <w:rsid w:val="00136143"/>
    <w:rsid w:val="00136294"/>
    <w:rsid w:val="0013689E"/>
    <w:rsid w:val="00136A81"/>
    <w:rsid w:val="00136BE7"/>
    <w:rsid w:val="00136C85"/>
    <w:rsid w:val="00136CBB"/>
    <w:rsid w:val="00137B32"/>
    <w:rsid w:val="00137F51"/>
    <w:rsid w:val="00137F79"/>
    <w:rsid w:val="001417EE"/>
    <w:rsid w:val="00141AD3"/>
    <w:rsid w:val="001426C3"/>
    <w:rsid w:val="00142EB4"/>
    <w:rsid w:val="00143D68"/>
    <w:rsid w:val="00143DB9"/>
    <w:rsid w:val="001443F9"/>
    <w:rsid w:val="001446A7"/>
    <w:rsid w:val="00144C3A"/>
    <w:rsid w:val="00144C82"/>
    <w:rsid w:val="00145106"/>
    <w:rsid w:val="001451BC"/>
    <w:rsid w:val="001455EC"/>
    <w:rsid w:val="001457BC"/>
    <w:rsid w:val="001458F4"/>
    <w:rsid w:val="00146254"/>
    <w:rsid w:val="00146756"/>
    <w:rsid w:val="00146FDC"/>
    <w:rsid w:val="001471ED"/>
    <w:rsid w:val="00150FB4"/>
    <w:rsid w:val="00151790"/>
    <w:rsid w:val="001527BE"/>
    <w:rsid w:val="00153C0F"/>
    <w:rsid w:val="00153DD5"/>
    <w:rsid w:val="001542B4"/>
    <w:rsid w:val="0015432C"/>
    <w:rsid w:val="00154568"/>
    <w:rsid w:val="0015459D"/>
    <w:rsid w:val="0015475D"/>
    <w:rsid w:val="0015606F"/>
    <w:rsid w:val="0015608B"/>
    <w:rsid w:val="00156844"/>
    <w:rsid w:val="001573A9"/>
    <w:rsid w:val="00157BD7"/>
    <w:rsid w:val="001601B1"/>
    <w:rsid w:val="001611B9"/>
    <w:rsid w:val="00161814"/>
    <w:rsid w:val="0016200C"/>
    <w:rsid w:val="0016255E"/>
    <w:rsid w:val="00162E91"/>
    <w:rsid w:val="00163881"/>
    <w:rsid w:val="00163EF5"/>
    <w:rsid w:val="00164606"/>
    <w:rsid w:val="00164C4E"/>
    <w:rsid w:val="00165438"/>
    <w:rsid w:val="00165653"/>
    <w:rsid w:val="001659E4"/>
    <w:rsid w:val="00165B12"/>
    <w:rsid w:val="00166739"/>
    <w:rsid w:val="0016703F"/>
    <w:rsid w:val="00170675"/>
    <w:rsid w:val="001708B9"/>
    <w:rsid w:val="00170F7B"/>
    <w:rsid w:val="00171DA0"/>
    <w:rsid w:val="00172453"/>
    <w:rsid w:val="0017280D"/>
    <w:rsid w:val="00173295"/>
    <w:rsid w:val="00175256"/>
    <w:rsid w:val="001752AF"/>
    <w:rsid w:val="001757CE"/>
    <w:rsid w:val="00176D11"/>
    <w:rsid w:val="00177420"/>
    <w:rsid w:val="001776D1"/>
    <w:rsid w:val="00177F23"/>
    <w:rsid w:val="001804F0"/>
    <w:rsid w:val="00180BDA"/>
    <w:rsid w:val="0018108F"/>
    <w:rsid w:val="001819C6"/>
    <w:rsid w:val="00182264"/>
    <w:rsid w:val="00182CE4"/>
    <w:rsid w:val="00182EF0"/>
    <w:rsid w:val="00184755"/>
    <w:rsid w:val="00184FDE"/>
    <w:rsid w:val="0018559B"/>
    <w:rsid w:val="00185FED"/>
    <w:rsid w:val="001869BD"/>
    <w:rsid w:val="00186BA1"/>
    <w:rsid w:val="00186FC8"/>
    <w:rsid w:val="001879F2"/>
    <w:rsid w:val="001903B8"/>
    <w:rsid w:val="00191344"/>
    <w:rsid w:val="0019140B"/>
    <w:rsid w:val="0019167C"/>
    <w:rsid w:val="001916EF"/>
    <w:rsid w:val="00192160"/>
    <w:rsid w:val="001924FB"/>
    <w:rsid w:val="00192F4F"/>
    <w:rsid w:val="00193DC1"/>
    <w:rsid w:val="00194720"/>
    <w:rsid w:val="00194882"/>
    <w:rsid w:val="00195BBE"/>
    <w:rsid w:val="001961E5"/>
    <w:rsid w:val="00196B4D"/>
    <w:rsid w:val="00196B67"/>
    <w:rsid w:val="00196CE0"/>
    <w:rsid w:val="0019742A"/>
    <w:rsid w:val="001975EF"/>
    <w:rsid w:val="0019765A"/>
    <w:rsid w:val="0019772E"/>
    <w:rsid w:val="001A0002"/>
    <w:rsid w:val="001A0508"/>
    <w:rsid w:val="001A1690"/>
    <w:rsid w:val="001A229B"/>
    <w:rsid w:val="001A289B"/>
    <w:rsid w:val="001A2C3F"/>
    <w:rsid w:val="001A3B1F"/>
    <w:rsid w:val="001A3BA9"/>
    <w:rsid w:val="001A408C"/>
    <w:rsid w:val="001A45CF"/>
    <w:rsid w:val="001A665B"/>
    <w:rsid w:val="001A6985"/>
    <w:rsid w:val="001A74CC"/>
    <w:rsid w:val="001B0724"/>
    <w:rsid w:val="001B0D93"/>
    <w:rsid w:val="001B0F94"/>
    <w:rsid w:val="001B1F09"/>
    <w:rsid w:val="001B22CC"/>
    <w:rsid w:val="001B2AEE"/>
    <w:rsid w:val="001B3D74"/>
    <w:rsid w:val="001B422F"/>
    <w:rsid w:val="001B4457"/>
    <w:rsid w:val="001B4781"/>
    <w:rsid w:val="001B57A3"/>
    <w:rsid w:val="001B5C19"/>
    <w:rsid w:val="001B5C35"/>
    <w:rsid w:val="001B602A"/>
    <w:rsid w:val="001B6C57"/>
    <w:rsid w:val="001B6EF2"/>
    <w:rsid w:val="001C060D"/>
    <w:rsid w:val="001C07DD"/>
    <w:rsid w:val="001C0CDC"/>
    <w:rsid w:val="001C1213"/>
    <w:rsid w:val="001C1403"/>
    <w:rsid w:val="001C1A54"/>
    <w:rsid w:val="001C1FD3"/>
    <w:rsid w:val="001C2364"/>
    <w:rsid w:val="001C2B8B"/>
    <w:rsid w:val="001C3237"/>
    <w:rsid w:val="001C37CB"/>
    <w:rsid w:val="001C4D83"/>
    <w:rsid w:val="001C59D1"/>
    <w:rsid w:val="001C5A64"/>
    <w:rsid w:val="001C5DF4"/>
    <w:rsid w:val="001D03A7"/>
    <w:rsid w:val="001D0641"/>
    <w:rsid w:val="001D0D3A"/>
    <w:rsid w:val="001D193B"/>
    <w:rsid w:val="001D1DAE"/>
    <w:rsid w:val="001D206E"/>
    <w:rsid w:val="001D21B5"/>
    <w:rsid w:val="001D2601"/>
    <w:rsid w:val="001D3965"/>
    <w:rsid w:val="001D3B5F"/>
    <w:rsid w:val="001D3FD6"/>
    <w:rsid w:val="001D5045"/>
    <w:rsid w:val="001D55AA"/>
    <w:rsid w:val="001D5816"/>
    <w:rsid w:val="001D6B36"/>
    <w:rsid w:val="001D7333"/>
    <w:rsid w:val="001D7E40"/>
    <w:rsid w:val="001E016B"/>
    <w:rsid w:val="001E1780"/>
    <w:rsid w:val="001E18C6"/>
    <w:rsid w:val="001E1D81"/>
    <w:rsid w:val="001E326B"/>
    <w:rsid w:val="001E349B"/>
    <w:rsid w:val="001E364D"/>
    <w:rsid w:val="001E3748"/>
    <w:rsid w:val="001E3C25"/>
    <w:rsid w:val="001E4229"/>
    <w:rsid w:val="001E49B2"/>
    <w:rsid w:val="001E4AB6"/>
    <w:rsid w:val="001E608F"/>
    <w:rsid w:val="001E6665"/>
    <w:rsid w:val="001E6BD9"/>
    <w:rsid w:val="001E6E90"/>
    <w:rsid w:val="001E6EEC"/>
    <w:rsid w:val="001E6F3F"/>
    <w:rsid w:val="001E6F40"/>
    <w:rsid w:val="001E7D3E"/>
    <w:rsid w:val="001F0146"/>
    <w:rsid w:val="001F01FB"/>
    <w:rsid w:val="001F0793"/>
    <w:rsid w:val="001F0961"/>
    <w:rsid w:val="001F1BE2"/>
    <w:rsid w:val="001F1D22"/>
    <w:rsid w:val="001F1FA8"/>
    <w:rsid w:val="001F3235"/>
    <w:rsid w:val="001F38BE"/>
    <w:rsid w:val="001F3A95"/>
    <w:rsid w:val="001F3DB3"/>
    <w:rsid w:val="001F4911"/>
    <w:rsid w:val="001F4A51"/>
    <w:rsid w:val="001F4B59"/>
    <w:rsid w:val="001F4D99"/>
    <w:rsid w:val="001F61B8"/>
    <w:rsid w:val="001F6839"/>
    <w:rsid w:val="001F7327"/>
    <w:rsid w:val="001F76BC"/>
    <w:rsid w:val="00200FA5"/>
    <w:rsid w:val="00202D52"/>
    <w:rsid w:val="00202DDC"/>
    <w:rsid w:val="0020365F"/>
    <w:rsid w:val="00203E0E"/>
    <w:rsid w:val="00203FA8"/>
    <w:rsid w:val="002042F8"/>
    <w:rsid w:val="00204CBA"/>
    <w:rsid w:val="00205930"/>
    <w:rsid w:val="00206878"/>
    <w:rsid w:val="002069EA"/>
    <w:rsid w:val="00206B22"/>
    <w:rsid w:val="00207200"/>
    <w:rsid w:val="002102A7"/>
    <w:rsid w:val="002106EC"/>
    <w:rsid w:val="00210E3E"/>
    <w:rsid w:val="00210E8D"/>
    <w:rsid w:val="00211E2E"/>
    <w:rsid w:val="00212852"/>
    <w:rsid w:val="00213A79"/>
    <w:rsid w:val="00213CC2"/>
    <w:rsid w:val="0021457E"/>
    <w:rsid w:val="00214BE8"/>
    <w:rsid w:val="00215532"/>
    <w:rsid w:val="00215D93"/>
    <w:rsid w:val="00216CF6"/>
    <w:rsid w:val="00216E2E"/>
    <w:rsid w:val="00220220"/>
    <w:rsid w:val="00220282"/>
    <w:rsid w:val="00220CCF"/>
    <w:rsid w:val="002217BD"/>
    <w:rsid w:val="00222DBB"/>
    <w:rsid w:val="00222DEB"/>
    <w:rsid w:val="00224107"/>
    <w:rsid w:val="0022418F"/>
    <w:rsid w:val="00224EFD"/>
    <w:rsid w:val="00224FF5"/>
    <w:rsid w:val="00225C8D"/>
    <w:rsid w:val="0022677A"/>
    <w:rsid w:val="00226858"/>
    <w:rsid w:val="002268CC"/>
    <w:rsid w:val="002269B7"/>
    <w:rsid w:val="00226F80"/>
    <w:rsid w:val="002274F9"/>
    <w:rsid w:val="00227F1F"/>
    <w:rsid w:val="00230576"/>
    <w:rsid w:val="00230F9B"/>
    <w:rsid w:val="00231B44"/>
    <w:rsid w:val="00232866"/>
    <w:rsid w:val="002328D9"/>
    <w:rsid w:val="002332F5"/>
    <w:rsid w:val="0023379D"/>
    <w:rsid w:val="00233D00"/>
    <w:rsid w:val="00234019"/>
    <w:rsid w:val="002340B6"/>
    <w:rsid w:val="002344E4"/>
    <w:rsid w:val="00234BA2"/>
    <w:rsid w:val="00234E96"/>
    <w:rsid w:val="00235582"/>
    <w:rsid w:val="002363B3"/>
    <w:rsid w:val="00236441"/>
    <w:rsid w:val="00236711"/>
    <w:rsid w:val="00236DF0"/>
    <w:rsid w:val="002370AB"/>
    <w:rsid w:val="002371B8"/>
    <w:rsid w:val="0023727E"/>
    <w:rsid w:val="00237872"/>
    <w:rsid w:val="00237A93"/>
    <w:rsid w:val="00237DEA"/>
    <w:rsid w:val="002410F9"/>
    <w:rsid w:val="002415CE"/>
    <w:rsid w:val="0024200B"/>
    <w:rsid w:val="00242159"/>
    <w:rsid w:val="002429D1"/>
    <w:rsid w:val="00242C1A"/>
    <w:rsid w:val="00243688"/>
    <w:rsid w:val="00243A9B"/>
    <w:rsid w:val="00243EE3"/>
    <w:rsid w:val="00244010"/>
    <w:rsid w:val="0024404E"/>
    <w:rsid w:val="00245AF9"/>
    <w:rsid w:val="00246084"/>
    <w:rsid w:val="00246409"/>
    <w:rsid w:val="00246AA0"/>
    <w:rsid w:val="00246B93"/>
    <w:rsid w:val="00246DA6"/>
    <w:rsid w:val="0025036C"/>
    <w:rsid w:val="00251AE4"/>
    <w:rsid w:val="00251D7A"/>
    <w:rsid w:val="0025230A"/>
    <w:rsid w:val="00252FD4"/>
    <w:rsid w:val="00253D2A"/>
    <w:rsid w:val="002546B7"/>
    <w:rsid w:val="002552D9"/>
    <w:rsid w:val="002559DC"/>
    <w:rsid w:val="00255D53"/>
    <w:rsid w:val="0025696C"/>
    <w:rsid w:val="00256C6F"/>
    <w:rsid w:val="0025775F"/>
    <w:rsid w:val="0026061E"/>
    <w:rsid w:val="00260CDE"/>
    <w:rsid w:val="00261F8D"/>
    <w:rsid w:val="002622FF"/>
    <w:rsid w:val="00262374"/>
    <w:rsid w:val="00262BC2"/>
    <w:rsid w:val="00262D7E"/>
    <w:rsid w:val="002636C8"/>
    <w:rsid w:val="00264509"/>
    <w:rsid w:val="0026455C"/>
    <w:rsid w:val="00264F62"/>
    <w:rsid w:val="00266740"/>
    <w:rsid w:val="00266863"/>
    <w:rsid w:val="00266E4C"/>
    <w:rsid w:val="00267625"/>
    <w:rsid w:val="00267C8D"/>
    <w:rsid w:val="00267CF8"/>
    <w:rsid w:val="00271091"/>
    <w:rsid w:val="002717B6"/>
    <w:rsid w:val="00271D82"/>
    <w:rsid w:val="0027312C"/>
    <w:rsid w:val="00273CFC"/>
    <w:rsid w:val="00274DD9"/>
    <w:rsid w:val="00275D3E"/>
    <w:rsid w:val="002768E8"/>
    <w:rsid w:val="00276CEC"/>
    <w:rsid w:val="00276E50"/>
    <w:rsid w:val="00277136"/>
    <w:rsid w:val="00277186"/>
    <w:rsid w:val="002806B1"/>
    <w:rsid w:val="00281172"/>
    <w:rsid w:val="002812A7"/>
    <w:rsid w:val="002815A5"/>
    <w:rsid w:val="00282A18"/>
    <w:rsid w:val="0028332A"/>
    <w:rsid w:val="00283AF4"/>
    <w:rsid w:val="00285D95"/>
    <w:rsid w:val="00285DBA"/>
    <w:rsid w:val="00285EEE"/>
    <w:rsid w:val="00286677"/>
    <w:rsid w:val="002868E3"/>
    <w:rsid w:val="002870D1"/>
    <w:rsid w:val="002874E2"/>
    <w:rsid w:val="00287E70"/>
    <w:rsid w:val="002906EA"/>
    <w:rsid w:val="00291450"/>
    <w:rsid w:val="002916EA"/>
    <w:rsid w:val="00291E9F"/>
    <w:rsid w:val="00292186"/>
    <w:rsid w:val="002930B2"/>
    <w:rsid w:val="002939F3"/>
    <w:rsid w:val="0029473D"/>
    <w:rsid w:val="00294841"/>
    <w:rsid w:val="00294BBA"/>
    <w:rsid w:val="00296819"/>
    <w:rsid w:val="00296B2E"/>
    <w:rsid w:val="00296E91"/>
    <w:rsid w:val="00296F29"/>
    <w:rsid w:val="00297214"/>
    <w:rsid w:val="002974AE"/>
    <w:rsid w:val="00297A67"/>
    <w:rsid w:val="00297CC9"/>
    <w:rsid w:val="00297E02"/>
    <w:rsid w:val="002A01D6"/>
    <w:rsid w:val="002A0458"/>
    <w:rsid w:val="002A0A4B"/>
    <w:rsid w:val="002A1124"/>
    <w:rsid w:val="002A1809"/>
    <w:rsid w:val="002A19C8"/>
    <w:rsid w:val="002A1B47"/>
    <w:rsid w:val="002A2F89"/>
    <w:rsid w:val="002A3119"/>
    <w:rsid w:val="002A32B3"/>
    <w:rsid w:val="002A5473"/>
    <w:rsid w:val="002A583A"/>
    <w:rsid w:val="002A67A8"/>
    <w:rsid w:val="002A6D1F"/>
    <w:rsid w:val="002A6DB1"/>
    <w:rsid w:val="002A71E9"/>
    <w:rsid w:val="002B02EC"/>
    <w:rsid w:val="002B09AC"/>
    <w:rsid w:val="002B13AE"/>
    <w:rsid w:val="002B1544"/>
    <w:rsid w:val="002B1F77"/>
    <w:rsid w:val="002B2376"/>
    <w:rsid w:val="002B2C97"/>
    <w:rsid w:val="002B3471"/>
    <w:rsid w:val="002B37E9"/>
    <w:rsid w:val="002B3DC1"/>
    <w:rsid w:val="002B4054"/>
    <w:rsid w:val="002B4164"/>
    <w:rsid w:val="002B47FC"/>
    <w:rsid w:val="002B4D02"/>
    <w:rsid w:val="002B6819"/>
    <w:rsid w:val="002B68E9"/>
    <w:rsid w:val="002B6D2E"/>
    <w:rsid w:val="002C0A5E"/>
    <w:rsid w:val="002C1140"/>
    <w:rsid w:val="002C1D8B"/>
    <w:rsid w:val="002C1EF2"/>
    <w:rsid w:val="002C2232"/>
    <w:rsid w:val="002C2881"/>
    <w:rsid w:val="002C3887"/>
    <w:rsid w:val="002C3F8C"/>
    <w:rsid w:val="002C5FEA"/>
    <w:rsid w:val="002C62EF"/>
    <w:rsid w:val="002C64F6"/>
    <w:rsid w:val="002C690A"/>
    <w:rsid w:val="002C6F50"/>
    <w:rsid w:val="002C75B6"/>
    <w:rsid w:val="002C7CD0"/>
    <w:rsid w:val="002C7E6E"/>
    <w:rsid w:val="002D0212"/>
    <w:rsid w:val="002D1496"/>
    <w:rsid w:val="002D14FD"/>
    <w:rsid w:val="002D2074"/>
    <w:rsid w:val="002D29B7"/>
    <w:rsid w:val="002D2F14"/>
    <w:rsid w:val="002D3480"/>
    <w:rsid w:val="002D41F7"/>
    <w:rsid w:val="002D4A04"/>
    <w:rsid w:val="002D4F03"/>
    <w:rsid w:val="002D60F0"/>
    <w:rsid w:val="002D6133"/>
    <w:rsid w:val="002D6721"/>
    <w:rsid w:val="002D7E35"/>
    <w:rsid w:val="002E022C"/>
    <w:rsid w:val="002E05CE"/>
    <w:rsid w:val="002E0C13"/>
    <w:rsid w:val="002E1AD0"/>
    <w:rsid w:val="002E1C00"/>
    <w:rsid w:val="002E1C1E"/>
    <w:rsid w:val="002E1FE5"/>
    <w:rsid w:val="002E26F9"/>
    <w:rsid w:val="002E3CC2"/>
    <w:rsid w:val="002E4645"/>
    <w:rsid w:val="002E49C1"/>
    <w:rsid w:val="002E4E28"/>
    <w:rsid w:val="002E535E"/>
    <w:rsid w:val="002E5625"/>
    <w:rsid w:val="002E67BC"/>
    <w:rsid w:val="002E6FE3"/>
    <w:rsid w:val="002E7099"/>
    <w:rsid w:val="002F00BC"/>
    <w:rsid w:val="002F0662"/>
    <w:rsid w:val="002F1423"/>
    <w:rsid w:val="002F15F5"/>
    <w:rsid w:val="002F2771"/>
    <w:rsid w:val="002F2FE0"/>
    <w:rsid w:val="002F3964"/>
    <w:rsid w:val="002F3D02"/>
    <w:rsid w:val="002F3E49"/>
    <w:rsid w:val="002F451A"/>
    <w:rsid w:val="002F5462"/>
    <w:rsid w:val="002F574E"/>
    <w:rsid w:val="002F65E5"/>
    <w:rsid w:val="002F6DEA"/>
    <w:rsid w:val="002F7379"/>
    <w:rsid w:val="002F7406"/>
    <w:rsid w:val="002F7DFF"/>
    <w:rsid w:val="003009F5"/>
    <w:rsid w:val="00300A12"/>
    <w:rsid w:val="00300AC6"/>
    <w:rsid w:val="00301444"/>
    <w:rsid w:val="003029FA"/>
    <w:rsid w:val="00302DAA"/>
    <w:rsid w:val="00302E0F"/>
    <w:rsid w:val="0030479A"/>
    <w:rsid w:val="00304DC3"/>
    <w:rsid w:val="0030510B"/>
    <w:rsid w:val="0030610B"/>
    <w:rsid w:val="003062C2"/>
    <w:rsid w:val="0030631E"/>
    <w:rsid w:val="003067B0"/>
    <w:rsid w:val="00306948"/>
    <w:rsid w:val="00310027"/>
    <w:rsid w:val="00310067"/>
    <w:rsid w:val="003108AF"/>
    <w:rsid w:val="003110CC"/>
    <w:rsid w:val="003121C1"/>
    <w:rsid w:val="00315521"/>
    <w:rsid w:val="00315568"/>
    <w:rsid w:val="00315C25"/>
    <w:rsid w:val="003166D2"/>
    <w:rsid w:val="00317743"/>
    <w:rsid w:val="003231BE"/>
    <w:rsid w:val="0032373B"/>
    <w:rsid w:val="00324244"/>
    <w:rsid w:val="00324558"/>
    <w:rsid w:val="003261E6"/>
    <w:rsid w:val="00326341"/>
    <w:rsid w:val="00326BDE"/>
    <w:rsid w:val="00327205"/>
    <w:rsid w:val="003274A4"/>
    <w:rsid w:val="003274B1"/>
    <w:rsid w:val="00327939"/>
    <w:rsid w:val="003304C3"/>
    <w:rsid w:val="00330877"/>
    <w:rsid w:val="003314E0"/>
    <w:rsid w:val="00331D1F"/>
    <w:rsid w:val="00331DCF"/>
    <w:rsid w:val="00332132"/>
    <w:rsid w:val="00332347"/>
    <w:rsid w:val="0033240E"/>
    <w:rsid w:val="00332CFD"/>
    <w:rsid w:val="00333A76"/>
    <w:rsid w:val="00334AC7"/>
    <w:rsid w:val="00334C69"/>
    <w:rsid w:val="00335D1F"/>
    <w:rsid w:val="003360AE"/>
    <w:rsid w:val="00336D61"/>
    <w:rsid w:val="00336F85"/>
    <w:rsid w:val="00337162"/>
    <w:rsid w:val="003372EB"/>
    <w:rsid w:val="003375A3"/>
    <w:rsid w:val="00337680"/>
    <w:rsid w:val="003401FD"/>
    <w:rsid w:val="0034043D"/>
    <w:rsid w:val="003405BF"/>
    <w:rsid w:val="00340B57"/>
    <w:rsid w:val="00340DA4"/>
    <w:rsid w:val="00341194"/>
    <w:rsid w:val="00341964"/>
    <w:rsid w:val="003419C9"/>
    <w:rsid w:val="00341FFA"/>
    <w:rsid w:val="003430E8"/>
    <w:rsid w:val="00343301"/>
    <w:rsid w:val="00343F35"/>
    <w:rsid w:val="003449BF"/>
    <w:rsid w:val="0034548A"/>
    <w:rsid w:val="00345AF6"/>
    <w:rsid w:val="0034706E"/>
    <w:rsid w:val="003475B9"/>
    <w:rsid w:val="00347867"/>
    <w:rsid w:val="0035018D"/>
    <w:rsid w:val="0035082C"/>
    <w:rsid w:val="00353989"/>
    <w:rsid w:val="00356CBD"/>
    <w:rsid w:val="00357E4F"/>
    <w:rsid w:val="0036004E"/>
    <w:rsid w:val="003606F3"/>
    <w:rsid w:val="0036159E"/>
    <w:rsid w:val="00361770"/>
    <w:rsid w:val="00361822"/>
    <w:rsid w:val="00362BCF"/>
    <w:rsid w:val="00363815"/>
    <w:rsid w:val="00363ABD"/>
    <w:rsid w:val="003648EE"/>
    <w:rsid w:val="003649F7"/>
    <w:rsid w:val="00364BF6"/>
    <w:rsid w:val="00364F99"/>
    <w:rsid w:val="003663DA"/>
    <w:rsid w:val="00366884"/>
    <w:rsid w:val="00366B13"/>
    <w:rsid w:val="00367E6B"/>
    <w:rsid w:val="0037119E"/>
    <w:rsid w:val="003717BB"/>
    <w:rsid w:val="00372238"/>
    <w:rsid w:val="003723E1"/>
    <w:rsid w:val="0037522A"/>
    <w:rsid w:val="003755EF"/>
    <w:rsid w:val="00375748"/>
    <w:rsid w:val="00375B83"/>
    <w:rsid w:val="00375DD1"/>
    <w:rsid w:val="00375EB8"/>
    <w:rsid w:val="00375F28"/>
    <w:rsid w:val="00376317"/>
    <w:rsid w:val="00376909"/>
    <w:rsid w:val="00376B47"/>
    <w:rsid w:val="00376C4D"/>
    <w:rsid w:val="00376F9A"/>
    <w:rsid w:val="00377AE4"/>
    <w:rsid w:val="00381053"/>
    <w:rsid w:val="0038348F"/>
    <w:rsid w:val="00385647"/>
    <w:rsid w:val="00385E21"/>
    <w:rsid w:val="003863C7"/>
    <w:rsid w:val="00387B37"/>
    <w:rsid w:val="0039079D"/>
    <w:rsid w:val="00390864"/>
    <w:rsid w:val="00390ABE"/>
    <w:rsid w:val="00390C21"/>
    <w:rsid w:val="00390C78"/>
    <w:rsid w:val="00391068"/>
    <w:rsid w:val="0039181B"/>
    <w:rsid w:val="00391C70"/>
    <w:rsid w:val="0039210F"/>
    <w:rsid w:val="003923FD"/>
    <w:rsid w:val="003926F6"/>
    <w:rsid w:val="003930EB"/>
    <w:rsid w:val="003936CA"/>
    <w:rsid w:val="00393CF6"/>
    <w:rsid w:val="00394076"/>
    <w:rsid w:val="003947A1"/>
    <w:rsid w:val="00394C19"/>
    <w:rsid w:val="003950FB"/>
    <w:rsid w:val="00395C50"/>
    <w:rsid w:val="003961A5"/>
    <w:rsid w:val="003961E2"/>
    <w:rsid w:val="00397E95"/>
    <w:rsid w:val="003A107C"/>
    <w:rsid w:val="003A1092"/>
    <w:rsid w:val="003A19A5"/>
    <w:rsid w:val="003A2221"/>
    <w:rsid w:val="003A22A7"/>
    <w:rsid w:val="003A494E"/>
    <w:rsid w:val="003A4E45"/>
    <w:rsid w:val="003A4FB4"/>
    <w:rsid w:val="003A6AFF"/>
    <w:rsid w:val="003A76DC"/>
    <w:rsid w:val="003B0E89"/>
    <w:rsid w:val="003B0EDC"/>
    <w:rsid w:val="003B10B2"/>
    <w:rsid w:val="003B12EA"/>
    <w:rsid w:val="003B18A5"/>
    <w:rsid w:val="003B18D6"/>
    <w:rsid w:val="003B1DE0"/>
    <w:rsid w:val="003B1E42"/>
    <w:rsid w:val="003B23B4"/>
    <w:rsid w:val="003B30F5"/>
    <w:rsid w:val="003B3379"/>
    <w:rsid w:val="003B3700"/>
    <w:rsid w:val="003B3A76"/>
    <w:rsid w:val="003B3AE6"/>
    <w:rsid w:val="003B3C47"/>
    <w:rsid w:val="003B3F96"/>
    <w:rsid w:val="003B5F15"/>
    <w:rsid w:val="003B62AD"/>
    <w:rsid w:val="003B683D"/>
    <w:rsid w:val="003B75F5"/>
    <w:rsid w:val="003B7BD7"/>
    <w:rsid w:val="003B7E00"/>
    <w:rsid w:val="003B7FC9"/>
    <w:rsid w:val="003C020A"/>
    <w:rsid w:val="003C072D"/>
    <w:rsid w:val="003C0E7A"/>
    <w:rsid w:val="003C11FF"/>
    <w:rsid w:val="003C12AF"/>
    <w:rsid w:val="003C1AA1"/>
    <w:rsid w:val="003C2BCB"/>
    <w:rsid w:val="003C2E09"/>
    <w:rsid w:val="003C30D3"/>
    <w:rsid w:val="003C367E"/>
    <w:rsid w:val="003C3F3B"/>
    <w:rsid w:val="003C4234"/>
    <w:rsid w:val="003C4BE4"/>
    <w:rsid w:val="003C4DE4"/>
    <w:rsid w:val="003C5FF5"/>
    <w:rsid w:val="003C60F0"/>
    <w:rsid w:val="003C6762"/>
    <w:rsid w:val="003C7286"/>
    <w:rsid w:val="003C796B"/>
    <w:rsid w:val="003C7EB7"/>
    <w:rsid w:val="003D0E91"/>
    <w:rsid w:val="003D1A80"/>
    <w:rsid w:val="003D1EF8"/>
    <w:rsid w:val="003D21DC"/>
    <w:rsid w:val="003D2365"/>
    <w:rsid w:val="003D260A"/>
    <w:rsid w:val="003D29EA"/>
    <w:rsid w:val="003D353E"/>
    <w:rsid w:val="003D368F"/>
    <w:rsid w:val="003D3860"/>
    <w:rsid w:val="003D3AD0"/>
    <w:rsid w:val="003D3C79"/>
    <w:rsid w:val="003D3CB1"/>
    <w:rsid w:val="003D4291"/>
    <w:rsid w:val="003D42B0"/>
    <w:rsid w:val="003D6C10"/>
    <w:rsid w:val="003D7079"/>
    <w:rsid w:val="003D7177"/>
    <w:rsid w:val="003D75C0"/>
    <w:rsid w:val="003D7C61"/>
    <w:rsid w:val="003E0539"/>
    <w:rsid w:val="003E07A0"/>
    <w:rsid w:val="003E0FC3"/>
    <w:rsid w:val="003E138D"/>
    <w:rsid w:val="003E1820"/>
    <w:rsid w:val="003E1D97"/>
    <w:rsid w:val="003E2A42"/>
    <w:rsid w:val="003E46A3"/>
    <w:rsid w:val="003E49BA"/>
    <w:rsid w:val="003E5366"/>
    <w:rsid w:val="003E5F15"/>
    <w:rsid w:val="003E644A"/>
    <w:rsid w:val="003E6B79"/>
    <w:rsid w:val="003E6E11"/>
    <w:rsid w:val="003E7655"/>
    <w:rsid w:val="003E7781"/>
    <w:rsid w:val="003E78DF"/>
    <w:rsid w:val="003E7FE7"/>
    <w:rsid w:val="003F00CB"/>
    <w:rsid w:val="003F0ADC"/>
    <w:rsid w:val="003F0FA7"/>
    <w:rsid w:val="003F1654"/>
    <w:rsid w:val="003F1900"/>
    <w:rsid w:val="003F1952"/>
    <w:rsid w:val="003F1EF5"/>
    <w:rsid w:val="003F2224"/>
    <w:rsid w:val="003F2677"/>
    <w:rsid w:val="003F3A8F"/>
    <w:rsid w:val="003F4352"/>
    <w:rsid w:val="003F489F"/>
    <w:rsid w:val="003F4DCF"/>
    <w:rsid w:val="003F5C80"/>
    <w:rsid w:val="003F6FF0"/>
    <w:rsid w:val="003F7332"/>
    <w:rsid w:val="003F741B"/>
    <w:rsid w:val="003F7700"/>
    <w:rsid w:val="003F781A"/>
    <w:rsid w:val="003F797C"/>
    <w:rsid w:val="00400B15"/>
    <w:rsid w:val="00401765"/>
    <w:rsid w:val="00401FAB"/>
    <w:rsid w:val="004024F2"/>
    <w:rsid w:val="00402515"/>
    <w:rsid w:val="00402803"/>
    <w:rsid w:val="004035CE"/>
    <w:rsid w:val="00404297"/>
    <w:rsid w:val="00404BD0"/>
    <w:rsid w:val="00404EB8"/>
    <w:rsid w:val="004051B8"/>
    <w:rsid w:val="004052BC"/>
    <w:rsid w:val="0040553C"/>
    <w:rsid w:val="004066C3"/>
    <w:rsid w:val="004073F7"/>
    <w:rsid w:val="004079F9"/>
    <w:rsid w:val="00407F65"/>
    <w:rsid w:val="00410831"/>
    <w:rsid w:val="00410DA2"/>
    <w:rsid w:val="00411AEF"/>
    <w:rsid w:val="00412EA0"/>
    <w:rsid w:val="00413507"/>
    <w:rsid w:val="00413CBC"/>
    <w:rsid w:val="00415C77"/>
    <w:rsid w:val="00416A6E"/>
    <w:rsid w:val="004170BF"/>
    <w:rsid w:val="00417609"/>
    <w:rsid w:val="00417D85"/>
    <w:rsid w:val="0042014C"/>
    <w:rsid w:val="004213EA"/>
    <w:rsid w:val="004217A6"/>
    <w:rsid w:val="00422341"/>
    <w:rsid w:val="00422A0F"/>
    <w:rsid w:val="004230D9"/>
    <w:rsid w:val="0042365F"/>
    <w:rsid w:val="00423CEB"/>
    <w:rsid w:val="00423DBC"/>
    <w:rsid w:val="00425105"/>
    <w:rsid w:val="004271CC"/>
    <w:rsid w:val="004279A3"/>
    <w:rsid w:val="00427FD3"/>
    <w:rsid w:val="00430FFC"/>
    <w:rsid w:val="004314E1"/>
    <w:rsid w:val="00431D5F"/>
    <w:rsid w:val="00432002"/>
    <w:rsid w:val="00433107"/>
    <w:rsid w:val="004334F5"/>
    <w:rsid w:val="004338BD"/>
    <w:rsid w:val="00433B38"/>
    <w:rsid w:val="00434E68"/>
    <w:rsid w:val="004350CF"/>
    <w:rsid w:val="004363DB"/>
    <w:rsid w:val="00436A11"/>
    <w:rsid w:val="00436E4A"/>
    <w:rsid w:val="00437B27"/>
    <w:rsid w:val="00437CD7"/>
    <w:rsid w:val="00440237"/>
    <w:rsid w:val="00440582"/>
    <w:rsid w:val="004406B9"/>
    <w:rsid w:val="0044117C"/>
    <w:rsid w:val="004412DD"/>
    <w:rsid w:val="00441A4C"/>
    <w:rsid w:val="00441B90"/>
    <w:rsid w:val="004427DE"/>
    <w:rsid w:val="0044309F"/>
    <w:rsid w:val="00443F01"/>
    <w:rsid w:val="00444671"/>
    <w:rsid w:val="00445221"/>
    <w:rsid w:val="00445298"/>
    <w:rsid w:val="0044558B"/>
    <w:rsid w:val="0044569A"/>
    <w:rsid w:val="004466E4"/>
    <w:rsid w:val="004466F9"/>
    <w:rsid w:val="0044684E"/>
    <w:rsid w:val="00446F2A"/>
    <w:rsid w:val="004470F7"/>
    <w:rsid w:val="004471C1"/>
    <w:rsid w:val="0045018F"/>
    <w:rsid w:val="004505D4"/>
    <w:rsid w:val="004505E5"/>
    <w:rsid w:val="00450926"/>
    <w:rsid w:val="004509E3"/>
    <w:rsid w:val="004513C0"/>
    <w:rsid w:val="004515E9"/>
    <w:rsid w:val="004517AE"/>
    <w:rsid w:val="00451AD9"/>
    <w:rsid w:val="00452387"/>
    <w:rsid w:val="00452BA1"/>
    <w:rsid w:val="00452BD2"/>
    <w:rsid w:val="00452F12"/>
    <w:rsid w:val="0045313E"/>
    <w:rsid w:val="004532BF"/>
    <w:rsid w:val="00453A84"/>
    <w:rsid w:val="00453CC1"/>
    <w:rsid w:val="00453E46"/>
    <w:rsid w:val="00454F6F"/>
    <w:rsid w:val="00454FE5"/>
    <w:rsid w:val="0045555F"/>
    <w:rsid w:val="00455E93"/>
    <w:rsid w:val="004565B5"/>
    <w:rsid w:val="00457938"/>
    <w:rsid w:val="00460558"/>
    <w:rsid w:val="004607D3"/>
    <w:rsid w:val="0046103A"/>
    <w:rsid w:val="00461105"/>
    <w:rsid w:val="00461322"/>
    <w:rsid w:val="0046336A"/>
    <w:rsid w:val="00463DCE"/>
    <w:rsid w:val="00464645"/>
    <w:rsid w:val="004647F3"/>
    <w:rsid w:val="00464AC8"/>
    <w:rsid w:val="00464FD2"/>
    <w:rsid w:val="00465206"/>
    <w:rsid w:val="0046638A"/>
    <w:rsid w:val="00466DCC"/>
    <w:rsid w:val="00466E9E"/>
    <w:rsid w:val="00467003"/>
    <w:rsid w:val="004670C8"/>
    <w:rsid w:val="00467E9F"/>
    <w:rsid w:val="004700D0"/>
    <w:rsid w:val="00471FB0"/>
    <w:rsid w:val="00473614"/>
    <w:rsid w:val="0047361E"/>
    <w:rsid w:val="00474643"/>
    <w:rsid w:val="00474CBF"/>
    <w:rsid w:val="00474D46"/>
    <w:rsid w:val="004761FC"/>
    <w:rsid w:val="00476F73"/>
    <w:rsid w:val="004802B0"/>
    <w:rsid w:val="00481B90"/>
    <w:rsid w:val="00481F7C"/>
    <w:rsid w:val="00482102"/>
    <w:rsid w:val="00482D3C"/>
    <w:rsid w:val="00483577"/>
    <w:rsid w:val="004843D6"/>
    <w:rsid w:val="004847A7"/>
    <w:rsid w:val="004847B5"/>
    <w:rsid w:val="00484C48"/>
    <w:rsid w:val="00485B99"/>
    <w:rsid w:val="00485C27"/>
    <w:rsid w:val="00485FAD"/>
    <w:rsid w:val="004860A3"/>
    <w:rsid w:val="00486736"/>
    <w:rsid w:val="00487B2A"/>
    <w:rsid w:val="004917CA"/>
    <w:rsid w:val="00492028"/>
    <w:rsid w:val="0049203A"/>
    <w:rsid w:val="004923B7"/>
    <w:rsid w:val="00492433"/>
    <w:rsid w:val="00493401"/>
    <w:rsid w:val="00493AF9"/>
    <w:rsid w:val="0049400B"/>
    <w:rsid w:val="00494D2A"/>
    <w:rsid w:val="00494D8C"/>
    <w:rsid w:val="00494EC9"/>
    <w:rsid w:val="00495555"/>
    <w:rsid w:val="004968E1"/>
    <w:rsid w:val="0049747E"/>
    <w:rsid w:val="00497E7C"/>
    <w:rsid w:val="00497FC9"/>
    <w:rsid w:val="004A0742"/>
    <w:rsid w:val="004A0DCC"/>
    <w:rsid w:val="004A1778"/>
    <w:rsid w:val="004A22B6"/>
    <w:rsid w:val="004A35CE"/>
    <w:rsid w:val="004A3CE7"/>
    <w:rsid w:val="004A3FD7"/>
    <w:rsid w:val="004A58AC"/>
    <w:rsid w:val="004A5B00"/>
    <w:rsid w:val="004A5BDE"/>
    <w:rsid w:val="004A7262"/>
    <w:rsid w:val="004A796A"/>
    <w:rsid w:val="004A7A11"/>
    <w:rsid w:val="004A7C97"/>
    <w:rsid w:val="004A7E15"/>
    <w:rsid w:val="004B0083"/>
    <w:rsid w:val="004B0711"/>
    <w:rsid w:val="004B0E97"/>
    <w:rsid w:val="004B16B3"/>
    <w:rsid w:val="004B1928"/>
    <w:rsid w:val="004B229C"/>
    <w:rsid w:val="004B2360"/>
    <w:rsid w:val="004B2716"/>
    <w:rsid w:val="004B2C5C"/>
    <w:rsid w:val="004B2CBC"/>
    <w:rsid w:val="004B3DEC"/>
    <w:rsid w:val="004B3EBB"/>
    <w:rsid w:val="004B45A0"/>
    <w:rsid w:val="004B4D01"/>
    <w:rsid w:val="004B6258"/>
    <w:rsid w:val="004B63D6"/>
    <w:rsid w:val="004B6849"/>
    <w:rsid w:val="004B6C9D"/>
    <w:rsid w:val="004B6F72"/>
    <w:rsid w:val="004B74D5"/>
    <w:rsid w:val="004B79DA"/>
    <w:rsid w:val="004B7C2E"/>
    <w:rsid w:val="004B7E94"/>
    <w:rsid w:val="004B7FED"/>
    <w:rsid w:val="004C1520"/>
    <w:rsid w:val="004C2616"/>
    <w:rsid w:val="004C27E6"/>
    <w:rsid w:val="004C2AC4"/>
    <w:rsid w:val="004C5618"/>
    <w:rsid w:val="004C5933"/>
    <w:rsid w:val="004C5AC0"/>
    <w:rsid w:val="004C605A"/>
    <w:rsid w:val="004C6398"/>
    <w:rsid w:val="004C6F6C"/>
    <w:rsid w:val="004C7335"/>
    <w:rsid w:val="004C75F8"/>
    <w:rsid w:val="004C7DDB"/>
    <w:rsid w:val="004D1416"/>
    <w:rsid w:val="004D159E"/>
    <w:rsid w:val="004D1D2F"/>
    <w:rsid w:val="004D1F57"/>
    <w:rsid w:val="004D21C7"/>
    <w:rsid w:val="004D2547"/>
    <w:rsid w:val="004D3C75"/>
    <w:rsid w:val="004D407F"/>
    <w:rsid w:val="004D460E"/>
    <w:rsid w:val="004D4962"/>
    <w:rsid w:val="004D4988"/>
    <w:rsid w:val="004D49FC"/>
    <w:rsid w:val="004D4A78"/>
    <w:rsid w:val="004D60B7"/>
    <w:rsid w:val="004D6C9E"/>
    <w:rsid w:val="004D6E06"/>
    <w:rsid w:val="004D7754"/>
    <w:rsid w:val="004D7CC1"/>
    <w:rsid w:val="004E00DF"/>
    <w:rsid w:val="004E0392"/>
    <w:rsid w:val="004E16B3"/>
    <w:rsid w:val="004E1903"/>
    <w:rsid w:val="004E2131"/>
    <w:rsid w:val="004E46DF"/>
    <w:rsid w:val="004E4751"/>
    <w:rsid w:val="004E49E2"/>
    <w:rsid w:val="004E55D8"/>
    <w:rsid w:val="004E5B39"/>
    <w:rsid w:val="004E637E"/>
    <w:rsid w:val="004E68B1"/>
    <w:rsid w:val="004E7E36"/>
    <w:rsid w:val="004F1686"/>
    <w:rsid w:val="004F1727"/>
    <w:rsid w:val="004F18A0"/>
    <w:rsid w:val="004F1D4C"/>
    <w:rsid w:val="004F24F8"/>
    <w:rsid w:val="004F259B"/>
    <w:rsid w:val="004F307F"/>
    <w:rsid w:val="004F47B4"/>
    <w:rsid w:val="004F4A4B"/>
    <w:rsid w:val="004F64A7"/>
    <w:rsid w:val="004F6665"/>
    <w:rsid w:val="004F6E25"/>
    <w:rsid w:val="004F719B"/>
    <w:rsid w:val="004F7765"/>
    <w:rsid w:val="004F7ACF"/>
    <w:rsid w:val="005000E4"/>
    <w:rsid w:val="0050043B"/>
    <w:rsid w:val="005004C0"/>
    <w:rsid w:val="00501EFF"/>
    <w:rsid w:val="00502AC6"/>
    <w:rsid w:val="00503DE6"/>
    <w:rsid w:val="00503FCB"/>
    <w:rsid w:val="005047B7"/>
    <w:rsid w:val="005052FC"/>
    <w:rsid w:val="005056ED"/>
    <w:rsid w:val="00505BE6"/>
    <w:rsid w:val="00506273"/>
    <w:rsid w:val="0050666F"/>
    <w:rsid w:val="0050685A"/>
    <w:rsid w:val="0050688E"/>
    <w:rsid w:val="005069AA"/>
    <w:rsid w:val="00507F66"/>
    <w:rsid w:val="005108DF"/>
    <w:rsid w:val="00510A16"/>
    <w:rsid w:val="0051194D"/>
    <w:rsid w:val="0051216D"/>
    <w:rsid w:val="005127A3"/>
    <w:rsid w:val="00514098"/>
    <w:rsid w:val="00514854"/>
    <w:rsid w:val="00514EB7"/>
    <w:rsid w:val="005155ED"/>
    <w:rsid w:val="00515ADF"/>
    <w:rsid w:val="00517428"/>
    <w:rsid w:val="00517629"/>
    <w:rsid w:val="00517E28"/>
    <w:rsid w:val="00517FC1"/>
    <w:rsid w:val="00520155"/>
    <w:rsid w:val="00520968"/>
    <w:rsid w:val="005218C5"/>
    <w:rsid w:val="00521915"/>
    <w:rsid w:val="005221BB"/>
    <w:rsid w:val="005222C3"/>
    <w:rsid w:val="005223D0"/>
    <w:rsid w:val="0052293F"/>
    <w:rsid w:val="005244C9"/>
    <w:rsid w:val="005248B7"/>
    <w:rsid w:val="00524D94"/>
    <w:rsid w:val="00525A29"/>
    <w:rsid w:val="00526863"/>
    <w:rsid w:val="00526D31"/>
    <w:rsid w:val="005270F9"/>
    <w:rsid w:val="005304DC"/>
    <w:rsid w:val="005305D1"/>
    <w:rsid w:val="005307FF"/>
    <w:rsid w:val="00530BD2"/>
    <w:rsid w:val="00530D65"/>
    <w:rsid w:val="00530F01"/>
    <w:rsid w:val="005319F6"/>
    <w:rsid w:val="00531B0D"/>
    <w:rsid w:val="00532EA1"/>
    <w:rsid w:val="00533062"/>
    <w:rsid w:val="0053369E"/>
    <w:rsid w:val="00533CC8"/>
    <w:rsid w:val="0053478A"/>
    <w:rsid w:val="00534FE9"/>
    <w:rsid w:val="00536517"/>
    <w:rsid w:val="005367C1"/>
    <w:rsid w:val="00536AB8"/>
    <w:rsid w:val="00537D0F"/>
    <w:rsid w:val="00537E65"/>
    <w:rsid w:val="005403E1"/>
    <w:rsid w:val="00541936"/>
    <w:rsid w:val="00541BF6"/>
    <w:rsid w:val="0054220A"/>
    <w:rsid w:val="00542505"/>
    <w:rsid w:val="0054261E"/>
    <w:rsid w:val="005432C3"/>
    <w:rsid w:val="00543BA8"/>
    <w:rsid w:val="005441AE"/>
    <w:rsid w:val="00545A4B"/>
    <w:rsid w:val="00546275"/>
    <w:rsid w:val="00546E87"/>
    <w:rsid w:val="005471ED"/>
    <w:rsid w:val="00547417"/>
    <w:rsid w:val="00550172"/>
    <w:rsid w:val="00550426"/>
    <w:rsid w:val="00550C8E"/>
    <w:rsid w:val="00550CE7"/>
    <w:rsid w:val="00550D29"/>
    <w:rsid w:val="00552D5E"/>
    <w:rsid w:val="00552FB2"/>
    <w:rsid w:val="0055422B"/>
    <w:rsid w:val="00554DB4"/>
    <w:rsid w:val="0055620B"/>
    <w:rsid w:val="005567B3"/>
    <w:rsid w:val="005576F4"/>
    <w:rsid w:val="005600DF"/>
    <w:rsid w:val="00561642"/>
    <w:rsid w:val="005627A5"/>
    <w:rsid w:val="00562C33"/>
    <w:rsid w:val="00563C6F"/>
    <w:rsid w:val="00563DEE"/>
    <w:rsid w:val="005648CF"/>
    <w:rsid w:val="00564E84"/>
    <w:rsid w:val="00564F21"/>
    <w:rsid w:val="00565B32"/>
    <w:rsid w:val="0056654A"/>
    <w:rsid w:val="00567278"/>
    <w:rsid w:val="0056752D"/>
    <w:rsid w:val="0057060C"/>
    <w:rsid w:val="005708D7"/>
    <w:rsid w:val="00570BA9"/>
    <w:rsid w:val="0057157D"/>
    <w:rsid w:val="00571652"/>
    <w:rsid w:val="005723D3"/>
    <w:rsid w:val="00572E68"/>
    <w:rsid w:val="0057337D"/>
    <w:rsid w:val="00573556"/>
    <w:rsid w:val="00573AC8"/>
    <w:rsid w:val="00573D2F"/>
    <w:rsid w:val="00574E1A"/>
    <w:rsid w:val="00574F7F"/>
    <w:rsid w:val="0057523A"/>
    <w:rsid w:val="005763F1"/>
    <w:rsid w:val="00576984"/>
    <w:rsid w:val="00576AFC"/>
    <w:rsid w:val="00577598"/>
    <w:rsid w:val="00577BD5"/>
    <w:rsid w:val="00577CF7"/>
    <w:rsid w:val="0058224A"/>
    <w:rsid w:val="00582319"/>
    <w:rsid w:val="0058247E"/>
    <w:rsid w:val="00582B5C"/>
    <w:rsid w:val="00582F0C"/>
    <w:rsid w:val="0058356F"/>
    <w:rsid w:val="00583B66"/>
    <w:rsid w:val="005843DE"/>
    <w:rsid w:val="00584735"/>
    <w:rsid w:val="0058576F"/>
    <w:rsid w:val="00585D7F"/>
    <w:rsid w:val="00590CEB"/>
    <w:rsid w:val="00591C13"/>
    <w:rsid w:val="00592BA7"/>
    <w:rsid w:val="00592E6C"/>
    <w:rsid w:val="00593292"/>
    <w:rsid w:val="00593412"/>
    <w:rsid w:val="00593627"/>
    <w:rsid w:val="00593BF7"/>
    <w:rsid w:val="00595D28"/>
    <w:rsid w:val="00596417"/>
    <w:rsid w:val="005967D7"/>
    <w:rsid w:val="0059682F"/>
    <w:rsid w:val="005969FB"/>
    <w:rsid w:val="00596AE3"/>
    <w:rsid w:val="005971CA"/>
    <w:rsid w:val="00597F17"/>
    <w:rsid w:val="005A04B2"/>
    <w:rsid w:val="005A055A"/>
    <w:rsid w:val="005A076B"/>
    <w:rsid w:val="005A17E6"/>
    <w:rsid w:val="005A1AE9"/>
    <w:rsid w:val="005A2E31"/>
    <w:rsid w:val="005A3506"/>
    <w:rsid w:val="005A4581"/>
    <w:rsid w:val="005A4944"/>
    <w:rsid w:val="005A4FDE"/>
    <w:rsid w:val="005A547F"/>
    <w:rsid w:val="005A57EE"/>
    <w:rsid w:val="005A5E7B"/>
    <w:rsid w:val="005A61B9"/>
    <w:rsid w:val="005A623A"/>
    <w:rsid w:val="005B00B8"/>
    <w:rsid w:val="005B0AA0"/>
    <w:rsid w:val="005B3798"/>
    <w:rsid w:val="005B3C13"/>
    <w:rsid w:val="005B40A2"/>
    <w:rsid w:val="005B4C53"/>
    <w:rsid w:val="005B4E72"/>
    <w:rsid w:val="005B6080"/>
    <w:rsid w:val="005B6B53"/>
    <w:rsid w:val="005B6C3D"/>
    <w:rsid w:val="005B6F47"/>
    <w:rsid w:val="005B7B33"/>
    <w:rsid w:val="005C07C9"/>
    <w:rsid w:val="005C0F27"/>
    <w:rsid w:val="005C1F7D"/>
    <w:rsid w:val="005C209A"/>
    <w:rsid w:val="005C2405"/>
    <w:rsid w:val="005C2C43"/>
    <w:rsid w:val="005C36D1"/>
    <w:rsid w:val="005C3B05"/>
    <w:rsid w:val="005C3CDA"/>
    <w:rsid w:val="005C5269"/>
    <w:rsid w:val="005C5BDA"/>
    <w:rsid w:val="005C63E1"/>
    <w:rsid w:val="005D0724"/>
    <w:rsid w:val="005D0963"/>
    <w:rsid w:val="005D0B62"/>
    <w:rsid w:val="005D0C3F"/>
    <w:rsid w:val="005D0CD7"/>
    <w:rsid w:val="005D13B5"/>
    <w:rsid w:val="005D18D6"/>
    <w:rsid w:val="005D29AA"/>
    <w:rsid w:val="005D362C"/>
    <w:rsid w:val="005D3CA2"/>
    <w:rsid w:val="005D550E"/>
    <w:rsid w:val="005D5512"/>
    <w:rsid w:val="005D6080"/>
    <w:rsid w:val="005D629D"/>
    <w:rsid w:val="005D6516"/>
    <w:rsid w:val="005D6648"/>
    <w:rsid w:val="005D6BC4"/>
    <w:rsid w:val="005D77DA"/>
    <w:rsid w:val="005E0262"/>
    <w:rsid w:val="005E1704"/>
    <w:rsid w:val="005E2168"/>
    <w:rsid w:val="005E2C01"/>
    <w:rsid w:val="005E2CE8"/>
    <w:rsid w:val="005E2F61"/>
    <w:rsid w:val="005E3501"/>
    <w:rsid w:val="005E49F0"/>
    <w:rsid w:val="005E5001"/>
    <w:rsid w:val="005E5194"/>
    <w:rsid w:val="005E5261"/>
    <w:rsid w:val="005E5436"/>
    <w:rsid w:val="005E5AAA"/>
    <w:rsid w:val="005E5CCA"/>
    <w:rsid w:val="005F0E80"/>
    <w:rsid w:val="005F0E97"/>
    <w:rsid w:val="005F15A2"/>
    <w:rsid w:val="005F1CE7"/>
    <w:rsid w:val="005F23FF"/>
    <w:rsid w:val="005F2B01"/>
    <w:rsid w:val="005F3BE6"/>
    <w:rsid w:val="005F3D7B"/>
    <w:rsid w:val="005F465A"/>
    <w:rsid w:val="005F5088"/>
    <w:rsid w:val="005F525A"/>
    <w:rsid w:val="005F54F5"/>
    <w:rsid w:val="005F57A0"/>
    <w:rsid w:val="005F5A25"/>
    <w:rsid w:val="005F68FD"/>
    <w:rsid w:val="005F74C0"/>
    <w:rsid w:val="005F79C4"/>
    <w:rsid w:val="00600044"/>
    <w:rsid w:val="0060022C"/>
    <w:rsid w:val="00600663"/>
    <w:rsid w:val="00600ABC"/>
    <w:rsid w:val="00600B90"/>
    <w:rsid w:val="00600C49"/>
    <w:rsid w:val="00600CC4"/>
    <w:rsid w:val="00601273"/>
    <w:rsid w:val="00601792"/>
    <w:rsid w:val="00601990"/>
    <w:rsid w:val="00601AF9"/>
    <w:rsid w:val="0060320D"/>
    <w:rsid w:val="00604200"/>
    <w:rsid w:val="00604792"/>
    <w:rsid w:val="00605199"/>
    <w:rsid w:val="0060528E"/>
    <w:rsid w:val="006054C0"/>
    <w:rsid w:val="006054C7"/>
    <w:rsid w:val="00605AAD"/>
    <w:rsid w:val="0060622E"/>
    <w:rsid w:val="00606532"/>
    <w:rsid w:val="00606A1C"/>
    <w:rsid w:val="006071EB"/>
    <w:rsid w:val="006074A1"/>
    <w:rsid w:val="00607748"/>
    <w:rsid w:val="00610229"/>
    <w:rsid w:val="0061071F"/>
    <w:rsid w:val="00611398"/>
    <w:rsid w:val="00611B1F"/>
    <w:rsid w:val="00612357"/>
    <w:rsid w:val="006123F3"/>
    <w:rsid w:val="006126B6"/>
    <w:rsid w:val="00612FB3"/>
    <w:rsid w:val="006142D8"/>
    <w:rsid w:val="00614F9E"/>
    <w:rsid w:val="00615410"/>
    <w:rsid w:val="00615CAB"/>
    <w:rsid w:val="0061636D"/>
    <w:rsid w:val="0061694F"/>
    <w:rsid w:val="006175AE"/>
    <w:rsid w:val="00617A17"/>
    <w:rsid w:val="00620C59"/>
    <w:rsid w:val="0062181F"/>
    <w:rsid w:val="00621FF0"/>
    <w:rsid w:val="00622137"/>
    <w:rsid w:val="00622D9A"/>
    <w:rsid w:val="00622EB9"/>
    <w:rsid w:val="0062343A"/>
    <w:rsid w:val="00623614"/>
    <w:rsid w:val="00623BED"/>
    <w:rsid w:val="00624537"/>
    <w:rsid w:val="006247B7"/>
    <w:rsid w:val="00624C5E"/>
    <w:rsid w:val="00624E5A"/>
    <w:rsid w:val="006254F6"/>
    <w:rsid w:val="00625B8B"/>
    <w:rsid w:val="006260A7"/>
    <w:rsid w:val="00626338"/>
    <w:rsid w:val="00626343"/>
    <w:rsid w:val="00626762"/>
    <w:rsid w:val="00626FD8"/>
    <w:rsid w:val="0062727E"/>
    <w:rsid w:val="00627341"/>
    <w:rsid w:val="00627953"/>
    <w:rsid w:val="00627EE2"/>
    <w:rsid w:val="006303C9"/>
    <w:rsid w:val="00632463"/>
    <w:rsid w:val="00633177"/>
    <w:rsid w:val="00633F89"/>
    <w:rsid w:val="0063447E"/>
    <w:rsid w:val="00635891"/>
    <w:rsid w:val="00635D9B"/>
    <w:rsid w:val="00637A9C"/>
    <w:rsid w:val="00637C83"/>
    <w:rsid w:val="00637FAF"/>
    <w:rsid w:val="006406BA"/>
    <w:rsid w:val="00640974"/>
    <w:rsid w:val="00640DEA"/>
    <w:rsid w:val="006418A6"/>
    <w:rsid w:val="00641D2C"/>
    <w:rsid w:val="0064284B"/>
    <w:rsid w:val="006428AC"/>
    <w:rsid w:val="00642FFD"/>
    <w:rsid w:val="00643048"/>
    <w:rsid w:val="00643079"/>
    <w:rsid w:val="00644640"/>
    <w:rsid w:val="006463BD"/>
    <w:rsid w:val="006464CD"/>
    <w:rsid w:val="00646B28"/>
    <w:rsid w:val="00646CD7"/>
    <w:rsid w:val="00646D0B"/>
    <w:rsid w:val="0064789E"/>
    <w:rsid w:val="006508CF"/>
    <w:rsid w:val="00650A08"/>
    <w:rsid w:val="00650D85"/>
    <w:rsid w:val="00651379"/>
    <w:rsid w:val="00651677"/>
    <w:rsid w:val="0065192F"/>
    <w:rsid w:val="00652062"/>
    <w:rsid w:val="0065248C"/>
    <w:rsid w:val="006528C9"/>
    <w:rsid w:val="00653D6D"/>
    <w:rsid w:val="00654331"/>
    <w:rsid w:val="006560F2"/>
    <w:rsid w:val="00656C20"/>
    <w:rsid w:val="00656C61"/>
    <w:rsid w:val="00657B41"/>
    <w:rsid w:val="00660E7F"/>
    <w:rsid w:val="00660FAE"/>
    <w:rsid w:val="00662323"/>
    <w:rsid w:val="00664478"/>
    <w:rsid w:val="00664618"/>
    <w:rsid w:val="00664C7F"/>
    <w:rsid w:val="006651BD"/>
    <w:rsid w:val="006651E5"/>
    <w:rsid w:val="00665829"/>
    <w:rsid w:val="00666A3C"/>
    <w:rsid w:val="00666A40"/>
    <w:rsid w:val="00666D38"/>
    <w:rsid w:val="006673E8"/>
    <w:rsid w:val="006678A7"/>
    <w:rsid w:val="006702D2"/>
    <w:rsid w:val="00670ADF"/>
    <w:rsid w:val="00671711"/>
    <w:rsid w:val="00671DEE"/>
    <w:rsid w:val="00671EC0"/>
    <w:rsid w:val="00672300"/>
    <w:rsid w:val="00672324"/>
    <w:rsid w:val="0067246C"/>
    <w:rsid w:val="00672569"/>
    <w:rsid w:val="0067262A"/>
    <w:rsid w:val="00672636"/>
    <w:rsid w:val="00673A62"/>
    <w:rsid w:val="006742C7"/>
    <w:rsid w:val="0067470A"/>
    <w:rsid w:val="006749BE"/>
    <w:rsid w:val="006752A2"/>
    <w:rsid w:val="0067565A"/>
    <w:rsid w:val="006756D6"/>
    <w:rsid w:val="00675911"/>
    <w:rsid w:val="00676811"/>
    <w:rsid w:val="00676951"/>
    <w:rsid w:val="00676A6A"/>
    <w:rsid w:val="00676AD8"/>
    <w:rsid w:val="00676F48"/>
    <w:rsid w:val="00677124"/>
    <w:rsid w:val="0067714B"/>
    <w:rsid w:val="006771EE"/>
    <w:rsid w:val="0067770B"/>
    <w:rsid w:val="0068018F"/>
    <w:rsid w:val="00680CEC"/>
    <w:rsid w:val="0068132E"/>
    <w:rsid w:val="0068177E"/>
    <w:rsid w:val="006818DD"/>
    <w:rsid w:val="00681AFF"/>
    <w:rsid w:val="00681E7F"/>
    <w:rsid w:val="00682439"/>
    <w:rsid w:val="006824D4"/>
    <w:rsid w:val="00682A88"/>
    <w:rsid w:val="006837E7"/>
    <w:rsid w:val="00683A38"/>
    <w:rsid w:val="006852C6"/>
    <w:rsid w:val="006858B8"/>
    <w:rsid w:val="006859D6"/>
    <w:rsid w:val="00685D79"/>
    <w:rsid w:val="00686056"/>
    <w:rsid w:val="00686A1C"/>
    <w:rsid w:val="00686AC8"/>
    <w:rsid w:val="00686BDA"/>
    <w:rsid w:val="00686E8E"/>
    <w:rsid w:val="00687804"/>
    <w:rsid w:val="00687E68"/>
    <w:rsid w:val="00690F7C"/>
    <w:rsid w:val="00691956"/>
    <w:rsid w:val="00691C32"/>
    <w:rsid w:val="00691D2B"/>
    <w:rsid w:val="00691E61"/>
    <w:rsid w:val="0069217B"/>
    <w:rsid w:val="006922CE"/>
    <w:rsid w:val="00692C16"/>
    <w:rsid w:val="0069391B"/>
    <w:rsid w:val="00693A8E"/>
    <w:rsid w:val="00693D3D"/>
    <w:rsid w:val="006946AF"/>
    <w:rsid w:val="00694B57"/>
    <w:rsid w:val="00695628"/>
    <w:rsid w:val="00695808"/>
    <w:rsid w:val="00697540"/>
    <w:rsid w:val="006A04AB"/>
    <w:rsid w:val="006A0707"/>
    <w:rsid w:val="006A0AD9"/>
    <w:rsid w:val="006A104F"/>
    <w:rsid w:val="006A14FD"/>
    <w:rsid w:val="006A29E3"/>
    <w:rsid w:val="006A31AB"/>
    <w:rsid w:val="006A3944"/>
    <w:rsid w:val="006A473D"/>
    <w:rsid w:val="006A4A8C"/>
    <w:rsid w:val="006A5398"/>
    <w:rsid w:val="006A67E8"/>
    <w:rsid w:val="006A6B52"/>
    <w:rsid w:val="006A73C6"/>
    <w:rsid w:val="006B0037"/>
    <w:rsid w:val="006B0513"/>
    <w:rsid w:val="006B09C5"/>
    <w:rsid w:val="006B16E0"/>
    <w:rsid w:val="006B24BB"/>
    <w:rsid w:val="006B29EA"/>
    <w:rsid w:val="006B30D1"/>
    <w:rsid w:val="006B474D"/>
    <w:rsid w:val="006B4816"/>
    <w:rsid w:val="006B4AD3"/>
    <w:rsid w:val="006B4CDF"/>
    <w:rsid w:val="006B4D10"/>
    <w:rsid w:val="006B5BB5"/>
    <w:rsid w:val="006B63B5"/>
    <w:rsid w:val="006B7536"/>
    <w:rsid w:val="006B7E4D"/>
    <w:rsid w:val="006C02E4"/>
    <w:rsid w:val="006C0DA3"/>
    <w:rsid w:val="006C10FA"/>
    <w:rsid w:val="006C1B91"/>
    <w:rsid w:val="006C2121"/>
    <w:rsid w:val="006C2D69"/>
    <w:rsid w:val="006C3291"/>
    <w:rsid w:val="006C34F2"/>
    <w:rsid w:val="006C39F5"/>
    <w:rsid w:val="006C3B78"/>
    <w:rsid w:val="006C5AD3"/>
    <w:rsid w:val="006C617F"/>
    <w:rsid w:val="006C7339"/>
    <w:rsid w:val="006C74B8"/>
    <w:rsid w:val="006D01CB"/>
    <w:rsid w:val="006D07BE"/>
    <w:rsid w:val="006D0E57"/>
    <w:rsid w:val="006D1220"/>
    <w:rsid w:val="006D1441"/>
    <w:rsid w:val="006D24D6"/>
    <w:rsid w:val="006D2666"/>
    <w:rsid w:val="006D2816"/>
    <w:rsid w:val="006D3636"/>
    <w:rsid w:val="006D3848"/>
    <w:rsid w:val="006D413B"/>
    <w:rsid w:val="006D4359"/>
    <w:rsid w:val="006D481B"/>
    <w:rsid w:val="006D4C38"/>
    <w:rsid w:val="006D4E75"/>
    <w:rsid w:val="006D5FF7"/>
    <w:rsid w:val="006D6A17"/>
    <w:rsid w:val="006D6AD8"/>
    <w:rsid w:val="006E02D1"/>
    <w:rsid w:val="006E0AC3"/>
    <w:rsid w:val="006E2A1D"/>
    <w:rsid w:val="006E2CC4"/>
    <w:rsid w:val="006E3153"/>
    <w:rsid w:val="006E3D5A"/>
    <w:rsid w:val="006E4463"/>
    <w:rsid w:val="006E505E"/>
    <w:rsid w:val="006E509A"/>
    <w:rsid w:val="006E567E"/>
    <w:rsid w:val="006E594A"/>
    <w:rsid w:val="006E5CF4"/>
    <w:rsid w:val="006E602F"/>
    <w:rsid w:val="006F09E5"/>
    <w:rsid w:val="006F0EB8"/>
    <w:rsid w:val="006F26B4"/>
    <w:rsid w:val="006F27C1"/>
    <w:rsid w:val="006F2BBF"/>
    <w:rsid w:val="006F402C"/>
    <w:rsid w:val="006F4A1C"/>
    <w:rsid w:val="006F4CFA"/>
    <w:rsid w:val="006F4F31"/>
    <w:rsid w:val="006F51D8"/>
    <w:rsid w:val="006F63DB"/>
    <w:rsid w:val="006F6471"/>
    <w:rsid w:val="006F78E3"/>
    <w:rsid w:val="006F7B3B"/>
    <w:rsid w:val="006F7E3E"/>
    <w:rsid w:val="006F7FCC"/>
    <w:rsid w:val="0070025A"/>
    <w:rsid w:val="00700B10"/>
    <w:rsid w:val="00700D62"/>
    <w:rsid w:val="00701110"/>
    <w:rsid w:val="00702831"/>
    <w:rsid w:val="00702899"/>
    <w:rsid w:val="00703224"/>
    <w:rsid w:val="00704059"/>
    <w:rsid w:val="007042AC"/>
    <w:rsid w:val="00704D13"/>
    <w:rsid w:val="00705766"/>
    <w:rsid w:val="0070588C"/>
    <w:rsid w:val="007061EE"/>
    <w:rsid w:val="00706BF7"/>
    <w:rsid w:val="007073C6"/>
    <w:rsid w:val="00707B16"/>
    <w:rsid w:val="007112BC"/>
    <w:rsid w:val="00711C83"/>
    <w:rsid w:val="00711E37"/>
    <w:rsid w:val="007127F9"/>
    <w:rsid w:val="00713002"/>
    <w:rsid w:val="0071300D"/>
    <w:rsid w:val="00713BE1"/>
    <w:rsid w:val="0071415E"/>
    <w:rsid w:val="00714778"/>
    <w:rsid w:val="00715F15"/>
    <w:rsid w:val="007162C7"/>
    <w:rsid w:val="00716CAC"/>
    <w:rsid w:val="007172D9"/>
    <w:rsid w:val="007173F1"/>
    <w:rsid w:val="00717A93"/>
    <w:rsid w:val="00720117"/>
    <w:rsid w:val="00720888"/>
    <w:rsid w:val="0072138D"/>
    <w:rsid w:val="0072252F"/>
    <w:rsid w:val="00722624"/>
    <w:rsid w:val="00722E07"/>
    <w:rsid w:val="00723F61"/>
    <w:rsid w:val="0072459C"/>
    <w:rsid w:val="00724B85"/>
    <w:rsid w:val="007250A9"/>
    <w:rsid w:val="00726064"/>
    <w:rsid w:val="007271C7"/>
    <w:rsid w:val="0072746D"/>
    <w:rsid w:val="00727BC0"/>
    <w:rsid w:val="0073109F"/>
    <w:rsid w:val="00731288"/>
    <w:rsid w:val="007312AA"/>
    <w:rsid w:val="00731405"/>
    <w:rsid w:val="007321D7"/>
    <w:rsid w:val="00732EEA"/>
    <w:rsid w:val="00733785"/>
    <w:rsid w:val="00733B05"/>
    <w:rsid w:val="007341B9"/>
    <w:rsid w:val="00734620"/>
    <w:rsid w:val="00734836"/>
    <w:rsid w:val="007348A8"/>
    <w:rsid w:val="00734C1B"/>
    <w:rsid w:val="00734C9C"/>
    <w:rsid w:val="00734DA2"/>
    <w:rsid w:val="00734DD5"/>
    <w:rsid w:val="00736A1F"/>
    <w:rsid w:val="00736C34"/>
    <w:rsid w:val="0073747C"/>
    <w:rsid w:val="00740012"/>
    <w:rsid w:val="0074002A"/>
    <w:rsid w:val="007409DD"/>
    <w:rsid w:val="00741B64"/>
    <w:rsid w:val="00741FAF"/>
    <w:rsid w:val="007425FB"/>
    <w:rsid w:val="00742D20"/>
    <w:rsid w:val="007439ED"/>
    <w:rsid w:val="00743FCB"/>
    <w:rsid w:val="00745665"/>
    <w:rsid w:val="007457B9"/>
    <w:rsid w:val="007460A4"/>
    <w:rsid w:val="007468D3"/>
    <w:rsid w:val="00747D2F"/>
    <w:rsid w:val="00747E67"/>
    <w:rsid w:val="00750235"/>
    <w:rsid w:val="00750D3B"/>
    <w:rsid w:val="007516F0"/>
    <w:rsid w:val="0075349D"/>
    <w:rsid w:val="007539FC"/>
    <w:rsid w:val="00753A99"/>
    <w:rsid w:val="00753DAB"/>
    <w:rsid w:val="00753DF4"/>
    <w:rsid w:val="00753F68"/>
    <w:rsid w:val="007550AB"/>
    <w:rsid w:val="007554FA"/>
    <w:rsid w:val="00755736"/>
    <w:rsid w:val="00756378"/>
    <w:rsid w:val="007563A2"/>
    <w:rsid w:val="00756CDA"/>
    <w:rsid w:val="00756E03"/>
    <w:rsid w:val="007579DE"/>
    <w:rsid w:val="00757D3E"/>
    <w:rsid w:val="00761AC3"/>
    <w:rsid w:val="007629C6"/>
    <w:rsid w:val="00762C33"/>
    <w:rsid w:val="0076327A"/>
    <w:rsid w:val="0076363A"/>
    <w:rsid w:val="007637D9"/>
    <w:rsid w:val="00763F0B"/>
    <w:rsid w:val="007641FB"/>
    <w:rsid w:val="00764972"/>
    <w:rsid w:val="007653DA"/>
    <w:rsid w:val="00765408"/>
    <w:rsid w:val="0076614E"/>
    <w:rsid w:val="00766589"/>
    <w:rsid w:val="00766962"/>
    <w:rsid w:val="00767088"/>
    <w:rsid w:val="00771068"/>
    <w:rsid w:val="007713C7"/>
    <w:rsid w:val="00771B6F"/>
    <w:rsid w:val="00773725"/>
    <w:rsid w:val="00773A54"/>
    <w:rsid w:val="00774F2A"/>
    <w:rsid w:val="007757FD"/>
    <w:rsid w:val="0077594B"/>
    <w:rsid w:val="00775DB7"/>
    <w:rsid w:val="0077686B"/>
    <w:rsid w:val="007803D4"/>
    <w:rsid w:val="0078146F"/>
    <w:rsid w:val="00781C3C"/>
    <w:rsid w:val="00781E3E"/>
    <w:rsid w:val="00782BAC"/>
    <w:rsid w:val="00782BBB"/>
    <w:rsid w:val="00782BF7"/>
    <w:rsid w:val="00783A04"/>
    <w:rsid w:val="0078567C"/>
    <w:rsid w:val="00786116"/>
    <w:rsid w:val="00786D91"/>
    <w:rsid w:val="00787859"/>
    <w:rsid w:val="00787CD7"/>
    <w:rsid w:val="00790200"/>
    <w:rsid w:val="00790E02"/>
    <w:rsid w:val="0079100F"/>
    <w:rsid w:val="007913BC"/>
    <w:rsid w:val="007917BB"/>
    <w:rsid w:val="0079305A"/>
    <w:rsid w:val="0079365F"/>
    <w:rsid w:val="00793ECC"/>
    <w:rsid w:val="0079401C"/>
    <w:rsid w:val="007945FF"/>
    <w:rsid w:val="00797077"/>
    <w:rsid w:val="00797D62"/>
    <w:rsid w:val="007A065D"/>
    <w:rsid w:val="007A1421"/>
    <w:rsid w:val="007A14C6"/>
    <w:rsid w:val="007A1EB0"/>
    <w:rsid w:val="007A2C71"/>
    <w:rsid w:val="007A33FD"/>
    <w:rsid w:val="007A416D"/>
    <w:rsid w:val="007A5459"/>
    <w:rsid w:val="007A6564"/>
    <w:rsid w:val="007A7322"/>
    <w:rsid w:val="007B0415"/>
    <w:rsid w:val="007B0432"/>
    <w:rsid w:val="007B075C"/>
    <w:rsid w:val="007B0EC3"/>
    <w:rsid w:val="007B10EB"/>
    <w:rsid w:val="007B19BB"/>
    <w:rsid w:val="007B289C"/>
    <w:rsid w:val="007B2965"/>
    <w:rsid w:val="007B29C4"/>
    <w:rsid w:val="007B2C70"/>
    <w:rsid w:val="007B2FB1"/>
    <w:rsid w:val="007B3595"/>
    <w:rsid w:val="007B4261"/>
    <w:rsid w:val="007B42E3"/>
    <w:rsid w:val="007B538C"/>
    <w:rsid w:val="007B55A7"/>
    <w:rsid w:val="007B5605"/>
    <w:rsid w:val="007B5B04"/>
    <w:rsid w:val="007B5B5D"/>
    <w:rsid w:val="007B5BA1"/>
    <w:rsid w:val="007B6142"/>
    <w:rsid w:val="007B6EB9"/>
    <w:rsid w:val="007B7108"/>
    <w:rsid w:val="007B7A10"/>
    <w:rsid w:val="007B7E02"/>
    <w:rsid w:val="007C008A"/>
    <w:rsid w:val="007C0C20"/>
    <w:rsid w:val="007C1760"/>
    <w:rsid w:val="007C1A64"/>
    <w:rsid w:val="007C1D84"/>
    <w:rsid w:val="007C27E7"/>
    <w:rsid w:val="007C36B7"/>
    <w:rsid w:val="007C42D3"/>
    <w:rsid w:val="007C4C40"/>
    <w:rsid w:val="007C6B1E"/>
    <w:rsid w:val="007C727C"/>
    <w:rsid w:val="007C77DD"/>
    <w:rsid w:val="007C7944"/>
    <w:rsid w:val="007C79C8"/>
    <w:rsid w:val="007C7C43"/>
    <w:rsid w:val="007C7C55"/>
    <w:rsid w:val="007D0F90"/>
    <w:rsid w:val="007D1BD4"/>
    <w:rsid w:val="007D1E52"/>
    <w:rsid w:val="007D2068"/>
    <w:rsid w:val="007D22BC"/>
    <w:rsid w:val="007D2495"/>
    <w:rsid w:val="007D3C1A"/>
    <w:rsid w:val="007D3C40"/>
    <w:rsid w:val="007D5BDA"/>
    <w:rsid w:val="007D6005"/>
    <w:rsid w:val="007D69F6"/>
    <w:rsid w:val="007E0084"/>
    <w:rsid w:val="007E03C0"/>
    <w:rsid w:val="007E05C4"/>
    <w:rsid w:val="007E1DA4"/>
    <w:rsid w:val="007E1FE0"/>
    <w:rsid w:val="007E2034"/>
    <w:rsid w:val="007E20C6"/>
    <w:rsid w:val="007E2836"/>
    <w:rsid w:val="007E356F"/>
    <w:rsid w:val="007E3833"/>
    <w:rsid w:val="007E3A40"/>
    <w:rsid w:val="007E3D92"/>
    <w:rsid w:val="007E4CD1"/>
    <w:rsid w:val="007E4E88"/>
    <w:rsid w:val="007E50BC"/>
    <w:rsid w:val="007E562B"/>
    <w:rsid w:val="007E568A"/>
    <w:rsid w:val="007E671E"/>
    <w:rsid w:val="007E6E82"/>
    <w:rsid w:val="007E719D"/>
    <w:rsid w:val="007E7D93"/>
    <w:rsid w:val="007E7FD0"/>
    <w:rsid w:val="007F0282"/>
    <w:rsid w:val="007F069B"/>
    <w:rsid w:val="007F0D03"/>
    <w:rsid w:val="007F1BB5"/>
    <w:rsid w:val="007F22EE"/>
    <w:rsid w:val="007F34B6"/>
    <w:rsid w:val="007F3C19"/>
    <w:rsid w:val="007F435C"/>
    <w:rsid w:val="007F4787"/>
    <w:rsid w:val="007F4828"/>
    <w:rsid w:val="007F4CDB"/>
    <w:rsid w:val="007F5B1F"/>
    <w:rsid w:val="007F5EF3"/>
    <w:rsid w:val="007F60E3"/>
    <w:rsid w:val="007F77E0"/>
    <w:rsid w:val="007F7877"/>
    <w:rsid w:val="007F7A8C"/>
    <w:rsid w:val="0080001F"/>
    <w:rsid w:val="008005C8"/>
    <w:rsid w:val="008006BE"/>
    <w:rsid w:val="0080164D"/>
    <w:rsid w:val="00801DB4"/>
    <w:rsid w:val="008022BC"/>
    <w:rsid w:val="008028B1"/>
    <w:rsid w:val="008029CA"/>
    <w:rsid w:val="00802C4E"/>
    <w:rsid w:val="00802F3F"/>
    <w:rsid w:val="008036E9"/>
    <w:rsid w:val="0080397A"/>
    <w:rsid w:val="0080422F"/>
    <w:rsid w:val="0080483B"/>
    <w:rsid w:val="00805471"/>
    <w:rsid w:val="0080586C"/>
    <w:rsid w:val="00805C3F"/>
    <w:rsid w:val="00805E30"/>
    <w:rsid w:val="008060ED"/>
    <w:rsid w:val="0080695B"/>
    <w:rsid w:val="00807054"/>
    <w:rsid w:val="0080710D"/>
    <w:rsid w:val="0080728A"/>
    <w:rsid w:val="008072F1"/>
    <w:rsid w:val="0081123A"/>
    <w:rsid w:val="00811F96"/>
    <w:rsid w:val="0081276D"/>
    <w:rsid w:val="00813510"/>
    <w:rsid w:val="0081396B"/>
    <w:rsid w:val="00813DBC"/>
    <w:rsid w:val="00813F7A"/>
    <w:rsid w:val="0081445B"/>
    <w:rsid w:val="0081495B"/>
    <w:rsid w:val="00815168"/>
    <w:rsid w:val="0081577E"/>
    <w:rsid w:val="00815839"/>
    <w:rsid w:val="00816244"/>
    <w:rsid w:val="008171DF"/>
    <w:rsid w:val="00817567"/>
    <w:rsid w:val="008200CA"/>
    <w:rsid w:val="008202F0"/>
    <w:rsid w:val="00820B5E"/>
    <w:rsid w:val="00820D41"/>
    <w:rsid w:val="00821509"/>
    <w:rsid w:val="00821F18"/>
    <w:rsid w:val="00822995"/>
    <w:rsid w:val="00822FC7"/>
    <w:rsid w:val="00823083"/>
    <w:rsid w:val="0082318F"/>
    <w:rsid w:val="00824B29"/>
    <w:rsid w:val="008251D9"/>
    <w:rsid w:val="008251FE"/>
    <w:rsid w:val="00825CB7"/>
    <w:rsid w:val="00825CF0"/>
    <w:rsid w:val="008263F1"/>
    <w:rsid w:val="0082645B"/>
    <w:rsid w:val="008270C1"/>
    <w:rsid w:val="00827EB2"/>
    <w:rsid w:val="00830E36"/>
    <w:rsid w:val="00831EA2"/>
    <w:rsid w:val="00832471"/>
    <w:rsid w:val="008325DC"/>
    <w:rsid w:val="008327E6"/>
    <w:rsid w:val="008331DF"/>
    <w:rsid w:val="00833FC6"/>
    <w:rsid w:val="0083578D"/>
    <w:rsid w:val="00835A69"/>
    <w:rsid w:val="00835BB5"/>
    <w:rsid w:val="00835EA2"/>
    <w:rsid w:val="0083719E"/>
    <w:rsid w:val="00837428"/>
    <w:rsid w:val="00837560"/>
    <w:rsid w:val="00837807"/>
    <w:rsid w:val="00837D19"/>
    <w:rsid w:val="0084010E"/>
    <w:rsid w:val="0084025C"/>
    <w:rsid w:val="00840E78"/>
    <w:rsid w:val="008411F5"/>
    <w:rsid w:val="008415C5"/>
    <w:rsid w:val="00841B6C"/>
    <w:rsid w:val="00842038"/>
    <w:rsid w:val="0084244F"/>
    <w:rsid w:val="00842805"/>
    <w:rsid w:val="0084310E"/>
    <w:rsid w:val="008432D7"/>
    <w:rsid w:val="0084389C"/>
    <w:rsid w:val="008439B1"/>
    <w:rsid w:val="0084410C"/>
    <w:rsid w:val="008443CA"/>
    <w:rsid w:val="008448CD"/>
    <w:rsid w:val="00844B89"/>
    <w:rsid w:val="008453D5"/>
    <w:rsid w:val="0084589D"/>
    <w:rsid w:val="00846077"/>
    <w:rsid w:val="00846265"/>
    <w:rsid w:val="0084688F"/>
    <w:rsid w:val="008468E3"/>
    <w:rsid w:val="008504F3"/>
    <w:rsid w:val="00850F15"/>
    <w:rsid w:val="00850FF3"/>
    <w:rsid w:val="00851D1B"/>
    <w:rsid w:val="00852260"/>
    <w:rsid w:val="008524A9"/>
    <w:rsid w:val="00853851"/>
    <w:rsid w:val="00854463"/>
    <w:rsid w:val="008544F7"/>
    <w:rsid w:val="00855A9A"/>
    <w:rsid w:val="00856A0E"/>
    <w:rsid w:val="00856AC9"/>
    <w:rsid w:val="00856EFA"/>
    <w:rsid w:val="0085770B"/>
    <w:rsid w:val="00861323"/>
    <w:rsid w:val="00861EEE"/>
    <w:rsid w:val="008621EA"/>
    <w:rsid w:val="008621F8"/>
    <w:rsid w:val="008631CE"/>
    <w:rsid w:val="0086443E"/>
    <w:rsid w:val="008649F0"/>
    <w:rsid w:val="00864DE4"/>
    <w:rsid w:val="00864E14"/>
    <w:rsid w:val="0086507F"/>
    <w:rsid w:val="008651AA"/>
    <w:rsid w:val="0086559B"/>
    <w:rsid w:val="0086578F"/>
    <w:rsid w:val="00865C55"/>
    <w:rsid w:val="008660C2"/>
    <w:rsid w:val="00867238"/>
    <w:rsid w:val="00870038"/>
    <w:rsid w:val="00870439"/>
    <w:rsid w:val="00871C28"/>
    <w:rsid w:val="008720EF"/>
    <w:rsid w:val="00872FD2"/>
    <w:rsid w:val="00873D35"/>
    <w:rsid w:val="00873DD2"/>
    <w:rsid w:val="00873E14"/>
    <w:rsid w:val="00874999"/>
    <w:rsid w:val="00874BE2"/>
    <w:rsid w:val="00874C75"/>
    <w:rsid w:val="00876341"/>
    <w:rsid w:val="008766A9"/>
    <w:rsid w:val="00876869"/>
    <w:rsid w:val="00876AA9"/>
    <w:rsid w:val="00876EB4"/>
    <w:rsid w:val="0087704C"/>
    <w:rsid w:val="0087793B"/>
    <w:rsid w:val="00877EE1"/>
    <w:rsid w:val="00877F38"/>
    <w:rsid w:val="008806A8"/>
    <w:rsid w:val="008814CD"/>
    <w:rsid w:val="00881821"/>
    <w:rsid w:val="008823CA"/>
    <w:rsid w:val="008846AD"/>
    <w:rsid w:val="008851B1"/>
    <w:rsid w:val="008865F7"/>
    <w:rsid w:val="00886C27"/>
    <w:rsid w:val="00887E3E"/>
    <w:rsid w:val="00890262"/>
    <w:rsid w:val="00890EA7"/>
    <w:rsid w:val="0089132D"/>
    <w:rsid w:val="0089166A"/>
    <w:rsid w:val="00891BB4"/>
    <w:rsid w:val="00892D31"/>
    <w:rsid w:val="00892D42"/>
    <w:rsid w:val="00892E65"/>
    <w:rsid w:val="00893A4F"/>
    <w:rsid w:val="0089400E"/>
    <w:rsid w:val="00894754"/>
    <w:rsid w:val="008948DA"/>
    <w:rsid w:val="00894A1D"/>
    <w:rsid w:val="00894AB0"/>
    <w:rsid w:val="00894B26"/>
    <w:rsid w:val="00894F9A"/>
    <w:rsid w:val="0089627F"/>
    <w:rsid w:val="00896890"/>
    <w:rsid w:val="00896BD0"/>
    <w:rsid w:val="00896D99"/>
    <w:rsid w:val="00897874"/>
    <w:rsid w:val="00897983"/>
    <w:rsid w:val="008A0141"/>
    <w:rsid w:val="008A0A0C"/>
    <w:rsid w:val="008A1049"/>
    <w:rsid w:val="008A109F"/>
    <w:rsid w:val="008A1278"/>
    <w:rsid w:val="008A140D"/>
    <w:rsid w:val="008A17DF"/>
    <w:rsid w:val="008A1DEE"/>
    <w:rsid w:val="008A2E27"/>
    <w:rsid w:val="008A3552"/>
    <w:rsid w:val="008A36D0"/>
    <w:rsid w:val="008A3A17"/>
    <w:rsid w:val="008A651A"/>
    <w:rsid w:val="008A6C9E"/>
    <w:rsid w:val="008A729D"/>
    <w:rsid w:val="008A7655"/>
    <w:rsid w:val="008A777A"/>
    <w:rsid w:val="008A7DFF"/>
    <w:rsid w:val="008A7E6A"/>
    <w:rsid w:val="008B05E7"/>
    <w:rsid w:val="008B0E26"/>
    <w:rsid w:val="008B15FB"/>
    <w:rsid w:val="008B1B7D"/>
    <w:rsid w:val="008B20E8"/>
    <w:rsid w:val="008B26FD"/>
    <w:rsid w:val="008B2E86"/>
    <w:rsid w:val="008B2FB4"/>
    <w:rsid w:val="008B31D8"/>
    <w:rsid w:val="008B3E78"/>
    <w:rsid w:val="008B5190"/>
    <w:rsid w:val="008B5BB0"/>
    <w:rsid w:val="008C05F9"/>
    <w:rsid w:val="008C0EAA"/>
    <w:rsid w:val="008C16DC"/>
    <w:rsid w:val="008C1998"/>
    <w:rsid w:val="008C1D31"/>
    <w:rsid w:val="008C3255"/>
    <w:rsid w:val="008C39DB"/>
    <w:rsid w:val="008C4AEC"/>
    <w:rsid w:val="008C4BD7"/>
    <w:rsid w:val="008C5A91"/>
    <w:rsid w:val="008C5BCF"/>
    <w:rsid w:val="008C5D87"/>
    <w:rsid w:val="008C5E8D"/>
    <w:rsid w:val="008C64F9"/>
    <w:rsid w:val="008C69A0"/>
    <w:rsid w:val="008C748C"/>
    <w:rsid w:val="008C7AF0"/>
    <w:rsid w:val="008D0982"/>
    <w:rsid w:val="008D11FD"/>
    <w:rsid w:val="008D2100"/>
    <w:rsid w:val="008D214D"/>
    <w:rsid w:val="008D25CC"/>
    <w:rsid w:val="008D42F9"/>
    <w:rsid w:val="008D4840"/>
    <w:rsid w:val="008D4B1B"/>
    <w:rsid w:val="008D50B0"/>
    <w:rsid w:val="008E0929"/>
    <w:rsid w:val="008E0E80"/>
    <w:rsid w:val="008E1BDF"/>
    <w:rsid w:val="008E2A73"/>
    <w:rsid w:val="008E2E98"/>
    <w:rsid w:val="008E3521"/>
    <w:rsid w:val="008E3E5D"/>
    <w:rsid w:val="008E4474"/>
    <w:rsid w:val="008E518E"/>
    <w:rsid w:val="008E59F0"/>
    <w:rsid w:val="008E695A"/>
    <w:rsid w:val="008E722F"/>
    <w:rsid w:val="008E784F"/>
    <w:rsid w:val="008E7B8E"/>
    <w:rsid w:val="008E7DEE"/>
    <w:rsid w:val="008E7ED3"/>
    <w:rsid w:val="008F0A51"/>
    <w:rsid w:val="008F0DB8"/>
    <w:rsid w:val="008F0F62"/>
    <w:rsid w:val="008F1181"/>
    <w:rsid w:val="008F1752"/>
    <w:rsid w:val="008F2A79"/>
    <w:rsid w:val="008F2D74"/>
    <w:rsid w:val="008F31BA"/>
    <w:rsid w:val="008F56C7"/>
    <w:rsid w:val="008F6976"/>
    <w:rsid w:val="008F7498"/>
    <w:rsid w:val="009007D6"/>
    <w:rsid w:val="00900CF7"/>
    <w:rsid w:val="00900ECE"/>
    <w:rsid w:val="00901D39"/>
    <w:rsid w:val="00901FEC"/>
    <w:rsid w:val="0090234B"/>
    <w:rsid w:val="00903451"/>
    <w:rsid w:val="00903B7F"/>
    <w:rsid w:val="00904097"/>
    <w:rsid w:val="00904FE4"/>
    <w:rsid w:val="009053F7"/>
    <w:rsid w:val="00905422"/>
    <w:rsid w:val="009057BF"/>
    <w:rsid w:val="0090779D"/>
    <w:rsid w:val="009078BB"/>
    <w:rsid w:val="00907C05"/>
    <w:rsid w:val="00910EB6"/>
    <w:rsid w:val="0091141F"/>
    <w:rsid w:val="00911E92"/>
    <w:rsid w:val="0091217B"/>
    <w:rsid w:val="009122C6"/>
    <w:rsid w:val="0091239A"/>
    <w:rsid w:val="00912A37"/>
    <w:rsid w:val="009135C7"/>
    <w:rsid w:val="00913BF5"/>
    <w:rsid w:val="00913E84"/>
    <w:rsid w:val="00914133"/>
    <w:rsid w:val="009154F5"/>
    <w:rsid w:val="0091565A"/>
    <w:rsid w:val="009164EA"/>
    <w:rsid w:val="0091655D"/>
    <w:rsid w:val="00916B38"/>
    <w:rsid w:val="00916EC6"/>
    <w:rsid w:val="009206D4"/>
    <w:rsid w:val="009207FD"/>
    <w:rsid w:val="00920839"/>
    <w:rsid w:val="00921699"/>
    <w:rsid w:val="00922A20"/>
    <w:rsid w:val="00922A97"/>
    <w:rsid w:val="009232DC"/>
    <w:rsid w:val="00924E44"/>
    <w:rsid w:val="00925483"/>
    <w:rsid w:val="00926FD5"/>
    <w:rsid w:val="009270C5"/>
    <w:rsid w:val="009273C8"/>
    <w:rsid w:val="00930258"/>
    <w:rsid w:val="00930A39"/>
    <w:rsid w:val="00931A1C"/>
    <w:rsid w:val="0093293C"/>
    <w:rsid w:val="00933A2F"/>
    <w:rsid w:val="00933D1C"/>
    <w:rsid w:val="00933E5A"/>
    <w:rsid w:val="009345AF"/>
    <w:rsid w:val="00934768"/>
    <w:rsid w:val="00934E4E"/>
    <w:rsid w:val="009350DA"/>
    <w:rsid w:val="009350F0"/>
    <w:rsid w:val="0093521A"/>
    <w:rsid w:val="00935770"/>
    <w:rsid w:val="00936217"/>
    <w:rsid w:val="0093673D"/>
    <w:rsid w:val="00936A5B"/>
    <w:rsid w:val="009401E8"/>
    <w:rsid w:val="00940660"/>
    <w:rsid w:val="00941788"/>
    <w:rsid w:val="009419A4"/>
    <w:rsid w:val="0094212A"/>
    <w:rsid w:val="00942548"/>
    <w:rsid w:val="00942935"/>
    <w:rsid w:val="0094311A"/>
    <w:rsid w:val="00944C10"/>
    <w:rsid w:val="0094661D"/>
    <w:rsid w:val="00947CDC"/>
    <w:rsid w:val="00947D4D"/>
    <w:rsid w:val="0095068E"/>
    <w:rsid w:val="009507B7"/>
    <w:rsid w:val="00950CA4"/>
    <w:rsid w:val="00950E95"/>
    <w:rsid w:val="00951474"/>
    <w:rsid w:val="0095168F"/>
    <w:rsid w:val="009518CA"/>
    <w:rsid w:val="00951DD2"/>
    <w:rsid w:val="00952058"/>
    <w:rsid w:val="00952467"/>
    <w:rsid w:val="00952995"/>
    <w:rsid w:val="00952EFA"/>
    <w:rsid w:val="009534DE"/>
    <w:rsid w:val="00953E63"/>
    <w:rsid w:val="00954C31"/>
    <w:rsid w:val="00955540"/>
    <w:rsid w:val="00956238"/>
    <w:rsid w:val="00956806"/>
    <w:rsid w:val="009573E1"/>
    <w:rsid w:val="00957BA0"/>
    <w:rsid w:val="009610F3"/>
    <w:rsid w:val="00961305"/>
    <w:rsid w:val="0096189F"/>
    <w:rsid w:val="0096266E"/>
    <w:rsid w:val="00962E45"/>
    <w:rsid w:val="009635F5"/>
    <w:rsid w:val="0096407F"/>
    <w:rsid w:val="009650E3"/>
    <w:rsid w:val="00965BF9"/>
    <w:rsid w:val="0096686F"/>
    <w:rsid w:val="00967C04"/>
    <w:rsid w:val="009701EB"/>
    <w:rsid w:val="00971605"/>
    <w:rsid w:val="00971E64"/>
    <w:rsid w:val="00971EDF"/>
    <w:rsid w:val="009728D5"/>
    <w:rsid w:val="009733EC"/>
    <w:rsid w:val="00973561"/>
    <w:rsid w:val="0097413B"/>
    <w:rsid w:val="00974272"/>
    <w:rsid w:val="00974B76"/>
    <w:rsid w:val="009756C4"/>
    <w:rsid w:val="00976E6C"/>
    <w:rsid w:val="00977BEA"/>
    <w:rsid w:val="00980358"/>
    <w:rsid w:val="009808F7"/>
    <w:rsid w:val="00981018"/>
    <w:rsid w:val="0098152A"/>
    <w:rsid w:val="009817EB"/>
    <w:rsid w:val="00981ACE"/>
    <w:rsid w:val="00981C59"/>
    <w:rsid w:val="0098243A"/>
    <w:rsid w:val="00983082"/>
    <w:rsid w:val="00983443"/>
    <w:rsid w:val="00983929"/>
    <w:rsid w:val="00983A25"/>
    <w:rsid w:val="009840CE"/>
    <w:rsid w:val="009841DE"/>
    <w:rsid w:val="009842AC"/>
    <w:rsid w:val="00984510"/>
    <w:rsid w:val="00984A1B"/>
    <w:rsid w:val="009864F7"/>
    <w:rsid w:val="00991538"/>
    <w:rsid w:val="0099304A"/>
    <w:rsid w:val="0099369A"/>
    <w:rsid w:val="0099372E"/>
    <w:rsid w:val="009942F0"/>
    <w:rsid w:val="009948DA"/>
    <w:rsid w:val="00994C96"/>
    <w:rsid w:val="00994FF6"/>
    <w:rsid w:val="00995104"/>
    <w:rsid w:val="0099619F"/>
    <w:rsid w:val="00996EF0"/>
    <w:rsid w:val="00997346"/>
    <w:rsid w:val="009A0464"/>
    <w:rsid w:val="009A05CD"/>
    <w:rsid w:val="009A0B2A"/>
    <w:rsid w:val="009A0C98"/>
    <w:rsid w:val="009A0ED0"/>
    <w:rsid w:val="009A15B2"/>
    <w:rsid w:val="009A16CB"/>
    <w:rsid w:val="009A26D4"/>
    <w:rsid w:val="009A44A5"/>
    <w:rsid w:val="009A469F"/>
    <w:rsid w:val="009A48CD"/>
    <w:rsid w:val="009A5328"/>
    <w:rsid w:val="009A540B"/>
    <w:rsid w:val="009A5BC8"/>
    <w:rsid w:val="009A5C84"/>
    <w:rsid w:val="009A63DE"/>
    <w:rsid w:val="009A682D"/>
    <w:rsid w:val="009A6B4D"/>
    <w:rsid w:val="009B0477"/>
    <w:rsid w:val="009B058D"/>
    <w:rsid w:val="009B0F1D"/>
    <w:rsid w:val="009B12BA"/>
    <w:rsid w:val="009B139F"/>
    <w:rsid w:val="009B181E"/>
    <w:rsid w:val="009B2D95"/>
    <w:rsid w:val="009B4048"/>
    <w:rsid w:val="009B415B"/>
    <w:rsid w:val="009B4375"/>
    <w:rsid w:val="009B55B4"/>
    <w:rsid w:val="009B5B5A"/>
    <w:rsid w:val="009B5EBE"/>
    <w:rsid w:val="009B5EF0"/>
    <w:rsid w:val="009B60B8"/>
    <w:rsid w:val="009B6E9F"/>
    <w:rsid w:val="009B77DC"/>
    <w:rsid w:val="009B7B58"/>
    <w:rsid w:val="009C1120"/>
    <w:rsid w:val="009C13E8"/>
    <w:rsid w:val="009C3FEE"/>
    <w:rsid w:val="009C403B"/>
    <w:rsid w:val="009C5370"/>
    <w:rsid w:val="009C7278"/>
    <w:rsid w:val="009C73DF"/>
    <w:rsid w:val="009D0531"/>
    <w:rsid w:val="009D1617"/>
    <w:rsid w:val="009D2D7B"/>
    <w:rsid w:val="009D32B2"/>
    <w:rsid w:val="009D3509"/>
    <w:rsid w:val="009D3564"/>
    <w:rsid w:val="009D45AC"/>
    <w:rsid w:val="009D5174"/>
    <w:rsid w:val="009D53D5"/>
    <w:rsid w:val="009D5555"/>
    <w:rsid w:val="009D57E3"/>
    <w:rsid w:val="009D5B85"/>
    <w:rsid w:val="009D67AD"/>
    <w:rsid w:val="009D72CA"/>
    <w:rsid w:val="009D762A"/>
    <w:rsid w:val="009D7E05"/>
    <w:rsid w:val="009D7F58"/>
    <w:rsid w:val="009E006D"/>
    <w:rsid w:val="009E0766"/>
    <w:rsid w:val="009E0788"/>
    <w:rsid w:val="009E0A65"/>
    <w:rsid w:val="009E0BA7"/>
    <w:rsid w:val="009E0FF4"/>
    <w:rsid w:val="009E1EFA"/>
    <w:rsid w:val="009E24F0"/>
    <w:rsid w:val="009E2C70"/>
    <w:rsid w:val="009E2F33"/>
    <w:rsid w:val="009E305E"/>
    <w:rsid w:val="009E3DF8"/>
    <w:rsid w:val="009E3E03"/>
    <w:rsid w:val="009E4505"/>
    <w:rsid w:val="009E4CE7"/>
    <w:rsid w:val="009E5122"/>
    <w:rsid w:val="009E5187"/>
    <w:rsid w:val="009E6344"/>
    <w:rsid w:val="009E6C22"/>
    <w:rsid w:val="009E7207"/>
    <w:rsid w:val="009E789C"/>
    <w:rsid w:val="009F0268"/>
    <w:rsid w:val="009F03D2"/>
    <w:rsid w:val="009F0CE9"/>
    <w:rsid w:val="009F29E8"/>
    <w:rsid w:val="009F3987"/>
    <w:rsid w:val="009F427E"/>
    <w:rsid w:val="009F5870"/>
    <w:rsid w:val="009F6052"/>
    <w:rsid w:val="009F688B"/>
    <w:rsid w:val="009F6FEB"/>
    <w:rsid w:val="00A01636"/>
    <w:rsid w:val="00A01DA8"/>
    <w:rsid w:val="00A01DB3"/>
    <w:rsid w:val="00A026DC"/>
    <w:rsid w:val="00A04360"/>
    <w:rsid w:val="00A048FB"/>
    <w:rsid w:val="00A04DA5"/>
    <w:rsid w:val="00A05278"/>
    <w:rsid w:val="00A0533F"/>
    <w:rsid w:val="00A05548"/>
    <w:rsid w:val="00A056DF"/>
    <w:rsid w:val="00A063EE"/>
    <w:rsid w:val="00A06453"/>
    <w:rsid w:val="00A06C69"/>
    <w:rsid w:val="00A06F09"/>
    <w:rsid w:val="00A0775B"/>
    <w:rsid w:val="00A10BF7"/>
    <w:rsid w:val="00A11250"/>
    <w:rsid w:val="00A11B83"/>
    <w:rsid w:val="00A1206E"/>
    <w:rsid w:val="00A12C7D"/>
    <w:rsid w:val="00A12EA3"/>
    <w:rsid w:val="00A13414"/>
    <w:rsid w:val="00A14095"/>
    <w:rsid w:val="00A15178"/>
    <w:rsid w:val="00A15AD2"/>
    <w:rsid w:val="00A15F3C"/>
    <w:rsid w:val="00A161A4"/>
    <w:rsid w:val="00A164EB"/>
    <w:rsid w:val="00A16561"/>
    <w:rsid w:val="00A16AE4"/>
    <w:rsid w:val="00A16F26"/>
    <w:rsid w:val="00A17957"/>
    <w:rsid w:val="00A17E73"/>
    <w:rsid w:val="00A20092"/>
    <w:rsid w:val="00A21FC9"/>
    <w:rsid w:val="00A21FED"/>
    <w:rsid w:val="00A22C63"/>
    <w:rsid w:val="00A23B80"/>
    <w:rsid w:val="00A24225"/>
    <w:rsid w:val="00A242DE"/>
    <w:rsid w:val="00A26346"/>
    <w:rsid w:val="00A2651F"/>
    <w:rsid w:val="00A2675E"/>
    <w:rsid w:val="00A31AB7"/>
    <w:rsid w:val="00A31D56"/>
    <w:rsid w:val="00A31EF9"/>
    <w:rsid w:val="00A32258"/>
    <w:rsid w:val="00A33333"/>
    <w:rsid w:val="00A338F0"/>
    <w:rsid w:val="00A33FDC"/>
    <w:rsid w:val="00A343AC"/>
    <w:rsid w:val="00A343EF"/>
    <w:rsid w:val="00A35E75"/>
    <w:rsid w:val="00A36142"/>
    <w:rsid w:val="00A36DE0"/>
    <w:rsid w:val="00A37554"/>
    <w:rsid w:val="00A3773F"/>
    <w:rsid w:val="00A37A09"/>
    <w:rsid w:val="00A41C8B"/>
    <w:rsid w:val="00A423D7"/>
    <w:rsid w:val="00A4240D"/>
    <w:rsid w:val="00A42426"/>
    <w:rsid w:val="00A4321F"/>
    <w:rsid w:val="00A43B3E"/>
    <w:rsid w:val="00A44B5C"/>
    <w:rsid w:val="00A44CE1"/>
    <w:rsid w:val="00A460CC"/>
    <w:rsid w:val="00A463B5"/>
    <w:rsid w:val="00A469B9"/>
    <w:rsid w:val="00A473AF"/>
    <w:rsid w:val="00A47835"/>
    <w:rsid w:val="00A47E29"/>
    <w:rsid w:val="00A50A1F"/>
    <w:rsid w:val="00A51847"/>
    <w:rsid w:val="00A527D8"/>
    <w:rsid w:val="00A52F32"/>
    <w:rsid w:val="00A5356F"/>
    <w:rsid w:val="00A53DAD"/>
    <w:rsid w:val="00A54193"/>
    <w:rsid w:val="00A54ED5"/>
    <w:rsid w:val="00A554E8"/>
    <w:rsid w:val="00A555F7"/>
    <w:rsid w:val="00A561D5"/>
    <w:rsid w:val="00A57241"/>
    <w:rsid w:val="00A574F7"/>
    <w:rsid w:val="00A575A2"/>
    <w:rsid w:val="00A57A9A"/>
    <w:rsid w:val="00A604E2"/>
    <w:rsid w:val="00A60531"/>
    <w:rsid w:val="00A60FD0"/>
    <w:rsid w:val="00A61C2D"/>
    <w:rsid w:val="00A61CE4"/>
    <w:rsid w:val="00A62C61"/>
    <w:rsid w:val="00A63232"/>
    <w:rsid w:val="00A63C69"/>
    <w:rsid w:val="00A641C8"/>
    <w:rsid w:val="00A6563E"/>
    <w:rsid w:val="00A659E1"/>
    <w:rsid w:val="00A65C3F"/>
    <w:rsid w:val="00A65D3D"/>
    <w:rsid w:val="00A66B7C"/>
    <w:rsid w:val="00A671D4"/>
    <w:rsid w:val="00A700E4"/>
    <w:rsid w:val="00A70FC3"/>
    <w:rsid w:val="00A71421"/>
    <w:rsid w:val="00A71546"/>
    <w:rsid w:val="00A7170C"/>
    <w:rsid w:val="00A718B9"/>
    <w:rsid w:val="00A72228"/>
    <w:rsid w:val="00A72632"/>
    <w:rsid w:val="00A7281A"/>
    <w:rsid w:val="00A72885"/>
    <w:rsid w:val="00A75FDC"/>
    <w:rsid w:val="00A76833"/>
    <w:rsid w:val="00A773D0"/>
    <w:rsid w:val="00A776D0"/>
    <w:rsid w:val="00A7791A"/>
    <w:rsid w:val="00A77B79"/>
    <w:rsid w:val="00A77C72"/>
    <w:rsid w:val="00A77D52"/>
    <w:rsid w:val="00A80A26"/>
    <w:rsid w:val="00A80CC5"/>
    <w:rsid w:val="00A80E26"/>
    <w:rsid w:val="00A80FD4"/>
    <w:rsid w:val="00A8156F"/>
    <w:rsid w:val="00A82548"/>
    <w:rsid w:val="00A82D46"/>
    <w:rsid w:val="00A8322E"/>
    <w:rsid w:val="00A84625"/>
    <w:rsid w:val="00A84A97"/>
    <w:rsid w:val="00A84BF7"/>
    <w:rsid w:val="00A85252"/>
    <w:rsid w:val="00A85445"/>
    <w:rsid w:val="00A85473"/>
    <w:rsid w:val="00A85496"/>
    <w:rsid w:val="00A85F15"/>
    <w:rsid w:val="00A8604D"/>
    <w:rsid w:val="00A8621D"/>
    <w:rsid w:val="00A8716E"/>
    <w:rsid w:val="00A87411"/>
    <w:rsid w:val="00A87678"/>
    <w:rsid w:val="00A900CC"/>
    <w:rsid w:val="00A9088B"/>
    <w:rsid w:val="00A9095F"/>
    <w:rsid w:val="00A90EF0"/>
    <w:rsid w:val="00A91F35"/>
    <w:rsid w:val="00A928D4"/>
    <w:rsid w:val="00A93049"/>
    <w:rsid w:val="00A93323"/>
    <w:rsid w:val="00A95553"/>
    <w:rsid w:val="00A956B8"/>
    <w:rsid w:val="00A959C1"/>
    <w:rsid w:val="00A97055"/>
    <w:rsid w:val="00A974DA"/>
    <w:rsid w:val="00A9750F"/>
    <w:rsid w:val="00A97EDE"/>
    <w:rsid w:val="00AA0782"/>
    <w:rsid w:val="00AA0A53"/>
    <w:rsid w:val="00AA11AA"/>
    <w:rsid w:val="00AA15F5"/>
    <w:rsid w:val="00AA1738"/>
    <w:rsid w:val="00AA1C65"/>
    <w:rsid w:val="00AA1D84"/>
    <w:rsid w:val="00AA21DE"/>
    <w:rsid w:val="00AA2302"/>
    <w:rsid w:val="00AA2D17"/>
    <w:rsid w:val="00AA2EC6"/>
    <w:rsid w:val="00AA30B7"/>
    <w:rsid w:val="00AA34E3"/>
    <w:rsid w:val="00AA3D4B"/>
    <w:rsid w:val="00AA4905"/>
    <w:rsid w:val="00AA4E96"/>
    <w:rsid w:val="00AA5371"/>
    <w:rsid w:val="00AA60DB"/>
    <w:rsid w:val="00AA65DA"/>
    <w:rsid w:val="00AA6F6B"/>
    <w:rsid w:val="00AA715B"/>
    <w:rsid w:val="00AA7815"/>
    <w:rsid w:val="00AA7F04"/>
    <w:rsid w:val="00AB0F0C"/>
    <w:rsid w:val="00AB159E"/>
    <w:rsid w:val="00AB183E"/>
    <w:rsid w:val="00AB2675"/>
    <w:rsid w:val="00AB2B52"/>
    <w:rsid w:val="00AB32A9"/>
    <w:rsid w:val="00AB3780"/>
    <w:rsid w:val="00AB398C"/>
    <w:rsid w:val="00AB3DD5"/>
    <w:rsid w:val="00AB4C8D"/>
    <w:rsid w:val="00AB4EBB"/>
    <w:rsid w:val="00AB6086"/>
    <w:rsid w:val="00AB6DBC"/>
    <w:rsid w:val="00AB73E5"/>
    <w:rsid w:val="00AB7572"/>
    <w:rsid w:val="00AC02AA"/>
    <w:rsid w:val="00AC0BCD"/>
    <w:rsid w:val="00AC1032"/>
    <w:rsid w:val="00AC1459"/>
    <w:rsid w:val="00AC1D94"/>
    <w:rsid w:val="00AC2081"/>
    <w:rsid w:val="00AC2202"/>
    <w:rsid w:val="00AC273F"/>
    <w:rsid w:val="00AC317A"/>
    <w:rsid w:val="00AC3585"/>
    <w:rsid w:val="00AC6D72"/>
    <w:rsid w:val="00AC6EA3"/>
    <w:rsid w:val="00AD067E"/>
    <w:rsid w:val="00AD0808"/>
    <w:rsid w:val="00AD1301"/>
    <w:rsid w:val="00AD1531"/>
    <w:rsid w:val="00AD2762"/>
    <w:rsid w:val="00AD2AFF"/>
    <w:rsid w:val="00AD2B0F"/>
    <w:rsid w:val="00AD37A0"/>
    <w:rsid w:val="00AD3F3A"/>
    <w:rsid w:val="00AD5E90"/>
    <w:rsid w:val="00AD60BB"/>
    <w:rsid w:val="00AD60E6"/>
    <w:rsid w:val="00AD6C0A"/>
    <w:rsid w:val="00AD6D3C"/>
    <w:rsid w:val="00AD7A9C"/>
    <w:rsid w:val="00AE0313"/>
    <w:rsid w:val="00AE0518"/>
    <w:rsid w:val="00AE08A1"/>
    <w:rsid w:val="00AE0FC7"/>
    <w:rsid w:val="00AE13B6"/>
    <w:rsid w:val="00AE1661"/>
    <w:rsid w:val="00AE2F20"/>
    <w:rsid w:val="00AE364D"/>
    <w:rsid w:val="00AE3B05"/>
    <w:rsid w:val="00AE3F33"/>
    <w:rsid w:val="00AE4318"/>
    <w:rsid w:val="00AE45FE"/>
    <w:rsid w:val="00AE4FE3"/>
    <w:rsid w:val="00AE5267"/>
    <w:rsid w:val="00AE5358"/>
    <w:rsid w:val="00AE6003"/>
    <w:rsid w:val="00AE6C40"/>
    <w:rsid w:val="00AE6F13"/>
    <w:rsid w:val="00AE710A"/>
    <w:rsid w:val="00AE79CD"/>
    <w:rsid w:val="00AF0A49"/>
    <w:rsid w:val="00AF14D7"/>
    <w:rsid w:val="00AF28CC"/>
    <w:rsid w:val="00AF29E1"/>
    <w:rsid w:val="00AF2B63"/>
    <w:rsid w:val="00AF3AA4"/>
    <w:rsid w:val="00AF3E55"/>
    <w:rsid w:val="00AF45DC"/>
    <w:rsid w:val="00AF551D"/>
    <w:rsid w:val="00AF5FAA"/>
    <w:rsid w:val="00AF63D3"/>
    <w:rsid w:val="00AF6493"/>
    <w:rsid w:val="00AF671E"/>
    <w:rsid w:val="00AF76DB"/>
    <w:rsid w:val="00AF794F"/>
    <w:rsid w:val="00B000CC"/>
    <w:rsid w:val="00B00478"/>
    <w:rsid w:val="00B01617"/>
    <w:rsid w:val="00B01AA2"/>
    <w:rsid w:val="00B020E4"/>
    <w:rsid w:val="00B02280"/>
    <w:rsid w:val="00B0351F"/>
    <w:rsid w:val="00B0367F"/>
    <w:rsid w:val="00B03E5C"/>
    <w:rsid w:val="00B040A2"/>
    <w:rsid w:val="00B04188"/>
    <w:rsid w:val="00B0475D"/>
    <w:rsid w:val="00B04BDD"/>
    <w:rsid w:val="00B04F9D"/>
    <w:rsid w:val="00B055B1"/>
    <w:rsid w:val="00B05CCE"/>
    <w:rsid w:val="00B0652A"/>
    <w:rsid w:val="00B0660D"/>
    <w:rsid w:val="00B06697"/>
    <w:rsid w:val="00B07177"/>
    <w:rsid w:val="00B07EDE"/>
    <w:rsid w:val="00B102CB"/>
    <w:rsid w:val="00B104A4"/>
    <w:rsid w:val="00B11953"/>
    <w:rsid w:val="00B11F9B"/>
    <w:rsid w:val="00B12C1A"/>
    <w:rsid w:val="00B12C9C"/>
    <w:rsid w:val="00B12F38"/>
    <w:rsid w:val="00B14366"/>
    <w:rsid w:val="00B148F0"/>
    <w:rsid w:val="00B14E2E"/>
    <w:rsid w:val="00B1577A"/>
    <w:rsid w:val="00B15D21"/>
    <w:rsid w:val="00B16078"/>
    <w:rsid w:val="00B174A3"/>
    <w:rsid w:val="00B176C3"/>
    <w:rsid w:val="00B17D44"/>
    <w:rsid w:val="00B20E03"/>
    <w:rsid w:val="00B212B4"/>
    <w:rsid w:val="00B2163B"/>
    <w:rsid w:val="00B219BF"/>
    <w:rsid w:val="00B21CDC"/>
    <w:rsid w:val="00B21EC7"/>
    <w:rsid w:val="00B21F82"/>
    <w:rsid w:val="00B2202C"/>
    <w:rsid w:val="00B2257A"/>
    <w:rsid w:val="00B2262E"/>
    <w:rsid w:val="00B22910"/>
    <w:rsid w:val="00B22D81"/>
    <w:rsid w:val="00B23140"/>
    <w:rsid w:val="00B23A53"/>
    <w:rsid w:val="00B244D7"/>
    <w:rsid w:val="00B24F53"/>
    <w:rsid w:val="00B25387"/>
    <w:rsid w:val="00B253A1"/>
    <w:rsid w:val="00B25ADC"/>
    <w:rsid w:val="00B262AB"/>
    <w:rsid w:val="00B268AA"/>
    <w:rsid w:val="00B26A8F"/>
    <w:rsid w:val="00B274DE"/>
    <w:rsid w:val="00B27948"/>
    <w:rsid w:val="00B30DE5"/>
    <w:rsid w:val="00B30EE5"/>
    <w:rsid w:val="00B312BB"/>
    <w:rsid w:val="00B31BF8"/>
    <w:rsid w:val="00B324A4"/>
    <w:rsid w:val="00B328D9"/>
    <w:rsid w:val="00B32C51"/>
    <w:rsid w:val="00B32E28"/>
    <w:rsid w:val="00B32E37"/>
    <w:rsid w:val="00B3340B"/>
    <w:rsid w:val="00B3362C"/>
    <w:rsid w:val="00B33CB7"/>
    <w:rsid w:val="00B33DDC"/>
    <w:rsid w:val="00B351F8"/>
    <w:rsid w:val="00B352FA"/>
    <w:rsid w:val="00B3646E"/>
    <w:rsid w:val="00B36949"/>
    <w:rsid w:val="00B36965"/>
    <w:rsid w:val="00B36B5C"/>
    <w:rsid w:val="00B36D31"/>
    <w:rsid w:val="00B40131"/>
    <w:rsid w:val="00B40D0E"/>
    <w:rsid w:val="00B41A8B"/>
    <w:rsid w:val="00B423C7"/>
    <w:rsid w:val="00B43146"/>
    <w:rsid w:val="00B43BC1"/>
    <w:rsid w:val="00B446EC"/>
    <w:rsid w:val="00B44DF2"/>
    <w:rsid w:val="00B45D96"/>
    <w:rsid w:val="00B464C3"/>
    <w:rsid w:val="00B46930"/>
    <w:rsid w:val="00B46969"/>
    <w:rsid w:val="00B473AB"/>
    <w:rsid w:val="00B47A1D"/>
    <w:rsid w:val="00B50A19"/>
    <w:rsid w:val="00B5259A"/>
    <w:rsid w:val="00B52DAE"/>
    <w:rsid w:val="00B52F07"/>
    <w:rsid w:val="00B5320C"/>
    <w:rsid w:val="00B5366A"/>
    <w:rsid w:val="00B53C0C"/>
    <w:rsid w:val="00B5479F"/>
    <w:rsid w:val="00B55597"/>
    <w:rsid w:val="00B5608F"/>
    <w:rsid w:val="00B564E7"/>
    <w:rsid w:val="00B56975"/>
    <w:rsid w:val="00B56C0C"/>
    <w:rsid w:val="00B56C6E"/>
    <w:rsid w:val="00B570E1"/>
    <w:rsid w:val="00B572A1"/>
    <w:rsid w:val="00B579BF"/>
    <w:rsid w:val="00B57D58"/>
    <w:rsid w:val="00B6054D"/>
    <w:rsid w:val="00B6095C"/>
    <w:rsid w:val="00B60C20"/>
    <w:rsid w:val="00B617CD"/>
    <w:rsid w:val="00B61E27"/>
    <w:rsid w:val="00B61FF4"/>
    <w:rsid w:val="00B627EF"/>
    <w:rsid w:val="00B6287F"/>
    <w:rsid w:val="00B62E57"/>
    <w:rsid w:val="00B6365D"/>
    <w:rsid w:val="00B63D81"/>
    <w:rsid w:val="00B63F93"/>
    <w:rsid w:val="00B64347"/>
    <w:rsid w:val="00B6514A"/>
    <w:rsid w:val="00B65D03"/>
    <w:rsid w:val="00B66A05"/>
    <w:rsid w:val="00B66AF4"/>
    <w:rsid w:val="00B66F45"/>
    <w:rsid w:val="00B670DD"/>
    <w:rsid w:val="00B67EFD"/>
    <w:rsid w:val="00B706B2"/>
    <w:rsid w:val="00B70B59"/>
    <w:rsid w:val="00B70C11"/>
    <w:rsid w:val="00B70D3E"/>
    <w:rsid w:val="00B72021"/>
    <w:rsid w:val="00B72B5D"/>
    <w:rsid w:val="00B72D56"/>
    <w:rsid w:val="00B73428"/>
    <w:rsid w:val="00B74063"/>
    <w:rsid w:val="00B747F6"/>
    <w:rsid w:val="00B74FA4"/>
    <w:rsid w:val="00B75031"/>
    <w:rsid w:val="00B75293"/>
    <w:rsid w:val="00B75507"/>
    <w:rsid w:val="00B759EB"/>
    <w:rsid w:val="00B75FE3"/>
    <w:rsid w:val="00B7669F"/>
    <w:rsid w:val="00B76AF5"/>
    <w:rsid w:val="00B76DF5"/>
    <w:rsid w:val="00B76E4D"/>
    <w:rsid w:val="00B801A4"/>
    <w:rsid w:val="00B805E0"/>
    <w:rsid w:val="00B808B7"/>
    <w:rsid w:val="00B80E80"/>
    <w:rsid w:val="00B81386"/>
    <w:rsid w:val="00B8198E"/>
    <w:rsid w:val="00B81F5F"/>
    <w:rsid w:val="00B82D01"/>
    <w:rsid w:val="00B8328A"/>
    <w:rsid w:val="00B83796"/>
    <w:rsid w:val="00B849E7"/>
    <w:rsid w:val="00B85868"/>
    <w:rsid w:val="00B86043"/>
    <w:rsid w:val="00B865EE"/>
    <w:rsid w:val="00B86E85"/>
    <w:rsid w:val="00B86FF3"/>
    <w:rsid w:val="00B877DD"/>
    <w:rsid w:val="00B912CF"/>
    <w:rsid w:val="00B92524"/>
    <w:rsid w:val="00B92642"/>
    <w:rsid w:val="00B92BB0"/>
    <w:rsid w:val="00B9305E"/>
    <w:rsid w:val="00B93B2E"/>
    <w:rsid w:val="00B93DC7"/>
    <w:rsid w:val="00B9445B"/>
    <w:rsid w:val="00B94F63"/>
    <w:rsid w:val="00B954E8"/>
    <w:rsid w:val="00B955FF"/>
    <w:rsid w:val="00B96157"/>
    <w:rsid w:val="00B962CB"/>
    <w:rsid w:val="00B96805"/>
    <w:rsid w:val="00B97FB7"/>
    <w:rsid w:val="00BA0286"/>
    <w:rsid w:val="00BA0730"/>
    <w:rsid w:val="00BA0DD6"/>
    <w:rsid w:val="00BA181A"/>
    <w:rsid w:val="00BA3BD8"/>
    <w:rsid w:val="00BA4A12"/>
    <w:rsid w:val="00BA530E"/>
    <w:rsid w:val="00BA56D1"/>
    <w:rsid w:val="00BA58F4"/>
    <w:rsid w:val="00BA61E0"/>
    <w:rsid w:val="00BA71FB"/>
    <w:rsid w:val="00BA7561"/>
    <w:rsid w:val="00BB0079"/>
    <w:rsid w:val="00BB02F8"/>
    <w:rsid w:val="00BB1457"/>
    <w:rsid w:val="00BB18E1"/>
    <w:rsid w:val="00BB2E9E"/>
    <w:rsid w:val="00BB2FB4"/>
    <w:rsid w:val="00BB3503"/>
    <w:rsid w:val="00BB3ECE"/>
    <w:rsid w:val="00BB4980"/>
    <w:rsid w:val="00BB4A7A"/>
    <w:rsid w:val="00BB4B85"/>
    <w:rsid w:val="00BB4C14"/>
    <w:rsid w:val="00BB4D03"/>
    <w:rsid w:val="00BB59DA"/>
    <w:rsid w:val="00BB6247"/>
    <w:rsid w:val="00BB6417"/>
    <w:rsid w:val="00BB672D"/>
    <w:rsid w:val="00BB6CB3"/>
    <w:rsid w:val="00BB7015"/>
    <w:rsid w:val="00BB710F"/>
    <w:rsid w:val="00BB7A24"/>
    <w:rsid w:val="00BC0047"/>
    <w:rsid w:val="00BC0D99"/>
    <w:rsid w:val="00BC103A"/>
    <w:rsid w:val="00BC1278"/>
    <w:rsid w:val="00BC14AF"/>
    <w:rsid w:val="00BC1714"/>
    <w:rsid w:val="00BC1E64"/>
    <w:rsid w:val="00BC266F"/>
    <w:rsid w:val="00BC28A5"/>
    <w:rsid w:val="00BC2D66"/>
    <w:rsid w:val="00BC44A7"/>
    <w:rsid w:val="00BC483A"/>
    <w:rsid w:val="00BC4F2E"/>
    <w:rsid w:val="00BC54B8"/>
    <w:rsid w:val="00BC5E49"/>
    <w:rsid w:val="00BC6FD0"/>
    <w:rsid w:val="00BD00C8"/>
    <w:rsid w:val="00BD0802"/>
    <w:rsid w:val="00BD1174"/>
    <w:rsid w:val="00BD1B77"/>
    <w:rsid w:val="00BD2BD1"/>
    <w:rsid w:val="00BD2F28"/>
    <w:rsid w:val="00BD39E0"/>
    <w:rsid w:val="00BD4E0C"/>
    <w:rsid w:val="00BD4E63"/>
    <w:rsid w:val="00BD503A"/>
    <w:rsid w:val="00BD5642"/>
    <w:rsid w:val="00BD584A"/>
    <w:rsid w:val="00BD61FA"/>
    <w:rsid w:val="00BD6BA2"/>
    <w:rsid w:val="00BD6C80"/>
    <w:rsid w:val="00BD75AE"/>
    <w:rsid w:val="00BD7BD7"/>
    <w:rsid w:val="00BE01DA"/>
    <w:rsid w:val="00BE076B"/>
    <w:rsid w:val="00BE0E3B"/>
    <w:rsid w:val="00BE0F98"/>
    <w:rsid w:val="00BE1157"/>
    <w:rsid w:val="00BE209C"/>
    <w:rsid w:val="00BE3AEE"/>
    <w:rsid w:val="00BE3CD5"/>
    <w:rsid w:val="00BE3F44"/>
    <w:rsid w:val="00BE3FC2"/>
    <w:rsid w:val="00BE4562"/>
    <w:rsid w:val="00BE48D2"/>
    <w:rsid w:val="00BE5257"/>
    <w:rsid w:val="00BE77B1"/>
    <w:rsid w:val="00BE7BA6"/>
    <w:rsid w:val="00BF1BB4"/>
    <w:rsid w:val="00BF2229"/>
    <w:rsid w:val="00BF3260"/>
    <w:rsid w:val="00BF41F8"/>
    <w:rsid w:val="00BF4216"/>
    <w:rsid w:val="00BF471A"/>
    <w:rsid w:val="00BF47D0"/>
    <w:rsid w:val="00BF49B8"/>
    <w:rsid w:val="00BF4A61"/>
    <w:rsid w:val="00BF57F5"/>
    <w:rsid w:val="00BF6061"/>
    <w:rsid w:val="00BF6153"/>
    <w:rsid w:val="00BF67EE"/>
    <w:rsid w:val="00BF6A37"/>
    <w:rsid w:val="00BF6F8B"/>
    <w:rsid w:val="00BF740E"/>
    <w:rsid w:val="00BF7637"/>
    <w:rsid w:val="00BF7F20"/>
    <w:rsid w:val="00C00652"/>
    <w:rsid w:val="00C00B5A"/>
    <w:rsid w:val="00C00EA4"/>
    <w:rsid w:val="00C022FD"/>
    <w:rsid w:val="00C02345"/>
    <w:rsid w:val="00C03798"/>
    <w:rsid w:val="00C03908"/>
    <w:rsid w:val="00C047F6"/>
    <w:rsid w:val="00C04DCF"/>
    <w:rsid w:val="00C0531E"/>
    <w:rsid w:val="00C05CDA"/>
    <w:rsid w:val="00C06177"/>
    <w:rsid w:val="00C067B7"/>
    <w:rsid w:val="00C075EA"/>
    <w:rsid w:val="00C07716"/>
    <w:rsid w:val="00C079C9"/>
    <w:rsid w:val="00C1063C"/>
    <w:rsid w:val="00C10EA5"/>
    <w:rsid w:val="00C113F0"/>
    <w:rsid w:val="00C12586"/>
    <w:rsid w:val="00C12E86"/>
    <w:rsid w:val="00C1323F"/>
    <w:rsid w:val="00C137A7"/>
    <w:rsid w:val="00C14255"/>
    <w:rsid w:val="00C147F1"/>
    <w:rsid w:val="00C1485A"/>
    <w:rsid w:val="00C148D3"/>
    <w:rsid w:val="00C14C02"/>
    <w:rsid w:val="00C14FC2"/>
    <w:rsid w:val="00C158DA"/>
    <w:rsid w:val="00C15984"/>
    <w:rsid w:val="00C170B9"/>
    <w:rsid w:val="00C172F3"/>
    <w:rsid w:val="00C17A00"/>
    <w:rsid w:val="00C2018B"/>
    <w:rsid w:val="00C20FFE"/>
    <w:rsid w:val="00C2111D"/>
    <w:rsid w:val="00C21CD6"/>
    <w:rsid w:val="00C22240"/>
    <w:rsid w:val="00C22639"/>
    <w:rsid w:val="00C234A9"/>
    <w:rsid w:val="00C23939"/>
    <w:rsid w:val="00C23990"/>
    <w:rsid w:val="00C25EC1"/>
    <w:rsid w:val="00C27FEB"/>
    <w:rsid w:val="00C311A8"/>
    <w:rsid w:val="00C315A7"/>
    <w:rsid w:val="00C31CD1"/>
    <w:rsid w:val="00C31D4A"/>
    <w:rsid w:val="00C32A41"/>
    <w:rsid w:val="00C32C8B"/>
    <w:rsid w:val="00C32DFE"/>
    <w:rsid w:val="00C34756"/>
    <w:rsid w:val="00C34C43"/>
    <w:rsid w:val="00C35B2E"/>
    <w:rsid w:val="00C36367"/>
    <w:rsid w:val="00C366C4"/>
    <w:rsid w:val="00C41857"/>
    <w:rsid w:val="00C41BEB"/>
    <w:rsid w:val="00C41FB6"/>
    <w:rsid w:val="00C421D6"/>
    <w:rsid w:val="00C42DD3"/>
    <w:rsid w:val="00C42EEF"/>
    <w:rsid w:val="00C4315C"/>
    <w:rsid w:val="00C431A2"/>
    <w:rsid w:val="00C43407"/>
    <w:rsid w:val="00C4384A"/>
    <w:rsid w:val="00C43EA8"/>
    <w:rsid w:val="00C43EB1"/>
    <w:rsid w:val="00C442DD"/>
    <w:rsid w:val="00C452F5"/>
    <w:rsid w:val="00C45436"/>
    <w:rsid w:val="00C45A78"/>
    <w:rsid w:val="00C4677D"/>
    <w:rsid w:val="00C47550"/>
    <w:rsid w:val="00C47F40"/>
    <w:rsid w:val="00C50447"/>
    <w:rsid w:val="00C50A26"/>
    <w:rsid w:val="00C5225F"/>
    <w:rsid w:val="00C525E6"/>
    <w:rsid w:val="00C52A5F"/>
    <w:rsid w:val="00C5347A"/>
    <w:rsid w:val="00C54667"/>
    <w:rsid w:val="00C550F8"/>
    <w:rsid w:val="00C5540D"/>
    <w:rsid w:val="00C554C5"/>
    <w:rsid w:val="00C557AC"/>
    <w:rsid w:val="00C5669D"/>
    <w:rsid w:val="00C60274"/>
    <w:rsid w:val="00C60992"/>
    <w:rsid w:val="00C61AC6"/>
    <w:rsid w:val="00C61C96"/>
    <w:rsid w:val="00C62EE6"/>
    <w:rsid w:val="00C64481"/>
    <w:rsid w:val="00C65A16"/>
    <w:rsid w:val="00C6674D"/>
    <w:rsid w:val="00C66EE4"/>
    <w:rsid w:val="00C702C7"/>
    <w:rsid w:val="00C71DAD"/>
    <w:rsid w:val="00C72CCC"/>
    <w:rsid w:val="00C731CB"/>
    <w:rsid w:val="00C73592"/>
    <w:rsid w:val="00C73D56"/>
    <w:rsid w:val="00C7429C"/>
    <w:rsid w:val="00C74984"/>
    <w:rsid w:val="00C74ABA"/>
    <w:rsid w:val="00C74CFD"/>
    <w:rsid w:val="00C755FC"/>
    <w:rsid w:val="00C75615"/>
    <w:rsid w:val="00C75659"/>
    <w:rsid w:val="00C75A46"/>
    <w:rsid w:val="00C75D92"/>
    <w:rsid w:val="00C762EB"/>
    <w:rsid w:val="00C77219"/>
    <w:rsid w:val="00C77647"/>
    <w:rsid w:val="00C77E53"/>
    <w:rsid w:val="00C803B7"/>
    <w:rsid w:val="00C80598"/>
    <w:rsid w:val="00C81465"/>
    <w:rsid w:val="00C81816"/>
    <w:rsid w:val="00C855ED"/>
    <w:rsid w:val="00C85740"/>
    <w:rsid w:val="00C857E0"/>
    <w:rsid w:val="00C85E21"/>
    <w:rsid w:val="00C85F55"/>
    <w:rsid w:val="00C86BD7"/>
    <w:rsid w:val="00C8703B"/>
    <w:rsid w:val="00C87AC7"/>
    <w:rsid w:val="00C906C7"/>
    <w:rsid w:val="00C915CB"/>
    <w:rsid w:val="00C928B5"/>
    <w:rsid w:val="00C9323C"/>
    <w:rsid w:val="00C93A85"/>
    <w:rsid w:val="00C93D45"/>
    <w:rsid w:val="00C9469F"/>
    <w:rsid w:val="00C94A85"/>
    <w:rsid w:val="00C94D93"/>
    <w:rsid w:val="00C952C2"/>
    <w:rsid w:val="00C96381"/>
    <w:rsid w:val="00C9710C"/>
    <w:rsid w:val="00C9759D"/>
    <w:rsid w:val="00C97DDF"/>
    <w:rsid w:val="00CA00D6"/>
    <w:rsid w:val="00CA0756"/>
    <w:rsid w:val="00CA0F69"/>
    <w:rsid w:val="00CA1EFF"/>
    <w:rsid w:val="00CA43B0"/>
    <w:rsid w:val="00CA4E63"/>
    <w:rsid w:val="00CA4F9A"/>
    <w:rsid w:val="00CA5B05"/>
    <w:rsid w:val="00CA61BB"/>
    <w:rsid w:val="00CA62CF"/>
    <w:rsid w:val="00CA63C7"/>
    <w:rsid w:val="00CA6C65"/>
    <w:rsid w:val="00CA77E6"/>
    <w:rsid w:val="00CA7EA0"/>
    <w:rsid w:val="00CA7F28"/>
    <w:rsid w:val="00CB04A2"/>
    <w:rsid w:val="00CB0C5C"/>
    <w:rsid w:val="00CB0CE4"/>
    <w:rsid w:val="00CB1951"/>
    <w:rsid w:val="00CB1C25"/>
    <w:rsid w:val="00CB1FD9"/>
    <w:rsid w:val="00CB23B8"/>
    <w:rsid w:val="00CB2442"/>
    <w:rsid w:val="00CB2C3B"/>
    <w:rsid w:val="00CB2EE0"/>
    <w:rsid w:val="00CB3A3B"/>
    <w:rsid w:val="00CB3BEB"/>
    <w:rsid w:val="00CB3EEB"/>
    <w:rsid w:val="00CB564A"/>
    <w:rsid w:val="00CB56A0"/>
    <w:rsid w:val="00CB5DAA"/>
    <w:rsid w:val="00CB5F2E"/>
    <w:rsid w:val="00CB6125"/>
    <w:rsid w:val="00CB6340"/>
    <w:rsid w:val="00CB6580"/>
    <w:rsid w:val="00CB6CF0"/>
    <w:rsid w:val="00CB6FA9"/>
    <w:rsid w:val="00CB706A"/>
    <w:rsid w:val="00CB71D1"/>
    <w:rsid w:val="00CB7D99"/>
    <w:rsid w:val="00CB7DCC"/>
    <w:rsid w:val="00CC0797"/>
    <w:rsid w:val="00CC27EF"/>
    <w:rsid w:val="00CC2A1A"/>
    <w:rsid w:val="00CC3047"/>
    <w:rsid w:val="00CC3D28"/>
    <w:rsid w:val="00CC4179"/>
    <w:rsid w:val="00CC4247"/>
    <w:rsid w:val="00CC5A38"/>
    <w:rsid w:val="00CC5E8F"/>
    <w:rsid w:val="00CC6431"/>
    <w:rsid w:val="00CC6498"/>
    <w:rsid w:val="00CC6ADC"/>
    <w:rsid w:val="00CC6D7C"/>
    <w:rsid w:val="00CC702D"/>
    <w:rsid w:val="00CC7525"/>
    <w:rsid w:val="00CC75C4"/>
    <w:rsid w:val="00CC75FD"/>
    <w:rsid w:val="00CC76EF"/>
    <w:rsid w:val="00CC7FAF"/>
    <w:rsid w:val="00CD071B"/>
    <w:rsid w:val="00CD12EE"/>
    <w:rsid w:val="00CD4051"/>
    <w:rsid w:val="00CD52C5"/>
    <w:rsid w:val="00CD66D0"/>
    <w:rsid w:val="00CD74CE"/>
    <w:rsid w:val="00CD757C"/>
    <w:rsid w:val="00CD77FF"/>
    <w:rsid w:val="00CD7FD1"/>
    <w:rsid w:val="00CE08D7"/>
    <w:rsid w:val="00CE13CF"/>
    <w:rsid w:val="00CE1417"/>
    <w:rsid w:val="00CE1528"/>
    <w:rsid w:val="00CE17C9"/>
    <w:rsid w:val="00CE1D9F"/>
    <w:rsid w:val="00CE1F05"/>
    <w:rsid w:val="00CE231E"/>
    <w:rsid w:val="00CE2CD9"/>
    <w:rsid w:val="00CE3CBB"/>
    <w:rsid w:val="00CE3FD0"/>
    <w:rsid w:val="00CE4278"/>
    <w:rsid w:val="00CE44D4"/>
    <w:rsid w:val="00CE4B0B"/>
    <w:rsid w:val="00CE5B04"/>
    <w:rsid w:val="00CE7901"/>
    <w:rsid w:val="00CE7DEB"/>
    <w:rsid w:val="00CF09D2"/>
    <w:rsid w:val="00CF0B4C"/>
    <w:rsid w:val="00CF0EFA"/>
    <w:rsid w:val="00CF131F"/>
    <w:rsid w:val="00CF1609"/>
    <w:rsid w:val="00CF23CD"/>
    <w:rsid w:val="00CF29AC"/>
    <w:rsid w:val="00CF3398"/>
    <w:rsid w:val="00CF3CA4"/>
    <w:rsid w:val="00CF435D"/>
    <w:rsid w:val="00CF44E4"/>
    <w:rsid w:val="00CF50F0"/>
    <w:rsid w:val="00CF546E"/>
    <w:rsid w:val="00CF5EE3"/>
    <w:rsid w:val="00CF627A"/>
    <w:rsid w:val="00CF7F7F"/>
    <w:rsid w:val="00D0023B"/>
    <w:rsid w:val="00D0068F"/>
    <w:rsid w:val="00D007BE"/>
    <w:rsid w:val="00D00B7E"/>
    <w:rsid w:val="00D01239"/>
    <w:rsid w:val="00D01689"/>
    <w:rsid w:val="00D01EE0"/>
    <w:rsid w:val="00D02A8D"/>
    <w:rsid w:val="00D02AE4"/>
    <w:rsid w:val="00D0321F"/>
    <w:rsid w:val="00D03880"/>
    <w:rsid w:val="00D048B8"/>
    <w:rsid w:val="00D05292"/>
    <w:rsid w:val="00D054FC"/>
    <w:rsid w:val="00D05C8E"/>
    <w:rsid w:val="00D05DFB"/>
    <w:rsid w:val="00D10460"/>
    <w:rsid w:val="00D10D64"/>
    <w:rsid w:val="00D1299C"/>
    <w:rsid w:val="00D12BCC"/>
    <w:rsid w:val="00D131E2"/>
    <w:rsid w:val="00D13428"/>
    <w:rsid w:val="00D145A2"/>
    <w:rsid w:val="00D14734"/>
    <w:rsid w:val="00D14879"/>
    <w:rsid w:val="00D149EC"/>
    <w:rsid w:val="00D14CF6"/>
    <w:rsid w:val="00D15420"/>
    <w:rsid w:val="00D15513"/>
    <w:rsid w:val="00D176DF"/>
    <w:rsid w:val="00D22993"/>
    <w:rsid w:val="00D22DF5"/>
    <w:rsid w:val="00D23284"/>
    <w:rsid w:val="00D23318"/>
    <w:rsid w:val="00D236E8"/>
    <w:rsid w:val="00D23935"/>
    <w:rsid w:val="00D23EE9"/>
    <w:rsid w:val="00D24870"/>
    <w:rsid w:val="00D2512A"/>
    <w:rsid w:val="00D257DA"/>
    <w:rsid w:val="00D25810"/>
    <w:rsid w:val="00D2601F"/>
    <w:rsid w:val="00D266DA"/>
    <w:rsid w:val="00D26EDF"/>
    <w:rsid w:val="00D26F40"/>
    <w:rsid w:val="00D26FCE"/>
    <w:rsid w:val="00D27B73"/>
    <w:rsid w:val="00D30B8C"/>
    <w:rsid w:val="00D32246"/>
    <w:rsid w:val="00D327C4"/>
    <w:rsid w:val="00D329DF"/>
    <w:rsid w:val="00D32F94"/>
    <w:rsid w:val="00D33A2B"/>
    <w:rsid w:val="00D34754"/>
    <w:rsid w:val="00D34A52"/>
    <w:rsid w:val="00D357DB"/>
    <w:rsid w:val="00D36CB3"/>
    <w:rsid w:val="00D36D35"/>
    <w:rsid w:val="00D36E73"/>
    <w:rsid w:val="00D40CC4"/>
    <w:rsid w:val="00D418AD"/>
    <w:rsid w:val="00D41C9A"/>
    <w:rsid w:val="00D4280C"/>
    <w:rsid w:val="00D42EF6"/>
    <w:rsid w:val="00D42F23"/>
    <w:rsid w:val="00D43252"/>
    <w:rsid w:val="00D448BE"/>
    <w:rsid w:val="00D44FC3"/>
    <w:rsid w:val="00D454B1"/>
    <w:rsid w:val="00D45746"/>
    <w:rsid w:val="00D46816"/>
    <w:rsid w:val="00D46DA2"/>
    <w:rsid w:val="00D474E3"/>
    <w:rsid w:val="00D47C7E"/>
    <w:rsid w:val="00D50578"/>
    <w:rsid w:val="00D50648"/>
    <w:rsid w:val="00D50853"/>
    <w:rsid w:val="00D50AE1"/>
    <w:rsid w:val="00D50E02"/>
    <w:rsid w:val="00D50F8A"/>
    <w:rsid w:val="00D51AF9"/>
    <w:rsid w:val="00D51F4C"/>
    <w:rsid w:val="00D525A5"/>
    <w:rsid w:val="00D5297D"/>
    <w:rsid w:val="00D52A6A"/>
    <w:rsid w:val="00D52B74"/>
    <w:rsid w:val="00D53C44"/>
    <w:rsid w:val="00D54FAA"/>
    <w:rsid w:val="00D556EE"/>
    <w:rsid w:val="00D5575D"/>
    <w:rsid w:val="00D55D40"/>
    <w:rsid w:val="00D55D4E"/>
    <w:rsid w:val="00D56084"/>
    <w:rsid w:val="00D56453"/>
    <w:rsid w:val="00D56EB1"/>
    <w:rsid w:val="00D57381"/>
    <w:rsid w:val="00D577A6"/>
    <w:rsid w:val="00D57E94"/>
    <w:rsid w:val="00D60B63"/>
    <w:rsid w:val="00D61632"/>
    <w:rsid w:val="00D61DFC"/>
    <w:rsid w:val="00D624CC"/>
    <w:rsid w:val="00D62807"/>
    <w:rsid w:val="00D63CCF"/>
    <w:rsid w:val="00D649BB"/>
    <w:rsid w:val="00D65092"/>
    <w:rsid w:val="00D65D6A"/>
    <w:rsid w:val="00D67CF5"/>
    <w:rsid w:val="00D702A5"/>
    <w:rsid w:val="00D7052E"/>
    <w:rsid w:val="00D707CA"/>
    <w:rsid w:val="00D708AA"/>
    <w:rsid w:val="00D70FF7"/>
    <w:rsid w:val="00D72549"/>
    <w:rsid w:val="00D725A8"/>
    <w:rsid w:val="00D727B8"/>
    <w:rsid w:val="00D7559F"/>
    <w:rsid w:val="00D7583E"/>
    <w:rsid w:val="00D75C62"/>
    <w:rsid w:val="00D763B3"/>
    <w:rsid w:val="00D768FD"/>
    <w:rsid w:val="00D7732D"/>
    <w:rsid w:val="00D77D69"/>
    <w:rsid w:val="00D77DD2"/>
    <w:rsid w:val="00D77F9A"/>
    <w:rsid w:val="00D80046"/>
    <w:rsid w:val="00D801EA"/>
    <w:rsid w:val="00D80F1D"/>
    <w:rsid w:val="00D8110A"/>
    <w:rsid w:val="00D815D0"/>
    <w:rsid w:val="00D8178A"/>
    <w:rsid w:val="00D81AAC"/>
    <w:rsid w:val="00D82425"/>
    <w:rsid w:val="00D8249A"/>
    <w:rsid w:val="00D82904"/>
    <w:rsid w:val="00D82962"/>
    <w:rsid w:val="00D82E3C"/>
    <w:rsid w:val="00D83FE8"/>
    <w:rsid w:val="00D8421D"/>
    <w:rsid w:val="00D84FDB"/>
    <w:rsid w:val="00D85226"/>
    <w:rsid w:val="00D86D92"/>
    <w:rsid w:val="00D8717C"/>
    <w:rsid w:val="00D903E8"/>
    <w:rsid w:val="00D90524"/>
    <w:rsid w:val="00D90980"/>
    <w:rsid w:val="00D91F0A"/>
    <w:rsid w:val="00D92E56"/>
    <w:rsid w:val="00D9325F"/>
    <w:rsid w:val="00D933FC"/>
    <w:rsid w:val="00D93422"/>
    <w:rsid w:val="00D93859"/>
    <w:rsid w:val="00D93FF0"/>
    <w:rsid w:val="00D94395"/>
    <w:rsid w:val="00D9538B"/>
    <w:rsid w:val="00D95BCE"/>
    <w:rsid w:val="00D960BD"/>
    <w:rsid w:val="00D96296"/>
    <w:rsid w:val="00D97547"/>
    <w:rsid w:val="00DA0138"/>
    <w:rsid w:val="00DA052B"/>
    <w:rsid w:val="00DA0AED"/>
    <w:rsid w:val="00DA0D85"/>
    <w:rsid w:val="00DA1962"/>
    <w:rsid w:val="00DA2288"/>
    <w:rsid w:val="00DA229B"/>
    <w:rsid w:val="00DA2DCD"/>
    <w:rsid w:val="00DA30BF"/>
    <w:rsid w:val="00DA328D"/>
    <w:rsid w:val="00DA3520"/>
    <w:rsid w:val="00DA3EB3"/>
    <w:rsid w:val="00DA5064"/>
    <w:rsid w:val="00DA529F"/>
    <w:rsid w:val="00DA53F9"/>
    <w:rsid w:val="00DA57A0"/>
    <w:rsid w:val="00DA596D"/>
    <w:rsid w:val="00DA6057"/>
    <w:rsid w:val="00DA69B4"/>
    <w:rsid w:val="00DA70D9"/>
    <w:rsid w:val="00DB0373"/>
    <w:rsid w:val="00DB0650"/>
    <w:rsid w:val="00DB0A28"/>
    <w:rsid w:val="00DB0CB1"/>
    <w:rsid w:val="00DB117A"/>
    <w:rsid w:val="00DB1FF1"/>
    <w:rsid w:val="00DB2611"/>
    <w:rsid w:val="00DB2B17"/>
    <w:rsid w:val="00DB303A"/>
    <w:rsid w:val="00DB3AB1"/>
    <w:rsid w:val="00DB3CEC"/>
    <w:rsid w:val="00DB3DCC"/>
    <w:rsid w:val="00DB3FAB"/>
    <w:rsid w:val="00DB4060"/>
    <w:rsid w:val="00DB435C"/>
    <w:rsid w:val="00DB4410"/>
    <w:rsid w:val="00DB4E90"/>
    <w:rsid w:val="00DB5744"/>
    <w:rsid w:val="00DB5BF0"/>
    <w:rsid w:val="00DB5C52"/>
    <w:rsid w:val="00DB5D79"/>
    <w:rsid w:val="00DB6754"/>
    <w:rsid w:val="00DB78D2"/>
    <w:rsid w:val="00DB7A86"/>
    <w:rsid w:val="00DB7A8D"/>
    <w:rsid w:val="00DC00AC"/>
    <w:rsid w:val="00DC1165"/>
    <w:rsid w:val="00DC125E"/>
    <w:rsid w:val="00DC19D2"/>
    <w:rsid w:val="00DC1C6B"/>
    <w:rsid w:val="00DC26C9"/>
    <w:rsid w:val="00DC2C1E"/>
    <w:rsid w:val="00DC2CC5"/>
    <w:rsid w:val="00DC2D99"/>
    <w:rsid w:val="00DC34B1"/>
    <w:rsid w:val="00DC352E"/>
    <w:rsid w:val="00DC3F57"/>
    <w:rsid w:val="00DC4D91"/>
    <w:rsid w:val="00DC539E"/>
    <w:rsid w:val="00DC5B64"/>
    <w:rsid w:val="00DC65D0"/>
    <w:rsid w:val="00DC6CE0"/>
    <w:rsid w:val="00DC6DCB"/>
    <w:rsid w:val="00DC7447"/>
    <w:rsid w:val="00DC7A0F"/>
    <w:rsid w:val="00DC7BE5"/>
    <w:rsid w:val="00DC7FFA"/>
    <w:rsid w:val="00DD011D"/>
    <w:rsid w:val="00DD04C4"/>
    <w:rsid w:val="00DD184B"/>
    <w:rsid w:val="00DD22FF"/>
    <w:rsid w:val="00DD258A"/>
    <w:rsid w:val="00DD31CB"/>
    <w:rsid w:val="00DD48A8"/>
    <w:rsid w:val="00DD5A1B"/>
    <w:rsid w:val="00DD69C3"/>
    <w:rsid w:val="00DD6F3D"/>
    <w:rsid w:val="00DD715C"/>
    <w:rsid w:val="00DE026B"/>
    <w:rsid w:val="00DE02AC"/>
    <w:rsid w:val="00DE18BC"/>
    <w:rsid w:val="00DE1CE2"/>
    <w:rsid w:val="00DE22C7"/>
    <w:rsid w:val="00DE2A7C"/>
    <w:rsid w:val="00DE5564"/>
    <w:rsid w:val="00DE5647"/>
    <w:rsid w:val="00DE5709"/>
    <w:rsid w:val="00DE58A8"/>
    <w:rsid w:val="00DE6A63"/>
    <w:rsid w:val="00DE6F58"/>
    <w:rsid w:val="00DF06E9"/>
    <w:rsid w:val="00DF0700"/>
    <w:rsid w:val="00DF1FA9"/>
    <w:rsid w:val="00DF23C2"/>
    <w:rsid w:val="00DF3163"/>
    <w:rsid w:val="00DF4198"/>
    <w:rsid w:val="00DF429D"/>
    <w:rsid w:val="00DF4B62"/>
    <w:rsid w:val="00DF5F20"/>
    <w:rsid w:val="00DF695D"/>
    <w:rsid w:val="00DF7B17"/>
    <w:rsid w:val="00DF7CB2"/>
    <w:rsid w:val="00E006E0"/>
    <w:rsid w:val="00E01B64"/>
    <w:rsid w:val="00E023C1"/>
    <w:rsid w:val="00E030DA"/>
    <w:rsid w:val="00E032D2"/>
    <w:rsid w:val="00E0517E"/>
    <w:rsid w:val="00E05DC3"/>
    <w:rsid w:val="00E06F2E"/>
    <w:rsid w:val="00E075E9"/>
    <w:rsid w:val="00E1034A"/>
    <w:rsid w:val="00E104E4"/>
    <w:rsid w:val="00E11998"/>
    <w:rsid w:val="00E12256"/>
    <w:rsid w:val="00E12475"/>
    <w:rsid w:val="00E129F5"/>
    <w:rsid w:val="00E1308C"/>
    <w:rsid w:val="00E13D55"/>
    <w:rsid w:val="00E1465D"/>
    <w:rsid w:val="00E14B08"/>
    <w:rsid w:val="00E157ED"/>
    <w:rsid w:val="00E15DEF"/>
    <w:rsid w:val="00E15E9E"/>
    <w:rsid w:val="00E1685E"/>
    <w:rsid w:val="00E17085"/>
    <w:rsid w:val="00E173BF"/>
    <w:rsid w:val="00E17E15"/>
    <w:rsid w:val="00E20062"/>
    <w:rsid w:val="00E2087C"/>
    <w:rsid w:val="00E20A33"/>
    <w:rsid w:val="00E21173"/>
    <w:rsid w:val="00E21AD7"/>
    <w:rsid w:val="00E22F74"/>
    <w:rsid w:val="00E23096"/>
    <w:rsid w:val="00E234D6"/>
    <w:rsid w:val="00E23824"/>
    <w:rsid w:val="00E23E0A"/>
    <w:rsid w:val="00E24414"/>
    <w:rsid w:val="00E249D9"/>
    <w:rsid w:val="00E24BCA"/>
    <w:rsid w:val="00E2573F"/>
    <w:rsid w:val="00E26113"/>
    <w:rsid w:val="00E26336"/>
    <w:rsid w:val="00E2661E"/>
    <w:rsid w:val="00E266A4"/>
    <w:rsid w:val="00E26BE3"/>
    <w:rsid w:val="00E26D1B"/>
    <w:rsid w:val="00E27164"/>
    <w:rsid w:val="00E27320"/>
    <w:rsid w:val="00E30EFC"/>
    <w:rsid w:val="00E30F1E"/>
    <w:rsid w:val="00E312FE"/>
    <w:rsid w:val="00E325A7"/>
    <w:rsid w:val="00E32AB8"/>
    <w:rsid w:val="00E32F5C"/>
    <w:rsid w:val="00E33B5F"/>
    <w:rsid w:val="00E34605"/>
    <w:rsid w:val="00E34B9F"/>
    <w:rsid w:val="00E35306"/>
    <w:rsid w:val="00E353A7"/>
    <w:rsid w:val="00E35847"/>
    <w:rsid w:val="00E3693B"/>
    <w:rsid w:val="00E36B17"/>
    <w:rsid w:val="00E36C7A"/>
    <w:rsid w:val="00E377EF"/>
    <w:rsid w:val="00E40279"/>
    <w:rsid w:val="00E40403"/>
    <w:rsid w:val="00E40B10"/>
    <w:rsid w:val="00E40D92"/>
    <w:rsid w:val="00E4134C"/>
    <w:rsid w:val="00E41F69"/>
    <w:rsid w:val="00E423E9"/>
    <w:rsid w:val="00E427A4"/>
    <w:rsid w:val="00E42CE6"/>
    <w:rsid w:val="00E43147"/>
    <w:rsid w:val="00E4362E"/>
    <w:rsid w:val="00E43AB6"/>
    <w:rsid w:val="00E43C54"/>
    <w:rsid w:val="00E457C4"/>
    <w:rsid w:val="00E461D9"/>
    <w:rsid w:val="00E474E0"/>
    <w:rsid w:val="00E47CC8"/>
    <w:rsid w:val="00E50A09"/>
    <w:rsid w:val="00E50F05"/>
    <w:rsid w:val="00E51605"/>
    <w:rsid w:val="00E53007"/>
    <w:rsid w:val="00E54BEF"/>
    <w:rsid w:val="00E553D7"/>
    <w:rsid w:val="00E55ED9"/>
    <w:rsid w:val="00E567CC"/>
    <w:rsid w:val="00E56993"/>
    <w:rsid w:val="00E56EA1"/>
    <w:rsid w:val="00E56F4A"/>
    <w:rsid w:val="00E57486"/>
    <w:rsid w:val="00E607C8"/>
    <w:rsid w:val="00E61479"/>
    <w:rsid w:val="00E61CBB"/>
    <w:rsid w:val="00E623CB"/>
    <w:rsid w:val="00E625CB"/>
    <w:rsid w:val="00E62625"/>
    <w:rsid w:val="00E62698"/>
    <w:rsid w:val="00E62FB3"/>
    <w:rsid w:val="00E63771"/>
    <w:rsid w:val="00E63C87"/>
    <w:rsid w:val="00E6401E"/>
    <w:rsid w:val="00E6484B"/>
    <w:rsid w:val="00E64931"/>
    <w:rsid w:val="00E64ECA"/>
    <w:rsid w:val="00E65233"/>
    <w:rsid w:val="00E67597"/>
    <w:rsid w:val="00E70F38"/>
    <w:rsid w:val="00E70F3C"/>
    <w:rsid w:val="00E7122B"/>
    <w:rsid w:val="00E7126E"/>
    <w:rsid w:val="00E717DA"/>
    <w:rsid w:val="00E71C95"/>
    <w:rsid w:val="00E72175"/>
    <w:rsid w:val="00E72866"/>
    <w:rsid w:val="00E72F83"/>
    <w:rsid w:val="00E73435"/>
    <w:rsid w:val="00E74801"/>
    <w:rsid w:val="00E763E0"/>
    <w:rsid w:val="00E77210"/>
    <w:rsid w:val="00E772A3"/>
    <w:rsid w:val="00E777EE"/>
    <w:rsid w:val="00E77E91"/>
    <w:rsid w:val="00E801DD"/>
    <w:rsid w:val="00E80D82"/>
    <w:rsid w:val="00E80F42"/>
    <w:rsid w:val="00E812DF"/>
    <w:rsid w:val="00E81D08"/>
    <w:rsid w:val="00E822FE"/>
    <w:rsid w:val="00E82807"/>
    <w:rsid w:val="00E82AA5"/>
    <w:rsid w:val="00E82BD4"/>
    <w:rsid w:val="00E82E7B"/>
    <w:rsid w:val="00E84110"/>
    <w:rsid w:val="00E84347"/>
    <w:rsid w:val="00E84712"/>
    <w:rsid w:val="00E84861"/>
    <w:rsid w:val="00E859C4"/>
    <w:rsid w:val="00E87432"/>
    <w:rsid w:val="00E87973"/>
    <w:rsid w:val="00E87D48"/>
    <w:rsid w:val="00E90564"/>
    <w:rsid w:val="00E905DD"/>
    <w:rsid w:val="00E90FED"/>
    <w:rsid w:val="00E9120C"/>
    <w:rsid w:val="00E915FC"/>
    <w:rsid w:val="00E929EC"/>
    <w:rsid w:val="00E937C4"/>
    <w:rsid w:val="00E940E0"/>
    <w:rsid w:val="00E94213"/>
    <w:rsid w:val="00E943B8"/>
    <w:rsid w:val="00E94477"/>
    <w:rsid w:val="00E94C20"/>
    <w:rsid w:val="00E94DE9"/>
    <w:rsid w:val="00E951F9"/>
    <w:rsid w:val="00E9599B"/>
    <w:rsid w:val="00E95C3B"/>
    <w:rsid w:val="00E96702"/>
    <w:rsid w:val="00E970D6"/>
    <w:rsid w:val="00E97EAB"/>
    <w:rsid w:val="00EA0C3C"/>
    <w:rsid w:val="00EA0D5F"/>
    <w:rsid w:val="00EA24C2"/>
    <w:rsid w:val="00EA2596"/>
    <w:rsid w:val="00EA3662"/>
    <w:rsid w:val="00EA3E3C"/>
    <w:rsid w:val="00EA498A"/>
    <w:rsid w:val="00EA4B90"/>
    <w:rsid w:val="00EA5377"/>
    <w:rsid w:val="00EA575D"/>
    <w:rsid w:val="00EA772F"/>
    <w:rsid w:val="00EA7FA3"/>
    <w:rsid w:val="00EB0FE4"/>
    <w:rsid w:val="00EB209E"/>
    <w:rsid w:val="00EB52E5"/>
    <w:rsid w:val="00EB54F1"/>
    <w:rsid w:val="00EB56E5"/>
    <w:rsid w:val="00EB5882"/>
    <w:rsid w:val="00EB5AE8"/>
    <w:rsid w:val="00EB5AF8"/>
    <w:rsid w:val="00EB5CD1"/>
    <w:rsid w:val="00EB6049"/>
    <w:rsid w:val="00EB6211"/>
    <w:rsid w:val="00EB63D9"/>
    <w:rsid w:val="00EB6671"/>
    <w:rsid w:val="00EB6B24"/>
    <w:rsid w:val="00EB72CA"/>
    <w:rsid w:val="00EB76EA"/>
    <w:rsid w:val="00EC00CF"/>
    <w:rsid w:val="00EC0227"/>
    <w:rsid w:val="00EC12E4"/>
    <w:rsid w:val="00EC1B9F"/>
    <w:rsid w:val="00EC1E46"/>
    <w:rsid w:val="00EC2AE2"/>
    <w:rsid w:val="00EC3257"/>
    <w:rsid w:val="00EC393A"/>
    <w:rsid w:val="00EC3F04"/>
    <w:rsid w:val="00EC46F3"/>
    <w:rsid w:val="00EC481D"/>
    <w:rsid w:val="00EC4BF9"/>
    <w:rsid w:val="00EC535C"/>
    <w:rsid w:val="00EC598D"/>
    <w:rsid w:val="00EC5C2D"/>
    <w:rsid w:val="00EC6CC9"/>
    <w:rsid w:val="00EC6F5A"/>
    <w:rsid w:val="00ED007A"/>
    <w:rsid w:val="00ED00D2"/>
    <w:rsid w:val="00ED0283"/>
    <w:rsid w:val="00ED0618"/>
    <w:rsid w:val="00ED1990"/>
    <w:rsid w:val="00ED1CC3"/>
    <w:rsid w:val="00ED1DC8"/>
    <w:rsid w:val="00ED1F74"/>
    <w:rsid w:val="00ED2064"/>
    <w:rsid w:val="00ED30F8"/>
    <w:rsid w:val="00ED358C"/>
    <w:rsid w:val="00ED36F0"/>
    <w:rsid w:val="00ED4752"/>
    <w:rsid w:val="00ED4976"/>
    <w:rsid w:val="00ED518B"/>
    <w:rsid w:val="00ED55D3"/>
    <w:rsid w:val="00ED70AA"/>
    <w:rsid w:val="00ED7197"/>
    <w:rsid w:val="00ED786B"/>
    <w:rsid w:val="00EE07FA"/>
    <w:rsid w:val="00EE0DCE"/>
    <w:rsid w:val="00EE16D4"/>
    <w:rsid w:val="00EE1FD4"/>
    <w:rsid w:val="00EE2149"/>
    <w:rsid w:val="00EE2C87"/>
    <w:rsid w:val="00EE398F"/>
    <w:rsid w:val="00EE4919"/>
    <w:rsid w:val="00EE4CBB"/>
    <w:rsid w:val="00EE5C0E"/>
    <w:rsid w:val="00EE61A2"/>
    <w:rsid w:val="00EE6D49"/>
    <w:rsid w:val="00EE6DE6"/>
    <w:rsid w:val="00EE7C4B"/>
    <w:rsid w:val="00EF0925"/>
    <w:rsid w:val="00EF1357"/>
    <w:rsid w:val="00EF1F50"/>
    <w:rsid w:val="00EF2986"/>
    <w:rsid w:val="00EF29D1"/>
    <w:rsid w:val="00EF2D71"/>
    <w:rsid w:val="00EF4086"/>
    <w:rsid w:val="00EF42D7"/>
    <w:rsid w:val="00EF4446"/>
    <w:rsid w:val="00EF48D4"/>
    <w:rsid w:val="00EF4DA6"/>
    <w:rsid w:val="00EF624B"/>
    <w:rsid w:val="00EF65E9"/>
    <w:rsid w:val="00EF6C2B"/>
    <w:rsid w:val="00EF6FDD"/>
    <w:rsid w:val="00EF7481"/>
    <w:rsid w:val="00EF7642"/>
    <w:rsid w:val="00EF7924"/>
    <w:rsid w:val="00F019C6"/>
    <w:rsid w:val="00F0232D"/>
    <w:rsid w:val="00F03463"/>
    <w:rsid w:val="00F040C0"/>
    <w:rsid w:val="00F0431E"/>
    <w:rsid w:val="00F045B9"/>
    <w:rsid w:val="00F049AB"/>
    <w:rsid w:val="00F04E3B"/>
    <w:rsid w:val="00F05AFA"/>
    <w:rsid w:val="00F0673D"/>
    <w:rsid w:val="00F07758"/>
    <w:rsid w:val="00F07779"/>
    <w:rsid w:val="00F07927"/>
    <w:rsid w:val="00F1009D"/>
    <w:rsid w:val="00F10834"/>
    <w:rsid w:val="00F10D06"/>
    <w:rsid w:val="00F10D30"/>
    <w:rsid w:val="00F11A3C"/>
    <w:rsid w:val="00F11F50"/>
    <w:rsid w:val="00F12974"/>
    <w:rsid w:val="00F12EFB"/>
    <w:rsid w:val="00F14FBD"/>
    <w:rsid w:val="00F15041"/>
    <w:rsid w:val="00F1518C"/>
    <w:rsid w:val="00F15292"/>
    <w:rsid w:val="00F15EAA"/>
    <w:rsid w:val="00F15F5C"/>
    <w:rsid w:val="00F1641A"/>
    <w:rsid w:val="00F169FA"/>
    <w:rsid w:val="00F171A2"/>
    <w:rsid w:val="00F17459"/>
    <w:rsid w:val="00F174E0"/>
    <w:rsid w:val="00F2122E"/>
    <w:rsid w:val="00F217B2"/>
    <w:rsid w:val="00F226E0"/>
    <w:rsid w:val="00F228AF"/>
    <w:rsid w:val="00F23266"/>
    <w:rsid w:val="00F23337"/>
    <w:rsid w:val="00F23B94"/>
    <w:rsid w:val="00F23C77"/>
    <w:rsid w:val="00F23F83"/>
    <w:rsid w:val="00F24ADE"/>
    <w:rsid w:val="00F260CD"/>
    <w:rsid w:val="00F26AD6"/>
    <w:rsid w:val="00F26AF2"/>
    <w:rsid w:val="00F27295"/>
    <w:rsid w:val="00F302D0"/>
    <w:rsid w:val="00F3081C"/>
    <w:rsid w:val="00F3150F"/>
    <w:rsid w:val="00F3482D"/>
    <w:rsid w:val="00F34953"/>
    <w:rsid w:val="00F35013"/>
    <w:rsid w:val="00F350CF"/>
    <w:rsid w:val="00F35795"/>
    <w:rsid w:val="00F36F6B"/>
    <w:rsid w:val="00F37559"/>
    <w:rsid w:val="00F3766D"/>
    <w:rsid w:val="00F37F4F"/>
    <w:rsid w:val="00F40A21"/>
    <w:rsid w:val="00F40B00"/>
    <w:rsid w:val="00F40C1C"/>
    <w:rsid w:val="00F40CAE"/>
    <w:rsid w:val="00F40CE3"/>
    <w:rsid w:val="00F418A8"/>
    <w:rsid w:val="00F419DD"/>
    <w:rsid w:val="00F4300A"/>
    <w:rsid w:val="00F4446C"/>
    <w:rsid w:val="00F445E4"/>
    <w:rsid w:val="00F4464A"/>
    <w:rsid w:val="00F4471B"/>
    <w:rsid w:val="00F447B4"/>
    <w:rsid w:val="00F448CD"/>
    <w:rsid w:val="00F448EC"/>
    <w:rsid w:val="00F44B3F"/>
    <w:rsid w:val="00F454FA"/>
    <w:rsid w:val="00F45718"/>
    <w:rsid w:val="00F46DE4"/>
    <w:rsid w:val="00F47406"/>
    <w:rsid w:val="00F47AD4"/>
    <w:rsid w:val="00F47FFE"/>
    <w:rsid w:val="00F5027B"/>
    <w:rsid w:val="00F506EF"/>
    <w:rsid w:val="00F50C7B"/>
    <w:rsid w:val="00F511D0"/>
    <w:rsid w:val="00F5140D"/>
    <w:rsid w:val="00F525F4"/>
    <w:rsid w:val="00F52DA0"/>
    <w:rsid w:val="00F52F21"/>
    <w:rsid w:val="00F5343C"/>
    <w:rsid w:val="00F540DA"/>
    <w:rsid w:val="00F54489"/>
    <w:rsid w:val="00F55826"/>
    <w:rsid w:val="00F565A3"/>
    <w:rsid w:val="00F56953"/>
    <w:rsid w:val="00F57B87"/>
    <w:rsid w:val="00F60433"/>
    <w:rsid w:val="00F60C2A"/>
    <w:rsid w:val="00F60E5A"/>
    <w:rsid w:val="00F61354"/>
    <w:rsid w:val="00F62C9D"/>
    <w:rsid w:val="00F630D8"/>
    <w:rsid w:val="00F636E2"/>
    <w:rsid w:val="00F63C41"/>
    <w:rsid w:val="00F63D08"/>
    <w:rsid w:val="00F64242"/>
    <w:rsid w:val="00F64334"/>
    <w:rsid w:val="00F64E1D"/>
    <w:rsid w:val="00F653A3"/>
    <w:rsid w:val="00F65878"/>
    <w:rsid w:val="00F659C5"/>
    <w:rsid w:val="00F66697"/>
    <w:rsid w:val="00F6752A"/>
    <w:rsid w:val="00F6771E"/>
    <w:rsid w:val="00F67B35"/>
    <w:rsid w:val="00F70169"/>
    <w:rsid w:val="00F70B01"/>
    <w:rsid w:val="00F70E7E"/>
    <w:rsid w:val="00F72BC7"/>
    <w:rsid w:val="00F72BF9"/>
    <w:rsid w:val="00F7310D"/>
    <w:rsid w:val="00F739AF"/>
    <w:rsid w:val="00F73FB9"/>
    <w:rsid w:val="00F74155"/>
    <w:rsid w:val="00F7435C"/>
    <w:rsid w:val="00F74CBC"/>
    <w:rsid w:val="00F75183"/>
    <w:rsid w:val="00F753EB"/>
    <w:rsid w:val="00F75A06"/>
    <w:rsid w:val="00F77AE6"/>
    <w:rsid w:val="00F77EA7"/>
    <w:rsid w:val="00F808E9"/>
    <w:rsid w:val="00F82064"/>
    <w:rsid w:val="00F8207B"/>
    <w:rsid w:val="00F82B88"/>
    <w:rsid w:val="00F82CC4"/>
    <w:rsid w:val="00F8449C"/>
    <w:rsid w:val="00F84828"/>
    <w:rsid w:val="00F85771"/>
    <w:rsid w:val="00F85A34"/>
    <w:rsid w:val="00F8644E"/>
    <w:rsid w:val="00F901A4"/>
    <w:rsid w:val="00F902B5"/>
    <w:rsid w:val="00F90805"/>
    <w:rsid w:val="00F90DD6"/>
    <w:rsid w:val="00F9113D"/>
    <w:rsid w:val="00F9119D"/>
    <w:rsid w:val="00F91236"/>
    <w:rsid w:val="00F917A5"/>
    <w:rsid w:val="00F92B04"/>
    <w:rsid w:val="00F92B6E"/>
    <w:rsid w:val="00F93567"/>
    <w:rsid w:val="00F93865"/>
    <w:rsid w:val="00F94785"/>
    <w:rsid w:val="00F94923"/>
    <w:rsid w:val="00F94B41"/>
    <w:rsid w:val="00F94BAC"/>
    <w:rsid w:val="00F94F91"/>
    <w:rsid w:val="00F95080"/>
    <w:rsid w:val="00F959DD"/>
    <w:rsid w:val="00F95B44"/>
    <w:rsid w:val="00F95C15"/>
    <w:rsid w:val="00F9694B"/>
    <w:rsid w:val="00F96C38"/>
    <w:rsid w:val="00F973D7"/>
    <w:rsid w:val="00FA0246"/>
    <w:rsid w:val="00FA02BD"/>
    <w:rsid w:val="00FA0C5D"/>
    <w:rsid w:val="00FA1806"/>
    <w:rsid w:val="00FA197A"/>
    <w:rsid w:val="00FA23AB"/>
    <w:rsid w:val="00FA364E"/>
    <w:rsid w:val="00FA3BBF"/>
    <w:rsid w:val="00FA400B"/>
    <w:rsid w:val="00FA4757"/>
    <w:rsid w:val="00FA4E98"/>
    <w:rsid w:val="00FA4EFD"/>
    <w:rsid w:val="00FA50A0"/>
    <w:rsid w:val="00FA6EC4"/>
    <w:rsid w:val="00FA70A4"/>
    <w:rsid w:val="00FA7429"/>
    <w:rsid w:val="00FA7A5E"/>
    <w:rsid w:val="00FA7D26"/>
    <w:rsid w:val="00FB012E"/>
    <w:rsid w:val="00FB025A"/>
    <w:rsid w:val="00FB03FB"/>
    <w:rsid w:val="00FB0983"/>
    <w:rsid w:val="00FB1320"/>
    <w:rsid w:val="00FB15F6"/>
    <w:rsid w:val="00FB25C1"/>
    <w:rsid w:val="00FB28B1"/>
    <w:rsid w:val="00FB2D2D"/>
    <w:rsid w:val="00FB3E30"/>
    <w:rsid w:val="00FB4FAB"/>
    <w:rsid w:val="00FB5340"/>
    <w:rsid w:val="00FB5A4C"/>
    <w:rsid w:val="00FB5F42"/>
    <w:rsid w:val="00FB67B6"/>
    <w:rsid w:val="00FB69DC"/>
    <w:rsid w:val="00FB6C38"/>
    <w:rsid w:val="00FB6DE3"/>
    <w:rsid w:val="00FB6F4C"/>
    <w:rsid w:val="00FB77B7"/>
    <w:rsid w:val="00FB7D71"/>
    <w:rsid w:val="00FC019D"/>
    <w:rsid w:val="00FC02FC"/>
    <w:rsid w:val="00FC0EBA"/>
    <w:rsid w:val="00FC2104"/>
    <w:rsid w:val="00FC2B0D"/>
    <w:rsid w:val="00FC3055"/>
    <w:rsid w:val="00FC32B8"/>
    <w:rsid w:val="00FC3A87"/>
    <w:rsid w:val="00FC3D2D"/>
    <w:rsid w:val="00FC5C06"/>
    <w:rsid w:val="00FC6048"/>
    <w:rsid w:val="00FC6122"/>
    <w:rsid w:val="00FC635D"/>
    <w:rsid w:val="00FC723C"/>
    <w:rsid w:val="00FC7425"/>
    <w:rsid w:val="00FD1013"/>
    <w:rsid w:val="00FD19C8"/>
    <w:rsid w:val="00FD3831"/>
    <w:rsid w:val="00FD4049"/>
    <w:rsid w:val="00FD446D"/>
    <w:rsid w:val="00FD505C"/>
    <w:rsid w:val="00FD5421"/>
    <w:rsid w:val="00FD6285"/>
    <w:rsid w:val="00FD65A9"/>
    <w:rsid w:val="00FD65B1"/>
    <w:rsid w:val="00FD67B8"/>
    <w:rsid w:val="00FD6A7D"/>
    <w:rsid w:val="00FD75B9"/>
    <w:rsid w:val="00FD7645"/>
    <w:rsid w:val="00FD7A5B"/>
    <w:rsid w:val="00FD7D79"/>
    <w:rsid w:val="00FE0565"/>
    <w:rsid w:val="00FE0C45"/>
    <w:rsid w:val="00FE0E25"/>
    <w:rsid w:val="00FE156E"/>
    <w:rsid w:val="00FE2007"/>
    <w:rsid w:val="00FE38D9"/>
    <w:rsid w:val="00FE3EFC"/>
    <w:rsid w:val="00FE41B8"/>
    <w:rsid w:val="00FE456E"/>
    <w:rsid w:val="00FE45A2"/>
    <w:rsid w:val="00FE4814"/>
    <w:rsid w:val="00FE50D5"/>
    <w:rsid w:val="00FE5C70"/>
    <w:rsid w:val="00FE5E5A"/>
    <w:rsid w:val="00FE6A25"/>
    <w:rsid w:val="00FE7E6F"/>
    <w:rsid w:val="00FE7ECE"/>
    <w:rsid w:val="00FF0131"/>
    <w:rsid w:val="00FF02C5"/>
    <w:rsid w:val="00FF0F52"/>
    <w:rsid w:val="00FF1A0B"/>
    <w:rsid w:val="00FF1A79"/>
    <w:rsid w:val="00FF1E8D"/>
    <w:rsid w:val="00FF3271"/>
    <w:rsid w:val="00FF4BF0"/>
    <w:rsid w:val="00FF582C"/>
    <w:rsid w:val="00FF5A42"/>
    <w:rsid w:val="00FF60E2"/>
    <w:rsid w:val="00FF70C6"/>
    <w:rsid w:val="00FF7688"/>
    <w:rsid w:val="00FF7B73"/>
    <w:rsid w:val="00FF7C21"/>
    <w:rsid w:val="0400DB6D"/>
    <w:rsid w:val="0A243596"/>
    <w:rsid w:val="1326C914"/>
    <w:rsid w:val="1422F364"/>
    <w:rsid w:val="176226A2"/>
    <w:rsid w:val="1B57CB69"/>
    <w:rsid w:val="219F0799"/>
    <w:rsid w:val="2953D18D"/>
    <w:rsid w:val="3172F6FB"/>
    <w:rsid w:val="347F9D11"/>
    <w:rsid w:val="358C3F65"/>
    <w:rsid w:val="37B5F9B3"/>
    <w:rsid w:val="3CCE07B6"/>
    <w:rsid w:val="4090EB89"/>
    <w:rsid w:val="44B3A3FD"/>
    <w:rsid w:val="4613F2F9"/>
    <w:rsid w:val="46CDDD4E"/>
    <w:rsid w:val="4AF81DA6"/>
    <w:rsid w:val="4D4B6FE4"/>
    <w:rsid w:val="61C8FA15"/>
    <w:rsid w:val="6BE8C138"/>
    <w:rsid w:val="77150F04"/>
    <w:rsid w:val="7FA2917B"/>
    <w:rsid w:val="7FF2D98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8"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B0"/>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27"/>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CF23CD"/>
    <w:pPr>
      <w:keepNext/>
      <w:keepLines/>
      <w:numPr>
        <w:ilvl w:val="1"/>
        <w:numId w:val="27"/>
      </w:numPr>
      <w:spacing w:before="240" w:after="0"/>
      <w:outlineLvl w:val="1"/>
    </w:pPr>
    <w:rPr>
      <w:rFonts w:eastAsiaTheme="majorEastAsia" w:cstheme="majorBidi"/>
      <w:b/>
      <w:bCs/>
      <w:color w:val="62B5E5" w:themeColor="accent3"/>
      <w:szCs w:val="26"/>
    </w:rPr>
  </w:style>
  <w:style w:type="paragraph" w:styleId="Heading3">
    <w:name w:val="heading 3"/>
    <w:basedOn w:val="Normal"/>
    <w:next w:val="Normal"/>
    <w:link w:val="Heading3Char"/>
    <w:uiPriority w:val="1"/>
    <w:qFormat/>
    <w:rsid w:val="00F9113D"/>
    <w:pPr>
      <w:keepNext/>
      <w:keepLines/>
      <w:numPr>
        <w:ilvl w:val="2"/>
        <w:numId w:val="27"/>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27"/>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27"/>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7"/>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numPr>
        <w:ilvl w:val="6"/>
        <w:numId w:val="27"/>
      </w:numPr>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numPr>
        <w:ilvl w:val="7"/>
        <w:numId w:val="27"/>
      </w:numPr>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numPr>
        <w:ilvl w:val="8"/>
        <w:numId w:val="27"/>
      </w:numPr>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CF23CD"/>
    <w:rPr>
      <w:rFonts w:eastAsiaTheme="majorEastAsia" w:cstheme="majorBidi"/>
      <w:b/>
      <w:bCs/>
      <w:color w:val="62B5E5" w:themeColor="accent3"/>
      <w:szCs w:val="26"/>
      <w:lang w:val="en-AU"/>
    </w:r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table" w:styleId="TableGrid">
    <w:name w:val="Table Grid"/>
    <w:basedOn w:val="TableNormal"/>
    <w:uiPriority w:val="99"/>
    <w:rsid w:val="00D93FF0"/>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CC7525"/>
    <w:pPr>
      <w:ind w:left="720" w:hanging="360"/>
      <w:contextualSpacing/>
    </w:pPr>
    <w:rPr>
      <w:szCs w:val="17"/>
    </w:rPr>
  </w:style>
  <w:style w:type="paragraph" w:styleId="ListBullet2">
    <w:name w:val="List Bullet 2"/>
    <w:basedOn w:val="Normal"/>
    <w:uiPriority w:val="3"/>
    <w:rsid w:val="00CC7525"/>
    <w:pPr>
      <w:numPr>
        <w:numId w:val="13"/>
      </w:numPr>
      <w:contextualSpacing/>
    </w:pPr>
    <w:rPr>
      <w:szCs w:val="17"/>
    </w:rPr>
  </w:style>
  <w:style w:type="paragraph" w:styleId="ListNumber">
    <w:name w:val="List Number"/>
    <w:basedOn w:val="Normal"/>
    <w:uiPriority w:val="3"/>
    <w:qFormat/>
    <w:rsid w:val="007F7A8C"/>
    <w:pPr>
      <w:numPr>
        <w:numId w:val="12"/>
      </w:numPr>
      <w:spacing w:after="0"/>
      <w:contextualSpacing/>
    </w:pPr>
    <w:rPr>
      <w:szCs w:val="17"/>
    </w:rPr>
  </w:style>
  <w:style w:type="paragraph" w:styleId="ListNumber2">
    <w:name w:val="List Number 2"/>
    <w:basedOn w:val="Normal"/>
    <w:uiPriority w:val="3"/>
    <w:qFormat/>
    <w:rsid w:val="007F7A8C"/>
    <w:pPr>
      <w:numPr>
        <w:ilvl w:val="1"/>
        <w:numId w:val="12"/>
      </w:numPr>
      <w:spacing w:after="0"/>
      <w:contextualSpacing/>
    </w:pPr>
  </w:style>
  <w:style w:type="paragraph" w:styleId="FootnoteText">
    <w:name w:val="footnote text"/>
    <w:basedOn w:val="Normal"/>
    <w:link w:val="FootnoteTextChar"/>
    <w:uiPriority w:val="8"/>
    <w:semiHidden/>
    <w:qFormat/>
    <w:rsid w:val="00F9113D"/>
    <w:pPr>
      <w:spacing w:after="0" w:line="240" w:lineRule="auto"/>
    </w:pPr>
    <w:rPr>
      <w:sz w:val="16"/>
      <w:szCs w:val="20"/>
    </w:rPr>
  </w:style>
  <w:style w:type="character" w:customStyle="1" w:styleId="FootnoteTextChar">
    <w:name w:val="Footnote Text Char"/>
    <w:basedOn w:val="DefaultParagraphFont"/>
    <w:link w:val="FootnoteText"/>
    <w:uiPriority w:val="8"/>
    <w:semiHidden/>
    <w:rsid w:val="00F9113D"/>
    <w:rPr>
      <w:sz w:val="16"/>
      <w:szCs w:val="20"/>
      <w:lang w:val="en-AU"/>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qFormat/>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7"/>
      </w:numPr>
      <w:suppressOverlap/>
    </w:pPr>
  </w:style>
  <w:style w:type="paragraph" w:customStyle="1" w:styleId="Tablenumbered">
    <w:name w:val="Table numbered"/>
    <w:basedOn w:val="TabletextLeft"/>
    <w:uiPriority w:val="5"/>
    <w:rsid w:val="00F9113D"/>
    <w:pPr>
      <w:framePr w:hSpace="180" w:wrap="around" w:vAnchor="text" w:hAnchor="text" w:y="1"/>
      <w:numPr>
        <w:numId w:val="8"/>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pPr>
      <w:spacing w:after="0"/>
      <w:ind w:left="720" w:hanging="720"/>
    </w:pPr>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rPr>
      <w:lang w:val="en-AU"/>
    </w:rPr>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rPr>
      <w:lang w:val="en-AU"/>
    </w:rPr>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lang w:val="en-AU"/>
    </w:rPr>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rPr>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lang w:val="en-AU"/>
    </w:rPr>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rPr>
      <w:lang w:val="en-AU"/>
    </w:rPr>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lang w:val="en-AU"/>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rPr>
      <w:lang w:val="en-AU"/>
    </w:rPr>
  </w:style>
  <w:style w:type="table" w:styleId="ColorfulGrid">
    <w:name w:val="Colorful Grid"/>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lang w:val="en-AU"/>
    </w:rPr>
  </w:style>
  <w:style w:type="table" w:styleId="DarkList">
    <w:name w:val="Dark List"/>
    <w:basedOn w:val="TableNormal"/>
    <w:uiPriority w:val="70"/>
    <w:rsid w:val="00F9113D"/>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rPr>
      <w:lang w:val="en-AU"/>
    </w:rPr>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rPr>
      <w:lang w:val="en-AU"/>
    </w:rPr>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lang w:val="en-AU"/>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C7525"/>
    <w:pPr>
      <w:numPr>
        <w:numId w:val="14"/>
      </w:numPr>
      <w:ind w:left="1020" w:hanging="340"/>
      <w:contextualSpacing/>
    </w:pPr>
  </w:style>
  <w:style w:type="paragraph" w:styleId="ListBullet4">
    <w:name w:val="List Bullet 4"/>
    <w:basedOn w:val="Normal"/>
    <w:uiPriority w:val="99"/>
    <w:semiHidden/>
    <w:rsid w:val="00F9113D"/>
    <w:pPr>
      <w:numPr>
        <w:numId w:val="2"/>
      </w:numPr>
      <w:contextualSpacing/>
    </w:pPr>
  </w:style>
  <w:style w:type="paragraph" w:styleId="ListBullet5">
    <w:name w:val="List Bullet 5"/>
    <w:basedOn w:val="Normal"/>
    <w:uiPriority w:val="99"/>
    <w:semiHidden/>
    <w:rsid w:val="00F9113D"/>
    <w:pPr>
      <w:numPr>
        <w:numId w:val="3"/>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2"/>
      </w:numPr>
      <w:contextualSpacing/>
    </w:pPr>
  </w:style>
  <w:style w:type="paragraph" w:styleId="ListNumber4">
    <w:name w:val="List Number 4"/>
    <w:basedOn w:val="Normal"/>
    <w:uiPriority w:val="99"/>
    <w:semiHidden/>
    <w:rsid w:val="00F9113D"/>
    <w:pPr>
      <w:numPr>
        <w:numId w:val="4"/>
      </w:numPr>
      <w:contextualSpacing/>
    </w:pPr>
  </w:style>
  <w:style w:type="paragraph" w:styleId="ListNumber5">
    <w:name w:val="List Number 5"/>
    <w:basedOn w:val="Normal"/>
    <w:uiPriority w:val="99"/>
    <w:semiHidden/>
    <w:rsid w:val="00F9113D"/>
    <w:pPr>
      <w:numPr>
        <w:numId w:val="5"/>
      </w:numPr>
      <w:contextualSpacing/>
    </w:pPr>
  </w:style>
  <w:style w:type="paragraph" w:styleId="ListParagraph">
    <w:name w:val="List Paragraph"/>
    <w:basedOn w:val="Normal"/>
    <w:uiPriority w:val="34"/>
    <w:qFormat/>
    <w:rsid w:val="00F9113D"/>
    <w:pPr>
      <w:ind w:left="1440" w:hanging="36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rPr>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rPr>
      <w:lang w:val="en-AU"/>
    </w:rPr>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rPr>
      <w:lang w:val="en-AU"/>
    </w:rPr>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rsid w:val="00F9113D"/>
  </w:style>
  <w:style w:type="table" w:styleId="TableProfessional">
    <w:name w:val="Table Professional"/>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style>
  <w:style w:type="paragraph" w:customStyle="1" w:styleId="Heading3un-numbered">
    <w:name w:val="Heading 3 (un-numbered)"/>
    <w:basedOn w:val="Heading3"/>
    <w:next w:val="Normal"/>
    <w:uiPriority w:val="2"/>
    <w:qFormat/>
    <w:rsid w:val="00F9113D"/>
  </w:style>
  <w:style w:type="paragraph" w:customStyle="1" w:styleId="Heading4un-numbered">
    <w:name w:val="Heading 4 (un-numbered)"/>
    <w:basedOn w:val="Heading4"/>
    <w:next w:val="Normal"/>
    <w:uiPriority w:val="2"/>
    <w:qFormat/>
    <w:rsid w:val="00F9113D"/>
    <w:pPr>
      <w:ind w:left="0" w:firstLine="0"/>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6"/>
      </w:numPr>
      <w:suppressAutoHyphens/>
      <w:spacing w:after="0" w:line="250" w:lineRule="atLeast"/>
    </w:pPr>
  </w:style>
  <w:style w:type="paragraph" w:customStyle="1" w:styleId="Numberslevel2">
    <w:name w:val="Numbers level 2"/>
    <w:basedOn w:val="Normal"/>
    <w:uiPriority w:val="4"/>
    <w:semiHidden/>
    <w:rsid w:val="00F9113D"/>
    <w:pPr>
      <w:numPr>
        <w:ilvl w:val="1"/>
        <w:numId w:val="6"/>
      </w:numPr>
      <w:suppressAutoHyphens/>
      <w:spacing w:after="0" w:line="250" w:lineRule="atLeast"/>
    </w:pPr>
  </w:style>
  <w:style w:type="paragraph" w:customStyle="1" w:styleId="Numberslevel3">
    <w:name w:val="Numbers level 3"/>
    <w:basedOn w:val="Normal"/>
    <w:uiPriority w:val="4"/>
    <w:semiHidden/>
    <w:rsid w:val="00F9113D"/>
    <w:pPr>
      <w:numPr>
        <w:ilvl w:val="2"/>
        <w:numId w:val="6"/>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paragraph" w:customStyle="1" w:styleId="TabletextRight">
    <w:name w:val="Table text Right"/>
    <w:basedOn w:val="TabletextLeft"/>
    <w:uiPriority w:val="5"/>
    <w:rsid w:val="002E67BC"/>
    <w:pPr>
      <w:jc w:val="right"/>
    </w:pPr>
  </w:style>
  <w:style w:type="table" w:customStyle="1" w:styleId="DeloitteBandedrows">
    <w:name w:val="Deloitte Banded rows"/>
    <w:basedOn w:val="TableNormal"/>
    <w:uiPriority w:val="99"/>
    <w:rsid w:val="00464FD2"/>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pPr>
    <w:rPr>
      <w:bCs/>
      <w:color w:val="75787B" w:themeColor="accent6"/>
      <w:sz w:val="17"/>
      <w:szCs w:val="22"/>
    </w:rPr>
  </w:style>
  <w:style w:type="paragraph" w:customStyle="1" w:styleId="CaptionChart">
    <w:name w:val="Caption_Chart"/>
    <w:basedOn w:val="Normal"/>
    <w:next w:val="Normal"/>
    <w:uiPriority w:val="4"/>
    <w:rsid w:val="006C74B8"/>
    <w:pPr>
      <w:keepNext/>
      <w:keepLines/>
    </w:pPr>
    <w:rPr>
      <w:color w:val="75787B" w:themeColor="accent6"/>
      <w:sz w:val="17"/>
    </w:rPr>
  </w:style>
  <w:style w:type="paragraph" w:customStyle="1" w:styleId="ExecutiveHeading">
    <w:name w:val="Executive Heading"/>
    <w:basedOn w:val="Heading1un-numbered"/>
    <w:next w:val="Normal"/>
    <w:uiPriority w:val="3"/>
    <w:rsid w:val="005E5001"/>
    <w:pPr>
      <w:numPr>
        <w:numId w:val="9"/>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9"/>
      </w:numPr>
    </w:pPr>
    <w:rPr>
      <w:rFonts w:eastAsia="Times New Roman" w:cs="Times New Roman"/>
      <w:szCs w:val="20"/>
    </w:rPr>
  </w:style>
  <w:style w:type="paragraph" w:customStyle="1" w:styleId="ExecFigureCaption">
    <w:name w:val="Exec Figure Caption"/>
    <w:basedOn w:val="Caption"/>
    <w:next w:val="Normal"/>
    <w:uiPriority w:val="4"/>
    <w:rsid w:val="00CA0756"/>
    <w:rPr>
      <w:rFonts w:eastAsia="Times New Roman" w:cs="Times New Roman"/>
      <w:szCs w:val="20"/>
    </w:rPr>
  </w:style>
  <w:style w:type="paragraph" w:customStyle="1" w:styleId="ExecTableCaption">
    <w:name w:val="Exec Table Caption"/>
    <w:basedOn w:val="Caption"/>
    <w:next w:val="Normal"/>
    <w:uiPriority w:val="4"/>
    <w:rsid w:val="005D6648"/>
    <w:rPr>
      <w:rFonts w:eastAsia="Times New Roman" w:cs="Times New Roman"/>
      <w:szCs w:val="20"/>
    </w:rPr>
  </w:style>
  <w:style w:type="paragraph" w:customStyle="1" w:styleId="Appendixhead2">
    <w:name w:val="Appendix_head_2"/>
    <w:basedOn w:val="Heading2"/>
    <w:next w:val="Normal"/>
    <w:link w:val="Appendixhead2Char"/>
    <w:uiPriority w:val="3"/>
    <w:rsid w:val="00A95553"/>
    <w:pPr>
      <w:numPr>
        <w:ilvl w:val="2"/>
        <w:numId w:val="10"/>
      </w:numPr>
      <w:tabs>
        <w:tab w:val="left" w:pos="851"/>
      </w:tabs>
      <w:outlineLvl w:val="9"/>
    </w:pPr>
    <w:rPr>
      <w:rFonts w:eastAsia="Times New Roman" w:cs="Times New Roman"/>
      <w:bCs w:val="0"/>
      <w:szCs w:val="28"/>
    </w:r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Cs w:val="28"/>
      <w:lang w:val="en-AU"/>
    </w:rPr>
  </w:style>
  <w:style w:type="paragraph" w:customStyle="1" w:styleId="Appendixhead3">
    <w:name w:val="Appendix_head_3"/>
    <w:basedOn w:val="Heading3"/>
    <w:next w:val="Normal"/>
    <w:link w:val="Appendixhead3Char"/>
    <w:uiPriority w:val="3"/>
    <w:rsid w:val="00E06F2E"/>
    <w:pPr>
      <w:ind w:left="794" w:hanging="794"/>
      <w:outlineLvl w:val="9"/>
    </w:pPr>
    <w:rPr>
      <w:rFonts w:eastAsia="Times New Roman" w:cs="Times New Roman"/>
      <w:bCs w:val="0"/>
      <w:szCs w:val="20"/>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paragraph" w:customStyle="1" w:styleId="Appendixhead4">
    <w:name w:val="Appendix_head_4"/>
    <w:basedOn w:val="Heading4"/>
    <w:next w:val="Normal"/>
    <w:uiPriority w:val="3"/>
    <w:rsid w:val="00F84828"/>
    <w:pPr>
      <w:tabs>
        <w:tab w:val="clear" w:pos="340"/>
      </w:tabs>
      <w:ind w:left="0" w:firstLine="0"/>
      <w:outlineLvl w:val="9"/>
    </w:pPr>
    <w:rPr>
      <w:rFonts w:eastAsia="Times New Roman" w:cs="Times New Roman"/>
      <w:bCs w:val="0"/>
      <w:iCs w:val="0"/>
      <w:szCs w:val="24"/>
    </w:rPr>
  </w:style>
  <w:style w:type="paragraph" w:customStyle="1" w:styleId="Appendixhead1">
    <w:name w:val="Appendix_head_1"/>
    <w:basedOn w:val="Normal"/>
    <w:next w:val="Normal"/>
    <w:link w:val="Appendixhead1Char"/>
    <w:uiPriority w:val="3"/>
    <w:rsid w:val="009E2F33"/>
    <w:pPr>
      <w:keepNext/>
      <w:keepLines/>
      <w:pageBreakBefore/>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spacing w:after="240"/>
      <w:ind w:left="1296" w:hanging="1296"/>
      <w:outlineLvl w:val="7"/>
    </w:pPr>
    <w:rPr>
      <w:b w:val="0"/>
      <w:sz w:val="17"/>
      <w:szCs w:val="22"/>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rPr>
  </w:style>
  <w:style w:type="paragraph" w:customStyle="1" w:styleId="AppendixChartCaption">
    <w:name w:val="Appendix Chart Caption"/>
    <w:basedOn w:val="AppendixTableCaption"/>
    <w:next w:val="Normal"/>
    <w:link w:val="AppendixChartCaptionChar"/>
    <w:uiPriority w:val="4"/>
    <w:rsid w:val="00CA0756"/>
    <w:pPr>
      <w:outlineLvl w:val="5"/>
    </w:p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rPr>
  </w:style>
  <w:style w:type="paragraph" w:customStyle="1" w:styleId="AppendixFigureCaption">
    <w:name w:val="Appendix Figure Caption"/>
    <w:basedOn w:val="AppendixChartCaption"/>
    <w:next w:val="Normal"/>
    <w:link w:val="AppendixFigureCaptionChar"/>
    <w:uiPriority w:val="4"/>
    <w:rsid w:val="00CA0756"/>
    <w:pPr>
      <w:numPr>
        <w:ilvl w:val="0"/>
        <w:numId w:val="0"/>
      </w:numPr>
      <w:ind w:left="1296" w:hanging="1296"/>
      <w:outlineLvl w:val="6"/>
    </w:p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1"/>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aragraph">
    <w:name w:val="paragraph"/>
    <w:basedOn w:val="Normal"/>
    <w:rsid w:val="006F7B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F7B3B"/>
  </w:style>
  <w:style w:type="character" w:customStyle="1" w:styleId="eop">
    <w:name w:val="eop"/>
    <w:basedOn w:val="DefaultParagraphFont"/>
    <w:rsid w:val="006F7B3B"/>
  </w:style>
  <w:style w:type="character" w:customStyle="1" w:styleId="spellingerror">
    <w:name w:val="spellingerror"/>
    <w:basedOn w:val="DefaultParagraphFont"/>
    <w:rsid w:val="006F7B3B"/>
  </w:style>
  <w:style w:type="character" w:customStyle="1" w:styleId="default">
    <w:name w:val="default"/>
    <w:basedOn w:val="DefaultParagraphFont"/>
    <w:rsid w:val="00F1009D"/>
  </w:style>
  <w:style w:type="character" w:customStyle="1" w:styleId="hidecontent">
    <w:name w:val="hidecontent"/>
    <w:basedOn w:val="DefaultParagraphFont"/>
    <w:rsid w:val="00F1009D"/>
  </w:style>
  <w:style w:type="paragraph" w:customStyle="1" w:styleId="hidecontent1">
    <w:name w:val="hidecontent1"/>
    <w:basedOn w:val="Normal"/>
    <w:rsid w:val="00F100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757D3E"/>
    <w:pPr>
      <w:spacing w:line="240" w:lineRule="auto"/>
    </w:pPr>
    <w:rPr>
      <w:lang w:val="en-AU"/>
    </w:rPr>
  </w:style>
  <w:style w:type="numbering" w:customStyle="1" w:styleId="Style1">
    <w:name w:val="Style1"/>
    <w:uiPriority w:val="99"/>
    <w:rsid w:val="009E3DF8"/>
    <w:pPr>
      <w:numPr>
        <w:numId w:val="16"/>
      </w:numPr>
    </w:pPr>
  </w:style>
  <w:style w:type="paragraph" w:customStyle="1" w:styleId="subsection">
    <w:name w:val="subsection"/>
    <w:basedOn w:val="Normal"/>
    <w:rsid w:val="00C4340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B57D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p-1">
    <w:name w:val="fp-1"/>
    <w:basedOn w:val="Normal"/>
    <w:rsid w:val="00F820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0">
    <w:name w:val="Default"/>
    <w:rsid w:val="00CB7D99"/>
    <w:pPr>
      <w:autoSpaceDE w:val="0"/>
      <w:autoSpaceDN w:val="0"/>
      <w:adjustRightInd w:val="0"/>
      <w:spacing w:line="240" w:lineRule="auto"/>
    </w:pPr>
    <w:rPr>
      <w:rFonts w:ascii="Cambria" w:hAnsi="Cambria" w:cs="Cambria"/>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0113">
      <w:bodyDiv w:val="1"/>
      <w:marLeft w:val="0"/>
      <w:marRight w:val="0"/>
      <w:marTop w:val="0"/>
      <w:marBottom w:val="0"/>
      <w:divBdr>
        <w:top w:val="none" w:sz="0" w:space="0" w:color="auto"/>
        <w:left w:val="none" w:sz="0" w:space="0" w:color="auto"/>
        <w:bottom w:val="none" w:sz="0" w:space="0" w:color="auto"/>
        <w:right w:val="none" w:sz="0" w:space="0" w:color="auto"/>
      </w:divBdr>
    </w:div>
    <w:div w:id="16583624">
      <w:bodyDiv w:val="1"/>
      <w:marLeft w:val="0"/>
      <w:marRight w:val="0"/>
      <w:marTop w:val="0"/>
      <w:marBottom w:val="0"/>
      <w:divBdr>
        <w:top w:val="none" w:sz="0" w:space="0" w:color="auto"/>
        <w:left w:val="none" w:sz="0" w:space="0" w:color="auto"/>
        <w:bottom w:val="none" w:sz="0" w:space="0" w:color="auto"/>
        <w:right w:val="none" w:sz="0" w:space="0" w:color="auto"/>
      </w:divBdr>
    </w:div>
    <w:div w:id="22050192">
      <w:bodyDiv w:val="1"/>
      <w:marLeft w:val="0"/>
      <w:marRight w:val="0"/>
      <w:marTop w:val="0"/>
      <w:marBottom w:val="0"/>
      <w:divBdr>
        <w:top w:val="none" w:sz="0" w:space="0" w:color="auto"/>
        <w:left w:val="none" w:sz="0" w:space="0" w:color="auto"/>
        <w:bottom w:val="none" w:sz="0" w:space="0" w:color="auto"/>
        <w:right w:val="none" w:sz="0" w:space="0" w:color="auto"/>
      </w:divBdr>
      <w:divsChild>
        <w:div w:id="40444007">
          <w:marLeft w:val="0"/>
          <w:marRight w:val="0"/>
          <w:marTop w:val="0"/>
          <w:marBottom w:val="0"/>
          <w:divBdr>
            <w:top w:val="none" w:sz="0" w:space="0" w:color="auto"/>
            <w:left w:val="none" w:sz="0" w:space="0" w:color="auto"/>
            <w:bottom w:val="none" w:sz="0" w:space="0" w:color="auto"/>
            <w:right w:val="none" w:sz="0" w:space="0" w:color="auto"/>
          </w:divBdr>
        </w:div>
        <w:div w:id="259919036">
          <w:marLeft w:val="0"/>
          <w:marRight w:val="0"/>
          <w:marTop w:val="0"/>
          <w:marBottom w:val="0"/>
          <w:divBdr>
            <w:top w:val="none" w:sz="0" w:space="0" w:color="auto"/>
            <w:left w:val="none" w:sz="0" w:space="0" w:color="auto"/>
            <w:bottom w:val="none" w:sz="0" w:space="0" w:color="auto"/>
            <w:right w:val="none" w:sz="0" w:space="0" w:color="auto"/>
          </w:divBdr>
        </w:div>
        <w:div w:id="366565549">
          <w:marLeft w:val="0"/>
          <w:marRight w:val="0"/>
          <w:marTop w:val="0"/>
          <w:marBottom w:val="0"/>
          <w:divBdr>
            <w:top w:val="none" w:sz="0" w:space="0" w:color="auto"/>
            <w:left w:val="none" w:sz="0" w:space="0" w:color="auto"/>
            <w:bottom w:val="none" w:sz="0" w:space="0" w:color="auto"/>
            <w:right w:val="none" w:sz="0" w:space="0" w:color="auto"/>
          </w:divBdr>
        </w:div>
        <w:div w:id="381174404">
          <w:marLeft w:val="0"/>
          <w:marRight w:val="0"/>
          <w:marTop w:val="0"/>
          <w:marBottom w:val="0"/>
          <w:divBdr>
            <w:top w:val="none" w:sz="0" w:space="0" w:color="auto"/>
            <w:left w:val="none" w:sz="0" w:space="0" w:color="auto"/>
            <w:bottom w:val="none" w:sz="0" w:space="0" w:color="auto"/>
            <w:right w:val="none" w:sz="0" w:space="0" w:color="auto"/>
          </w:divBdr>
        </w:div>
        <w:div w:id="436679830">
          <w:marLeft w:val="0"/>
          <w:marRight w:val="0"/>
          <w:marTop w:val="0"/>
          <w:marBottom w:val="0"/>
          <w:divBdr>
            <w:top w:val="none" w:sz="0" w:space="0" w:color="auto"/>
            <w:left w:val="none" w:sz="0" w:space="0" w:color="auto"/>
            <w:bottom w:val="none" w:sz="0" w:space="0" w:color="auto"/>
            <w:right w:val="none" w:sz="0" w:space="0" w:color="auto"/>
          </w:divBdr>
        </w:div>
        <w:div w:id="559949060">
          <w:marLeft w:val="0"/>
          <w:marRight w:val="0"/>
          <w:marTop w:val="0"/>
          <w:marBottom w:val="0"/>
          <w:divBdr>
            <w:top w:val="none" w:sz="0" w:space="0" w:color="auto"/>
            <w:left w:val="none" w:sz="0" w:space="0" w:color="auto"/>
            <w:bottom w:val="none" w:sz="0" w:space="0" w:color="auto"/>
            <w:right w:val="none" w:sz="0" w:space="0" w:color="auto"/>
          </w:divBdr>
        </w:div>
        <w:div w:id="578447278">
          <w:marLeft w:val="0"/>
          <w:marRight w:val="0"/>
          <w:marTop w:val="0"/>
          <w:marBottom w:val="0"/>
          <w:divBdr>
            <w:top w:val="none" w:sz="0" w:space="0" w:color="auto"/>
            <w:left w:val="none" w:sz="0" w:space="0" w:color="auto"/>
            <w:bottom w:val="none" w:sz="0" w:space="0" w:color="auto"/>
            <w:right w:val="none" w:sz="0" w:space="0" w:color="auto"/>
          </w:divBdr>
        </w:div>
        <w:div w:id="702898346">
          <w:marLeft w:val="0"/>
          <w:marRight w:val="0"/>
          <w:marTop w:val="0"/>
          <w:marBottom w:val="0"/>
          <w:divBdr>
            <w:top w:val="none" w:sz="0" w:space="0" w:color="auto"/>
            <w:left w:val="none" w:sz="0" w:space="0" w:color="auto"/>
            <w:bottom w:val="none" w:sz="0" w:space="0" w:color="auto"/>
            <w:right w:val="none" w:sz="0" w:space="0" w:color="auto"/>
          </w:divBdr>
        </w:div>
        <w:div w:id="765224366">
          <w:marLeft w:val="0"/>
          <w:marRight w:val="0"/>
          <w:marTop w:val="0"/>
          <w:marBottom w:val="0"/>
          <w:divBdr>
            <w:top w:val="none" w:sz="0" w:space="0" w:color="auto"/>
            <w:left w:val="none" w:sz="0" w:space="0" w:color="auto"/>
            <w:bottom w:val="none" w:sz="0" w:space="0" w:color="auto"/>
            <w:right w:val="none" w:sz="0" w:space="0" w:color="auto"/>
          </w:divBdr>
        </w:div>
        <w:div w:id="1472165490">
          <w:marLeft w:val="0"/>
          <w:marRight w:val="0"/>
          <w:marTop w:val="0"/>
          <w:marBottom w:val="0"/>
          <w:divBdr>
            <w:top w:val="none" w:sz="0" w:space="0" w:color="auto"/>
            <w:left w:val="none" w:sz="0" w:space="0" w:color="auto"/>
            <w:bottom w:val="none" w:sz="0" w:space="0" w:color="auto"/>
            <w:right w:val="none" w:sz="0" w:space="0" w:color="auto"/>
          </w:divBdr>
        </w:div>
        <w:div w:id="1919632379">
          <w:marLeft w:val="0"/>
          <w:marRight w:val="0"/>
          <w:marTop w:val="0"/>
          <w:marBottom w:val="0"/>
          <w:divBdr>
            <w:top w:val="none" w:sz="0" w:space="0" w:color="auto"/>
            <w:left w:val="none" w:sz="0" w:space="0" w:color="auto"/>
            <w:bottom w:val="none" w:sz="0" w:space="0" w:color="auto"/>
            <w:right w:val="none" w:sz="0" w:space="0" w:color="auto"/>
          </w:divBdr>
        </w:div>
        <w:div w:id="2022002104">
          <w:marLeft w:val="0"/>
          <w:marRight w:val="0"/>
          <w:marTop w:val="0"/>
          <w:marBottom w:val="0"/>
          <w:divBdr>
            <w:top w:val="none" w:sz="0" w:space="0" w:color="auto"/>
            <w:left w:val="none" w:sz="0" w:space="0" w:color="auto"/>
            <w:bottom w:val="none" w:sz="0" w:space="0" w:color="auto"/>
            <w:right w:val="none" w:sz="0" w:space="0" w:color="auto"/>
          </w:divBdr>
        </w:div>
        <w:div w:id="2090690430">
          <w:marLeft w:val="0"/>
          <w:marRight w:val="0"/>
          <w:marTop w:val="0"/>
          <w:marBottom w:val="0"/>
          <w:divBdr>
            <w:top w:val="none" w:sz="0" w:space="0" w:color="auto"/>
            <w:left w:val="none" w:sz="0" w:space="0" w:color="auto"/>
            <w:bottom w:val="none" w:sz="0" w:space="0" w:color="auto"/>
            <w:right w:val="none" w:sz="0" w:space="0" w:color="auto"/>
          </w:divBdr>
        </w:div>
      </w:divsChild>
    </w:div>
    <w:div w:id="31420630">
      <w:bodyDiv w:val="1"/>
      <w:marLeft w:val="0"/>
      <w:marRight w:val="0"/>
      <w:marTop w:val="0"/>
      <w:marBottom w:val="0"/>
      <w:divBdr>
        <w:top w:val="none" w:sz="0" w:space="0" w:color="auto"/>
        <w:left w:val="none" w:sz="0" w:space="0" w:color="auto"/>
        <w:bottom w:val="none" w:sz="0" w:space="0" w:color="auto"/>
        <w:right w:val="none" w:sz="0" w:space="0" w:color="auto"/>
      </w:divBdr>
    </w:div>
    <w:div w:id="44380887">
      <w:bodyDiv w:val="1"/>
      <w:marLeft w:val="0"/>
      <w:marRight w:val="0"/>
      <w:marTop w:val="0"/>
      <w:marBottom w:val="0"/>
      <w:divBdr>
        <w:top w:val="none" w:sz="0" w:space="0" w:color="auto"/>
        <w:left w:val="none" w:sz="0" w:space="0" w:color="auto"/>
        <w:bottom w:val="none" w:sz="0" w:space="0" w:color="auto"/>
        <w:right w:val="none" w:sz="0" w:space="0" w:color="auto"/>
      </w:divBdr>
    </w:div>
    <w:div w:id="88281676">
      <w:bodyDiv w:val="1"/>
      <w:marLeft w:val="0"/>
      <w:marRight w:val="0"/>
      <w:marTop w:val="0"/>
      <w:marBottom w:val="0"/>
      <w:divBdr>
        <w:top w:val="none" w:sz="0" w:space="0" w:color="auto"/>
        <w:left w:val="none" w:sz="0" w:space="0" w:color="auto"/>
        <w:bottom w:val="none" w:sz="0" w:space="0" w:color="auto"/>
        <w:right w:val="none" w:sz="0" w:space="0" w:color="auto"/>
      </w:divBdr>
    </w:div>
    <w:div w:id="101268557">
      <w:bodyDiv w:val="1"/>
      <w:marLeft w:val="0"/>
      <w:marRight w:val="0"/>
      <w:marTop w:val="0"/>
      <w:marBottom w:val="0"/>
      <w:divBdr>
        <w:top w:val="none" w:sz="0" w:space="0" w:color="auto"/>
        <w:left w:val="none" w:sz="0" w:space="0" w:color="auto"/>
        <w:bottom w:val="none" w:sz="0" w:space="0" w:color="auto"/>
        <w:right w:val="none" w:sz="0" w:space="0" w:color="auto"/>
      </w:divBdr>
    </w:div>
    <w:div w:id="127866351">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83445468">
      <w:bodyDiv w:val="1"/>
      <w:marLeft w:val="0"/>
      <w:marRight w:val="0"/>
      <w:marTop w:val="0"/>
      <w:marBottom w:val="0"/>
      <w:divBdr>
        <w:top w:val="none" w:sz="0" w:space="0" w:color="auto"/>
        <w:left w:val="none" w:sz="0" w:space="0" w:color="auto"/>
        <w:bottom w:val="none" w:sz="0" w:space="0" w:color="auto"/>
        <w:right w:val="none" w:sz="0" w:space="0" w:color="auto"/>
      </w:divBdr>
    </w:div>
    <w:div w:id="221068164">
      <w:bodyDiv w:val="1"/>
      <w:marLeft w:val="0"/>
      <w:marRight w:val="0"/>
      <w:marTop w:val="0"/>
      <w:marBottom w:val="0"/>
      <w:divBdr>
        <w:top w:val="none" w:sz="0" w:space="0" w:color="auto"/>
        <w:left w:val="none" w:sz="0" w:space="0" w:color="auto"/>
        <w:bottom w:val="none" w:sz="0" w:space="0" w:color="auto"/>
        <w:right w:val="none" w:sz="0" w:space="0" w:color="auto"/>
      </w:divBdr>
      <w:divsChild>
        <w:div w:id="198976727">
          <w:marLeft w:val="547"/>
          <w:marRight w:val="0"/>
          <w:marTop w:val="0"/>
          <w:marBottom w:val="0"/>
          <w:divBdr>
            <w:top w:val="none" w:sz="0" w:space="0" w:color="auto"/>
            <w:left w:val="none" w:sz="0" w:space="0" w:color="auto"/>
            <w:bottom w:val="none" w:sz="0" w:space="0" w:color="auto"/>
            <w:right w:val="none" w:sz="0" w:space="0" w:color="auto"/>
          </w:divBdr>
        </w:div>
        <w:div w:id="778138115">
          <w:marLeft w:val="547"/>
          <w:marRight w:val="0"/>
          <w:marTop w:val="0"/>
          <w:marBottom w:val="0"/>
          <w:divBdr>
            <w:top w:val="none" w:sz="0" w:space="0" w:color="auto"/>
            <w:left w:val="none" w:sz="0" w:space="0" w:color="auto"/>
            <w:bottom w:val="none" w:sz="0" w:space="0" w:color="auto"/>
            <w:right w:val="none" w:sz="0" w:space="0" w:color="auto"/>
          </w:divBdr>
        </w:div>
        <w:div w:id="845170797">
          <w:marLeft w:val="547"/>
          <w:marRight w:val="0"/>
          <w:marTop w:val="0"/>
          <w:marBottom w:val="0"/>
          <w:divBdr>
            <w:top w:val="none" w:sz="0" w:space="0" w:color="auto"/>
            <w:left w:val="none" w:sz="0" w:space="0" w:color="auto"/>
            <w:bottom w:val="none" w:sz="0" w:space="0" w:color="auto"/>
            <w:right w:val="none" w:sz="0" w:space="0" w:color="auto"/>
          </w:divBdr>
        </w:div>
        <w:div w:id="1091782170">
          <w:marLeft w:val="547"/>
          <w:marRight w:val="0"/>
          <w:marTop w:val="0"/>
          <w:marBottom w:val="0"/>
          <w:divBdr>
            <w:top w:val="none" w:sz="0" w:space="0" w:color="auto"/>
            <w:left w:val="none" w:sz="0" w:space="0" w:color="auto"/>
            <w:bottom w:val="none" w:sz="0" w:space="0" w:color="auto"/>
            <w:right w:val="none" w:sz="0" w:space="0" w:color="auto"/>
          </w:divBdr>
        </w:div>
        <w:div w:id="1688023870">
          <w:marLeft w:val="547"/>
          <w:marRight w:val="0"/>
          <w:marTop w:val="0"/>
          <w:marBottom w:val="0"/>
          <w:divBdr>
            <w:top w:val="none" w:sz="0" w:space="0" w:color="auto"/>
            <w:left w:val="none" w:sz="0" w:space="0" w:color="auto"/>
            <w:bottom w:val="none" w:sz="0" w:space="0" w:color="auto"/>
            <w:right w:val="none" w:sz="0" w:space="0" w:color="auto"/>
          </w:divBdr>
        </w:div>
      </w:divsChild>
    </w:div>
    <w:div w:id="253125017">
      <w:bodyDiv w:val="1"/>
      <w:marLeft w:val="0"/>
      <w:marRight w:val="0"/>
      <w:marTop w:val="0"/>
      <w:marBottom w:val="0"/>
      <w:divBdr>
        <w:top w:val="none" w:sz="0" w:space="0" w:color="auto"/>
        <w:left w:val="none" w:sz="0" w:space="0" w:color="auto"/>
        <w:bottom w:val="none" w:sz="0" w:space="0" w:color="auto"/>
        <w:right w:val="none" w:sz="0" w:space="0" w:color="auto"/>
      </w:divBdr>
    </w:div>
    <w:div w:id="253713555">
      <w:bodyDiv w:val="1"/>
      <w:marLeft w:val="0"/>
      <w:marRight w:val="0"/>
      <w:marTop w:val="0"/>
      <w:marBottom w:val="0"/>
      <w:divBdr>
        <w:top w:val="none" w:sz="0" w:space="0" w:color="auto"/>
        <w:left w:val="none" w:sz="0" w:space="0" w:color="auto"/>
        <w:bottom w:val="none" w:sz="0" w:space="0" w:color="auto"/>
        <w:right w:val="none" w:sz="0" w:space="0" w:color="auto"/>
      </w:divBdr>
      <w:divsChild>
        <w:div w:id="1266843170">
          <w:marLeft w:val="480"/>
          <w:marRight w:val="0"/>
          <w:marTop w:val="0"/>
          <w:marBottom w:val="0"/>
          <w:divBdr>
            <w:top w:val="none" w:sz="0" w:space="0" w:color="auto"/>
            <w:left w:val="none" w:sz="0" w:space="0" w:color="auto"/>
            <w:bottom w:val="none" w:sz="0" w:space="0" w:color="auto"/>
            <w:right w:val="none" w:sz="0" w:space="0" w:color="auto"/>
          </w:divBdr>
          <w:divsChild>
            <w:div w:id="10189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5759">
      <w:bodyDiv w:val="1"/>
      <w:marLeft w:val="0"/>
      <w:marRight w:val="0"/>
      <w:marTop w:val="0"/>
      <w:marBottom w:val="0"/>
      <w:divBdr>
        <w:top w:val="none" w:sz="0" w:space="0" w:color="auto"/>
        <w:left w:val="none" w:sz="0" w:space="0" w:color="auto"/>
        <w:bottom w:val="none" w:sz="0" w:space="0" w:color="auto"/>
        <w:right w:val="none" w:sz="0" w:space="0" w:color="auto"/>
      </w:divBdr>
      <w:divsChild>
        <w:div w:id="933974322">
          <w:marLeft w:val="547"/>
          <w:marRight w:val="0"/>
          <w:marTop w:val="0"/>
          <w:marBottom w:val="0"/>
          <w:divBdr>
            <w:top w:val="none" w:sz="0" w:space="0" w:color="auto"/>
            <w:left w:val="none" w:sz="0" w:space="0" w:color="auto"/>
            <w:bottom w:val="none" w:sz="0" w:space="0" w:color="auto"/>
            <w:right w:val="none" w:sz="0" w:space="0" w:color="auto"/>
          </w:divBdr>
        </w:div>
        <w:div w:id="1155295476">
          <w:marLeft w:val="547"/>
          <w:marRight w:val="0"/>
          <w:marTop w:val="0"/>
          <w:marBottom w:val="0"/>
          <w:divBdr>
            <w:top w:val="none" w:sz="0" w:space="0" w:color="auto"/>
            <w:left w:val="none" w:sz="0" w:space="0" w:color="auto"/>
            <w:bottom w:val="none" w:sz="0" w:space="0" w:color="auto"/>
            <w:right w:val="none" w:sz="0" w:space="0" w:color="auto"/>
          </w:divBdr>
        </w:div>
        <w:div w:id="1761872397">
          <w:marLeft w:val="547"/>
          <w:marRight w:val="0"/>
          <w:marTop w:val="0"/>
          <w:marBottom w:val="0"/>
          <w:divBdr>
            <w:top w:val="none" w:sz="0" w:space="0" w:color="auto"/>
            <w:left w:val="none" w:sz="0" w:space="0" w:color="auto"/>
            <w:bottom w:val="none" w:sz="0" w:space="0" w:color="auto"/>
            <w:right w:val="none" w:sz="0" w:space="0" w:color="auto"/>
          </w:divBdr>
        </w:div>
      </w:divsChild>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4140652">
      <w:bodyDiv w:val="1"/>
      <w:marLeft w:val="0"/>
      <w:marRight w:val="0"/>
      <w:marTop w:val="0"/>
      <w:marBottom w:val="0"/>
      <w:divBdr>
        <w:top w:val="none" w:sz="0" w:space="0" w:color="auto"/>
        <w:left w:val="none" w:sz="0" w:space="0" w:color="auto"/>
        <w:bottom w:val="none" w:sz="0" w:space="0" w:color="auto"/>
        <w:right w:val="none" w:sz="0" w:space="0" w:color="auto"/>
      </w:divBdr>
    </w:div>
    <w:div w:id="340009056">
      <w:bodyDiv w:val="1"/>
      <w:marLeft w:val="0"/>
      <w:marRight w:val="0"/>
      <w:marTop w:val="0"/>
      <w:marBottom w:val="0"/>
      <w:divBdr>
        <w:top w:val="none" w:sz="0" w:space="0" w:color="auto"/>
        <w:left w:val="none" w:sz="0" w:space="0" w:color="auto"/>
        <w:bottom w:val="none" w:sz="0" w:space="0" w:color="auto"/>
        <w:right w:val="none" w:sz="0" w:space="0" w:color="auto"/>
      </w:divBdr>
    </w:div>
    <w:div w:id="477767997">
      <w:bodyDiv w:val="1"/>
      <w:marLeft w:val="0"/>
      <w:marRight w:val="0"/>
      <w:marTop w:val="0"/>
      <w:marBottom w:val="0"/>
      <w:divBdr>
        <w:top w:val="none" w:sz="0" w:space="0" w:color="auto"/>
        <w:left w:val="none" w:sz="0" w:space="0" w:color="auto"/>
        <w:bottom w:val="none" w:sz="0" w:space="0" w:color="auto"/>
        <w:right w:val="none" w:sz="0" w:space="0" w:color="auto"/>
      </w:divBdr>
    </w:div>
    <w:div w:id="515003248">
      <w:bodyDiv w:val="1"/>
      <w:marLeft w:val="0"/>
      <w:marRight w:val="0"/>
      <w:marTop w:val="0"/>
      <w:marBottom w:val="0"/>
      <w:divBdr>
        <w:top w:val="none" w:sz="0" w:space="0" w:color="auto"/>
        <w:left w:val="none" w:sz="0" w:space="0" w:color="auto"/>
        <w:bottom w:val="none" w:sz="0" w:space="0" w:color="auto"/>
        <w:right w:val="none" w:sz="0" w:space="0" w:color="auto"/>
      </w:divBdr>
    </w:div>
    <w:div w:id="518156395">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8124655">
      <w:bodyDiv w:val="1"/>
      <w:marLeft w:val="0"/>
      <w:marRight w:val="0"/>
      <w:marTop w:val="0"/>
      <w:marBottom w:val="0"/>
      <w:divBdr>
        <w:top w:val="none" w:sz="0" w:space="0" w:color="auto"/>
        <w:left w:val="none" w:sz="0" w:space="0" w:color="auto"/>
        <w:bottom w:val="none" w:sz="0" w:space="0" w:color="auto"/>
        <w:right w:val="none" w:sz="0" w:space="0" w:color="auto"/>
      </w:divBdr>
    </w:div>
    <w:div w:id="560019203">
      <w:bodyDiv w:val="1"/>
      <w:marLeft w:val="0"/>
      <w:marRight w:val="0"/>
      <w:marTop w:val="0"/>
      <w:marBottom w:val="0"/>
      <w:divBdr>
        <w:top w:val="none" w:sz="0" w:space="0" w:color="auto"/>
        <w:left w:val="none" w:sz="0" w:space="0" w:color="auto"/>
        <w:bottom w:val="none" w:sz="0" w:space="0" w:color="auto"/>
        <w:right w:val="none" w:sz="0" w:space="0" w:color="auto"/>
      </w:divBdr>
      <w:divsChild>
        <w:div w:id="396127784">
          <w:marLeft w:val="360"/>
          <w:marRight w:val="0"/>
          <w:marTop w:val="0"/>
          <w:marBottom w:val="40"/>
          <w:divBdr>
            <w:top w:val="none" w:sz="0" w:space="0" w:color="auto"/>
            <w:left w:val="none" w:sz="0" w:space="0" w:color="auto"/>
            <w:bottom w:val="none" w:sz="0" w:space="0" w:color="auto"/>
            <w:right w:val="none" w:sz="0" w:space="0" w:color="auto"/>
          </w:divBdr>
        </w:div>
        <w:div w:id="1046830991">
          <w:marLeft w:val="360"/>
          <w:marRight w:val="0"/>
          <w:marTop w:val="0"/>
          <w:marBottom w:val="40"/>
          <w:divBdr>
            <w:top w:val="none" w:sz="0" w:space="0" w:color="auto"/>
            <w:left w:val="none" w:sz="0" w:space="0" w:color="auto"/>
            <w:bottom w:val="none" w:sz="0" w:space="0" w:color="auto"/>
            <w:right w:val="none" w:sz="0" w:space="0" w:color="auto"/>
          </w:divBdr>
        </w:div>
        <w:div w:id="1445341984">
          <w:marLeft w:val="360"/>
          <w:marRight w:val="0"/>
          <w:marTop w:val="0"/>
          <w:marBottom w:val="40"/>
          <w:divBdr>
            <w:top w:val="none" w:sz="0" w:space="0" w:color="auto"/>
            <w:left w:val="none" w:sz="0" w:space="0" w:color="auto"/>
            <w:bottom w:val="none" w:sz="0" w:space="0" w:color="auto"/>
            <w:right w:val="none" w:sz="0" w:space="0" w:color="auto"/>
          </w:divBdr>
        </w:div>
      </w:divsChild>
    </w:div>
    <w:div w:id="632292829">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61008972">
      <w:bodyDiv w:val="1"/>
      <w:marLeft w:val="0"/>
      <w:marRight w:val="0"/>
      <w:marTop w:val="0"/>
      <w:marBottom w:val="0"/>
      <w:divBdr>
        <w:top w:val="none" w:sz="0" w:space="0" w:color="auto"/>
        <w:left w:val="none" w:sz="0" w:space="0" w:color="auto"/>
        <w:bottom w:val="none" w:sz="0" w:space="0" w:color="auto"/>
        <w:right w:val="none" w:sz="0" w:space="0" w:color="auto"/>
      </w:divBdr>
    </w:div>
    <w:div w:id="662314074">
      <w:bodyDiv w:val="1"/>
      <w:marLeft w:val="0"/>
      <w:marRight w:val="0"/>
      <w:marTop w:val="0"/>
      <w:marBottom w:val="0"/>
      <w:divBdr>
        <w:top w:val="none" w:sz="0" w:space="0" w:color="auto"/>
        <w:left w:val="none" w:sz="0" w:space="0" w:color="auto"/>
        <w:bottom w:val="none" w:sz="0" w:space="0" w:color="auto"/>
        <w:right w:val="none" w:sz="0" w:space="0" w:color="auto"/>
      </w:divBdr>
    </w:div>
    <w:div w:id="732003740">
      <w:bodyDiv w:val="1"/>
      <w:marLeft w:val="0"/>
      <w:marRight w:val="0"/>
      <w:marTop w:val="0"/>
      <w:marBottom w:val="0"/>
      <w:divBdr>
        <w:top w:val="none" w:sz="0" w:space="0" w:color="auto"/>
        <w:left w:val="none" w:sz="0" w:space="0" w:color="auto"/>
        <w:bottom w:val="none" w:sz="0" w:space="0" w:color="auto"/>
        <w:right w:val="none" w:sz="0" w:space="0" w:color="auto"/>
      </w:divBdr>
      <w:divsChild>
        <w:div w:id="226918333">
          <w:marLeft w:val="360"/>
          <w:marRight w:val="0"/>
          <w:marTop w:val="0"/>
          <w:marBottom w:val="40"/>
          <w:divBdr>
            <w:top w:val="none" w:sz="0" w:space="0" w:color="auto"/>
            <w:left w:val="none" w:sz="0" w:space="0" w:color="auto"/>
            <w:bottom w:val="none" w:sz="0" w:space="0" w:color="auto"/>
            <w:right w:val="none" w:sz="0" w:space="0" w:color="auto"/>
          </w:divBdr>
        </w:div>
        <w:div w:id="357387697">
          <w:marLeft w:val="360"/>
          <w:marRight w:val="0"/>
          <w:marTop w:val="0"/>
          <w:marBottom w:val="40"/>
          <w:divBdr>
            <w:top w:val="none" w:sz="0" w:space="0" w:color="auto"/>
            <w:left w:val="none" w:sz="0" w:space="0" w:color="auto"/>
            <w:bottom w:val="none" w:sz="0" w:space="0" w:color="auto"/>
            <w:right w:val="none" w:sz="0" w:space="0" w:color="auto"/>
          </w:divBdr>
        </w:div>
        <w:div w:id="1430276687">
          <w:marLeft w:val="360"/>
          <w:marRight w:val="0"/>
          <w:marTop w:val="0"/>
          <w:marBottom w:val="40"/>
          <w:divBdr>
            <w:top w:val="none" w:sz="0" w:space="0" w:color="auto"/>
            <w:left w:val="none" w:sz="0" w:space="0" w:color="auto"/>
            <w:bottom w:val="none" w:sz="0" w:space="0" w:color="auto"/>
            <w:right w:val="none" w:sz="0" w:space="0" w:color="auto"/>
          </w:divBdr>
        </w:div>
        <w:div w:id="1780875716">
          <w:marLeft w:val="360"/>
          <w:marRight w:val="0"/>
          <w:marTop w:val="0"/>
          <w:marBottom w:val="40"/>
          <w:divBdr>
            <w:top w:val="none" w:sz="0" w:space="0" w:color="auto"/>
            <w:left w:val="none" w:sz="0" w:space="0" w:color="auto"/>
            <w:bottom w:val="none" w:sz="0" w:space="0" w:color="auto"/>
            <w:right w:val="none" w:sz="0" w:space="0" w:color="auto"/>
          </w:divBdr>
        </w:div>
      </w:divsChild>
    </w:div>
    <w:div w:id="736368545">
      <w:bodyDiv w:val="1"/>
      <w:marLeft w:val="0"/>
      <w:marRight w:val="0"/>
      <w:marTop w:val="0"/>
      <w:marBottom w:val="0"/>
      <w:divBdr>
        <w:top w:val="none" w:sz="0" w:space="0" w:color="auto"/>
        <w:left w:val="none" w:sz="0" w:space="0" w:color="auto"/>
        <w:bottom w:val="none" w:sz="0" w:space="0" w:color="auto"/>
        <w:right w:val="none" w:sz="0" w:space="0" w:color="auto"/>
      </w:divBdr>
    </w:div>
    <w:div w:id="795875431">
      <w:bodyDiv w:val="1"/>
      <w:marLeft w:val="0"/>
      <w:marRight w:val="0"/>
      <w:marTop w:val="0"/>
      <w:marBottom w:val="0"/>
      <w:divBdr>
        <w:top w:val="none" w:sz="0" w:space="0" w:color="auto"/>
        <w:left w:val="none" w:sz="0" w:space="0" w:color="auto"/>
        <w:bottom w:val="none" w:sz="0" w:space="0" w:color="auto"/>
        <w:right w:val="none" w:sz="0" w:space="0" w:color="auto"/>
      </w:divBdr>
      <w:divsChild>
        <w:div w:id="165943709">
          <w:marLeft w:val="360"/>
          <w:marRight w:val="0"/>
          <w:marTop w:val="0"/>
          <w:marBottom w:val="40"/>
          <w:divBdr>
            <w:top w:val="none" w:sz="0" w:space="0" w:color="auto"/>
            <w:left w:val="none" w:sz="0" w:space="0" w:color="auto"/>
            <w:bottom w:val="none" w:sz="0" w:space="0" w:color="auto"/>
            <w:right w:val="none" w:sz="0" w:space="0" w:color="auto"/>
          </w:divBdr>
        </w:div>
        <w:div w:id="433549419">
          <w:marLeft w:val="360"/>
          <w:marRight w:val="0"/>
          <w:marTop w:val="0"/>
          <w:marBottom w:val="40"/>
          <w:divBdr>
            <w:top w:val="none" w:sz="0" w:space="0" w:color="auto"/>
            <w:left w:val="none" w:sz="0" w:space="0" w:color="auto"/>
            <w:bottom w:val="none" w:sz="0" w:space="0" w:color="auto"/>
            <w:right w:val="none" w:sz="0" w:space="0" w:color="auto"/>
          </w:divBdr>
        </w:div>
        <w:div w:id="1036200315">
          <w:marLeft w:val="360"/>
          <w:marRight w:val="0"/>
          <w:marTop w:val="0"/>
          <w:marBottom w:val="40"/>
          <w:divBdr>
            <w:top w:val="none" w:sz="0" w:space="0" w:color="auto"/>
            <w:left w:val="none" w:sz="0" w:space="0" w:color="auto"/>
            <w:bottom w:val="none" w:sz="0" w:space="0" w:color="auto"/>
            <w:right w:val="none" w:sz="0" w:space="0" w:color="auto"/>
          </w:divBdr>
        </w:div>
        <w:div w:id="2058846118">
          <w:marLeft w:val="360"/>
          <w:marRight w:val="0"/>
          <w:marTop w:val="0"/>
          <w:marBottom w:val="40"/>
          <w:divBdr>
            <w:top w:val="none" w:sz="0" w:space="0" w:color="auto"/>
            <w:left w:val="none" w:sz="0" w:space="0" w:color="auto"/>
            <w:bottom w:val="none" w:sz="0" w:space="0" w:color="auto"/>
            <w:right w:val="none" w:sz="0" w:space="0" w:color="auto"/>
          </w:divBdr>
        </w:div>
      </w:divsChild>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07882379">
      <w:bodyDiv w:val="1"/>
      <w:marLeft w:val="0"/>
      <w:marRight w:val="0"/>
      <w:marTop w:val="0"/>
      <w:marBottom w:val="0"/>
      <w:divBdr>
        <w:top w:val="none" w:sz="0" w:space="0" w:color="auto"/>
        <w:left w:val="none" w:sz="0" w:space="0" w:color="auto"/>
        <w:bottom w:val="none" w:sz="0" w:space="0" w:color="auto"/>
        <w:right w:val="none" w:sz="0" w:space="0" w:color="auto"/>
      </w:divBdr>
      <w:divsChild>
        <w:div w:id="1801460735">
          <w:marLeft w:val="0"/>
          <w:marRight w:val="0"/>
          <w:marTop w:val="0"/>
          <w:marBottom w:val="0"/>
          <w:divBdr>
            <w:top w:val="none" w:sz="0" w:space="0" w:color="auto"/>
            <w:left w:val="none" w:sz="0" w:space="0" w:color="auto"/>
            <w:bottom w:val="none" w:sz="0" w:space="0" w:color="auto"/>
            <w:right w:val="none" w:sz="0" w:space="0" w:color="auto"/>
          </w:divBdr>
          <w:divsChild>
            <w:div w:id="1264876435">
              <w:marLeft w:val="0"/>
              <w:marRight w:val="0"/>
              <w:marTop w:val="0"/>
              <w:marBottom w:val="0"/>
              <w:divBdr>
                <w:top w:val="none" w:sz="0" w:space="0" w:color="auto"/>
                <w:left w:val="none" w:sz="0" w:space="0" w:color="auto"/>
                <w:bottom w:val="none" w:sz="0" w:space="0" w:color="auto"/>
                <w:right w:val="none" w:sz="0" w:space="0" w:color="auto"/>
              </w:divBdr>
              <w:divsChild>
                <w:div w:id="8411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4994907">
      <w:bodyDiv w:val="1"/>
      <w:marLeft w:val="0"/>
      <w:marRight w:val="0"/>
      <w:marTop w:val="0"/>
      <w:marBottom w:val="0"/>
      <w:divBdr>
        <w:top w:val="none" w:sz="0" w:space="0" w:color="auto"/>
        <w:left w:val="none" w:sz="0" w:space="0" w:color="auto"/>
        <w:bottom w:val="none" w:sz="0" w:space="0" w:color="auto"/>
        <w:right w:val="none" w:sz="0" w:space="0" w:color="auto"/>
      </w:divBdr>
    </w:div>
    <w:div w:id="949169513">
      <w:bodyDiv w:val="1"/>
      <w:marLeft w:val="0"/>
      <w:marRight w:val="0"/>
      <w:marTop w:val="0"/>
      <w:marBottom w:val="0"/>
      <w:divBdr>
        <w:top w:val="none" w:sz="0" w:space="0" w:color="auto"/>
        <w:left w:val="none" w:sz="0" w:space="0" w:color="auto"/>
        <w:bottom w:val="none" w:sz="0" w:space="0" w:color="auto"/>
        <w:right w:val="none" w:sz="0" w:space="0" w:color="auto"/>
      </w:divBdr>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480"/>
          <w:marRight w:val="0"/>
          <w:marTop w:val="0"/>
          <w:marBottom w:val="0"/>
          <w:divBdr>
            <w:top w:val="none" w:sz="0" w:space="0" w:color="auto"/>
            <w:left w:val="none" w:sz="0" w:space="0" w:color="auto"/>
            <w:bottom w:val="none" w:sz="0" w:space="0" w:color="auto"/>
            <w:right w:val="none" w:sz="0" w:space="0" w:color="auto"/>
          </w:divBdr>
          <w:divsChild>
            <w:div w:id="14246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5955">
      <w:bodyDiv w:val="1"/>
      <w:marLeft w:val="0"/>
      <w:marRight w:val="0"/>
      <w:marTop w:val="0"/>
      <w:marBottom w:val="0"/>
      <w:divBdr>
        <w:top w:val="none" w:sz="0" w:space="0" w:color="auto"/>
        <w:left w:val="none" w:sz="0" w:space="0" w:color="auto"/>
        <w:bottom w:val="none" w:sz="0" w:space="0" w:color="auto"/>
        <w:right w:val="none" w:sz="0" w:space="0" w:color="auto"/>
      </w:divBdr>
      <w:divsChild>
        <w:div w:id="1310162654">
          <w:marLeft w:val="360"/>
          <w:marRight w:val="0"/>
          <w:marTop w:val="0"/>
          <w:marBottom w:val="40"/>
          <w:divBdr>
            <w:top w:val="none" w:sz="0" w:space="0" w:color="auto"/>
            <w:left w:val="none" w:sz="0" w:space="0" w:color="auto"/>
            <w:bottom w:val="none" w:sz="0" w:space="0" w:color="auto"/>
            <w:right w:val="none" w:sz="0" w:space="0" w:color="auto"/>
          </w:divBdr>
        </w:div>
      </w:divsChild>
    </w:div>
    <w:div w:id="988245223">
      <w:bodyDiv w:val="1"/>
      <w:marLeft w:val="0"/>
      <w:marRight w:val="0"/>
      <w:marTop w:val="0"/>
      <w:marBottom w:val="0"/>
      <w:divBdr>
        <w:top w:val="none" w:sz="0" w:space="0" w:color="auto"/>
        <w:left w:val="none" w:sz="0" w:space="0" w:color="auto"/>
        <w:bottom w:val="none" w:sz="0" w:space="0" w:color="auto"/>
        <w:right w:val="none" w:sz="0" w:space="0" w:color="auto"/>
      </w:divBdr>
    </w:div>
    <w:div w:id="1003775444">
      <w:bodyDiv w:val="1"/>
      <w:marLeft w:val="0"/>
      <w:marRight w:val="0"/>
      <w:marTop w:val="0"/>
      <w:marBottom w:val="0"/>
      <w:divBdr>
        <w:top w:val="none" w:sz="0" w:space="0" w:color="auto"/>
        <w:left w:val="none" w:sz="0" w:space="0" w:color="auto"/>
        <w:bottom w:val="none" w:sz="0" w:space="0" w:color="auto"/>
        <w:right w:val="none" w:sz="0" w:space="0" w:color="auto"/>
      </w:divBdr>
    </w:div>
    <w:div w:id="1043403553">
      <w:bodyDiv w:val="1"/>
      <w:marLeft w:val="0"/>
      <w:marRight w:val="0"/>
      <w:marTop w:val="0"/>
      <w:marBottom w:val="0"/>
      <w:divBdr>
        <w:top w:val="none" w:sz="0" w:space="0" w:color="auto"/>
        <w:left w:val="none" w:sz="0" w:space="0" w:color="auto"/>
        <w:bottom w:val="none" w:sz="0" w:space="0" w:color="auto"/>
        <w:right w:val="none" w:sz="0" w:space="0" w:color="auto"/>
      </w:divBdr>
    </w:div>
    <w:div w:id="1054893815">
      <w:bodyDiv w:val="1"/>
      <w:marLeft w:val="0"/>
      <w:marRight w:val="0"/>
      <w:marTop w:val="0"/>
      <w:marBottom w:val="0"/>
      <w:divBdr>
        <w:top w:val="none" w:sz="0" w:space="0" w:color="auto"/>
        <w:left w:val="none" w:sz="0" w:space="0" w:color="auto"/>
        <w:bottom w:val="none" w:sz="0" w:space="0" w:color="auto"/>
        <w:right w:val="none" w:sz="0" w:space="0" w:color="auto"/>
      </w:divBdr>
    </w:div>
    <w:div w:id="1098479351">
      <w:bodyDiv w:val="1"/>
      <w:marLeft w:val="0"/>
      <w:marRight w:val="0"/>
      <w:marTop w:val="0"/>
      <w:marBottom w:val="0"/>
      <w:divBdr>
        <w:top w:val="none" w:sz="0" w:space="0" w:color="auto"/>
        <w:left w:val="none" w:sz="0" w:space="0" w:color="auto"/>
        <w:bottom w:val="none" w:sz="0" w:space="0" w:color="auto"/>
        <w:right w:val="none" w:sz="0" w:space="0" w:color="auto"/>
      </w:divBdr>
    </w:div>
    <w:div w:id="1112747100">
      <w:bodyDiv w:val="1"/>
      <w:marLeft w:val="0"/>
      <w:marRight w:val="0"/>
      <w:marTop w:val="0"/>
      <w:marBottom w:val="0"/>
      <w:divBdr>
        <w:top w:val="none" w:sz="0" w:space="0" w:color="auto"/>
        <w:left w:val="none" w:sz="0" w:space="0" w:color="auto"/>
        <w:bottom w:val="none" w:sz="0" w:space="0" w:color="auto"/>
        <w:right w:val="none" w:sz="0" w:space="0" w:color="auto"/>
      </w:divBdr>
    </w:div>
    <w:div w:id="1163664486">
      <w:bodyDiv w:val="1"/>
      <w:marLeft w:val="0"/>
      <w:marRight w:val="0"/>
      <w:marTop w:val="0"/>
      <w:marBottom w:val="0"/>
      <w:divBdr>
        <w:top w:val="none" w:sz="0" w:space="0" w:color="auto"/>
        <w:left w:val="none" w:sz="0" w:space="0" w:color="auto"/>
        <w:bottom w:val="none" w:sz="0" w:space="0" w:color="auto"/>
        <w:right w:val="none" w:sz="0" w:space="0" w:color="auto"/>
      </w:divBdr>
    </w:div>
    <w:div w:id="1191796933">
      <w:bodyDiv w:val="1"/>
      <w:marLeft w:val="0"/>
      <w:marRight w:val="0"/>
      <w:marTop w:val="0"/>
      <w:marBottom w:val="0"/>
      <w:divBdr>
        <w:top w:val="none" w:sz="0" w:space="0" w:color="auto"/>
        <w:left w:val="none" w:sz="0" w:space="0" w:color="auto"/>
        <w:bottom w:val="none" w:sz="0" w:space="0" w:color="auto"/>
        <w:right w:val="none" w:sz="0" w:space="0" w:color="auto"/>
      </w:divBdr>
      <w:divsChild>
        <w:div w:id="409735402">
          <w:marLeft w:val="547"/>
          <w:marRight w:val="0"/>
          <w:marTop w:val="0"/>
          <w:marBottom w:val="0"/>
          <w:divBdr>
            <w:top w:val="none" w:sz="0" w:space="0" w:color="auto"/>
            <w:left w:val="none" w:sz="0" w:space="0" w:color="auto"/>
            <w:bottom w:val="none" w:sz="0" w:space="0" w:color="auto"/>
            <w:right w:val="none" w:sz="0" w:space="0" w:color="auto"/>
          </w:divBdr>
        </w:div>
        <w:div w:id="794639571">
          <w:marLeft w:val="547"/>
          <w:marRight w:val="0"/>
          <w:marTop w:val="0"/>
          <w:marBottom w:val="0"/>
          <w:divBdr>
            <w:top w:val="none" w:sz="0" w:space="0" w:color="auto"/>
            <w:left w:val="none" w:sz="0" w:space="0" w:color="auto"/>
            <w:bottom w:val="none" w:sz="0" w:space="0" w:color="auto"/>
            <w:right w:val="none" w:sz="0" w:space="0" w:color="auto"/>
          </w:divBdr>
        </w:div>
        <w:div w:id="1439906584">
          <w:marLeft w:val="547"/>
          <w:marRight w:val="0"/>
          <w:marTop w:val="0"/>
          <w:marBottom w:val="0"/>
          <w:divBdr>
            <w:top w:val="none" w:sz="0" w:space="0" w:color="auto"/>
            <w:left w:val="none" w:sz="0" w:space="0" w:color="auto"/>
            <w:bottom w:val="none" w:sz="0" w:space="0" w:color="auto"/>
            <w:right w:val="none" w:sz="0" w:space="0" w:color="auto"/>
          </w:divBdr>
        </w:div>
        <w:div w:id="1818105072">
          <w:marLeft w:val="547"/>
          <w:marRight w:val="0"/>
          <w:marTop w:val="0"/>
          <w:marBottom w:val="0"/>
          <w:divBdr>
            <w:top w:val="none" w:sz="0" w:space="0" w:color="auto"/>
            <w:left w:val="none" w:sz="0" w:space="0" w:color="auto"/>
            <w:bottom w:val="none" w:sz="0" w:space="0" w:color="auto"/>
            <w:right w:val="none" w:sz="0" w:space="0" w:color="auto"/>
          </w:divBdr>
        </w:div>
      </w:divsChild>
    </w:div>
    <w:div w:id="1193226477">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97225370">
      <w:bodyDiv w:val="1"/>
      <w:marLeft w:val="0"/>
      <w:marRight w:val="0"/>
      <w:marTop w:val="0"/>
      <w:marBottom w:val="0"/>
      <w:divBdr>
        <w:top w:val="none" w:sz="0" w:space="0" w:color="auto"/>
        <w:left w:val="none" w:sz="0" w:space="0" w:color="auto"/>
        <w:bottom w:val="none" w:sz="0" w:space="0" w:color="auto"/>
        <w:right w:val="none" w:sz="0" w:space="0" w:color="auto"/>
      </w:divBdr>
    </w:div>
    <w:div w:id="1332879511">
      <w:bodyDiv w:val="1"/>
      <w:marLeft w:val="0"/>
      <w:marRight w:val="0"/>
      <w:marTop w:val="0"/>
      <w:marBottom w:val="0"/>
      <w:divBdr>
        <w:top w:val="none" w:sz="0" w:space="0" w:color="auto"/>
        <w:left w:val="none" w:sz="0" w:space="0" w:color="auto"/>
        <w:bottom w:val="none" w:sz="0" w:space="0" w:color="auto"/>
        <w:right w:val="none" w:sz="0" w:space="0" w:color="auto"/>
      </w:divBdr>
    </w:div>
    <w:div w:id="1366708483">
      <w:bodyDiv w:val="1"/>
      <w:marLeft w:val="0"/>
      <w:marRight w:val="0"/>
      <w:marTop w:val="0"/>
      <w:marBottom w:val="0"/>
      <w:divBdr>
        <w:top w:val="none" w:sz="0" w:space="0" w:color="auto"/>
        <w:left w:val="none" w:sz="0" w:space="0" w:color="auto"/>
        <w:bottom w:val="none" w:sz="0" w:space="0" w:color="auto"/>
        <w:right w:val="none" w:sz="0" w:space="0" w:color="auto"/>
      </w:divBdr>
    </w:div>
    <w:div w:id="1391735559">
      <w:bodyDiv w:val="1"/>
      <w:marLeft w:val="0"/>
      <w:marRight w:val="0"/>
      <w:marTop w:val="0"/>
      <w:marBottom w:val="0"/>
      <w:divBdr>
        <w:top w:val="none" w:sz="0" w:space="0" w:color="auto"/>
        <w:left w:val="none" w:sz="0" w:space="0" w:color="auto"/>
        <w:bottom w:val="none" w:sz="0" w:space="0" w:color="auto"/>
        <w:right w:val="none" w:sz="0" w:space="0" w:color="auto"/>
      </w:divBdr>
      <w:divsChild>
        <w:div w:id="663779615">
          <w:marLeft w:val="360"/>
          <w:marRight w:val="0"/>
          <w:marTop w:val="0"/>
          <w:marBottom w:val="40"/>
          <w:divBdr>
            <w:top w:val="none" w:sz="0" w:space="0" w:color="auto"/>
            <w:left w:val="none" w:sz="0" w:space="0" w:color="auto"/>
            <w:bottom w:val="none" w:sz="0" w:space="0" w:color="auto"/>
            <w:right w:val="none" w:sz="0" w:space="0" w:color="auto"/>
          </w:divBdr>
        </w:div>
        <w:div w:id="1616518048">
          <w:marLeft w:val="360"/>
          <w:marRight w:val="0"/>
          <w:marTop w:val="0"/>
          <w:marBottom w:val="40"/>
          <w:divBdr>
            <w:top w:val="none" w:sz="0" w:space="0" w:color="auto"/>
            <w:left w:val="none" w:sz="0" w:space="0" w:color="auto"/>
            <w:bottom w:val="none" w:sz="0" w:space="0" w:color="auto"/>
            <w:right w:val="none" w:sz="0" w:space="0" w:color="auto"/>
          </w:divBdr>
        </w:div>
        <w:div w:id="2076465968">
          <w:marLeft w:val="360"/>
          <w:marRight w:val="0"/>
          <w:marTop w:val="0"/>
          <w:marBottom w:val="40"/>
          <w:divBdr>
            <w:top w:val="none" w:sz="0" w:space="0" w:color="auto"/>
            <w:left w:val="none" w:sz="0" w:space="0" w:color="auto"/>
            <w:bottom w:val="none" w:sz="0" w:space="0" w:color="auto"/>
            <w:right w:val="none" w:sz="0" w:space="0" w:color="auto"/>
          </w:divBdr>
        </w:div>
        <w:div w:id="2076776350">
          <w:marLeft w:val="360"/>
          <w:marRight w:val="0"/>
          <w:marTop w:val="0"/>
          <w:marBottom w:val="40"/>
          <w:divBdr>
            <w:top w:val="none" w:sz="0" w:space="0" w:color="auto"/>
            <w:left w:val="none" w:sz="0" w:space="0" w:color="auto"/>
            <w:bottom w:val="none" w:sz="0" w:space="0" w:color="auto"/>
            <w:right w:val="none" w:sz="0" w:space="0" w:color="auto"/>
          </w:divBdr>
        </w:div>
      </w:divsChild>
    </w:div>
    <w:div w:id="1408335598">
      <w:bodyDiv w:val="1"/>
      <w:marLeft w:val="0"/>
      <w:marRight w:val="0"/>
      <w:marTop w:val="0"/>
      <w:marBottom w:val="0"/>
      <w:divBdr>
        <w:top w:val="none" w:sz="0" w:space="0" w:color="auto"/>
        <w:left w:val="none" w:sz="0" w:space="0" w:color="auto"/>
        <w:bottom w:val="none" w:sz="0" w:space="0" w:color="auto"/>
        <w:right w:val="none" w:sz="0" w:space="0" w:color="auto"/>
      </w:divBdr>
    </w:div>
    <w:div w:id="1438332685">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1291254">
      <w:bodyDiv w:val="1"/>
      <w:marLeft w:val="0"/>
      <w:marRight w:val="0"/>
      <w:marTop w:val="0"/>
      <w:marBottom w:val="0"/>
      <w:divBdr>
        <w:top w:val="none" w:sz="0" w:space="0" w:color="auto"/>
        <w:left w:val="none" w:sz="0" w:space="0" w:color="auto"/>
        <w:bottom w:val="none" w:sz="0" w:space="0" w:color="auto"/>
        <w:right w:val="none" w:sz="0" w:space="0" w:color="auto"/>
      </w:divBdr>
    </w:div>
    <w:div w:id="1481387502">
      <w:bodyDiv w:val="1"/>
      <w:marLeft w:val="0"/>
      <w:marRight w:val="0"/>
      <w:marTop w:val="0"/>
      <w:marBottom w:val="0"/>
      <w:divBdr>
        <w:top w:val="none" w:sz="0" w:space="0" w:color="auto"/>
        <w:left w:val="none" w:sz="0" w:space="0" w:color="auto"/>
        <w:bottom w:val="none" w:sz="0" w:space="0" w:color="auto"/>
        <w:right w:val="none" w:sz="0" w:space="0" w:color="auto"/>
      </w:divBdr>
    </w:div>
    <w:div w:id="1499728032">
      <w:bodyDiv w:val="1"/>
      <w:marLeft w:val="0"/>
      <w:marRight w:val="0"/>
      <w:marTop w:val="0"/>
      <w:marBottom w:val="0"/>
      <w:divBdr>
        <w:top w:val="none" w:sz="0" w:space="0" w:color="auto"/>
        <w:left w:val="none" w:sz="0" w:space="0" w:color="auto"/>
        <w:bottom w:val="none" w:sz="0" w:space="0" w:color="auto"/>
        <w:right w:val="none" w:sz="0" w:space="0" w:color="auto"/>
      </w:divBdr>
    </w:div>
    <w:div w:id="1501507827">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43395060">
      <w:bodyDiv w:val="1"/>
      <w:marLeft w:val="0"/>
      <w:marRight w:val="0"/>
      <w:marTop w:val="0"/>
      <w:marBottom w:val="0"/>
      <w:divBdr>
        <w:top w:val="none" w:sz="0" w:space="0" w:color="auto"/>
        <w:left w:val="none" w:sz="0" w:space="0" w:color="auto"/>
        <w:bottom w:val="none" w:sz="0" w:space="0" w:color="auto"/>
        <w:right w:val="none" w:sz="0" w:space="0" w:color="auto"/>
      </w:divBdr>
      <w:divsChild>
        <w:div w:id="246229597">
          <w:marLeft w:val="86"/>
          <w:marRight w:val="0"/>
          <w:marTop w:val="0"/>
          <w:marBottom w:val="38"/>
          <w:divBdr>
            <w:top w:val="none" w:sz="0" w:space="0" w:color="auto"/>
            <w:left w:val="none" w:sz="0" w:space="0" w:color="auto"/>
            <w:bottom w:val="none" w:sz="0" w:space="0" w:color="auto"/>
            <w:right w:val="none" w:sz="0" w:space="0" w:color="auto"/>
          </w:divBdr>
        </w:div>
        <w:div w:id="1647587587">
          <w:marLeft w:val="86"/>
          <w:marRight w:val="0"/>
          <w:marTop w:val="0"/>
          <w:marBottom w:val="38"/>
          <w:divBdr>
            <w:top w:val="none" w:sz="0" w:space="0" w:color="auto"/>
            <w:left w:val="none" w:sz="0" w:space="0" w:color="auto"/>
            <w:bottom w:val="none" w:sz="0" w:space="0" w:color="auto"/>
            <w:right w:val="none" w:sz="0" w:space="0" w:color="auto"/>
          </w:divBdr>
        </w:div>
        <w:div w:id="1882209765">
          <w:marLeft w:val="86"/>
          <w:marRight w:val="0"/>
          <w:marTop w:val="0"/>
          <w:marBottom w:val="38"/>
          <w:divBdr>
            <w:top w:val="none" w:sz="0" w:space="0" w:color="auto"/>
            <w:left w:val="none" w:sz="0" w:space="0" w:color="auto"/>
            <w:bottom w:val="none" w:sz="0" w:space="0" w:color="auto"/>
            <w:right w:val="none" w:sz="0" w:space="0" w:color="auto"/>
          </w:divBdr>
        </w:div>
      </w:divsChild>
    </w:div>
    <w:div w:id="1591154504">
      <w:bodyDiv w:val="1"/>
      <w:marLeft w:val="0"/>
      <w:marRight w:val="0"/>
      <w:marTop w:val="0"/>
      <w:marBottom w:val="0"/>
      <w:divBdr>
        <w:top w:val="none" w:sz="0" w:space="0" w:color="auto"/>
        <w:left w:val="none" w:sz="0" w:space="0" w:color="auto"/>
        <w:bottom w:val="none" w:sz="0" w:space="0" w:color="auto"/>
        <w:right w:val="none" w:sz="0" w:space="0" w:color="auto"/>
      </w:divBdr>
      <w:divsChild>
        <w:div w:id="1061712245">
          <w:marLeft w:val="360"/>
          <w:marRight w:val="0"/>
          <w:marTop w:val="0"/>
          <w:marBottom w:val="40"/>
          <w:divBdr>
            <w:top w:val="none" w:sz="0" w:space="0" w:color="auto"/>
            <w:left w:val="none" w:sz="0" w:space="0" w:color="auto"/>
            <w:bottom w:val="none" w:sz="0" w:space="0" w:color="auto"/>
            <w:right w:val="none" w:sz="0" w:space="0" w:color="auto"/>
          </w:divBdr>
        </w:div>
        <w:div w:id="1327981631">
          <w:marLeft w:val="360"/>
          <w:marRight w:val="0"/>
          <w:marTop w:val="0"/>
          <w:marBottom w:val="40"/>
          <w:divBdr>
            <w:top w:val="none" w:sz="0" w:space="0" w:color="auto"/>
            <w:left w:val="none" w:sz="0" w:space="0" w:color="auto"/>
            <w:bottom w:val="none" w:sz="0" w:space="0" w:color="auto"/>
            <w:right w:val="none" w:sz="0" w:space="0" w:color="auto"/>
          </w:divBdr>
        </w:div>
        <w:div w:id="1591811597">
          <w:marLeft w:val="360"/>
          <w:marRight w:val="0"/>
          <w:marTop w:val="0"/>
          <w:marBottom w:val="40"/>
          <w:divBdr>
            <w:top w:val="none" w:sz="0" w:space="0" w:color="auto"/>
            <w:left w:val="none" w:sz="0" w:space="0" w:color="auto"/>
            <w:bottom w:val="none" w:sz="0" w:space="0" w:color="auto"/>
            <w:right w:val="none" w:sz="0" w:space="0" w:color="auto"/>
          </w:divBdr>
        </w:div>
      </w:divsChild>
    </w:div>
    <w:div w:id="1601911120">
      <w:bodyDiv w:val="1"/>
      <w:marLeft w:val="0"/>
      <w:marRight w:val="0"/>
      <w:marTop w:val="0"/>
      <w:marBottom w:val="0"/>
      <w:divBdr>
        <w:top w:val="none" w:sz="0" w:space="0" w:color="auto"/>
        <w:left w:val="none" w:sz="0" w:space="0" w:color="auto"/>
        <w:bottom w:val="none" w:sz="0" w:space="0" w:color="auto"/>
        <w:right w:val="none" w:sz="0" w:space="0" w:color="auto"/>
      </w:divBdr>
    </w:div>
    <w:div w:id="1648781800">
      <w:bodyDiv w:val="1"/>
      <w:marLeft w:val="0"/>
      <w:marRight w:val="0"/>
      <w:marTop w:val="0"/>
      <w:marBottom w:val="0"/>
      <w:divBdr>
        <w:top w:val="none" w:sz="0" w:space="0" w:color="auto"/>
        <w:left w:val="none" w:sz="0" w:space="0" w:color="auto"/>
        <w:bottom w:val="none" w:sz="0" w:space="0" w:color="auto"/>
        <w:right w:val="none" w:sz="0" w:space="0" w:color="auto"/>
      </w:divBdr>
    </w:div>
    <w:div w:id="1677073438">
      <w:bodyDiv w:val="1"/>
      <w:marLeft w:val="0"/>
      <w:marRight w:val="0"/>
      <w:marTop w:val="0"/>
      <w:marBottom w:val="0"/>
      <w:divBdr>
        <w:top w:val="none" w:sz="0" w:space="0" w:color="auto"/>
        <w:left w:val="none" w:sz="0" w:space="0" w:color="auto"/>
        <w:bottom w:val="none" w:sz="0" w:space="0" w:color="auto"/>
        <w:right w:val="none" w:sz="0" w:space="0" w:color="auto"/>
      </w:divBdr>
    </w:div>
    <w:div w:id="1695420243">
      <w:bodyDiv w:val="1"/>
      <w:marLeft w:val="0"/>
      <w:marRight w:val="0"/>
      <w:marTop w:val="0"/>
      <w:marBottom w:val="0"/>
      <w:divBdr>
        <w:top w:val="none" w:sz="0" w:space="0" w:color="auto"/>
        <w:left w:val="none" w:sz="0" w:space="0" w:color="auto"/>
        <w:bottom w:val="none" w:sz="0" w:space="0" w:color="auto"/>
        <w:right w:val="none" w:sz="0" w:space="0" w:color="auto"/>
      </w:divBdr>
      <w:divsChild>
        <w:div w:id="280499894">
          <w:marLeft w:val="547"/>
          <w:marRight w:val="0"/>
          <w:marTop w:val="0"/>
          <w:marBottom w:val="0"/>
          <w:divBdr>
            <w:top w:val="none" w:sz="0" w:space="0" w:color="auto"/>
            <w:left w:val="none" w:sz="0" w:space="0" w:color="auto"/>
            <w:bottom w:val="none" w:sz="0" w:space="0" w:color="auto"/>
            <w:right w:val="none" w:sz="0" w:space="0" w:color="auto"/>
          </w:divBdr>
        </w:div>
        <w:div w:id="1349213488">
          <w:marLeft w:val="547"/>
          <w:marRight w:val="0"/>
          <w:marTop w:val="0"/>
          <w:marBottom w:val="0"/>
          <w:divBdr>
            <w:top w:val="none" w:sz="0" w:space="0" w:color="auto"/>
            <w:left w:val="none" w:sz="0" w:space="0" w:color="auto"/>
            <w:bottom w:val="none" w:sz="0" w:space="0" w:color="auto"/>
            <w:right w:val="none" w:sz="0" w:space="0" w:color="auto"/>
          </w:divBdr>
        </w:div>
      </w:divsChild>
    </w:div>
    <w:div w:id="1733892563">
      <w:bodyDiv w:val="1"/>
      <w:marLeft w:val="0"/>
      <w:marRight w:val="0"/>
      <w:marTop w:val="0"/>
      <w:marBottom w:val="0"/>
      <w:divBdr>
        <w:top w:val="none" w:sz="0" w:space="0" w:color="auto"/>
        <w:left w:val="none" w:sz="0" w:space="0" w:color="auto"/>
        <w:bottom w:val="none" w:sz="0" w:space="0" w:color="auto"/>
        <w:right w:val="none" w:sz="0" w:space="0" w:color="auto"/>
      </w:divBdr>
      <w:divsChild>
        <w:div w:id="149102964">
          <w:marLeft w:val="547"/>
          <w:marRight w:val="0"/>
          <w:marTop w:val="0"/>
          <w:marBottom w:val="0"/>
          <w:divBdr>
            <w:top w:val="none" w:sz="0" w:space="0" w:color="auto"/>
            <w:left w:val="none" w:sz="0" w:space="0" w:color="auto"/>
            <w:bottom w:val="none" w:sz="0" w:space="0" w:color="auto"/>
            <w:right w:val="none" w:sz="0" w:space="0" w:color="auto"/>
          </w:divBdr>
        </w:div>
      </w:divsChild>
    </w:div>
    <w:div w:id="1739865833">
      <w:bodyDiv w:val="1"/>
      <w:marLeft w:val="0"/>
      <w:marRight w:val="0"/>
      <w:marTop w:val="0"/>
      <w:marBottom w:val="0"/>
      <w:divBdr>
        <w:top w:val="none" w:sz="0" w:space="0" w:color="auto"/>
        <w:left w:val="none" w:sz="0" w:space="0" w:color="auto"/>
        <w:bottom w:val="none" w:sz="0" w:space="0" w:color="auto"/>
        <w:right w:val="none" w:sz="0" w:space="0" w:color="auto"/>
      </w:divBdr>
    </w:div>
    <w:div w:id="1739939033">
      <w:bodyDiv w:val="1"/>
      <w:marLeft w:val="0"/>
      <w:marRight w:val="0"/>
      <w:marTop w:val="0"/>
      <w:marBottom w:val="0"/>
      <w:divBdr>
        <w:top w:val="none" w:sz="0" w:space="0" w:color="auto"/>
        <w:left w:val="none" w:sz="0" w:space="0" w:color="auto"/>
        <w:bottom w:val="none" w:sz="0" w:space="0" w:color="auto"/>
        <w:right w:val="none" w:sz="0" w:space="0" w:color="auto"/>
      </w:divBdr>
    </w:div>
    <w:div w:id="1788348709">
      <w:bodyDiv w:val="1"/>
      <w:marLeft w:val="0"/>
      <w:marRight w:val="0"/>
      <w:marTop w:val="0"/>
      <w:marBottom w:val="0"/>
      <w:divBdr>
        <w:top w:val="none" w:sz="0" w:space="0" w:color="auto"/>
        <w:left w:val="none" w:sz="0" w:space="0" w:color="auto"/>
        <w:bottom w:val="none" w:sz="0" w:space="0" w:color="auto"/>
        <w:right w:val="none" w:sz="0" w:space="0" w:color="auto"/>
      </w:divBdr>
      <w:divsChild>
        <w:div w:id="41903568">
          <w:marLeft w:val="360"/>
          <w:marRight w:val="0"/>
          <w:marTop w:val="0"/>
          <w:marBottom w:val="40"/>
          <w:divBdr>
            <w:top w:val="none" w:sz="0" w:space="0" w:color="auto"/>
            <w:left w:val="none" w:sz="0" w:space="0" w:color="auto"/>
            <w:bottom w:val="none" w:sz="0" w:space="0" w:color="auto"/>
            <w:right w:val="none" w:sz="0" w:space="0" w:color="auto"/>
          </w:divBdr>
        </w:div>
        <w:div w:id="882836313">
          <w:marLeft w:val="360"/>
          <w:marRight w:val="0"/>
          <w:marTop w:val="0"/>
          <w:marBottom w:val="40"/>
          <w:divBdr>
            <w:top w:val="none" w:sz="0" w:space="0" w:color="auto"/>
            <w:left w:val="none" w:sz="0" w:space="0" w:color="auto"/>
            <w:bottom w:val="none" w:sz="0" w:space="0" w:color="auto"/>
            <w:right w:val="none" w:sz="0" w:space="0" w:color="auto"/>
          </w:divBdr>
        </w:div>
        <w:div w:id="1262883933">
          <w:marLeft w:val="360"/>
          <w:marRight w:val="0"/>
          <w:marTop w:val="0"/>
          <w:marBottom w:val="40"/>
          <w:divBdr>
            <w:top w:val="none" w:sz="0" w:space="0" w:color="auto"/>
            <w:left w:val="none" w:sz="0" w:space="0" w:color="auto"/>
            <w:bottom w:val="none" w:sz="0" w:space="0" w:color="auto"/>
            <w:right w:val="none" w:sz="0" w:space="0" w:color="auto"/>
          </w:divBdr>
        </w:div>
        <w:div w:id="2025545448">
          <w:marLeft w:val="360"/>
          <w:marRight w:val="0"/>
          <w:marTop w:val="0"/>
          <w:marBottom w:val="40"/>
          <w:divBdr>
            <w:top w:val="none" w:sz="0" w:space="0" w:color="auto"/>
            <w:left w:val="none" w:sz="0" w:space="0" w:color="auto"/>
            <w:bottom w:val="none" w:sz="0" w:space="0" w:color="auto"/>
            <w:right w:val="none" w:sz="0" w:space="0" w:color="auto"/>
          </w:divBdr>
        </w:div>
      </w:divsChild>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28979177">
      <w:bodyDiv w:val="1"/>
      <w:marLeft w:val="0"/>
      <w:marRight w:val="0"/>
      <w:marTop w:val="0"/>
      <w:marBottom w:val="0"/>
      <w:divBdr>
        <w:top w:val="none" w:sz="0" w:space="0" w:color="auto"/>
        <w:left w:val="none" w:sz="0" w:space="0" w:color="auto"/>
        <w:bottom w:val="none" w:sz="0" w:space="0" w:color="auto"/>
        <w:right w:val="none" w:sz="0" w:space="0" w:color="auto"/>
      </w:divBdr>
    </w:div>
    <w:div w:id="1899777376">
      <w:bodyDiv w:val="1"/>
      <w:marLeft w:val="0"/>
      <w:marRight w:val="0"/>
      <w:marTop w:val="0"/>
      <w:marBottom w:val="0"/>
      <w:divBdr>
        <w:top w:val="none" w:sz="0" w:space="0" w:color="auto"/>
        <w:left w:val="none" w:sz="0" w:space="0" w:color="auto"/>
        <w:bottom w:val="none" w:sz="0" w:space="0" w:color="auto"/>
        <w:right w:val="none" w:sz="0" w:space="0" w:color="auto"/>
      </w:divBdr>
    </w:div>
    <w:div w:id="1908487948">
      <w:bodyDiv w:val="1"/>
      <w:marLeft w:val="0"/>
      <w:marRight w:val="0"/>
      <w:marTop w:val="0"/>
      <w:marBottom w:val="0"/>
      <w:divBdr>
        <w:top w:val="none" w:sz="0" w:space="0" w:color="auto"/>
        <w:left w:val="none" w:sz="0" w:space="0" w:color="auto"/>
        <w:bottom w:val="none" w:sz="0" w:space="0" w:color="auto"/>
        <w:right w:val="none" w:sz="0" w:space="0" w:color="auto"/>
      </w:divBdr>
    </w:div>
    <w:div w:id="1934626733">
      <w:bodyDiv w:val="1"/>
      <w:marLeft w:val="0"/>
      <w:marRight w:val="0"/>
      <w:marTop w:val="0"/>
      <w:marBottom w:val="0"/>
      <w:divBdr>
        <w:top w:val="none" w:sz="0" w:space="0" w:color="auto"/>
        <w:left w:val="none" w:sz="0" w:space="0" w:color="auto"/>
        <w:bottom w:val="none" w:sz="0" w:space="0" w:color="auto"/>
        <w:right w:val="none" w:sz="0" w:space="0" w:color="auto"/>
      </w:divBdr>
    </w:div>
    <w:div w:id="1977181260">
      <w:bodyDiv w:val="1"/>
      <w:marLeft w:val="0"/>
      <w:marRight w:val="0"/>
      <w:marTop w:val="0"/>
      <w:marBottom w:val="0"/>
      <w:divBdr>
        <w:top w:val="none" w:sz="0" w:space="0" w:color="auto"/>
        <w:left w:val="none" w:sz="0" w:space="0" w:color="auto"/>
        <w:bottom w:val="none" w:sz="0" w:space="0" w:color="auto"/>
        <w:right w:val="none" w:sz="0" w:space="0" w:color="auto"/>
      </w:divBdr>
    </w:div>
    <w:div w:id="1986663659">
      <w:bodyDiv w:val="1"/>
      <w:marLeft w:val="0"/>
      <w:marRight w:val="0"/>
      <w:marTop w:val="0"/>
      <w:marBottom w:val="0"/>
      <w:divBdr>
        <w:top w:val="none" w:sz="0" w:space="0" w:color="auto"/>
        <w:left w:val="none" w:sz="0" w:space="0" w:color="auto"/>
        <w:bottom w:val="none" w:sz="0" w:space="0" w:color="auto"/>
        <w:right w:val="none" w:sz="0" w:space="0" w:color="auto"/>
      </w:divBdr>
    </w:div>
    <w:div w:id="2026008006">
      <w:bodyDiv w:val="1"/>
      <w:marLeft w:val="0"/>
      <w:marRight w:val="0"/>
      <w:marTop w:val="0"/>
      <w:marBottom w:val="0"/>
      <w:divBdr>
        <w:top w:val="none" w:sz="0" w:space="0" w:color="auto"/>
        <w:left w:val="none" w:sz="0" w:space="0" w:color="auto"/>
        <w:bottom w:val="none" w:sz="0" w:space="0" w:color="auto"/>
        <w:right w:val="none" w:sz="0" w:space="0" w:color="auto"/>
      </w:divBdr>
    </w:div>
    <w:div w:id="204853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s://www.extension.purdue.edu/extmedia/PPP/PPP-71.pdf" TargetMode="External"/><Relationship Id="rId21" Type="http://schemas.openxmlformats.org/officeDocument/2006/relationships/footer" Target="footer2.xml"/><Relationship Id="rId42" Type="http://schemas.openxmlformats.org/officeDocument/2006/relationships/hyperlink" Target="http://www.agriculture.gov.au/abares/research-topics/climate" TargetMode="External"/><Relationship Id="rId47" Type="http://schemas.openxmlformats.org/officeDocument/2006/relationships/hyperlink" Target="http://permits.apvma.gov.au/PER87174.PDF" TargetMode="External"/><Relationship Id="rId63" Type="http://schemas.openxmlformats.org/officeDocument/2006/relationships/hyperlink" Target="http://www.inspection.gc.ca/animals/veterinary-biologics/guidelines-forms/4-12e/eng/1328639619579/1328640363370" TargetMode="External"/><Relationship Id="rId68" Type="http://schemas.openxmlformats.org/officeDocument/2006/relationships/hyperlink" Target="http://www.agriculture.gov.au/SiteCollectionDocuments/ag-food/agvet/reforms/efficacy.pdf" TargetMode="External"/><Relationship Id="rId84" Type="http://schemas.openxmlformats.org/officeDocument/2006/relationships/hyperlink" Target="https://healthforanimals.org/resources-and-events/resources/publications/150-global-benchmarking-survey-2015-report.html" TargetMode="External"/><Relationship Id="rId89" Type="http://schemas.openxmlformats.org/officeDocument/2006/relationships/hyperlink" Target="https://doi.org/10.1016/j.agsy.2017.06.007" TargetMode="External"/><Relationship Id="rId112" Type="http://schemas.openxmlformats.org/officeDocument/2006/relationships/hyperlink" Target="https://www.nass.usda.gov/Quick_Stats/" TargetMode="External"/><Relationship Id="rId133" Type="http://schemas.openxmlformats.org/officeDocument/2006/relationships/hyperlink" Target="https://en.wikipedia.org/wiki/Heritable" TargetMode="External"/><Relationship Id="rId138" Type="http://schemas.openxmlformats.org/officeDocument/2006/relationships/header" Target="header14.xml"/><Relationship Id="rId16" Type="http://schemas.openxmlformats.org/officeDocument/2006/relationships/header" Target="header2.xml"/><Relationship Id="rId107" Type="http://schemas.openxmlformats.org/officeDocument/2006/relationships/hyperlink" Target="http://www.summitagro-usa.com/sites/555def9f2c1cc41147001d6d/content_entry555e35002c1cc4ce030094bc/59b8468c2c1cc47bd41dd548/files/SHIELDEX_400SC_Herbicide_Label_6-2018.pdf?1529069633" TargetMode="External"/><Relationship Id="rId11" Type="http://schemas.openxmlformats.org/officeDocument/2006/relationships/endnotes" Target="endnotes.xml"/><Relationship Id="rId32" Type="http://schemas.openxmlformats.org/officeDocument/2006/relationships/diagramQuickStyle" Target="diagrams/quickStyle2.xml"/><Relationship Id="rId37" Type="http://schemas.openxmlformats.org/officeDocument/2006/relationships/image" Target="media/image7.png"/><Relationship Id="rId53" Type="http://schemas.openxmlformats.org/officeDocument/2006/relationships/hyperlink" Target="https://apvma.gov.au/node/1053" TargetMode="External"/><Relationship Id="rId58" Type="http://schemas.openxmlformats.org/officeDocument/2006/relationships/hyperlink" Target="https://www.abc.net.au/news/2018-04-03/japan-partially-bans-australian-barley-over-pesticide-levels/9614952" TargetMode="External"/><Relationship Id="rId74" Type="http://schemas.openxmlformats.org/officeDocument/2006/relationships/hyperlink" Target="https://www.epa.gov/assessing-and-managing-chemicals-under-tsca/risk-evaluations-existing-chemicals-under-tsca" TargetMode="External"/><Relationship Id="rId79" Type="http://schemas.openxmlformats.org/officeDocument/2006/relationships/hyperlink" Target="https://grdc.com.au/__data/assets/pdf_file/0025/204748/disease-loss-barley.pdf.pdf" TargetMode="External"/><Relationship Id="rId102" Type="http://schemas.openxmlformats.org/officeDocument/2006/relationships/hyperlink" Target="https://www.pc.gov.au/inquiries/completed/agriculture/report/agriculture.pdf" TargetMode="External"/><Relationship Id="rId123" Type="http://schemas.openxmlformats.org/officeDocument/2006/relationships/header" Target="header7.xml"/><Relationship Id="rId128" Type="http://schemas.openxmlformats.org/officeDocument/2006/relationships/chart" Target="charts/chart5.xml"/><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doi.org/10.1016/j.agsy.2017.06.007" TargetMode="External"/><Relationship Id="rId95" Type="http://schemas.openxmlformats.org/officeDocument/2006/relationships/hyperlink" Target="https://www.mpi.govt.nz/dmsdocument/3009-data-assessment-report-for-agricultural-chemicals-efficacy/loggedin" TargetMode="External"/><Relationship Id="rId22" Type="http://schemas.openxmlformats.org/officeDocument/2006/relationships/header" Target="header6.xml"/><Relationship Id="rId27" Type="http://schemas.openxmlformats.org/officeDocument/2006/relationships/diagramQuickStyle" Target="diagrams/quickStyle1.xml"/><Relationship Id="rId43" Type="http://schemas.openxmlformats.org/officeDocument/2006/relationships/hyperlink" Target="https://www.accc.gov.au/system/files/public-registers/documents/D16%2B148723.pdf" TargetMode="External"/><Relationship Id="rId48" Type="http://schemas.openxmlformats.org/officeDocument/2006/relationships/hyperlink" Target="https://apvma.gov.au/node/18911" TargetMode="External"/><Relationship Id="rId64" Type="http://schemas.openxmlformats.org/officeDocument/2006/relationships/hyperlink" Target="https://www.ncbi.nlm.nih.gov/pubmed/27174559" TargetMode="External"/><Relationship Id="rId69" Type="http://schemas.openxmlformats.org/officeDocument/2006/relationships/hyperlink" Target="https://www2.deloitte.com/au/en/pages/economics/articles/economic-activity-attributable-crop-protection-products.html." TargetMode="External"/><Relationship Id="rId113" Type="http://schemas.openxmlformats.org/officeDocument/2006/relationships/hyperlink" Target="https://ir4.rutgers.edu/NewsItems/crop%20grouping%20brochure_crop%20grouping%20brochure.qxd.pdf" TargetMode="External"/><Relationship Id="rId118" Type="http://schemas.openxmlformats.org/officeDocument/2006/relationships/hyperlink" Target="https://www.theglobaleconomy.com/rankings/wb_government_effectiveness/" TargetMode="External"/><Relationship Id="rId134" Type="http://schemas.openxmlformats.org/officeDocument/2006/relationships/header" Target="header10.xml"/><Relationship Id="rId139"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hyperlink" Target="https://apvma.gov.au/node/32036" TargetMode="External"/><Relationship Id="rId72" Type="http://schemas.openxmlformats.org/officeDocument/2006/relationships/hyperlink" Target="https://www.ema.europa.eu/en/vich-gl43-target-animal-safety-pharmaceuticals" TargetMode="External"/><Relationship Id="rId80" Type="http://schemas.openxmlformats.org/officeDocument/2006/relationships/hyperlink" Target="https://grdc.com.au/resources-and-publications/groundcover/gc112/fusarium-head-blight-in-the-north" TargetMode="External"/><Relationship Id="rId85" Type="http://schemas.openxmlformats.org/officeDocument/2006/relationships/hyperlink" Target="http://www.weedscience.org/" TargetMode="External"/><Relationship Id="rId93" Type="http://schemas.openxmlformats.org/officeDocument/2006/relationships/hyperlink" Target="https://croplife.org/wp-content/uploads/2016/04/Cost-of-CP-report-FINAL.pdf" TargetMode="External"/><Relationship Id="rId98" Type="http://schemas.openxmlformats.org/officeDocument/2006/relationships/hyperlink" Target="http://www.oie.int/animal-health-in-the-world/official-disease-status/bse/list-of-bse-risk-status/" TargetMode="External"/><Relationship Id="rId121" Type="http://schemas.openxmlformats.org/officeDocument/2006/relationships/hyperlink" Target="http://news.agropages.com/News/NewsDetail---21154.htm" TargetMode="External"/><Relationship Id="rId142" Type="http://schemas.openxmlformats.org/officeDocument/2006/relationships/hyperlink" Target="https://www2.deloitte.com/au/en.html"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8.png"/><Relationship Id="rId46" Type="http://schemas.openxmlformats.org/officeDocument/2006/relationships/hyperlink" Target="https://apvma.gov.au/node/1043" TargetMode="External"/><Relationship Id="rId59" Type="http://schemas.openxmlformats.org/officeDocument/2006/relationships/hyperlink" Target="https://www.legislation.gov.au/Details/F2014L00850" TargetMode="External"/><Relationship Id="rId67" Type="http://schemas.openxmlformats.org/officeDocument/2006/relationships/hyperlink" Target="http://www.agriculture.gov.au/ag-farm-food/ag-vet-chemicals/regulation" TargetMode="External"/><Relationship Id="rId103" Type="http://schemas.openxmlformats.org/officeDocument/2006/relationships/hyperlink" Target="https://www.daf.qld.gov.au/business-priorities/agriculture/plants/fruit-vegetable/insect-pests/queensland-fruit-fly" TargetMode="External"/><Relationship Id="rId108" Type="http://schemas.openxmlformats.org/officeDocument/2006/relationships/hyperlink" Target="https://www.prnewswire.com/news-releases/shieldex-400sc-herbicide-now-available-to-us-corn-growers-300541073.html" TargetMode="External"/><Relationship Id="rId116" Type="http://schemas.openxmlformats.org/officeDocument/2006/relationships/hyperlink" Target="https://www.canada.ca/en/health-canada/corporate/about-health-canada/branches-agencies/health-products-food-branch/veterinary-drugs-directorate.html" TargetMode="External"/><Relationship Id="rId124" Type="http://schemas.openxmlformats.org/officeDocument/2006/relationships/header" Target="header8.xml"/><Relationship Id="rId129" Type="http://schemas.openxmlformats.org/officeDocument/2006/relationships/chart" Target="charts/chart6.xml"/><Relationship Id="rId137" Type="http://schemas.openxmlformats.org/officeDocument/2006/relationships/header" Target="header13.xml"/><Relationship Id="rId20" Type="http://schemas.openxmlformats.org/officeDocument/2006/relationships/header" Target="header5.xml"/><Relationship Id="rId41" Type="http://schemas.openxmlformats.org/officeDocument/2006/relationships/hyperlink" Target="http://www.agriculture.gov.au/abares/research-topics/agricultural-commodities/commodity-statistics" TargetMode="External"/><Relationship Id="rId54" Type="http://schemas.openxmlformats.org/officeDocument/2006/relationships/hyperlink" Target="http://www.apvma.gov.au/node/631" TargetMode="External"/><Relationship Id="rId62" Type="http://schemas.openxmlformats.org/officeDocument/2006/relationships/hyperlink" Target="https://www.scientificamerican.com/article/weeds-are-winning-the-war-against-herbicide-resistance1/" TargetMode="External"/><Relationship Id="rId70" Type="http://schemas.openxmlformats.org/officeDocument/2006/relationships/hyperlink" Target="http://www.efsa.europa.eu/en/topics/topic/pesticides" TargetMode="External"/><Relationship Id="rId75" Type="http://schemas.openxmlformats.org/officeDocument/2006/relationships/hyperlink" Target="https://doi.org/10.1016/0040-1625(93)90053-A" TargetMode="External"/><Relationship Id="rId83" Type="http://schemas.openxmlformats.org/officeDocument/2006/relationships/hyperlink" Target="https://theconversation.com/resistance-shapes-the-discovery-of-new-insecticides-22537" TargetMode="External"/><Relationship Id="rId88" Type="http://schemas.openxmlformats.org/officeDocument/2006/relationships/hyperlink" Target="http://clients1.ibisworld.com.au/reports/au/industry/default.aspx?entid=189" TargetMode="External"/><Relationship Id="rId91" Type="http://schemas.openxmlformats.org/officeDocument/2006/relationships/hyperlink" Target="http://agris.fao.org/agris-search/search.do?recordID=US201302695869" TargetMode="External"/><Relationship Id="rId96" Type="http://schemas.openxmlformats.org/officeDocument/2006/relationships/hyperlink" Target="https://www.mpi.govt.nz/dmsdocument/14761-data-assessment-report-for-veterinary-medicines-efficacy/loggedin" TargetMode="External"/><Relationship Id="rId111" Type="http://schemas.openxmlformats.org/officeDocument/2006/relationships/hyperlink" Target="https://comtrade.un.org/data/" TargetMode="External"/><Relationship Id="rId132" Type="http://schemas.openxmlformats.org/officeDocument/2006/relationships/hyperlink" Target="https://en.wikipedia.org/wiki/Natural_selection" TargetMode="External"/><Relationship Id="rId140" Type="http://schemas.openxmlformats.org/officeDocument/2006/relationships/hyperlink" Target="http://www.deloitte.com/abou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diagramColors" Target="diagrams/colors1.xml"/><Relationship Id="rId36" Type="http://schemas.openxmlformats.org/officeDocument/2006/relationships/chart" Target="charts/chart2.xml"/><Relationship Id="rId49" Type="http://schemas.openxmlformats.org/officeDocument/2006/relationships/hyperlink" Target="https://apvma.gov.au/node/20181" TargetMode="External"/><Relationship Id="rId57" Type="http://schemas.openxmlformats.org/officeDocument/2006/relationships/hyperlink" Target="https://apvma.gov.au/taxonomy/term/7476" TargetMode="External"/><Relationship Id="rId106" Type="http://schemas.openxmlformats.org/officeDocument/2006/relationships/hyperlink" Target="http://www.agriculture.gov.au/abares/publications/display?url=http://143.188.17.20/anrdl/DAFFService/display.php%3Ffid%3Dpb_pawms9aai20170502.xml" TargetMode="External"/><Relationship Id="rId114" Type="http://schemas.openxmlformats.org/officeDocument/2006/relationships/hyperlink" Target="https://doi.org/10.1016/j.eja.2016.07.004" TargetMode="External"/><Relationship Id="rId119" Type="http://schemas.openxmlformats.org/officeDocument/2006/relationships/hyperlink" Target="http://news.agropages.com/News/NewsDetail---14164.htm" TargetMode="External"/><Relationship Id="rId127" Type="http://schemas.openxmlformats.org/officeDocument/2006/relationships/chart" Target="charts/chart4.xml"/><Relationship Id="rId10" Type="http://schemas.openxmlformats.org/officeDocument/2006/relationships/footnotes" Target="footnotes.xml"/><Relationship Id="rId31" Type="http://schemas.openxmlformats.org/officeDocument/2006/relationships/diagramLayout" Target="diagrams/layout2.xml"/><Relationship Id="rId44" Type="http://schemas.openxmlformats.org/officeDocument/2006/relationships/hyperlink" Target="http://animalmedicinesaustralia.org.au/wp-content/uploads/2018/08/AMA-Economic-Contribution-Final-Report-9-August-2018-FINAL.pdf" TargetMode="External"/><Relationship Id="rId52" Type="http://schemas.openxmlformats.org/officeDocument/2006/relationships/hyperlink" Target="https://apvma.gov.au/sites/default/files/images/apvma-annual-report-2017-18-tagged_0.pdf" TargetMode="External"/><Relationship Id="rId60" Type="http://schemas.openxmlformats.org/officeDocument/2006/relationships/hyperlink" Target="http://agwhitepaper.agriculture.gov.au/" TargetMode="External"/><Relationship Id="rId65" Type="http://schemas.openxmlformats.org/officeDocument/2006/relationships/hyperlink" Target="https://books.google.com.au/books?hl=en&amp;lr=&amp;id=tcmUBU2sD4oC&amp;oi=fnd&amp;pg=PP6&amp;ots=Ns7ZczRgIn&amp;sig=aoRnhCOvAbotjJaUUEboIsRdMyY&amp;redir_esc=y" TargetMode="External"/><Relationship Id="rId73" Type="http://schemas.openxmlformats.org/officeDocument/2006/relationships/hyperlink" Target="https://www.epa.gov/pesticide-registration/efficacy-requirements-antimicrobial-pesticides" TargetMode="External"/><Relationship Id="rId78" Type="http://schemas.openxmlformats.org/officeDocument/2006/relationships/hyperlink" Target="http://www.graintrade.org.au/sites/default/files/file/NWPGP/Outturn%20Tolerances/Outturn%20Tolerances%20201819%20final.pdf" TargetMode="External"/><Relationship Id="rId81" Type="http://schemas.openxmlformats.org/officeDocument/2006/relationships/hyperlink" Target="https://onlinelibrary.wiley.com/doi/abs/10.1111/j.1440-6055.2009.00732.x" TargetMode="External"/><Relationship Id="rId86" Type="http://schemas.openxmlformats.org/officeDocument/2006/relationships/hyperlink" Target="https://www.aph.gov.au/DocumentStore.ashx?id=779e0c86-7b62-4b24-b0a2-015b8aa1fb17&amp;subId=5486" TargetMode="External"/><Relationship Id="rId94" Type="http://schemas.openxmlformats.org/officeDocument/2006/relationships/hyperlink" Target="https://www.mla.com.au/CustomControls/PaymentGateway/ViewFile.aspx?z8F1T3gIsNaMPSYP7yzmf+dz0O7hbyuvAbOQzKzzoLW7PH1f4FzyEtwfNMYiLOX23EYMKKAfsht7d1Tnt3BqiA==" TargetMode="External"/><Relationship Id="rId99" Type="http://schemas.openxmlformats.org/officeDocument/2006/relationships/hyperlink" Target="http://www.oie.int/animal-health-in-the-world/official-disease-status/fmd/list-of-fmd-free-members/" TargetMode="External"/><Relationship Id="rId101" Type="http://schemas.openxmlformats.org/officeDocument/2006/relationships/hyperlink" Target="https://www.canada.ca/en/health-canada/services/consumer-product-safety/reports-publications/pesticides-pest-management/policies-guidelines/regulatory-directive/2004/efficacy-guidelines-plant-protection-products-dir2003-04.html." TargetMode="External"/><Relationship Id="rId122" Type="http://schemas.openxmlformats.org/officeDocument/2006/relationships/hyperlink" Target="http://news.agropages.com/News/NewsDetail---25903.htm" TargetMode="External"/><Relationship Id="rId130" Type="http://schemas.openxmlformats.org/officeDocument/2006/relationships/chart" Target="charts/chart7.xml"/><Relationship Id="rId135" Type="http://schemas.openxmlformats.org/officeDocument/2006/relationships/header" Target="header11.xm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9" Type="http://schemas.openxmlformats.org/officeDocument/2006/relationships/chart" Target="charts/chart3.xml"/><Relationship Id="rId109" Type="http://schemas.openxmlformats.org/officeDocument/2006/relationships/hyperlink" Target="https://agro.basf.ca/East/KnowledgeCenter/AgSolutionsAdvisor/PastIssues/April2013/FHBandCaramba/item4003.html" TargetMode="External"/><Relationship Id="rId34" Type="http://schemas.microsoft.com/office/2007/relationships/diagramDrawing" Target="diagrams/drawing2.xml"/><Relationship Id="rId50" Type="http://schemas.openxmlformats.org/officeDocument/2006/relationships/hyperlink" Target="https://apvma.gov.au/node/1010" TargetMode="External"/><Relationship Id="rId55" Type="http://schemas.openxmlformats.org/officeDocument/2006/relationships/hyperlink" Target="http://www.apvma.gov.au/node/626" TargetMode="External"/><Relationship Id="rId76" Type="http://schemas.openxmlformats.org/officeDocument/2006/relationships/hyperlink" Target="http://www.fao.org/faostat/en/" TargetMode="External"/><Relationship Id="rId97" Type="http://schemas.openxmlformats.org/officeDocument/2006/relationships/hyperlink" Target="https://grdc.com.au/__data/assets/pdf_file/0023/170285/innovation-and-productivity-in-the-australian-grains-industry.pdf.pdf" TargetMode="External"/><Relationship Id="rId104" Type="http://schemas.openxmlformats.org/officeDocument/2006/relationships/hyperlink" Target="https://apvma.gov.au/sites/default/files/publication/28811-final_apvma_report_20171222.pdf" TargetMode="External"/><Relationship Id="rId120" Type="http://schemas.openxmlformats.org/officeDocument/2006/relationships/hyperlink" Target="http://news.agropages.com/News/NewsDetail---16918.htm" TargetMode="External"/><Relationship Id="rId125" Type="http://schemas.openxmlformats.org/officeDocument/2006/relationships/footer" Target="footer3.xml"/><Relationship Id="rId141" Type="http://schemas.openxmlformats.org/officeDocument/2006/relationships/hyperlink" Target="http://www.deloitte.com" TargetMode="External"/><Relationship Id="rId7" Type="http://schemas.openxmlformats.org/officeDocument/2006/relationships/styles" Target="styles.xml"/><Relationship Id="rId71" Type="http://schemas.openxmlformats.org/officeDocument/2006/relationships/hyperlink" Target="https://www.ema.europa.eu/en/veterinary-regulatory/research-development/scientific-guidelines/efficacy/efficacy-pharmaceuticals" TargetMode="External"/><Relationship Id="rId92" Type="http://schemas.openxmlformats.org/officeDocument/2006/relationships/hyperlink" Target="https://doi.org/10.1111/j.1467-8489.1982.tb00618"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package" Target="embeddings/Microsoft_Visio_Drawing1.vsdx"/><Relationship Id="rId40" Type="http://schemas.openxmlformats.org/officeDocument/2006/relationships/hyperlink" Target="http://www.agriculture.gov.au/abares/research-topics/agricultural-commodities/" TargetMode="External"/><Relationship Id="rId45" Type="http://schemas.openxmlformats.org/officeDocument/2006/relationships/hyperlink" Target="http://www.apvma.gov.au/node/41091" TargetMode="External"/><Relationship Id="rId66" Type="http://schemas.openxmlformats.org/officeDocument/2006/relationships/hyperlink" Target="https://cropwatch.unl.edu/2017-CW-News/2017-documents/disease-management/UNL-EC130-Fungicide-Prices-2017.pdf" TargetMode="External"/><Relationship Id="rId87" Type="http://schemas.openxmlformats.org/officeDocument/2006/relationships/hyperlink" Target="http://clients1.ibisworld.com.au/reports/au/industry/default.aspx?entid=5019" TargetMode="External"/><Relationship Id="rId110" Type="http://schemas.openxmlformats.org/officeDocument/2006/relationships/hyperlink" Target="https://www.farmprogress.com/wheat/how-protect-wheat-and-barley-fusarium-head-blight" TargetMode="External"/><Relationship Id="rId115" Type="http://schemas.openxmlformats.org/officeDocument/2006/relationships/hyperlink" Target="https://www.law.cornell.edu/cfr/text/40/180.41" TargetMode="External"/><Relationship Id="rId131" Type="http://schemas.openxmlformats.org/officeDocument/2006/relationships/hyperlink" Target="https://en.wikipedia.org/wiki/Pesticide" TargetMode="External"/><Relationship Id="rId136" Type="http://schemas.openxmlformats.org/officeDocument/2006/relationships/header" Target="header12.xml"/><Relationship Id="rId61" Type="http://schemas.openxmlformats.org/officeDocument/2006/relationships/hyperlink" Target="https://ahri.uwa.edu.au/think-global/" TargetMode="External"/><Relationship Id="rId82" Type="http://schemas.openxmlformats.org/officeDocument/2006/relationships/hyperlink" Target="https://www.mdpi.com/2075-4450/5/1/227" TargetMode="External"/><Relationship Id="rId19" Type="http://schemas.openxmlformats.org/officeDocument/2006/relationships/header" Target="header4.xml"/><Relationship Id="rId14" Type="http://schemas.openxmlformats.org/officeDocument/2006/relationships/image" Target="media/image3.tiff"/><Relationship Id="rId30" Type="http://schemas.openxmlformats.org/officeDocument/2006/relationships/diagramData" Target="diagrams/data2.xml"/><Relationship Id="rId35" Type="http://schemas.openxmlformats.org/officeDocument/2006/relationships/chart" Target="charts/chart1.xml"/><Relationship Id="rId56" Type="http://schemas.openxmlformats.org/officeDocument/2006/relationships/hyperlink" Target="https://apvma.gov.au/news-and-publications/publications/gazette" TargetMode="External"/><Relationship Id="rId77" Type="http://schemas.openxmlformats.org/officeDocument/2006/relationships/hyperlink" Target="https://doi.org/10.1071/ea9950067" TargetMode="External"/><Relationship Id="rId100" Type="http://schemas.openxmlformats.org/officeDocument/2006/relationships/hyperlink" Target="https://search.informit.com.au/documentSummary;dn=950504530;res=IELAPA;type=pdf." TargetMode="External"/><Relationship Id="rId105" Type="http://schemas.openxmlformats.org/officeDocument/2006/relationships/hyperlink" Target="https://onlinelibrary.wiley.com/doi/full/10.1002/ps.4457" TargetMode="External"/><Relationship Id="rId126" Type="http://schemas.openxmlformats.org/officeDocument/2006/relationships/header" Target="header9.xml"/></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7344706911636"/>
          <c:y val="0.21599819553805771"/>
          <c:w val="0.75485090405365995"/>
          <c:h val="0.7397355278506853"/>
        </c:manualLayout>
      </c:layout>
      <c:barChart>
        <c:barDir val="bar"/>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cat>
            <c:strRef>
              <c:f>Sheet1!$A$2:$A$11</c:f>
              <c:strCache>
                <c:ptCount val="10"/>
                <c:pt idx="0">
                  <c:v>United States</c:v>
                </c:pt>
                <c:pt idx="1">
                  <c:v>EU</c:v>
                </c:pt>
                <c:pt idx="2">
                  <c:v>Mexico</c:v>
                </c:pt>
                <c:pt idx="3">
                  <c:v>Canada</c:v>
                </c:pt>
                <c:pt idx="4">
                  <c:v>Japan</c:v>
                </c:pt>
                <c:pt idx="5">
                  <c:v>Australia</c:v>
                </c:pt>
                <c:pt idx="6">
                  <c:v>Chile</c:v>
                </c:pt>
                <c:pt idx="7">
                  <c:v>Turkey</c:v>
                </c:pt>
                <c:pt idx="8">
                  <c:v>Korea</c:v>
                </c:pt>
                <c:pt idx="9">
                  <c:v>Israel</c:v>
                </c:pt>
              </c:strCache>
            </c:strRef>
          </c:cat>
          <c:val>
            <c:numRef>
              <c:f>Sheet1!$B$2:$B$11</c:f>
              <c:numCache>
                <c:formatCode>General</c:formatCode>
                <c:ptCount val="10"/>
                <c:pt idx="0">
                  <c:v>403931.60000000003</c:v>
                </c:pt>
                <c:pt idx="1">
                  <c:v>364203.98416666663</c:v>
                </c:pt>
                <c:pt idx="2">
                  <c:v>106204.83333333333</c:v>
                </c:pt>
                <c:pt idx="3">
                  <c:v>75694.333333333328</c:v>
                </c:pt>
                <c:pt idx="4">
                  <c:v>53004.700000000004</c:v>
                </c:pt>
                <c:pt idx="5">
                  <c:v>50948.913333333338</c:v>
                </c:pt>
                <c:pt idx="6">
                  <c:v>42316.047500000001</c:v>
                </c:pt>
                <c:pt idx="7">
                  <c:v>41730.942166666668</c:v>
                </c:pt>
                <c:pt idx="8">
                  <c:v>19057.5</c:v>
                </c:pt>
                <c:pt idx="9">
                  <c:v>6046</c:v>
                </c:pt>
              </c:numCache>
            </c:numRef>
          </c:val>
          <c:extLst xmlns:c16r2="http://schemas.microsoft.com/office/drawing/2015/06/chart">
            <c:ext xmlns:c16="http://schemas.microsoft.com/office/drawing/2014/chart" uri="{C3380CC4-5D6E-409C-BE32-E72D297353CC}">
              <c16:uniqueId val="{00000000-9112-4D79-8C0F-E0FCE66A5BBA}"/>
            </c:ext>
          </c:extLst>
        </c:ser>
        <c:dLbls>
          <c:showLegendKey val="0"/>
          <c:showVal val="0"/>
          <c:showCatName val="0"/>
          <c:showSerName val="0"/>
          <c:showPercent val="0"/>
          <c:showBubbleSize val="0"/>
        </c:dLbls>
        <c:gapWidth val="75"/>
        <c:axId val="812598464"/>
        <c:axId val="812600816"/>
      </c:barChart>
      <c:catAx>
        <c:axId val="81259846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600816"/>
        <c:crosses val="autoZero"/>
        <c:auto val="1"/>
        <c:lblAlgn val="ctr"/>
        <c:lblOffset val="100"/>
        <c:noMultiLvlLbl val="0"/>
      </c:catAx>
      <c:valAx>
        <c:axId val="812600816"/>
        <c:scaling>
          <c:orientation val="minMax"/>
          <c:max val="425000"/>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'000 tonnes (active ingredient)</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598464"/>
        <c:crosses val="autoZero"/>
        <c:crossBetween val="between"/>
        <c:majorUnit val="50000"/>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Cattle and Buffalo</c:v>
                </c:pt>
                <c:pt idx="1">
                  <c:v>Pigs</c:v>
                </c:pt>
                <c:pt idx="2">
                  <c:v>Poultry </c:v>
                </c:pt>
                <c:pt idx="3">
                  <c:v>Sheep and Goats</c:v>
                </c:pt>
              </c:strCache>
            </c:strRef>
          </c:cat>
          <c:val>
            <c:numRef>
              <c:f>Sheet1!$B$2:$B$5</c:f>
              <c:numCache>
                <c:formatCode>0%</c:formatCode>
                <c:ptCount val="4"/>
                <c:pt idx="0">
                  <c:v>1.7547593287718946E-2</c:v>
                </c:pt>
                <c:pt idx="1">
                  <c:v>2.5695030835501775E-3</c:v>
                </c:pt>
                <c:pt idx="2">
                  <c:v>3.9226785397463732E-3</c:v>
                </c:pt>
                <c:pt idx="3">
                  <c:v>3.385374935151915E-2</c:v>
                </c:pt>
              </c:numCache>
            </c:numRef>
          </c:val>
          <c:extLst xmlns:c16r2="http://schemas.microsoft.com/office/drawing/2015/06/chart">
            <c:ext xmlns:c16="http://schemas.microsoft.com/office/drawing/2014/chart" uri="{C3380CC4-5D6E-409C-BE32-E72D297353CC}">
              <c16:uniqueId val="{00000000-5E58-4D85-A6DE-59A3F30D3874}"/>
            </c:ext>
          </c:extLst>
        </c:ser>
        <c:dLbls>
          <c:showLegendKey val="0"/>
          <c:showVal val="0"/>
          <c:showCatName val="0"/>
          <c:showSerName val="0"/>
          <c:showPercent val="0"/>
          <c:showBubbleSize val="0"/>
        </c:dLbls>
        <c:gapWidth val="75"/>
        <c:overlap val="-27"/>
        <c:axId val="931142952"/>
        <c:axId val="931142168"/>
      </c:barChart>
      <c:catAx>
        <c:axId val="93114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142168"/>
        <c:crosses val="autoZero"/>
        <c:auto val="1"/>
        <c:lblAlgn val="ctr"/>
        <c:lblOffset val="100"/>
        <c:noMultiLvlLbl val="0"/>
      </c:catAx>
      <c:valAx>
        <c:axId val="931142168"/>
        <c:scaling>
          <c:orientation val="minMax"/>
          <c:max val="3.5000000000000003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142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tx>
            <c:strRef>
              <c:f>Sheet1!$O$3</c:f>
              <c:strCache>
                <c:ptCount val="1"/>
              </c:strCache>
            </c:strRef>
          </c:tx>
          <c:spPr>
            <a:solidFill>
              <a:schemeClr val="accent1"/>
            </a:solidFill>
            <a:ln w="28575">
              <a:noFill/>
            </a:ln>
            <a:effectLst/>
          </c:spPr>
          <c:invertIfNegative val="0"/>
          <c:dPt>
            <c:idx val="0"/>
            <c:invertIfNegative val="0"/>
            <c:bubble3D val="0"/>
            <c:spPr>
              <a:solidFill>
                <a:schemeClr val="accent3"/>
              </a:solidFill>
              <a:ln w="28575">
                <a:noFill/>
              </a:ln>
              <a:effectLst/>
            </c:spPr>
            <c:extLst xmlns:c16r2="http://schemas.microsoft.com/office/drawing/2015/06/chart">
              <c:ext xmlns:c16="http://schemas.microsoft.com/office/drawing/2014/chart" uri="{C3380CC4-5D6E-409C-BE32-E72D297353CC}">
                <c16:uniqueId val="{00000001-95AE-40F2-8C94-CC4B1638C1DC}"/>
              </c:ext>
            </c:extLst>
          </c:dPt>
          <c:dPt>
            <c:idx val="1"/>
            <c:invertIfNegative val="0"/>
            <c:bubble3D val="0"/>
            <c:spPr>
              <a:solidFill>
                <a:schemeClr val="accent4"/>
              </a:solidFill>
              <a:ln w="28575">
                <a:noFill/>
              </a:ln>
              <a:effectLst/>
            </c:spPr>
            <c:extLst xmlns:c16r2="http://schemas.microsoft.com/office/drawing/2015/06/chart">
              <c:ext xmlns:c16="http://schemas.microsoft.com/office/drawing/2014/chart" uri="{C3380CC4-5D6E-409C-BE32-E72D297353CC}">
                <c16:uniqueId val="{00000003-95AE-40F2-8C94-CC4B1638C1DC}"/>
              </c:ext>
            </c:extLst>
          </c:dPt>
          <c:dPt>
            <c:idx val="2"/>
            <c:invertIfNegative val="0"/>
            <c:bubble3D val="0"/>
            <c:spPr>
              <a:solidFill>
                <a:schemeClr val="accent6"/>
              </a:solidFill>
              <a:ln w="28575">
                <a:noFill/>
              </a:ln>
              <a:effectLst/>
            </c:spPr>
            <c:extLst xmlns:c16r2="http://schemas.microsoft.com/office/drawing/2015/06/chart">
              <c:ext xmlns:c16="http://schemas.microsoft.com/office/drawing/2014/chart" uri="{C3380CC4-5D6E-409C-BE32-E72D297353CC}">
                <c16:uniqueId val="{00000005-95AE-40F2-8C94-CC4B1638C1DC}"/>
              </c:ext>
            </c:extLst>
          </c:dPt>
          <c:dPt>
            <c:idx val="3"/>
            <c:invertIfNegative val="0"/>
            <c:bubble3D val="0"/>
            <c:spPr>
              <a:solidFill>
                <a:schemeClr val="accent5"/>
              </a:solidFill>
              <a:ln w="28575">
                <a:noFill/>
              </a:ln>
              <a:effectLst/>
            </c:spPr>
            <c:extLst xmlns:c16r2="http://schemas.microsoft.com/office/drawing/2015/06/chart">
              <c:ext xmlns:c16="http://schemas.microsoft.com/office/drawing/2014/chart" uri="{C3380CC4-5D6E-409C-BE32-E72D297353CC}">
                <c16:uniqueId val="{00000007-95AE-40F2-8C94-CC4B1638C1DC}"/>
              </c:ext>
            </c:extLst>
          </c:dPt>
          <c:dPt>
            <c:idx val="4"/>
            <c:invertIfNegative val="0"/>
            <c:bubble3D val="0"/>
            <c:spPr>
              <a:solidFill>
                <a:schemeClr val="tx2"/>
              </a:solidFill>
              <a:ln w="28575">
                <a:noFill/>
              </a:ln>
              <a:effectLst/>
            </c:spPr>
            <c:extLst xmlns:c16r2="http://schemas.microsoft.com/office/drawing/2015/06/chart">
              <c:ext xmlns:c16="http://schemas.microsoft.com/office/drawing/2014/chart" uri="{C3380CC4-5D6E-409C-BE32-E72D297353CC}">
                <c16:uniqueId val="{00000009-95AE-40F2-8C94-CC4B1638C1DC}"/>
              </c:ext>
            </c:extLst>
          </c:dPt>
          <c:dLbls>
            <c:dLbl>
              <c:idx val="0"/>
              <c:layout>
                <c:manualLayout>
                  <c:x val="-9.2200348866184903E-2"/>
                  <c:y val="-0.105932203389830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C4715D-25B4-4DCC-90BC-D78C3E7FCEB3}" type="CELLRANGE">
                      <a:rPr lang="en-US"/>
                      <a:pPr>
                        <a:defRPr/>
                      </a:pPr>
                      <a:t>[CELLRANGE]</a:t>
                    </a:fld>
                    <a:endParaRPr lang="en-AU"/>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95AE-40F2-8C94-CC4B1638C1DC}"/>
                </c:ext>
                <c:ext xmlns:c15="http://schemas.microsoft.com/office/drawing/2012/chart" uri="{CE6537A1-D6FC-4f65-9D91-7224C49458BB}">
                  <c15:layout/>
                  <c15:dlblFieldTable/>
                  <c15:showDataLabelsRange val="1"/>
                </c:ext>
              </c:extLst>
            </c:dLbl>
            <c:dLbl>
              <c:idx val="1"/>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984AA81-A76C-4E3D-BF66-55409F9A2221}" type="CELLRANGE">
                      <a:rPr lang="en-AU"/>
                      <a:pPr>
                        <a:defRPr/>
                      </a:pPr>
                      <a:t>[CELLRANGE]</a:t>
                    </a:fld>
                    <a:endParaRPr lang="en-AU"/>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European Union</a:t>
                    </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95AE-40F2-8C94-CC4B1638C1DC}"/>
                </c:ext>
                <c:ext xmlns:c15="http://schemas.microsoft.com/office/drawing/2012/chart" uri="{CE6537A1-D6FC-4f65-9D91-7224C49458BB}">
                  <c15:layout/>
                </c:ext>
              </c:extLst>
            </c:dLbl>
            <c:dLbl>
              <c:idx val="3"/>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835CEA2-5D6C-4292-A5C7-A138F19A5C14}" type="CELLRANGE">
                      <a:rPr lang="en-AU"/>
                      <a:pPr>
                        <a:defRPr/>
                      </a:pPr>
                      <a:t>[CELLRANGE]</a:t>
                    </a:fld>
                    <a:endParaRPr lang="en-AU"/>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0"/>
              </c:ext>
            </c:extLst>
          </c:dLbls>
          <c:xVal>
            <c:numRef>
              <c:f>Sheet1!$A$2:$A$5</c:f>
              <c:numCache>
                <c:formatCode>_-* #,##0_-;\-* #,##0_-;_-* "-"??_-;_-@_-</c:formatCode>
                <c:ptCount val="4"/>
                <c:pt idx="0">
                  <c:v>96135</c:v>
                </c:pt>
                <c:pt idx="1">
                  <c:v>570697.5</c:v>
                </c:pt>
                <c:pt idx="2">
                  <c:v>367536</c:v>
                </c:pt>
                <c:pt idx="3">
                  <c:v>204623.61</c:v>
                </c:pt>
              </c:numCache>
            </c:numRef>
          </c:xVal>
          <c:yVal>
            <c:numRef>
              <c:f>Sheet1!$B$2:$B$5</c:f>
              <c:numCache>
                <c:formatCode>General</c:formatCode>
                <c:ptCount val="4"/>
                <c:pt idx="0">
                  <c:v>18</c:v>
                </c:pt>
                <c:pt idx="1">
                  <c:v>19</c:v>
                </c:pt>
                <c:pt idx="2">
                  <c:v>36</c:v>
                </c:pt>
                <c:pt idx="3">
                  <c:v>22</c:v>
                </c:pt>
              </c:numCache>
            </c:numRef>
          </c:yVal>
          <c:bubbleSize>
            <c:numRef>
              <c:f>Sheet1!$C$2:$C$5</c:f>
              <c:numCache>
                <c:formatCode>#,##0.0_ ;\-#,##0.0\ </c:formatCode>
                <c:ptCount val="4"/>
                <c:pt idx="0">
                  <c:v>50889.174400000004</c:v>
                </c:pt>
                <c:pt idx="1">
                  <c:v>337118.53800000006</c:v>
                </c:pt>
                <c:pt idx="2">
                  <c:v>310909.69794999994</c:v>
                </c:pt>
                <c:pt idx="3">
                  <c:v>72796.400000000009</c:v>
                </c:pt>
              </c:numCache>
            </c:numRef>
          </c:bubbleSize>
          <c:bubble3D val="0"/>
          <c:extLst xmlns:c16r2="http://schemas.microsoft.com/office/drawing/2015/06/chart">
            <c:ext xmlns:c16="http://schemas.microsoft.com/office/drawing/2014/chart" uri="{C3380CC4-5D6E-409C-BE32-E72D297353CC}">
              <c16:uniqueId val="{0000000A-95AE-40F2-8C94-CC4B1638C1DC}"/>
            </c:ext>
            <c:ext xmlns:c15="http://schemas.microsoft.com/office/drawing/2012/chart" uri="{02D57815-91ED-43cb-92C2-25804820EDAC}">
              <c15:datalabelsRange>
                <c15:f>Sheet1!$E$2:$E$5</c15:f>
                <c15:dlblRangeCache>
                  <c:ptCount val="4"/>
                  <c:pt idx="0">
                    <c:v>Australia</c:v>
                  </c:pt>
                  <c:pt idx="1">
                    <c:v>United 
States</c:v>
                  </c:pt>
                  <c:pt idx="2">
                    <c:v>European Union</c:v>
                  </c:pt>
                  <c:pt idx="3">
                    <c:v>Canada</c:v>
                  </c:pt>
                </c15:dlblRangeCache>
              </c15:datalabelsRange>
            </c:ext>
          </c:extLst>
        </c:ser>
        <c:dLbls>
          <c:showLegendKey val="0"/>
          <c:showVal val="0"/>
          <c:showCatName val="0"/>
          <c:showSerName val="0"/>
          <c:showPercent val="0"/>
          <c:showBubbleSize val="0"/>
        </c:dLbls>
        <c:bubbleScale val="100"/>
        <c:showNegBubbles val="0"/>
        <c:axId val="931140992"/>
        <c:axId val="931139816"/>
      </c:bubbleChart>
      <c:valAx>
        <c:axId val="931140992"/>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Fee (US$'000)</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139816"/>
        <c:crosses val="autoZero"/>
        <c:crossBetween val="midCat"/>
        <c:dispUnits>
          <c:builtInUnit val="thousands"/>
        </c:dispUnits>
      </c:valAx>
      <c:valAx>
        <c:axId val="9311398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Application Processing Period (months)</a:t>
                </a:r>
              </a:p>
            </c:rich>
          </c:tx>
          <c:layout>
            <c:manualLayout>
              <c:xMode val="edge"/>
              <c:yMode val="edge"/>
              <c:x val="1.9935210565661599E-2"/>
              <c:y val="9.375641716830751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140992"/>
        <c:crosses val="autoZero"/>
        <c:crossBetween val="midCat"/>
      </c:valAx>
      <c:spPr>
        <a:noFill/>
        <a:ln>
          <a:noFill/>
        </a:ln>
        <a:effectLst/>
      </c:spPr>
    </c:plotArea>
    <c:plotVisOnly val="1"/>
    <c:dispBlanksAs val="gap"/>
    <c:showDLblsOverMax val="0"/>
  </c:chart>
  <c:spPr>
    <a:no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803076698746E-2"/>
          <c:y val="4.3650793650793648E-2"/>
          <c:w val="0.8706789515893848"/>
          <c:h val="0.74085801774778148"/>
        </c:manualLayout>
      </c:layout>
      <c:lineChart>
        <c:grouping val="standard"/>
        <c:varyColors val="0"/>
        <c:ser>
          <c:idx val="0"/>
          <c:order val="0"/>
          <c:tx>
            <c:strRef>
              <c:f>Sheet1!$B$1</c:f>
              <c:strCache>
                <c:ptCount val="1"/>
                <c:pt idx="0">
                  <c:v>Broadacre expenditure</c:v>
                </c:pt>
              </c:strCache>
            </c:strRef>
          </c:tx>
          <c:spPr>
            <a:ln w="28575" cap="rnd">
              <a:solidFill>
                <a:schemeClr val="accent1"/>
              </a:solidFill>
              <a:round/>
            </a:ln>
            <a:effectLst/>
          </c:spPr>
          <c:marker>
            <c:symbol val="none"/>
          </c:marker>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Sheet1!$B$2:$B$19</c:f>
              <c:numCache>
                <c:formatCode>_(* #,##0.00_);_(* \(#,##0.00\);_(* "-"??_);_(@_)</c:formatCode>
                <c:ptCount val="18"/>
                <c:pt idx="0">
                  <c:v>1336022792</c:v>
                </c:pt>
                <c:pt idx="1">
                  <c:v>1236170078</c:v>
                </c:pt>
                <c:pt idx="2">
                  <c:v>1239193875</c:v>
                </c:pt>
                <c:pt idx="3">
                  <c:v>1190345344</c:v>
                </c:pt>
                <c:pt idx="4">
                  <c:v>1448080211</c:v>
                </c:pt>
                <c:pt idx="5">
                  <c:v>1331924502</c:v>
                </c:pt>
                <c:pt idx="6">
                  <c:v>1357371640</c:v>
                </c:pt>
                <c:pt idx="7">
                  <c:v>1221703273</c:v>
                </c:pt>
                <c:pt idx="8">
                  <c:v>1346656502</c:v>
                </c:pt>
                <c:pt idx="9">
                  <c:v>1294570160</c:v>
                </c:pt>
                <c:pt idx="10">
                  <c:v>1395712305</c:v>
                </c:pt>
                <c:pt idx="11">
                  <c:v>1463968707</c:v>
                </c:pt>
                <c:pt idx="12">
                  <c:v>1569762148</c:v>
                </c:pt>
                <c:pt idx="13">
                  <c:v>1524179447</c:v>
                </c:pt>
                <c:pt idx="14">
                  <c:v>1526341656</c:v>
                </c:pt>
                <c:pt idx="15">
                  <c:v>1573064805</c:v>
                </c:pt>
                <c:pt idx="16">
                  <c:v>1855093160</c:v>
                </c:pt>
                <c:pt idx="17">
                  <c:v>1791668088</c:v>
                </c:pt>
              </c:numCache>
            </c:numRef>
          </c:val>
          <c:smooth val="0"/>
          <c:extLst xmlns:c16r2="http://schemas.microsoft.com/office/drawing/2015/06/chart">
            <c:ext xmlns:c16="http://schemas.microsoft.com/office/drawing/2014/chart" uri="{C3380CC4-5D6E-409C-BE32-E72D297353CC}">
              <c16:uniqueId val="{00000000-F905-4DEF-9E2D-D5DFBD81EBEA}"/>
            </c:ext>
          </c:extLst>
        </c:ser>
        <c:dLbls>
          <c:showLegendKey val="0"/>
          <c:showVal val="0"/>
          <c:showCatName val="0"/>
          <c:showSerName val="0"/>
          <c:showPercent val="0"/>
          <c:showBubbleSize val="0"/>
        </c:dLbls>
        <c:marker val="1"/>
        <c:smooth val="0"/>
        <c:axId val="931141776"/>
        <c:axId val="801936576"/>
      </c:lineChart>
      <c:lineChart>
        <c:grouping val="standard"/>
        <c:varyColors val="0"/>
        <c:ser>
          <c:idx val="1"/>
          <c:order val="1"/>
          <c:tx>
            <c:strRef>
              <c:f>Sheet1!$C$1</c:f>
              <c:strCache>
                <c:ptCount val="1"/>
                <c:pt idx="0">
                  <c:v>Share of farm cash costs (RHS)</c:v>
                </c:pt>
              </c:strCache>
            </c:strRef>
          </c:tx>
          <c:spPr>
            <a:ln w="28575" cap="rnd">
              <a:solidFill>
                <a:schemeClr val="accent2"/>
              </a:solidFill>
              <a:round/>
            </a:ln>
            <a:effectLst/>
          </c:spPr>
          <c:marker>
            <c:symbol val="none"/>
          </c:marker>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Sheet1!$C$2:$C$19</c:f>
              <c:numCache>
                <c:formatCode>_(* #,##0.00_);_(* \(#,##0.00\);_(* "-"??_);_(@_)</c:formatCode>
                <c:ptCount val="18"/>
                <c:pt idx="0">
                  <c:v>6.807497205117094E-2</c:v>
                </c:pt>
                <c:pt idx="1">
                  <c:v>6.3107335519830818E-2</c:v>
                </c:pt>
                <c:pt idx="2">
                  <c:v>5.7607416359281967E-2</c:v>
                </c:pt>
                <c:pt idx="3">
                  <c:v>5.5147341887408906E-2</c:v>
                </c:pt>
                <c:pt idx="4">
                  <c:v>6.2529737077887976E-2</c:v>
                </c:pt>
                <c:pt idx="5">
                  <c:v>6.2596694022499719E-2</c:v>
                </c:pt>
                <c:pt idx="6">
                  <c:v>6.2624585655638193E-2</c:v>
                </c:pt>
                <c:pt idx="7">
                  <c:v>5.1862829148805877E-2</c:v>
                </c:pt>
                <c:pt idx="8">
                  <c:v>7.3898291215262452E-2</c:v>
                </c:pt>
                <c:pt idx="9">
                  <c:v>7.2849680003201508E-2</c:v>
                </c:pt>
                <c:pt idx="10">
                  <c:v>7.8494646124821266E-2</c:v>
                </c:pt>
                <c:pt idx="11">
                  <c:v>7.8661056898534559E-2</c:v>
                </c:pt>
                <c:pt idx="12">
                  <c:v>8.4092109583565319E-2</c:v>
                </c:pt>
                <c:pt idx="13">
                  <c:v>8.5458093685416278E-2</c:v>
                </c:pt>
                <c:pt idx="14">
                  <c:v>8.3558980666711358E-2</c:v>
                </c:pt>
                <c:pt idx="15">
                  <c:v>8.4644379367334516E-2</c:v>
                </c:pt>
                <c:pt idx="16">
                  <c:v>9.3729425087566834E-2</c:v>
                </c:pt>
                <c:pt idx="17">
                  <c:v>9.0955266753073874E-2</c:v>
                </c:pt>
              </c:numCache>
            </c:numRef>
          </c:val>
          <c:smooth val="0"/>
          <c:extLst xmlns:c16r2="http://schemas.microsoft.com/office/drawing/2015/06/chart">
            <c:ext xmlns:c16="http://schemas.microsoft.com/office/drawing/2014/chart" uri="{C3380CC4-5D6E-409C-BE32-E72D297353CC}">
              <c16:uniqueId val="{00000001-F905-4DEF-9E2D-D5DFBD81EBEA}"/>
            </c:ext>
          </c:extLst>
        </c:ser>
        <c:dLbls>
          <c:showLegendKey val="0"/>
          <c:showVal val="0"/>
          <c:showCatName val="0"/>
          <c:showSerName val="0"/>
          <c:showPercent val="0"/>
          <c:showBubbleSize val="0"/>
        </c:dLbls>
        <c:marker val="1"/>
        <c:smooth val="0"/>
        <c:axId val="801933048"/>
        <c:axId val="801935008"/>
      </c:lineChart>
      <c:catAx>
        <c:axId val="931141776"/>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936576"/>
        <c:crosses val="autoZero"/>
        <c:auto val="1"/>
        <c:lblAlgn val="ctr"/>
        <c:lblOffset val="100"/>
        <c:noMultiLvlLbl val="0"/>
      </c:catAx>
      <c:valAx>
        <c:axId val="801936576"/>
        <c:scaling>
          <c:orientation val="minMax"/>
        </c:scaling>
        <c:delete val="0"/>
        <c:axPos val="l"/>
        <c:majorGridlines>
          <c:spPr>
            <a:ln w="9525" cap="flat" cmpd="sng" algn="ctr">
              <a:solidFill>
                <a:schemeClr val="tx1">
                  <a:lumMod val="15000"/>
                  <a:lumOff val="85000"/>
                </a:schemeClr>
              </a:solidFill>
              <a:round/>
            </a:ln>
            <a:effectLst/>
          </c:spPr>
        </c:majorGridlines>
        <c:numFmt formatCode="[&lt;&gt;2]#,##0.0;&quot;2017-18 $ billion&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141776"/>
        <c:crosses val="autoZero"/>
        <c:crossBetween val="between"/>
        <c:majorUnit val="400000000"/>
        <c:dispUnits>
          <c:builtInUnit val="billions"/>
        </c:dispUnits>
      </c:valAx>
      <c:valAx>
        <c:axId val="80193500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933048"/>
        <c:crosses val="max"/>
        <c:crossBetween val="between"/>
        <c:majorUnit val="2.0000000000000004E-2"/>
      </c:valAx>
      <c:catAx>
        <c:axId val="801933048"/>
        <c:scaling>
          <c:orientation val="minMax"/>
        </c:scaling>
        <c:delete val="1"/>
        <c:axPos val="b"/>
        <c:numFmt formatCode="General" sourceLinked="1"/>
        <c:majorTickMark val="out"/>
        <c:minorTickMark val="none"/>
        <c:tickLblPos val="nextTo"/>
        <c:crossAx val="801935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Sheet1!$B$1</c:f>
              <c:strCache>
                <c:ptCount val="1"/>
                <c:pt idx="0">
                  <c:v>Import value</c:v>
                </c:pt>
              </c:strCache>
            </c:strRef>
          </c:tx>
          <c:spPr>
            <a:solidFill>
              <a:schemeClr val="accent1"/>
            </a:solidFill>
            <a:ln>
              <a:noFill/>
            </a:ln>
            <a:effectLst/>
          </c:spPr>
          <c:invertIfNegative val="0"/>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Sheet1!$B$2:$B$19</c:f>
              <c:numCache>
                <c:formatCode>General</c:formatCode>
                <c:ptCount val="18"/>
                <c:pt idx="0">
                  <c:v>527355274.41337049</c:v>
                </c:pt>
                <c:pt idx="1">
                  <c:v>537370676.95702112</c:v>
                </c:pt>
                <c:pt idx="2">
                  <c:v>493940554.40355265</c:v>
                </c:pt>
                <c:pt idx="3">
                  <c:v>439869513.45524812</c:v>
                </c:pt>
                <c:pt idx="4">
                  <c:v>513121017.96493083</c:v>
                </c:pt>
                <c:pt idx="5">
                  <c:v>498504877.19544345</c:v>
                </c:pt>
                <c:pt idx="6">
                  <c:v>505338271.84973097</c:v>
                </c:pt>
                <c:pt idx="7">
                  <c:v>454558940.6742366</c:v>
                </c:pt>
                <c:pt idx="8">
                  <c:v>587689680.10777974</c:v>
                </c:pt>
                <c:pt idx="9">
                  <c:v>532182348.22429609</c:v>
                </c:pt>
                <c:pt idx="10">
                  <c:v>652756324.85614312</c:v>
                </c:pt>
                <c:pt idx="11">
                  <c:v>675599142.28827333</c:v>
                </c:pt>
                <c:pt idx="12">
                  <c:v>695996808.87637675</c:v>
                </c:pt>
                <c:pt idx="13">
                  <c:v>742262732.72108722</c:v>
                </c:pt>
                <c:pt idx="14">
                  <c:v>802074560.21592224</c:v>
                </c:pt>
                <c:pt idx="15">
                  <c:v>847423216.67349458</c:v>
                </c:pt>
                <c:pt idx="16">
                  <c:v>1087740020.1166139</c:v>
                </c:pt>
                <c:pt idx="17">
                  <c:v>1163023769.4695568</c:v>
                </c:pt>
              </c:numCache>
            </c:numRef>
          </c:val>
          <c:extLst xmlns:c16r2="http://schemas.microsoft.com/office/drawing/2015/06/chart">
            <c:ext xmlns:c16="http://schemas.microsoft.com/office/drawing/2014/chart" uri="{C3380CC4-5D6E-409C-BE32-E72D297353CC}">
              <c16:uniqueId val="{00000000-99A2-47D9-A331-8BEEC02DF7C9}"/>
            </c:ext>
          </c:extLst>
        </c:ser>
        <c:dLbls>
          <c:showLegendKey val="0"/>
          <c:showVal val="0"/>
          <c:showCatName val="0"/>
          <c:showSerName val="0"/>
          <c:showPercent val="0"/>
          <c:showBubbleSize val="0"/>
        </c:dLbls>
        <c:gapWidth val="75"/>
        <c:overlap val="-27"/>
        <c:axId val="801933832"/>
        <c:axId val="801935400"/>
      </c:barChart>
      <c:lineChart>
        <c:grouping val="standard"/>
        <c:varyColors val="0"/>
        <c:ser>
          <c:idx val="2"/>
          <c:order val="1"/>
          <c:tx>
            <c:strRef>
              <c:f>Sheet1!$C$1</c:f>
              <c:strCache>
                <c:ptCount val="1"/>
                <c:pt idx="0">
                  <c:v>Imports market share (RHS)</c:v>
                </c:pt>
              </c:strCache>
            </c:strRef>
          </c:tx>
          <c:spPr>
            <a:ln w="28575" cap="rnd">
              <a:solidFill>
                <a:schemeClr val="accent2"/>
              </a:solidFill>
              <a:round/>
            </a:ln>
            <a:effectLst/>
          </c:spPr>
          <c:marker>
            <c:symbol val="none"/>
          </c:marker>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Sheet1!$C$2:$C$19</c:f>
              <c:numCache>
                <c:formatCode>General</c:formatCode>
                <c:ptCount val="18"/>
                <c:pt idx="2">
                  <c:v>0.30409999999999998</c:v>
                </c:pt>
                <c:pt idx="3">
                  <c:v>0.32719999999999999</c:v>
                </c:pt>
                <c:pt idx="4">
                  <c:v>0.32450000000000001</c:v>
                </c:pt>
                <c:pt idx="5">
                  <c:v>0.308</c:v>
                </c:pt>
                <c:pt idx="6">
                  <c:v>0.31079999999999997</c:v>
                </c:pt>
                <c:pt idx="7">
                  <c:v>0.3322</c:v>
                </c:pt>
                <c:pt idx="8">
                  <c:v>0.32909999999999995</c:v>
                </c:pt>
                <c:pt idx="9">
                  <c:v>0.30499999999999999</c:v>
                </c:pt>
                <c:pt idx="10">
                  <c:v>0.38600000000000001</c:v>
                </c:pt>
                <c:pt idx="11">
                  <c:v>0.38700000000000001</c:v>
                </c:pt>
                <c:pt idx="12">
                  <c:v>0.39500000000000002</c:v>
                </c:pt>
                <c:pt idx="13">
                  <c:v>0.45600000000000002</c:v>
                </c:pt>
                <c:pt idx="14">
                  <c:v>0.45799999999999996</c:v>
                </c:pt>
                <c:pt idx="15">
                  <c:v>0.48899999999999999</c:v>
                </c:pt>
                <c:pt idx="16">
                  <c:v>0.56100000000000005</c:v>
                </c:pt>
                <c:pt idx="17">
                  <c:v>0.57700000000000007</c:v>
                </c:pt>
              </c:numCache>
            </c:numRef>
          </c:val>
          <c:smooth val="0"/>
          <c:extLst xmlns:c16r2="http://schemas.microsoft.com/office/drawing/2015/06/chart">
            <c:ext xmlns:c16="http://schemas.microsoft.com/office/drawing/2014/chart" uri="{C3380CC4-5D6E-409C-BE32-E72D297353CC}">
              <c16:uniqueId val="{00000001-99A2-47D9-A331-8BEEC02DF7C9}"/>
            </c:ext>
          </c:extLst>
        </c:ser>
        <c:dLbls>
          <c:showLegendKey val="0"/>
          <c:showVal val="0"/>
          <c:showCatName val="0"/>
          <c:showSerName val="0"/>
          <c:showPercent val="0"/>
          <c:showBubbleSize val="0"/>
        </c:dLbls>
        <c:marker val="1"/>
        <c:smooth val="0"/>
        <c:axId val="801935792"/>
        <c:axId val="801934224"/>
      </c:lineChart>
      <c:catAx>
        <c:axId val="80193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935400"/>
        <c:crosses val="autoZero"/>
        <c:auto val="1"/>
        <c:lblAlgn val="ctr"/>
        <c:lblOffset val="100"/>
        <c:tickLblSkip val="4"/>
        <c:noMultiLvlLbl val="0"/>
      </c:catAx>
      <c:valAx>
        <c:axId val="801935400"/>
        <c:scaling>
          <c:orientation val="minMax"/>
          <c:max val="1200000000"/>
        </c:scaling>
        <c:delete val="0"/>
        <c:axPos val="l"/>
        <c:majorGridlines>
          <c:spPr>
            <a:ln w="9525" cap="flat" cmpd="sng" algn="ctr">
              <a:solidFill>
                <a:schemeClr val="tx1">
                  <a:lumMod val="15000"/>
                  <a:lumOff val="85000"/>
                </a:schemeClr>
              </a:solidFill>
              <a:round/>
            </a:ln>
            <a:effectLst/>
          </c:spPr>
        </c:majorGridlines>
        <c:numFmt formatCode="[&lt;&gt;1.2]#,##0.0;&quot;2017 $ billion&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933832"/>
        <c:crosses val="autoZero"/>
        <c:crossBetween val="between"/>
        <c:dispUnits>
          <c:builtInUnit val="billions"/>
        </c:dispUnits>
      </c:valAx>
      <c:valAx>
        <c:axId val="80193422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935792"/>
        <c:crosses val="max"/>
        <c:crossBetween val="between"/>
      </c:valAx>
      <c:catAx>
        <c:axId val="801935792"/>
        <c:scaling>
          <c:orientation val="minMax"/>
        </c:scaling>
        <c:delete val="1"/>
        <c:axPos val="b"/>
        <c:numFmt formatCode="General" sourceLinked="1"/>
        <c:majorTickMark val="out"/>
        <c:minorTickMark val="none"/>
        <c:tickLblPos val="nextTo"/>
        <c:crossAx val="801934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803076698746E-2"/>
          <c:y val="4.3650793650793648E-2"/>
          <c:w val="0.8706789515893848"/>
          <c:h val="0.74085801774778148"/>
        </c:manualLayout>
      </c:layout>
      <c:lineChart>
        <c:grouping val="standard"/>
        <c:varyColors val="0"/>
        <c:ser>
          <c:idx val="0"/>
          <c:order val="0"/>
          <c:tx>
            <c:strRef>
              <c:f>Sheet1!$B$1</c:f>
              <c:strCache>
                <c:ptCount val="1"/>
                <c:pt idx="0">
                  <c:v>Farm expenditure</c:v>
                </c:pt>
              </c:strCache>
            </c:strRef>
          </c:tx>
          <c:spPr>
            <a:ln w="28575" cap="rnd">
              <a:solidFill>
                <a:schemeClr val="accent1"/>
              </a:solidFill>
              <a:round/>
            </a:ln>
            <a:effectLst/>
          </c:spPr>
          <c:marker>
            <c:symbol val="none"/>
          </c:marker>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Sheet1!$B$2:$B$19</c:f>
              <c:numCache>
                <c:formatCode>_(* #,##0.00_);_(* \(#,##0.00\);_(* "-"??_);_(@_)</c:formatCode>
                <c:ptCount val="18"/>
                <c:pt idx="0">
                  <c:v>388928856</c:v>
                </c:pt>
                <c:pt idx="1">
                  <c:v>445501485</c:v>
                </c:pt>
                <c:pt idx="2">
                  <c:v>451708125</c:v>
                </c:pt>
                <c:pt idx="3">
                  <c:v>495242624</c:v>
                </c:pt>
                <c:pt idx="4">
                  <c:v>478376614</c:v>
                </c:pt>
                <c:pt idx="5">
                  <c:v>423901236</c:v>
                </c:pt>
                <c:pt idx="6">
                  <c:v>447112588</c:v>
                </c:pt>
                <c:pt idx="7">
                  <c:v>417697539</c:v>
                </c:pt>
                <c:pt idx="8">
                  <c:v>335732128</c:v>
                </c:pt>
                <c:pt idx="9">
                  <c:v>329701008</c:v>
                </c:pt>
                <c:pt idx="10">
                  <c:v>332168382</c:v>
                </c:pt>
                <c:pt idx="11">
                  <c:v>390243314</c:v>
                </c:pt>
                <c:pt idx="12">
                  <c:v>372453412</c:v>
                </c:pt>
                <c:pt idx="13">
                  <c:v>352980957</c:v>
                </c:pt>
                <c:pt idx="14">
                  <c:v>337714006</c:v>
                </c:pt>
                <c:pt idx="15">
                  <c:v>420303000</c:v>
                </c:pt>
                <c:pt idx="16">
                  <c:v>382121044</c:v>
                </c:pt>
                <c:pt idx="17">
                  <c:v>437973168</c:v>
                </c:pt>
              </c:numCache>
            </c:numRef>
          </c:val>
          <c:smooth val="0"/>
          <c:extLst xmlns:c16r2="http://schemas.microsoft.com/office/drawing/2015/06/chart">
            <c:ext xmlns:c16="http://schemas.microsoft.com/office/drawing/2014/chart" uri="{C3380CC4-5D6E-409C-BE32-E72D297353CC}">
              <c16:uniqueId val="{00000000-7BCE-4776-B2C5-6A5F4BD6CF06}"/>
            </c:ext>
          </c:extLst>
        </c:ser>
        <c:dLbls>
          <c:showLegendKey val="0"/>
          <c:showVal val="0"/>
          <c:showCatName val="0"/>
          <c:showSerName val="0"/>
          <c:showPercent val="0"/>
          <c:showBubbleSize val="0"/>
        </c:dLbls>
        <c:marker val="1"/>
        <c:smooth val="0"/>
        <c:axId val="801936184"/>
        <c:axId val="931140208"/>
      </c:lineChart>
      <c:lineChart>
        <c:grouping val="standard"/>
        <c:varyColors val="0"/>
        <c:ser>
          <c:idx val="1"/>
          <c:order val="1"/>
          <c:tx>
            <c:strRef>
              <c:f>Sheet1!$C$1</c:f>
              <c:strCache>
                <c:ptCount val="1"/>
                <c:pt idx="0">
                  <c:v>Share of total cash costs (RHS)</c:v>
                </c:pt>
              </c:strCache>
            </c:strRef>
          </c:tx>
          <c:spPr>
            <a:ln w="28575" cap="rnd">
              <a:solidFill>
                <a:schemeClr val="accent2"/>
              </a:solidFill>
              <a:round/>
            </a:ln>
            <a:effectLst/>
          </c:spPr>
          <c:marker>
            <c:symbol val="none"/>
          </c:marker>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Sheet1!$C$2:$C$19</c:f>
              <c:numCache>
                <c:formatCode>0%</c:formatCode>
                <c:ptCount val="18"/>
                <c:pt idx="0">
                  <c:v>1.981726746027989E-2</c:v>
                </c:pt>
                <c:pt idx="1">
                  <c:v>2.2743158234313672E-2</c:v>
                </c:pt>
                <c:pt idx="2">
                  <c:v>2.0998924022074903E-2</c:v>
                </c:pt>
                <c:pt idx="3">
                  <c:v>2.2944025816213465E-2</c:v>
                </c:pt>
                <c:pt idx="4">
                  <c:v>2.0656841845089133E-2</c:v>
                </c:pt>
                <c:pt idx="5">
                  <c:v>1.9922162198988846E-2</c:v>
                </c:pt>
                <c:pt idx="6">
                  <c:v>2.0628278755639884E-2</c:v>
                </c:pt>
                <c:pt idx="7">
                  <c:v>1.7731781996325781E-2</c:v>
                </c:pt>
                <c:pt idx="8">
                  <c:v>1.8423429084118266E-2</c:v>
                </c:pt>
                <c:pt idx="9">
                  <c:v>1.8553349730796344E-2</c:v>
                </c:pt>
                <c:pt idx="10">
                  <c:v>1.86810988951942E-2</c:v>
                </c:pt>
                <c:pt idx="11">
                  <c:v>2.096831126242556E-2</c:v>
                </c:pt>
                <c:pt idx="12">
                  <c:v>1.9952317729524462E-2</c:v>
                </c:pt>
                <c:pt idx="13">
                  <c:v>1.9791029036539617E-2</c:v>
                </c:pt>
                <c:pt idx="14">
                  <c:v>1.8488021988591816E-2</c:v>
                </c:pt>
                <c:pt idx="15">
                  <c:v>2.2615906520919715E-2</c:v>
                </c:pt>
                <c:pt idx="16">
                  <c:v>1.9306839430091385E-2</c:v>
                </c:pt>
                <c:pt idx="17">
                  <c:v>2.2234010078617219E-2</c:v>
                </c:pt>
              </c:numCache>
            </c:numRef>
          </c:val>
          <c:smooth val="0"/>
          <c:extLst xmlns:c16r2="http://schemas.microsoft.com/office/drawing/2015/06/chart">
            <c:ext xmlns:c16="http://schemas.microsoft.com/office/drawing/2014/chart" uri="{C3380CC4-5D6E-409C-BE32-E72D297353CC}">
              <c16:uniqueId val="{00000001-7BCE-4776-B2C5-6A5F4BD6CF06}"/>
            </c:ext>
          </c:extLst>
        </c:ser>
        <c:dLbls>
          <c:showLegendKey val="0"/>
          <c:showVal val="0"/>
          <c:showCatName val="0"/>
          <c:showSerName val="0"/>
          <c:showPercent val="0"/>
          <c:showBubbleSize val="0"/>
        </c:dLbls>
        <c:marker val="1"/>
        <c:smooth val="0"/>
        <c:axId val="801773392"/>
        <c:axId val="801774176"/>
      </c:lineChart>
      <c:catAx>
        <c:axId val="801936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AU" sz="900" b="0" i="0" u="none" strike="noStrike" kern="1200" baseline="0">
                <a:solidFill>
                  <a:schemeClr val="tx1">
                    <a:lumMod val="65000"/>
                    <a:lumOff val="35000"/>
                  </a:schemeClr>
                </a:solidFill>
                <a:latin typeface="+mn-lt"/>
                <a:ea typeface="+mn-ea"/>
                <a:cs typeface="+mn-cs"/>
              </a:defRPr>
            </a:pPr>
            <a:endParaRPr lang="en-US"/>
          </a:p>
        </c:txPr>
        <c:crossAx val="931140208"/>
        <c:crosses val="autoZero"/>
        <c:auto val="1"/>
        <c:lblAlgn val="ctr"/>
        <c:lblOffset val="100"/>
        <c:tickMarkSkip val="2"/>
        <c:noMultiLvlLbl val="0"/>
      </c:catAx>
      <c:valAx>
        <c:axId val="931140208"/>
        <c:scaling>
          <c:orientation val="minMax"/>
        </c:scaling>
        <c:delete val="0"/>
        <c:axPos val="l"/>
        <c:majorGridlines>
          <c:spPr>
            <a:ln w="9525" cap="flat" cmpd="sng" algn="ctr">
              <a:solidFill>
                <a:schemeClr val="tx1">
                  <a:lumMod val="15000"/>
                  <a:lumOff val="85000"/>
                </a:schemeClr>
              </a:solidFill>
              <a:round/>
            </a:ln>
            <a:effectLst/>
          </c:spPr>
        </c:majorGridlines>
        <c:numFmt formatCode="[&lt;&gt;600]#,##0;&quot;2017-18 $ million&quot;" sourceLinked="0"/>
        <c:majorTickMark val="none"/>
        <c:minorTickMark val="none"/>
        <c:tickLblPos val="nextTo"/>
        <c:spPr>
          <a:noFill/>
          <a:ln>
            <a:noFill/>
          </a:ln>
          <a:effectLst/>
        </c:spPr>
        <c:txPr>
          <a:bodyPr rot="-60000000" spcFirstLastPara="1" vertOverflow="ellipsis" vert="horz" wrap="square" anchor="ctr" anchorCtr="1"/>
          <a:lstStyle/>
          <a:p>
            <a:pPr>
              <a:defRPr lang="en-AU" sz="900" b="0" i="0" u="none" strike="noStrike" kern="1200" baseline="0">
                <a:solidFill>
                  <a:schemeClr val="tx1">
                    <a:lumMod val="65000"/>
                    <a:lumOff val="35000"/>
                  </a:schemeClr>
                </a:solidFill>
                <a:latin typeface="+mn-lt"/>
                <a:ea typeface="+mn-ea"/>
                <a:cs typeface="+mn-cs"/>
              </a:defRPr>
            </a:pPr>
            <a:endParaRPr lang="en-US"/>
          </a:p>
        </c:txPr>
        <c:crossAx val="801936184"/>
        <c:crosses val="autoZero"/>
        <c:crossBetween val="between"/>
        <c:dispUnits>
          <c:builtInUnit val="millions"/>
          <c:dispUnitsLbl>
            <c:spPr>
              <a:noFill/>
              <a:ln>
                <a:noFill/>
              </a:ln>
              <a:effectLst/>
            </c:spPr>
            <c:txPr>
              <a:bodyPr rot="-5400000" spcFirstLastPara="1" vertOverflow="ellipsis" vert="horz" wrap="square" anchor="ctr" anchorCtr="1"/>
              <a:lstStyle/>
              <a:p>
                <a:pPr>
                  <a:defRPr lang="en-AU"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801774176"/>
        <c:scaling>
          <c:orientation val="minMax"/>
          <c:max val="6.0000000000000012E-2"/>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AU" sz="900" b="0" i="0" u="none" strike="noStrike" kern="1200" baseline="0">
                <a:solidFill>
                  <a:schemeClr val="tx1">
                    <a:lumMod val="65000"/>
                    <a:lumOff val="35000"/>
                  </a:schemeClr>
                </a:solidFill>
                <a:latin typeface="+mn-lt"/>
                <a:ea typeface="+mn-ea"/>
                <a:cs typeface="+mn-cs"/>
              </a:defRPr>
            </a:pPr>
            <a:endParaRPr lang="en-US"/>
          </a:p>
        </c:txPr>
        <c:crossAx val="801773392"/>
        <c:crosses val="max"/>
        <c:crossBetween val="between"/>
      </c:valAx>
      <c:catAx>
        <c:axId val="801773392"/>
        <c:scaling>
          <c:orientation val="minMax"/>
        </c:scaling>
        <c:delete val="1"/>
        <c:axPos val="b"/>
        <c:numFmt formatCode="General" sourceLinked="1"/>
        <c:majorTickMark val="out"/>
        <c:minorTickMark val="none"/>
        <c:tickLblPos val="nextTo"/>
        <c:crossAx val="801774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lang="en-AU"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AU"/>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Imports</c:v>
                </c:pt>
              </c:strCache>
            </c:strRef>
          </c:tx>
          <c:spPr>
            <a:solidFill>
              <a:schemeClr val="accent1"/>
            </a:solidFill>
            <a:ln>
              <a:noFill/>
            </a:ln>
            <a:effectLst/>
          </c:spPr>
          <c:invertIfNegative val="0"/>
          <c:cat>
            <c:strRef>
              <c:f>Sheet1!$A$2:$A$16</c:f>
              <c:strCache>
                <c:ptCount val="15"/>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strCache>
            </c:strRef>
          </c:cat>
          <c:val>
            <c:numRef>
              <c:f>Sheet1!$B$2:$B$16</c:f>
              <c:numCache>
                <c:formatCode>General</c:formatCode>
                <c:ptCount val="15"/>
                <c:pt idx="0">
                  <c:v>33.1</c:v>
                </c:pt>
                <c:pt idx="1">
                  <c:v>36.299999999999997</c:v>
                </c:pt>
                <c:pt idx="2">
                  <c:v>34.5</c:v>
                </c:pt>
                <c:pt idx="3">
                  <c:v>33.5</c:v>
                </c:pt>
                <c:pt idx="4">
                  <c:v>28.9</c:v>
                </c:pt>
                <c:pt idx="5">
                  <c:v>29.7</c:v>
                </c:pt>
                <c:pt idx="6">
                  <c:v>21.9</c:v>
                </c:pt>
                <c:pt idx="7">
                  <c:v>38.9</c:v>
                </c:pt>
                <c:pt idx="8">
                  <c:v>46.6</c:v>
                </c:pt>
                <c:pt idx="9">
                  <c:v>41.6</c:v>
                </c:pt>
                <c:pt idx="10">
                  <c:v>46.9</c:v>
                </c:pt>
                <c:pt idx="11">
                  <c:v>54.8</c:v>
                </c:pt>
                <c:pt idx="12">
                  <c:v>56.8</c:v>
                </c:pt>
                <c:pt idx="13">
                  <c:v>67.400000000000006</c:v>
                </c:pt>
                <c:pt idx="14">
                  <c:v>70.8</c:v>
                </c:pt>
              </c:numCache>
            </c:numRef>
          </c:val>
          <c:extLst xmlns:c16r2="http://schemas.microsoft.com/office/drawing/2015/06/chart">
            <c:ext xmlns:c16="http://schemas.microsoft.com/office/drawing/2014/chart" uri="{C3380CC4-5D6E-409C-BE32-E72D297353CC}">
              <c16:uniqueId val="{00000000-E1B9-4982-96F0-7E6C29985B09}"/>
            </c:ext>
          </c:extLst>
        </c:ser>
        <c:ser>
          <c:idx val="1"/>
          <c:order val="1"/>
          <c:tx>
            <c:strRef>
              <c:f>Sheet1!$C$1</c:f>
              <c:strCache>
                <c:ptCount val="1"/>
                <c:pt idx="0">
                  <c:v>Exports</c:v>
                </c:pt>
              </c:strCache>
            </c:strRef>
          </c:tx>
          <c:spPr>
            <a:solidFill>
              <a:schemeClr val="accent2"/>
            </a:solidFill>
            <a:ln>
              <a:noFill/>
            </a:ln>
            <a:effectLst/>
          </c:spPr>
          <c:invertIfNegative val="0"/>
          <c:cat>
            <c:strRef>
              <c:f>Sheet1!$A$2:$A$16</c:f>
              <c:strCache>
                <c:ptCount val="15"/>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strCache>
            </c:strRef>
          </c:cat>
          <c:val>
            <c:numRef>
              <c:f>Sheet1!$C$2:$C$16</c:f>
              <c:numCache>
                <c:formatCode>General</c:formatCode>
                <c:ptCount val="15"/>
                <c:pt idx="0">
                  <c:v>20.9</c:v>
                </c:pt>
                <c:pt idx="1">
                  <c:v>22.7</c:v>
                </c:pt>
                <c:pt idx="2">
                  <c:v>24.4</c:v>
                </c:pt>
                <c:pt idx="3">
                  <c:v>24.5</c:v>
                </c:pt>
                <c:pt idx="4">
                  <c:v>21.9</c:v>
                </c:pt>
                <c:pt idx="5">
                  <c:v>20.100000000000001</c:v>
                </c:pt>
                <c:pt idx="6">
                  <c:v>20</c:v>
                </c:pt>
                <c:pt idx="7">
                  <c:v>18.600000000000001</c:v>
                </c:pt>
                <c:pt idx="8">
                  <c:v>20.9</c:v>
                </c:pt>
                <c:pt idx="9">
                  <c:v>21.5</c:v>
                </c:pt>
                <c:pt idx="10">
                  <c:v>22.2</c:v>
                </c:pt>
                <c:pt idx="11">
                  <c:v>22.5</c:v>
                </c:pt>
                <c:pt idx="12">
                  <c:v>26.4</c:v>
                </c:pt>
                <c:pt idx="13">
                  <c:v>29.5</c:v>
                </c:pt>
                <c:pt idx="14">
                  <c:v>32.700000000000003</c:v>
                </c:pt>
              </c:numCache>
            </c:numRef>
          </c:val>
          <c:extLst xmlns:c16r2="http://schemas.microsoft.com/office/drawing/2015/06/chart">
            <c:ext xmlns:c16="http://schemas.microsoft.com/office/drawing/2014/chart" uri="{C3380CC4-5D6E-409C-BE32-E72D297353CC}">
              <c16:uniqueId val="{00000001-E1B9-4982-96F0-7E6C29985B09}"/>
            </c:ext>
          </c:extLst>
        </c:ser>
        <c:dLbls>
          <c:showLegendKey val="0"/>
          <c:showVal val="0"/>
          <c:showCatName val="0"/>
          <c:showSerName val="0"/>
          <c:showPercent val="0"/>
          <c:showBubbleSize val="0"/>
        </c:dLbls>
        <c:gapWidth val="75"/>
        <c:overlap val="-27"/>
        <c:axId val="801769472"/>
        <c:axId val="801771040"/>
      </c:barChart>
      <c:catAx>
        <c:axId val="8017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771040"/>
        <c:crosses val="autoZero"/>
        <c:auto val="1"/>
        <c:lblAlgn val="ctr"/>
        <c:lblOffset val="100"/>
        <c:tickLblSkip val="4"/>
        <c:noMultiLvlLbl val="0"/>
      </c:catAx>
      <c:valAx>
        <c:axId val="801771040"/>
        <c:scaling>
          <c:orientation val="minMax"/>
        </c:scaling>
        <c:delete val="0"/>
        <c:axPos val="l"/>
        <c:majorGridlines>
          <c:spPr>
            <a:ln w="9525" cap="flat" cmpd="sng" algn="ctr">
              <a:solidFill>
                <a:schemeClr val="tx1">
                  <a:lumMod val="15000"/>
                  <a:lumOff val="85000"/>
                </a:schemeClr>
              </a:solidFill>
              <a:round/>
            </a:ln>
            <a:effectLst/>
          </c:spPr>
        </c:majorGridlines>
        <c:numFmt formatCode="[&lt;&gt;80]#,##0;&quot;2017 $ million&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76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16DCB5-E03F-4180-B9FD-C55E7FEAF30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D6E6CC79-9312-41E2-AEF9-8429C4584C04}">
      <dgm:prSet phldrT="[Text]" custT="1"/>
      <dgm:spPr>
        <a:solidFill>
          <a:schemeClr val="accent5"/>
        </a:solidFill>
      </dgm:spPr>
      <dgm:t>
        <a:bodyPr/>
        <a:lstStyle/>
        <a:p>
          <a:r>
            <a:rPr lang="en-US" sz="800"/>
            <a:t>Agvet chemicals</a:t>
          </a:r>
        </a:p>
      </dgm:t>
    </dgm:pt>
    <dgm:pt modelId="{065857FB-C683-4695-A0F2-6416FC0C3D1C}" type="parTrans" cxnId="{BE5A3AF9-2ED6-4D50-9AC6-002157DC1BEA}">
      <dgm:prSet/>
      <dgm:spPr/>
      <dgm:t>
        <a:bodyPr/>
        <a:lstStyle/>
        <a:p>
          <a:endParaRPr lang="en-US" sz="2400"/>
        </a:p>
      </dgm:t>
    </dgm:pt>
    <dgm:pt modelId="{0DC70160-D3F2-4279-B32C-1399D47F82E0}" type="sibTrans" cxnId="{BE5A3AF9-2ED6-4D50-9AC6-002157DC1BEA}">
      <dgm:prSet/>
      <dgm:spPr/>
      <dgm:t>
        <a:bodyPr/>
        <a:lstStyle/>
        <a:p>
          <a:endParaRPr lang="en-US" sz="2400"/>
        </a:p>
      </dgm:t>
    </dgm:pt>
    <dgm:pt modelId="{03A6995C-0DB3-4AEC-BC08-36714B01C045}">
      <dgm:prSet phldrT="[Text]" custT="1"/>
      <dgm:spPr>
        <a:solidFill>
          <a:schemeClr val="accent4"/>
        </a:solidFill>
      </dgm:spPr>
      <dgm:t>
        <a:bodyPr/>
        <a:lstStyle/>
        <a:p>
          <a:r>
            <a:rPr lang="en-US" sz="800"/>
            <a:t>Agricultural chemicals</a:t>
          </a:r>
        </a:p>
      </dgm:t>
    </dgm:pt>
    <dgm:pt modelId="{D3ABCDC3-2964-49DE-9BC7-C1B662B0C143}" type="parTrans" cxnId="{7E4A0652-5DAB-421E-A04A-FE98848D2F69}">
      <dgm:prSet custT="1"/>
      <dgm:spPr>
        <a:ln>
          <a:solidFill>
            <a:schemeClr val="accent6"/>
          </a:solidFill>
        </a:ln>
      </dgm:spPr>
      <dgm:t>
        <a:bodyPr/>
        <a:lstStyle/>
        <a:p>
          <a:endParaRPr lang="en-US" sz="700"/>
        </a:p>
      </dgm:t>
    </dgm:pt>
    <dgm:pt modelId="{ABF5BEFB-75EE-472F-BDC0-CB7C90BCF5BB}" type="sibTrans" cxnId="{7E4A0652-5DAB-421E-A04A-FE98848D2F69}">
      <dgm:prSet/>
      <dgm:spPr/>
      <dgm:t>
        <a:bodyPr/>
        <a:lstStyle/>
        <a:p>
          <a:endParaRPr lang="en-US" sz="2400"/>
        </a:p>
      </dgm:t>
    </dgm:pt>
    <dgm:pt modelId="{0610651F-26BA-45D8-BBD3-6D03E873F8DE}">
      <dgm:prSet phldrT="[Text]" custT="1"/>
      <dgm:spPr>
        <a:solidFill>
          <a:schemeClr val="accent2"/>
        </a:solidFill>
      </dgm:spPr>
      <dgm:t>
        <a:bodyPr/>
        <a:lstStyle/>
        <a:p>
          <a:r>
            <a:rPr lang="en-US" sz="800"/>
            <a:t>Veterinary medicines</a:t>
          </a:r>
        </a:p>
      </dgm:t>
    </dgm:pt>
    <dgm:pt modelId="{0113FFA8-25C1-4A52-BEAA-BB5180BD79CE}" type="parTrans" cxnId="{69DB352A-9E78-4E18-B04F-A82775935A50}">
      <dgm:prSet custT="1"/>
      <dgm:spPr>
        <a:ln>
          <a:solidFill>
            <a:schemeClr val="accent6"/>
          </a:solidFill>
        </a:ln>
      </dgm:spPr>
      <dgm:t>
        <a:bodyPr/>
        <a:lstStyle/>
        <a:p>
          <a:endParaRPr lang="en-US" sz="700"/>
        </a:p>
      </dgm:t>
    </dgm:pt>
    <dgm:pt modelId="{06AFCC71-5D98-4D7A-86AB-69BD10E2286C}" type="sibTrans" cxnId="{69DB352A-9E78-4E18-B04F-A82775935A50}">
      <dgm:prSet/>
      <dgm:spPr/>
      <dgm:t>
        <a:bodyPr/>
        <a:lstStyle/>
        <a:p>
          <a:endParaRPr lang="en-US" sz="2400"/>
        </a:p>
      </dgm:t>
    </dgm:pt>
    <dgm:pt modelId="{E17D3638-7046-4D46-B4FB-285B3EE8BDFC}">
      <dgm:prSet phldrT="[Text]" custT="1"/>
      <dgm:spPr>
        <a:solidFill>
          <a:schemeClr val="accent3"/>
        </a:solidFill>
      </dgm:spPr>
      <dgm:t>
        <a:bodyPr/>
        <a:lstStyle/>
        <a:p>
          <a:r>
            <a:rPr lang="en-US" sz="800"/>
            <a:t>Herbicides</a:t>
          </a:r>
        </a:p>
      </dgm:t>
    </dgm:pt>
    <dgm:pt modelId="{B26C19C1-404D-4BDA-A05E-2EE4480DF474}" type="parTrans" cxnId="{AAA5FCD3-DC2B-48F0-9C3C-EA235001F0A3}">
      <dgm:prSet custT="1"/>
      <dgm:spPr>
        <a:ln>
          <a:solidFill>
            <a:schemeClr val="accent6"/>
          </a:solidFill>
        </a:ln>
      </dgm:spPr>
      <dgm:t>
        <a:bodyPr/>
        <a:lstStyle/>
        <a:p>
          <a:endParaRPr lang="en-US" sz="700"/>
        </a:p>
      </dgm:t>
    </dgm:pt>
    <dgm:pt modelId="{18C27DFC-9864-4901-84F8-E99D8ABF880B}" type="sibTrans" cxnId="{AAA5FCD3-DC2B-48F0-9C3C-EA235001F0A3}">
      <dgm:prSet/>
      <dgm:spPr/>
      <dgm:t>
        <a:bodyPr/>
        <a:lstStyle/>
        <a:p>
          <a:endParaRPr lang="en-US" sz="2400"/>
        </a:p>
      </dgm:t>
    </dgm:pt>
    <dgm:pt modelId="{9BA36EDC-300D-4B17-A6A6-D763053D6915}">
      <dgm:prSet phldrT="[Text]" custT="1"/>
      <dgm:spPr>
        <a:solidFill>
          <a:schemeClr val="accent3"/>
        </a:solidFill>
      </dgm:spPr>
      <dgm:t>
        <a:bodyPr/>
        <a:lstStyle/>
        <a:p>
          <a:r>
            <a:rPr lang="en-US" sz="800"/>
            <a:t>Fungicides</a:t>
          </a:r>
        </a:p>
      </dgm:t>
    </dgm:pt>
    <dgm:pt modelId="{789EF10C-FC7A-4C8D-A06B-EA564182B316}" type="parTrans" cxnId="{03ECBBBC-A896-433E-A316-9B4B1B75B145}">
      <dgm:prSet custT="1"/>
      <dgm:spPr>
        <a:ln>
          <a:solidFill>
            <a:schemeClr val="accent6"/>
          </a:solidFill>
        </a:ln>
      </dgm:spPr>
      <dgm:t>
        <a:bodyPr/>
        <a:lstStyle/>
        <a:p>
          <a:endParaRPr lang="en-US" sz="700"/>
        </a:p>
      </dgm:t>
    </dgm:pt>
    <dgm:pt modelId="{85D432E1-F295-4060-89B2-1C9DE6F6646F}" type="sibTrans" cxnId="{03ECBBBC-A896-433E-A316-9B4B1B75B145}">
      <dgm:prSet/>
      <dgm:spPr/>
      <dgm:t>
        <a:bodyPr/>
        <a:lstStyle/>
        <a:p>
          <a:endParaRPr lang="en-US" sz="2400"/>
        </a:p>
      </dgm:t>
    </dgm:pt>
    <dgm:pt modelId="{624ADB55-5A6D-4F7A-B07F-9B3261BD5A2B}">
      <dgm:prSet phldrT="[Text]" custT="1"/>
      <dgm:spPr>
        <a:solidFill>
          <a:schemeClr val="accent3"/>
        </a:solidFill>
      </dgm:spPr>
      <dgm:t>
        <a:bodyPr/>
        <a:lstStyle/>
        <a:p>
          <a:r>
            <a:rPr lang="en-US" sz="800"/>
            <a:t>Insecticides</a:t>
          </a:r>
        </a:p>
      </dgm:t>
    </dgm:pt>
    <dgm:pt modelId="{112DACCE-1CB1-4C56-969D-39F352EA12A4}" type="parTrans" cxnId="{0EEF0CC2-8F0B-48F4-B15C-6B4CB606F24F}">
      <dgm:prSet custT="1"/>
      <dgm:spPr>
        <a:ln>
          <a:solidFill>
            <a:schemeClr val="accent6"/>
          </a:solidFill>
        </a:ln>
      </dgm:spPr>
      <dgm:t>
        <a:bodyPr/>
        <a:lstStyle/>
        <a:p>
          <a:endParaRPr lang="en-US" sz="700"/>
        </a:p>
      </dgm:t>
    </dgm:pt>
    <dgm:pt modelId="{1D6C9642-BC9D-4BFF-9111-FE208BF9C42E}" type="sibTrans" cxnId="{0EEF0CC2-8F0B-48F4-B15C-6B4CB606F24F}">
      <dgm:prSet/>
      <dgm:spPr/>
      <dgm:t>
        <a:bodyPr/>
        <a:lstStyle/>
        <a:p>
          <a:endParaRPr lang="en-US" sz="2400"/>
        </a:p>
      </dgm:t>
    </dgm:pt>
    <dgm:pt modelId="{F5299218-EC46-43F4-9B6E-C4D0EA531358}">
      <dgm:prSet phldrT="[Text]" custT="1"/>
      <dgm:spPr>
        <a:solidFill>
          <a:schemeClr val="accent1"/>
        </a:solidFill>
      </dgm:spPr>
      <dgm:t>
        <a:bodyPr/>
        <a:lstStyle/>
        <a:p>
          <a:r>
            <a:rPr lang="en-US" sz="800"/>
            <a:t>Parasiticides</a:t>
          </a:r>
        </a:p>
      </dgm:t>
    </dgm:pt>
    <dgm:pt modelId="{58C85757-03D5-456F-92F7-5239C4751A88}" type="parTrans" cxnId="{F7FD6E4F-D54D-49C5-A53A-2EADE836A2A8}">
      <dgm:prSet custT="1"/>
      <dgm:spPr>
        <a:ln>
          <a:solidFill>
            <a:schemeClr val="accent6"/>
          </a:solidFill>
        </a:ln>
      </dgm:spPr>
      <dgm:t>
        <a:bodyPr/>
        <a:lstStyle/>
        <a:p>
          <a:endParaRPr lang="en-US" sz="700"/>
        </a:p>
      </dgm:t>
    </dgm:pt>
    <dgm:pt modelId="{8EE401C5-1077-43E0-A260-00F0964397D4}" type="sibTrans" cxnId="{F7FD6E4F-D54D-49C5-A53A-2EADE836A2A8}">
      <dgm:prSet/>
      <dgm:spPr/>
      <dgm:t>
        <a:bodyPr/>
        <a:lstStyle/>
        <a:p>
          <a:endParaRPr lang="en-US" sz="2400"/>
        </a:p>
      </dgm:t>
    </dgm:pt>
    <dgm:pt modelId="{DDFDC004-FD3B-4FC3-863B-E2A811281308}">
      <dgm:prSet phldrT="[Text]" custT="1"/>
      <dgm:spPr>
        <a:solidFill>
          <a:schemeClr val="accent1"/>
        </a:solidFill>
      </dgm:spPr>
      <dgm:t>
        <a:bodyPr/>
        <a:lstStyle/>
        <a:p>
          <a:r>
            <a:rPr lang="en-US" sz="800"/>
            <a:t>Vaccines</a:t>
          </a:r>
        </a:p>
      </dgm:t>
    </dgm:pt>
    <dgm:pt modelId="{BC917E11-9352-463B-AE56-2B1F51357676}" type="parTrans" cxnId="{716BE7C0-193A-4C82-80CC-29618822D50D}">
      <dgm:prSet custT="1"/>
      <dgm:spPr>
        <a:ln>
          <a:solidFill>
            <a:schemeClr val="accent6"/>
          </a:solidFill>
        </a:ln>
      </dgm:spPr>
      <dgm:t>
        <a:bodyPr/>
        <a:lstStyle/>
        <a:p>
          <a:endParaRPr lang="en-US" sz="700"/>
        </a:p>
      </dgm:t>
    </dgm:pt>
    <dgm:pt modelId="{88E3A47D-BA61-425C-8161-09E07186F91E}" type="sibTrans" cxnId="{716BE7C0-193A-4C82-80CC-29618822D50D}">
      <dgm:prSet/>
      <dgm:spPr/>
      <dgm:t>
        <a:bodyPr/>
        <a:lstStyle/>
        <a:p>
          <a:endParaRPr lang="en-US" sz="2400"/>
        </a:p>
      </dgm:t>
    </dgm:pt>
    <dgm:pt modelId="{24C3F0D6-AF17-4DD5-ACC0-41DB5597550C}">
      <dgm:prSet phldrT="[Text]" custT="1"/>
      <dgm:spPr>
        <a:solidFill>
          <a:schemeClr val="accent1"/>
        </a:solidFill>
      </dgm:spPr>
      <dgm:t>
        <a:bodyPr/>
        <a:lstStyle/>
        <a:p>
          <a:r>
            <a:rPr lang="en-US" sz="800"/>
            <a:t>Endocrine related products</a:t>
          </a:r>
        </a:p>
      </dgm:t>
    </dgm:pt>
    <dgm:pt modelId="{67EF6899-CAFC-4082-8A0E-E3743BF7E422}" type="parTrans" cxnId="{33FA9ACF-3D37-4481-A594-47FEAC697432}">
      <dgm:prSet custT="1"/>
      <dgm:spPr>
        <a:ln>
          <a:solidFill>
            <a:schemeClr val="accent6"/>
          </a:solidFill>
        </a:ln>
      </dgm:spPr>
      <dgm:t>
        <a:bodyPr/>
        <a:lstStyle/>
        <a:p>
          <a:endParaRPr lang="en-US" sz="700"/>
        </a:p>
      </dgm:t>
    </dgm:pt>
    <dgm:pt modelId="{83BEC6FD-5CB6-4B1A-B4BE-3307447D3080}" type="sibTrans" cxnId="{33FA9ACF-3D37-4481-A594-47FEAC697432}">
      <dgm:prSet/>
      <dgm:spPr/>
      <dgm:t>
        <a:bodyPr/>
        <a:lstStyle/>
        <a:p>
          <a:endParaRPr lang="en-US" sz="2400"/>
        </a:p>
      </dgm:t>
    </dgm:pt>
    <dgm:pt modelId="{11935A22-0138-441A-8420-1EDD013402AB}">
      <dgm:prSet phldrT="[Text]" custT="1"/>
      <dgm:spPr>
        <a:solidFill>
          <a:schemeClr val="accent3"/>
        </a:solidFill>
      </dgm:spPr>
      <dgm:t>
        <a:bodyPr/>
        <a:lstStyle/>
        <a:p>
          <a:r>
            <a:rPr lang="en-US" sz="800"/>
            <a:t>Animal pest baits</a:t>
          </a:r>
        </a:p>
      </dgm:t>
    </dgm:pt>
    <dgm:pt modelId="{A6A46348-BA06-42EB-8CD7-8D33D505C027}" type="parTrans" cxnId="{5D9F9823-0540-4A4B-8ADB-971C279E719A}">
      <dgm:prSet custT="1"/>
      <dgm:spPr>
        <a:ln>
          <a:solidFill>
            <a:schemeClr val="accent6"/>
          </a:solidFill>
        </a:ln>
      </dgm:spPr>
      <dgm:t>
        <a:bodyPr/>
        <a:lstStyle/>
        <a:p>
          <a:endParaRPr lang="en-US" sz="700"/>
        </a:p>
      </dgm:t>
    </dgm:pt>
    <dgm:pt modelId="{AB979385-68A3-4064-92D1-8DCC6C0B10AB}" type="sibTrans" cxnId="{5D9F9823-0540-4A4B-8ADB-971C279E719A}">
      <dgm:prSet/>
      <dgm:spPr/>
      <dgm:t>
        <a:bodyPr/>
        <a:lstStyle/>
        <a:p>
          <a:endParaRPr lang="en-US" sz="2400"/>
        </a:p>
      </dgm:t>
    </dgm:pt>
    <dgm:pt modelId="{5CE1D7BC-B320-4F8D-A7A0-21AD9C769ADD}">
      <dgm:prSet phldrT="[Text]" custT="1"/>
      <dgm:spPr>
        <a:solidFill>
          <a:schemeClr val="accent1"/>
        </a:solidFill>
      </dgm:spPr>
      <dgm:t>
        <a:bodyPr/>
        <a:lstStyle/>
        <a:p>
          <a:r>
            <a:rPr lang="en-US" sz="800"/>
            <a:t>Orals and injectables</a:t>
          </a:r>
        </a:p>
      </dgm:t>
    </dgm:pt>
    <dgm:pt modelId="{F9FE92B3-57F7-4218-8040-F8F9594D940F}" type="parTrans" cxnId="{05C779FE-4B3F-4E36-A7B5-9A3EA8489DE5}">
      <dgm:prSet custT="1"/>
      <dgm:spPr>
        <a:ln>
          <a:solidFill>
            <a:schemeClr val="accent6"/>
          </a:solidFill>
        </a:ln>
      </dgm:spPr>
      <dgm:t>
        <a:bodyPr/>
        <a:lstStyle/>
        <a:p>
          <a:endParaRPr lang="en-US" sz="700"/>
        </a:p>
      </dgm:t>
    </dgm:pt>
    <dgm:pt modelId="{92F9EBB5-E5BF-4FBE-A21B-DDEFDB9FD196}" type="sibTrans" cxnId="{05C779FE-4B3F-4E36-A7B5-9A3EA8489DE5}">
      <dgm:prSet/>
      <dgm:spPr/>
      <dgm:t>
        <a:bodyPr/>
        <a:lstStyle/>
        <a:p>
          <a:endParaRPr lang="en-US" sz="2400"/>
        </a:p>
      </dgm:t>
    </dgm:pt>
    <dgm:pt modelId="{0CFC2CE6-0C64-4A37-BD61-283B95D38DB2}">
      <dgm:prSet phldrT="[Text]" custT="1"/>
      <dgm:spPr>
        <a:solidFill>
          <a:schemeClr val="accent1"/>
        </a:solidFill>
      </dgm:spPr>
      <dgm:t>
        <a:bodyPr/>
        <a:lstStyle/>
        <a:p>
          <a:r>
            <a:rPr lang="en-US" sz="800"/>
            <a:t>Anticoccidial anti-inflammatory</a:t>
          </a:r>
        </a:p>
      </dgm:t>
    </dgm:pt>
    <dgm:pt modelId="{1E444F6A-2520-44AB-B9AB-662329FC5BA6}" type="parTrans" cxnId="{A4254163-07E8-4666-8259-DD8CA15B6094}">
      <dgm:prSet custT="1"/>
      <dgm:spPr>
        <a:ln>
          <a:solidFill>
            <a:schemeClr val="accent6"/>
          </a:solidFill>
        </a:ln>
      </dgm:spPr>
      <dgm:t>
        <a:bodyPr/>
        <a:lstStyle/>
        <a:p>
          <a:endParaRPr lang="en-US" sz="700"/>
        </a:p>
      </dgm:t>
    </dgm:pt>
    <dgm:pt modelId="{690F53D9-C2F7-4869-A0AA-849AD5CB993B}" type="sibTrans" cxnId="{A4254163-07E8-4666-8259-DD8CA15B6094}">
      <dgm:prSet/>
      <dgm:spPr/>
      <dgm:t>
        <a:bodyPr/>
        <a:lstStyle/>
        <a:p>
          <a:endParaRPr lang="en-US" sz="2400"/>
        </a:p>
      </dgm:t>
    </dgm:pt>
    <dgm:pt modelId="{A54A672A-74D1-484C-A470-37595D8FDC1E}">
      <dgm:prSet phldrT="[Text]" custT="1"/>
      <dgm:spPr>
        <a:solidFill>
          <a:schemeClr val="accent1"/>
        </a:solidFill>
      </dgm:spPr>
      <dgm:t>
        <a:bodyPr/>
        <a:lstStyle/>
        <a:p>
          <a:r>
            <a:rPr lang="en-US" sz="800"/>
            <a:t>Anaesthetics, Analgesics and Antibiotics</a:t>
          </a:r>
        </a:p>
      </dgm:t>
    </dgm:pt>
    <dgm:pt modelId="{8EE9F16F-D041-47F4-AD13-7870B8429A72}" type="parTrans" cxnId="{F24FF372-7A4D-4328-B70A-0021693588FE}">
      <dgm:prSet custT="1"/>
      <dgm:spPr>
        <a:ln>
          <a:solidFill>
            <a:schemeClr val="accent6"/>
          </a:solidFill>
        </a:ln>
      </dgm:spPr>
      <dgm:t>
        <a:bodyPr/>
        <a:lstStyle/>
        <a:p>
          <a:endParaRPr lang="en-US" sz="700"/>
        </a:p>
      </dgm:t>
    </dgm:pt>
    <dgm:pt modelId="{B3AA9FE9-BEC0-4671-94C3-227C23A44BA1}" type="sibTrans" cxnId="{F24FF372-7A4D-4328-B70A-0021693588FE}">
      <dgm:prSet/>
      <dgm:spPr/>
      <dgm:t>
        <a:bodyPr/>
        <a:lstStyle/>
        <a:p>
          <a:endParaRPr lang="en-US" sz="2400"/>
        </a:p>
      </dgm:t>
    </dgm:pt>
    <dgm:pt modelId="{33BF7CB6-765F-4929-8FC8-292A6EB6B099}">
      <dgm:prSet phldrT="[Text]" custT="1"/>
      <dgm:spPr>
        <a:solidFill>
          <a:schemeClr val="accent1"/>
        </a:solidFill>
      </dgm:spPr>
      <dgm:t>
        <a:bodyPr/>
        <a:lstStyle/>
        <a:p>
          <a:r>
            <a:rPr lang="en-US" sz="800"/>
            <a:t>Nervous, dermatological and other related products</a:t>
          </a:r>
        </a:p>
      </dgm:t>
    </dgm:pt>
    <dgm:pt modelId="{7D6AAD95-3133-4AB1-8C94-6F8DF04962CC}" type="sibTrans" cxnId="{216125FD-840C-4BA0-B6AB-4A49C57D4DC7}">
      <dgm:prSet/>
      <dgm:spPr/>
      <dgm:t>
        <a:bodyPr/>
        <a:lstStyle/>
        <a:p>
          <a:endParaRPr lang="en-US" sz="2400"/>
        </a:p>
      </dgm:t>
    </dgm:pt>
    <dgm:pt modelId="{4286FDB2-5121-4292-B515-0FBF44C461F8}" type="parTrans" cxnId="{216125FD-840C-4BA0-B6AB-4A49C57D4DC7}">
      <dgm:prSet custT="1"/>
      <dgm:spPr>
        <a:ln>
          <a:solidFill>
            <a:schemeClr val="accent6"/>
          </a:solidFill>
        </a:ln>
      </dgm:spPr>
      <dgm:t>
        <a:bodyPr/>
        <a:lstStyle/>
        <a:p>
          <a:endParaRPr lang="en-US" sz="700"/>
        </a:p>
      </dgm:t>
    </dgm:pt>
    <dgm:pt modelId="{3047A372-3676-4643-972C-5B855CD9C365}" type="pres">
      <dgm:prSet presAssocID="{F616DCB5-E03F-4180-B9FD-C55E7FEAF30F}" presName="diagram" presStyleCnt="0">
        <dgm:presLayoutVars>
          <dgm:chPref val="1"/>
          <dgm:dir/>
          <dgm:animOne val="branch"/>
          <dgm:animLvl val="lvl"/>
          <dgm:resizeHandles val="exact"/>
        </dgm:presLayoutVars>
      </dgm:prSet>
      <dgm:spPr/>
      <dgm:t>
        <a:bodyPr/>
        <a:lstStyle/>
        <a:p>
          <a:endParaRPr lang="en-AU"/>
        </a:p>
      </dgm:t>
    </dgm:pt>
    <dgm:pt modelId="{790043AA-B8B1-4432-887B-AB0D644D0572}" type="pres">
      <dgm:prSet presAssocID="{D6E6CC79-9312-41E2-AEF9-8429C4584C04}" presName="root1" presStyleCnt="0"/>
      <dgm:spPr/>
    </dgm:pt>
    <dgm:pt modelId="{B2B913E9-2B22-46E1-A9AE-B1A942644FE4}" type="pres">
      <dgm:prSet presAssocID="{D6E6CC79-9312-41E2-AEF9-8429C4584C04}" presName="LevelOneTextNode" presStyleLbl="node0" presStyleIdx="0" presStyleCnt="1" custScaleX="128941" custScaleY="129360" custLinFactX="-59093" custLinFactY="-200000" custLinFactNeighborX="-100000" custLinFactNeighborY="-232248">
        <dgm:presLayoutVars>
          <dgm:chPref val="3"/>
        </dgm:presLayoutVars>
      </dgm:prSet>
      <dgm:spPr/>
      <dgm:t>
        <a:bodyPr/>
        <a:lstStyle/>
        <a:p>
          <a:endParaRPr lang="en-AU"/>
        </a:p>
      </dgm:t>
    </dgm:pt>
    <dgm:pt modelId="{EBD4002D-D220-4565-9A56-12761C149DE1}" type="pres">
      <dgm:prSet presAssocID="{D6E6CC79-9312-41E2-AEF9-8429C4584C04}" presName="level2hierChild" presStyleCnt="0"/>
      <dgm:spPr/>
    </dgm:pt>
    <dgm:pt modelId="{B64A8438-B8AA-43C4-B2D0-20D915239F73}" type="pres">
      <dgm:prSet presAssocID="{D3ABCDC3-2964-49DE-9BC7-C1B662B0C143}" presName="conn2-1" presStyleLbl="parChTrans1D2" presStyleIdx="0" presStyleCnt="2"/>
      <dgm:spPr/>
      <dgm:t>
        <a:bodyPr/>
        <a:lstStyle/>
        <a:p>
          <a:endParaRPr lang="en-AU"/>
        </a:p>
      </dgm:t>
    </dgm:pt>
    <dgm:pt modelId="{6C45037E-0EBC-4E32-A9D6-C84042F062C9}" type="pres">
      <dgm:prSet presAssocID="{D3ABCDC3-2964-49DE-9BC7-C1B662B0C143}" presName="connTx" presStyleLbl="parChTrans1D2" presStyleIdx="0" presStyleCnt="2"/>
      <dgm:spPr/>
      <dgm:t>
        <a:bodyPr/>
        <a:lstStyle/>
        <a:p>
          <a:endParaRPr lang="en-AU"/>
        </a:p>
      </dgm:t>
    </dgm:pt>
    <dgm:pt modelId="{00424E58-80C7-47CF-A22E-3FEB535FD55C}" type="pres">
      <dgm:prSet presAssocID="{03A6995C-0DB3-4AEC-BC08-36714B01C045}" presName="root2" presStyleCnt="0"/>
      <dgm:spPr/>
    </dgm:pt>
    <dgm:pt modelId="{0BF15231-BC49-4C79-90E0-CAD620DEB7DB}" type="pres">
      <dgm:prSet presAssocID="{03A6995C-0DB3-4AEC-BC08-36714B01C045}" presName="LevelTwoTextNode" presStyleLbl="node2" presStyleIdx="0" presStyleCnt="2" custScaleX="143653" custScaleY="185080" custLinFactY="300000" custLinFactNeighborX="38916" custLinFactNeighborY="370504">
        <dgm:presLayoutVars>
          <dgm:chPref val="3"/>
        </dgm:presLayoutVars>
      </dgm:prSet>
      <dgm:spPr/>
      <dgm:t>
        <a:bodyPr/>
        <a:lstStyle/>
        <a:p>
          <a:endParaRPr lang="en-AU"/>
        </a:p>
      </dgm:t>
    </dgm:pt>
    <dgm:pt modelId="{44CCABF5-1D45-45B1-A5E4-45680CC1F94E}" type="pres">
      <dgm:prSet presAssocID="{03A6995C-0DB3-4AEC-BC08-36714B01C045}" presName="level3hierChild" presStyleCnt="0"/>
      <dgm:spPr/>
    </dgm:pt>
    <dgm:pt modelId="{BE734A3C-C0B2-4261-BD45-716B722C2FD3}" type="pres">
      <dgm:prSet presAssocID="{B26C19C1-404D-4BDA-A05E-2EE4480DF474}" presName="conn2-1" presStyleLbl="parChTrans1D3" presStyleIdx="0" presStyleCnt="11"/>
      <dgm:spPr/>
      <dgm:t>
        <a:bodyPr/>
        <a:lstStyle/>
        <a:p>
          <a:endParaRPr lang="en-AU"/>
        </a:p>
      </dgm:t>
    </dgm:pt>
    <dgm:pt modelId="{17E8CDE1-9C9B-4086-A232-C2933ACBD175}" type="pres">
      <dgm:prSet presAssocID="{B26C19C1-404D-4BDA-A05E-2EE4480DF474}" presName="connTx" presStyleLbl="parChTrans1D3" presStyleIdx="0" presStyleCnt="11"/>
      <dgm:spPr/>
      <dgm:t>
        <a:bodyPr/>
        <a:lstStyle/>
        <a:p>
          <a:endParaRPr lang="en-AU"/>
        </a:p>
      </dgm:t>
    </dgm:pt>
    <dgm:pt modelId="{BB669EF6-6C7D-429B-860E-E0468A9F1AFB}" type="pres">
      <dgm:prSet presAssocID="{E17D3638-7046-4D46-B4FB-285B3EE8BDFC}" presName="root2" presStyleCnt="0"/>
      <dgm:spPr/>
    </dgm:pt>
    <dgm:pt modelId="{768D507C-731E-42F3-9083-0BB611DAE481}" type="pres">
      <dgm:prSet presAssocID="{E17D3638-7046-4D46-B4FB-285B3EE8BDFC}" presName="LevelTwoTextNode" presStyleLbl="node3" presStyleIdx="0" presStyleCnt="11" custScaleX="230803" custLinFactX="87145" custLinFactY="400000" custLinFactNeighborX="100000" custLinFactNeighborY="448871">
        <dgm:presLayoutVars>
          <dgm:chPref val="3"/>
        </dgm:presLayoutVars>
      </dgm:prSet>
      <dgm:spPr/>
      <dgm:t>
        <a:bodyPr/>
        <a:lstStyle/>
        <a:p>
          <a:endParaRPr lang="en-AU"/>
        </a:p>
      </dgm:t>
    </dgm:pt>
    <dgm:pt modelId="{CEBBFF2C-71C8-464A-B3A3-D96E5B1A8626}" type="pres">
      <dgm:prSet presAssocID="{E17D3638-7046-4D46-B4FB-285B3EE8BDFC}" presName="level3hierChild" presStyleCnt="0"/>
      <dgm:spPr/>
    </dgm:pt>
    <dgm:pt modelId="{8735404E-464C-46ED-9414-6525EE202B8D}" type="pres">
      <dgm:prSet presAssocID="{789EF10C-FC7A-4C8D-A06B-EA564182B316}" presName="conn2-1" presStyleLbl="parChTrans1D3" presStyleIdx="1" presStyleCnt="11"/>
      <dgm:spPr/>
      <dgm:t>
        <a:bodyPr/>
        <a:lstStyle/>
        <a:p>
          <a:endParaRPr lang="en-AU"/>
        </a:p>
      </dgm:t>
    </dgm:pt>
    <dgm:pt modelId="{0C65EACA-04BD-47C0-B72C-46DE8B32BE3A}" type="pres">
      <dgm:prSet presAssocID="{789EF10C-FC7A-4C8D-A06B-EA564182B316}" presName="connTx" presStyleLbl="parChTrans1D3" presStyleIdx="1" presStyleCnt="11"/>
      <dgm:spPr/>
      <dgm:t>
        <a:bodyPr/>
        <a:lstStyle/>
        <a:p>
          <a:endParaRPr lang="en-AU"/>
        </a:p>
      </dgm:t>
    </dgm:pt>
    <dgm:pt modelId="{7C21F407-731D-47B5-B50B-CE98908D639A}" type="pres">
      <dgm:prSet presAssocID="{9BA36EDC-300D-4B17-A6A6-D763053D6915}" presName="root2" presStyleCnt="0"/>
      <dgm:spPr/>
    </dgm:pt>
    <dgm:pt modelId="{304CD7FC-6006-4DC8-8338-B69D04ED449A}" type="pres">
      <dgm:prSet presAssocID="{9BA36EDC-300D-4B17-A6A6-D763053D6915}" presName="LevelTwoTextNode" presStyleLbl="node3" presStyleIdx="1" presStyleCnt="11" custScaleX="230803" custLinFactX="87145" custLinFactY="400000" custLinFactNeighborX="100000" custLinFactNeighborY="439087">
        <dgm:presLayoutVars>
          <dgm:chPref val="3"/>
        </dgm:presLayoutVars>
      </dgm:prSet>
      <dgm:spPr/>
      <dgm:t>
        <a:bodyPr/>
        <a:lstStyle/>
        <a:p>
          <a:endParaRPr lang="en-AU"/>
        </a:p>
      </dgm:t>
    </dgm:pt>
    <dgm:pt modelId="{1DC4E926-CA38-4CB0-AC07-5C8A3161EEE9}" type="pres">
      <dgm:prSet presAssocID="{9BA36EDC-300D-4B17-A6A6-D763053D6915}" presName="level3hierChild" presStyleCnt="0"/>
      <dgm:spPr/>
    </dgm:pt>
    <dgm:pt modelId="{71B2D44D-13B6-48D3-A082-CC97B05337EE}" type="pres">
      <dgm:prSet presAssocID="{112DACCE-1CB1-4C56-969D-39F352EA12A4}" presName="conn2-1" presStyleLbl="parChTrans1D3" presStyleIdx="2" presStyleCnt="11"/>
      <dgm:spPr/>
      <dgm:t>
        <a:bodyPr/>
        <a:lstStyle/>
        <a:p>
          <a:endParaRPr lang="en-AU"/>
        </a:p>
      </dgm:t>
    </dgm:pt>
    <dgm:pt modelId="{BE2EB2CA-ED8A-4917-9B33-D5CDEC037F30}" type="pres">
      <dgm:prSet presAssocID="{112DACCE-1CB1-4C56-969D-39F352EA12A4}" presName="connTx" presStyleLbl="parChTrans1D3" presStyleIdx="2" presStyleCnt="11"/>
      <dgm:spPr/>
      <dgm:t>
        <a:bodyPr/>
        <a:lstStyle/>
        <a:p>
          <a:endParaRPr lang="en-AU"/>
        </a:p>
      </dgm:t>
    </dgm:pt>
    <dgm:pt modelId="{7BEB19C9-9DAD-4CB6-B214-231F0D98F10E}" type="pres">
      <dgm:prSet presAssocID="{624ADB55-5A6D-4F7A-B07F-9B3261BD5A2B}" presName="root2" presStyleCnt="0"/>
      <dgm:spPr/>
    </dgm:pt>
    <dgm:pt modelId="{C282A957-D8F6-44DA-AC15-8673AC486648}" type="pres">
      <dgm:prSet presAssocID="{624ADB55-5A6D-4F7A-B07F-9B3261BD5A2B}" presName="LevelTwoTextNode" presStyleLbl="node3" presStyleIdx="2" presStyleCnt="11" custScaleX="230803" custLinFactX="87145" custLinFactY="400000" custLinFactNeighborX="100000" custLinFactNeighborY="426857">
        <dgm:presLayoutVars>
          <dgm:chPref val="3"/>
        </dgm:presLayoutVars>
      </dgm:prSet>
      <dgm:spPr/>
      <dgm:t>
        <a:bodyPr/>
        <a:lstStyle/>
        <a:p>
          <a:endParaRPr lang="en-AU"/>
        </a:p>
      </dgm:t>
    </dgm:pt>
    <dgm:pt modelId="{B67DEED7-2D72-453A-B59C-87D89E822B14}" type="pres">
      <dgm:prSet presAssocID="{624ADB55-5A6D-4F7A-B07F-9B3261BD5A2B}" presName="level3hierChild" presStyleCnt="0"/>
      <dgm:spPr/>
    </dgm:pt>
    <dgm:pt modelId="{88699EBC-A95C-4912-B78D-5C173C442864}" type="pres">
      <dgm:prSet presAssocID="{A6A46348-BA06-42EB-8CD7-8D33D505C027}" presName="conn2-1" presStyleLbl="parChTrans1D3" presStyleIdx="3" presStyleCnt="11"/>
      <dgm:spPr/>
      <dgm:t>
        <a:bodyPr/>
        <a:lstStyle/>
        <a:p>
          <a:endParaRPr lang="en-AU"/>
        </a:p>
      </dgm:t>
    </dgm:pt>
    <dgm:pt modelId="{40E17F09-8D4A-4335-BE58-90F4003FA51B}" type="pres">
      <dgm:prSet presAssocID="{A6A46348-BA06-42EB-8CD7-8D33D505C027}" presName="connTx" presStyleLbl="parChTrans1D3" presStyleIdx="3" presStyleCnt="11"/>
      <dgm:spPr/>
      <dgm:t>
        <a:bodyPr/>
        <a:lstStyle/>
        <a:p>
          <a:endParaRPr lang="en-AU"/>
        </a:p>
      </dgm:t>
    </dgm:pt>
    <dgm:pt modelId="{5C856193-A39C-4CA8-A8D8-5F360632ABC0}" type="pres">
      <dgm:prSet presAssocID="{11935A22-0138-441A-8420-1EDD013402AB}" presName="root2" presStyleCnt="0"/>
      <dgm:spPr/>
    </dgm:pt>
    <dgm:pt modelId="{89D8F98B-853F-4A8F-849E-86002DE0679E}" type="pres">
      <dgm:prSet presAssocID="{11935A22-0138-441A-8420-1EDD013402AB}" presName="LevelTwoTextNode" presStyleLbl="node3" presStyleIdx="3" presStyleCnt="11" custScaleX="230803" custLinFactX="87145" custLinFactY="400000" custLinFactNeighborX="100000" custLinFactNeighborY="408401">
        <dgm:presLayoutVars>
          <dgm:chPref val="3"/>
        </dgm:presLayoutVars>
      </dgm:prSet>
      <dgm:spPr/>
      <dgm:t>
        <a:bodyPr/>
        <a:lstStyle/>
        <a:p>
          <a:endParaRPr lang="en-AU"/>
        </a:p>
      </dgm:t>
    </dgm:pt>
    <dgm:pt modelId="{E7F94B54-C7B3-474A-8B31-446B1D9DBBB8}" type="pres">
      <dgm:prSet presAssocID="{11935A22-0138-441A-8420-1EDD013402AB}" presName="level3hierChild" presStyleCnt="0"/>
      <dgm:spPr/>
    </dgm:pt>
    <dgm:pt modelId="{5B9E13EB-4A07-44D4-B9F8-2580B2166D78}" type="pres">
      <dgm:prSet presAssocID="{0113FFA8-25C1-4A52-BEAA-BB5180BD79CE}" presName="conn2-1" presStyleLbl="parChTrans1D2" presStyleIdx="1" presStyleCnt="2"/>
      <dgm:spPr/>
      <dgm:t>
        <a:bodyPr/>
        <a:lstStyle/>
        <a:p>
          <a:endParaRPr lang="en-AU"/>
        </a:p>
      </dgm:t>
    </dgm:pt>
    <dgm:pt modelId="{2343E803-04C8-4A43-A90E-17F922B963C1}" type="pres">
      <dgm:prSet presAssocID="{0113FFA8-25C1-4A52-BEAA-BB5180BD79CE}" presName="connTx" presStyleLbl="parChTrans1D2" presStyleIdx="1" presStyleCnt="2"/>
      <dgm:spPr/>
      <dgm:t>
        <a:bodyPr/>
        <a:lstStyle/>
        <a:p>
          <a:endParaRPr lang="en-AU"/>
        </a:p>
      </dgm:t>
    </dgm:pt>
    <dgm:pt modelId="{5071898A-8691-4D07-A15D-164B2D383FC3}" type="pres">
      <dgm:prSet presAssocID="{0610651F-26BA-45D8-BBD3-6D03E873F8DE}" presName="root2" presStyleCnt="0"/>
      <dgm:spPr/>
    </dgm:pt>
    <dgm:pt modelId="{875762A5-10F6-4CEB-B05C-FE327985B585}" type="pres">
      <dgm:prSet presAssocID="{0610651F-26BA-45D8-BBD3-6D03E873F8DE}" presName="LevelTwoTextNode" presStyleLbl="node2" presStyleIdx="1" presStyleCnt="2" custScaleX="148437" custScaleY="150972" custLinFactY="-355705" custLinFactNeighborX="34735" custLinFactNeighborY="-400000">
        <dgm:presLayoutVars>
          <dgm:chPref val="3"/>
        </dgm:presLayoutVars>
      </dgm:prSet>
      <dgm:spPr/>
      <dgm:t>
        <a:bodyPr/>
        <a:lstStyle/>
        <a:p>
          <a:endParaRPr lang="en-AU"/>
        </a:p>
      </dgm:t>
    </dgm:pt>
    <dgm:pt modelId="{1831D652-367D-486D-9D72-1C808C19CCAF}" type="pres">
      <dgm:prSet presAssocID="{0610651F-26BA-45D8-BBD3-6D03E873F8DE}" presName="level3hierChild" presStyleCnt="0"/>
      <dgm:spPr/>
    </dgm:pt>
    <dgm:pt modelId="{0149CB7C-B012-4D12-90D8-C5B4512207BC}" type="pres">
      <dgm:prSet presAssocID="{58C85757-03D5-456F-92F7-5239C4751A88}" presName="conn2-1" presStyleLbl="parChTrans1D3" presStyleIdx="4" presStyleCnt="11"/>
      <dgm:spPr/>
      <dgm:t>
        <a:bodyPr/>
        <a:lstStyle/>
        <a:p>
          <a:endParaRPr lang="en-AU"/>
        </a:p>
      </dgm:t>
    </dgm:pt>
    <dgm:pt modelId="{E70BF5A0-59E0-4881-9129-5C4F02A1D6AA}" type="pres">
      <dgm:prSet presAssocID="{58C85757-03D5-456F-92F7-5239C4751A88}" presName="connTx" presStyleLbl="parChTrans1D3" presStyleIdx="4" presStyleCnt="11"/>
      <dgm:spPr/>
      <dgm:t>
        <a:bodyPr/>
        <a:lstStyle/>
        <a:p>
          <a:endParaRPr lang="en-AU"/>
        </a:p>
      </dgm:t>
    </dgm:pt>
    <dgm:pt modelId="{8709DB32-D500-4A73-996E-00693288A73B}" type="pres">
      <dgm:prSet presAssocID="{F5299218-EC46-43F4-9B6E-C4D0EA531358}" presName="root2" presStyleCnt="0"/>
      <dgm:spPr/>
    </dgm:pt>
    <dgm:pt modelId="{4F89D3BC-8856-4966-B480-C274CA212C3F}" type="pres">
      <dgm:prSet presAssocID="{F5299218-EC46-43F4-9B6E-C4D0EA531358}" presName="LevelTwoTextNode" presStyleLbl="node3" presStyleIdx="4" presStyleCnt="11" custScaleX="230803" custLinFactX="82252" custLinFactY="-200000" custLinFactNeighborX="100000" custLinFactNeighborY="-203649">
        <dgm:presLayoutVars>
          <dgm:chPref val="3"/>
        </dgm:presLayoutVars>
      </dgm:prSet>
      <dgm:spPr/>
      <dgm:t>
        <a:bodyPr/>
        <a:lstStyle/>
        <a:p>
          <a:endParaRPr lang="en-AU"/>
        </a:p>
      </dgm:t>
    </dgm:pt>
    <dgm:pt modelId="{4A40DB46-BA0A-404F-96EB-D7A246C52552}" type="pres">
      <dgm:prSet presAssocID="{F5299218-EC46-43F4-9B6E-C4D0EA531358}" presName="level3hierChild" presStyleCnt="0"/>
      <dgm:spPr/>
    </dgm:pt>
    <dgm:pt modelId="{C63E68B9-E7E3-4625-B537-91421E68B408}" type="pres">
      <dgm:prSet presAssocID="{BC917E11-9352-463B-AE56-2B1F51357676}" presName="conn2-1" presStyleLbl="parChTrans1D3" presStyleIdx="5" presStyleCnt="11"/>
      <dgm:spPr/>
      <dgm:t>
        <a:bodyPr/>
        <a:lstStyle/>
        <a:p>
          <a:endParaRPr lang="en-AU"/>
        </a:p>
      </dgm:t>
    </dgm:pt>
    <dgm:pt modelId="{2C6226C2-DF6B-47BD-879B-FCF4CE7C8E55}" type="pres">
      <dgm:prSet presAssocID="{BC917E11-9352-463B-AE56-2B1F51357676}" presName="connTx" presStyleLbl="parChTrans1D3" presStyleIdx="5" presStyleCnt="11"/>
      <dgm:spPr/>
      <dgm:t>
        <a:bodyPr/>
        <a:lstStyle/>
        <a:p>
          <a:endParaRPr lang="en-AU"/>
        </a:p>
      </dgm:t>
    </dgm:pt>
    <dgm:pt modelId="{6BE00AA1-350D-45A3-B7FB-1BBB5759010C}" type="pres">
      <dgm:prSet presAssocID="{DDFDC004-FD3B-4FC3-863B-E2A811281308}" presName="root2" presStyleCnt="0"/>
      <dgm:spPr/>
    </dgm:pt>
    <dgm:pt modelId="{75701D2D-2146-4D01-9C10-7A52590F4E06}" type="pres">
      <dgm:prSet presAssocID="{DDFDC004-FD3B-4FC3-863B-E2A811281308}" presName="LevelTwoTextNode" presStyleLbl="node3" presStyleIdx="5" presStyleCnt="11" custScaleX="230803" custLinFactX="82252" custLinFactY="-200000" custLinFactNeighborX="100000" custLinFactNeighborY="-215879">
        <dgm:presLayoutVars>
          <dgm:chPref val="3"/>
        </dgm:presLayoutVars>
      </dgm:prSet>
      <dgm:spPr/>
      <dgm:t>
        <a:bodyPr/>
        <a:lstStyle/>
        <a:p>
          <a:endParaRPr lang="en-AU"/>
        </a:p>
      </dgm:t>
    </dgm:pt>
    <dgm:pt modelId="{4D5412C3-8BD3-4A11-9274-305A1973BD7C}" type="pres">
      <dgm:prSet presAssocID="{DDFDC004-FD3B-4FC3-863B-E2A811281308}" presName="level3hierChild" presStyleCnt="0"/>
      <dgm:spPr/>
    </dgm:pt>
    <dgm:pt modelId="{335B2B7E-5870-4E84-A054-0C5CF65B4CEA}" type="pres">
      <dgm:prSet presAssocID="{67EF6899-CAFC-4082-8A0E-E3743BF7E422}" presName="conn2-1" presStyleLbl="parChTrans1D3" presStyleIdx="6" presStyleCnt="11"/>
      <dgm:spPr/>
      <dgm:t>
        <a:bodyPr/>
        <a:lstStyle/>
        <a:p>
          <a:endParaRPr lang="en-AU"/>
        </a:p>
      </dgm:t>
    </dgm:pt>
    <dgm:pt modelId="{E99E4F70-DD57-4F49-A293-6D80AC5F7BCD}" type="pres">
      <dgm:prSet presAssocID="{67EF6899-CAFC-4082-8A0E-E3743BF7E422}" presName="connTx" presStyleLbl="parChTrans1D3" presStyleIdx="6" presStyleCnt="11"/>
      <dgm:spPr/>
      <dgm:t>
        <a:bodyPr/>
        <a:lstStyle/>
        <a:p>
          <a:endParaRPr lang="en-AU"/>
        </a:p>
      </dgm:t>
    </dgm:pt>
    <dgm:pt modelId="{E6DC442E-A4BE-4A5E-BCF8-7F3C65507585}" type="pres">
      <dgm:prSet presAssocID="{24C3F0D6-AF17-4DD5-ACC0-41DB5597550C}" presName="root2" presStyleCnt="0"/>
      <dgm:spPr/>
    </dgm:pt>
    <dgm:pt modelId="{EE43FD2C-768C-4214-B57F-F4968FDD23B4}" type="pres">
      <dgm:prSet presAssocID="{24C3F0D6-AF17-4DD5-ACC0-41DB5597550C}" presName="LevelTwoTextNode" presStyleLbl="node3" presStyleIdx="6" presStyleCnt="11" custScaleX="230803" custLinFactX="82252" custLinFactY="-200000" custLinFactNeighborX="100000" custLinFactNeighborY="-225663">
        <dgm:presLayoutVars>
          <dgm:chPref val="3"/>
        </dgm:presLayoutVars>
      </dgm:prSet>
      <dgm:spPr/>
      <dgm:t>
        <a:bodyPr/>
        <a:lstStyle/>
        <a:p>
          <a:endParaRPr lang="en-AU"/>
        </a:p>
      </dgm:t>
    </dgm:pt>
    <dgm:pt modelId="{98BBAB7D-BEFE-4859-A9AB-111723920B7C}" type="pres">
      <dgm:prSet presAssocID="{24C3F0D6-AF17-4DD5-ACC0-41DB5597550C}" presName="level3hierChild" presStyleCnt="0"/>
      <dgm:spPr/>
    </dgm:pt>
    <dgm:pt modelId="{C5DBC3BF-2A9C-43EE-823B-5691F8D15055}" type="pres">
      <dgm:prSet presAssocID="{4286FDB2-5121-4292-B515-0FBF44C461F8}" presName="conn2-1" presStyleLbl="parChTrans1D3" presStyleIdx="7" presStyleCnt="11"/>
      <dgm:spPr/>
      <dgm:t>
        <a:bodyPr/>
        <a:lstStyle/>
        <a:p>
          <a:endParaRPr lang="en-AU"/>
        </a:p>
      </dgm:t>
    </dgm:pt>
    <dgm:pt modelId="{C9C83460-3D75-41F8-99FC-F5D4E703DC2D}" type="pres">
      <dgm:prSet presAssocID="{4286FDB2-5121-4292-B515-0FBF44C461F8}" presName="connTx" presStyleLbl="parChTrans1D3" presStyleIdx="7" presStyleCnt="11"/>
      <dgm:spPr/>
      <dgm:t>
        <a:bodyPr/>
        <a:lstStyle/>
        <a:p>
          <a:endParaRPr lang="en-AU"/>
        </a:p>
      </dgm:t>
    </dgm:pt>
    <dgm:pt modelId="{A7593A20-29E8-4034-B7D2-1D8CF83910ED}" type="pres">
      <dgm:prSet presAssocID="{33BF7CB6-765F-4929-8FC8-292A6EB6B099}" presName="root2" presStyleCnt="0"/>
      <dgm:spPr/>
    </dgm:pt>
    <dgm:pt modelId="{1F8AA780-7F42-406C-868C-314F175B32E0}" type="pres">
      <dgm:prSet presAssocID="{33BF7CB6-765F-4929-8FC8-292A6EB6B099}" presName="LevelTwoTextNode" presStyleLbl="node3" presStyleIdx="7" presStyleCnt="11" custScaleX="230803" custLinFactX="82252" custLinFactY="-200000" custLinFactNeighborX="100000" custLinFactNeighborY="-235448">
        <dgm:presLayoutVars>
          <dgm:chPref val="3"/>
        </dgm:presLayoutVars>
      </dgm:prSet>
      <dgm:spPr/>
      <dgm:t>
        <a:bodyPr/>
        <a:lstStyle/>
        <a:p>
          <a:endParaRPr lang="en-AU"/>
        </a:p>
      </dgm:t>
    </dgm:pt>
    <dgm:pt modelId="{B0933590-1B7B-4D6C-A353-EE0A1C1CF958}" type="pres">
      <dgm:prSet presAssocID="{33BF7CB6-765F-4929-8FC8-292A6EB6B099}" presName="level3hierChild" presStyleCnt="0"/>
      <dgm:spPr/>
    </dgm:pt>
    <dgm:pt modelId="{1B2F6871-3F6F-47CC-8DCF-3C9144A98F90}" type="pres">
      <dgm:prSet presAssocID="{F9FE92B3-57F7-4218-8040-F8F9594D940F}" presName="conn2-1" presStyleLbl="parChTrans1D3" presStyleIdx="8" presStyleCnt="11"/>
      <dgm:spPr/>
      <dgm:t>
        <a:bodyPr/>
        <a:lstStyle/>
        <a:p>
          <a:endParaRPr lang="en-AU"/>
        </a:p>
      </dgm:t>
    </dgm:pt>
    <dgm:pt modelId="{4FE80E94-D8CD-47E0-8A2F-40651D18DAD6}" type="pres">
      <dgm:prSet presAssocID="{F9FE92B3-57F7-4218-8040-F8F9594D940F}" presName="connTx" presStyleLbl="parChTrans1D3" presStyleIdx="8" presStyleCnt="11"/>
      <dgm:spPr/>
      <dgm:t>
        <a:bodyPr/>
        <a:lstStyle/>
        <a:p>
          <a:endParaRPr lang="en-AU"/>
        </a:p>
      </dgm:t>
    </dgm:pt>
    <dgm:pt modelId="{87305BE1-6B22-4BE0-B475-95D9BB246440}" type="pres">
      <dgm:prSet presAssocID="{5CE1D7BC-B320-4F8D-A7A0-21AD9C769ADD}" presName="root2" presStyleCnt="0"/>
      <dgm:spPr/>
    </dgm:pt>
    <dgm:pt modelId="{7B7344D4-A1AB-42D5-8AE4-78DDDF19BAAF}" type="pres">
      <dgm:prSet presAssocID="{5CE1D7BC-B320-4F8D-A7A0-21AD9C769ADD}" presName="LevelTwoTextNode" presStyleLbl="node3" presStyleIdx="8" presStyleCnt="11" custScaleX="230803" custLinFactX="82252" custLinFactY="-200000" custLinFactNeighborX="100000" custLinFactNeighborY="-242785">
        <dgm:presLayoutVars>
          <dgm:chPref val="3"/>
        </dgm:presLayoutVars>
      </dgm:prSet>
      <dgm:spPr/>
      <dgm:t>
        <a:bodyPr/>
        <a:lstStyle/>
        <a:p>
          <a:endParaRPr lang="en-AU"/>
        </a:p>
      </dgm:t>
    </dgm:pt>
    <dgm:pt modelId="{086B710F-4086-4610-BEF7-52AE30EA437F}" type="pres">
      <dgm:prSet presAssocID="{5CE1D7BC-B320-4F8D-A7A0-21AD9C769ADD}" presName="level3hierChild" presStyleCnt="0"/>
      <dgm:spPr/>
    </dgm:pt>
    <dgm:pt modelId="{EA24AD74-025B-46D1-9B90-D1383F180CF9}" type="pres">
      <dgm:prSet presAssocID="{1E444F6A-2520-44AB-B9AB-662329FC5BA6}" presName="conn2-1" presStyleLbl="parChTrans1D3" presStyleIdx="9" presStyleCnt="11"/>
      <dgm:spPr/>
      <dgm:t>
        <a:bodyPr/>
        <a:lstStyle/>
        <a:p>
          <a:endParaRPr lang="en-AU"/>
        </a:p>
      </dgm:t>
    </dgm:pt>
    <dgm:pt modelId="{7D7A2659-696B-4E03-A50F-9172B06A25F1}" type="pres">
      <dgm:prSet presAssocID="{1E444F6A-2520-44AB-B9AB-662329FC5BA6}" presName="connTx" presStyleLbl="parChTrans1D3" presStyleIdx="9" presStyleCnt="11"/>
      <dgm:spPr/>
      <dgm:t>
        <a:bodyPr/>
        <a:lstStyle/>
        <a:p>
          <a:endParaRPr lang="en-AU"/>
        </a:p>
      </dgm:t>
    </dgm:pt>
    <dgm:pt modelId="{A76443B7-B752-4962-8FB7-424A8C52B4AB}" type="pres">
      <dgm:prSet presAssocID="{0CFC2CE6-0C64-4A37-BD61-283B95D38DB2}" presName="root2" presStyleCnt="0"/>
      <dgm:spPr/>
    </dgm:pt>
    <dgm:pt modelId="{8B7335E0-E6E0-4C51-B966-BD922885B303}" type="pres">
      <dgm:prSet presAssocID="{0CFC2CE6-0C64-4A37-BD61-283B95D38DB2}" presName="LevelTwoTextNode" presStyleLbl="node3" presStyleIdx="9" presStyleCnt="11" custScaleX="230803" custLinFactX="82252" custLinFactY="-200000" custLinFactNeighborX="100000" custLinFactNeighborY="-245231">
        <dgm:presLayoutVars>
          <dgm:chPref val="3"/>
        </dgm:presLayoutVars>
      </dgm:prSet>
      <dgm:spPr/>
      <dgm:t>
        <a:bodyPr/>
        <a:lstStyle/>
        <a:p>
          <a:endParaRPr lang="en-AU"/>
        </a:p>
      </dgm:t>
    </dgm:pt>
    <dgm:pt modelId="{229FD39D-2FB7-43FC-9560-BDAD42973B41}" type="pres">
      <dgm:prSet presAssocID="{0CFC2CE6-0C64-4A37-BD61-283B95D38DB2}" presName="level3hierChild" presStyleCnt="0"/>
      <dgm:spPr/>
    </dgm:pt>
    <dgm:pt modelId="{47ADCD80-E562-4D1E-AE3E-EDE0487A0336}" type="pres">
      <dgm:prSet presAssocID="{8EE9F16F-D041-47F4-AD13-7870B8429A72}" presName="conn2-1" presStyleLbl="parChTrans1D3" presStyleIdx="10" presStyleCnt="11"/>
      <dgm:spPr/>
      <dgm:t>
        <a:bodyPr/>
        <a:lstStyle/>
        <a:p>
          <a:endParaRPr lang="en-AU"/>
        </a:p>
      </dgm:t>
    </dgm:pt>
    <dgm:pt modelId="{9D4480FA-E62A-4A25-8052-2C7831F84D89}" type="pres">
      <dgm:prSet presAssocID="{8EE9F16F-D041-47F4-AD13-7870B8429A72}" presName="connTx" presStyleLbl="parChTrans1D3" presStyleIdx="10" presStyleCnt="11"/>
      <dgm:spPr/>
      <dgm:t>
        <a:bodyPr/>
        <a:lstStyle/>
        <a:p>
          <a:endParaRPr lang="en-AU"/>
        </a:p>
      </dgm:t>
    </dgm:pt>
    <dgm:pt modelId="{D889F536-3FC2-4D7C-BBC6-90B7EE88D26A}" type="pres">
      <dgm:prSet presAssocID="{A54A672A-74D1-484C-A470-37595D8FDC1E}" presName="root2" presStyleCnt="0"/>
      <dgm:spPr/>
    </dgm:pt>
    <dgm:pt modelId="{1CBF8050-9C53-48D3-8065-74BE68DF17AD}" type="pres">
      <dgm:prSet presAssocID="{A54A672A-74D1-484C-A470-37595D8FDC1E}" presName="LevelTwoTextNode" presStyleLbl="node3" presStyleIdx="10" presStyleCnt="11" custScaleX="230803" custLinFactX="82252" custLinFactY="-200000" custLinFactNeighborX="100000" custLinFactNeighborY="-235447">
        <dgm:presLayoutVars>
          <dgm:chPref val="3"/>
        </dgm:presLayoutVars>
      </dgm:prSet>
      <dgm:spPr/>
      <dgm:t>
        <a:bodyPr/>
        <a:lstStyle/>
        <a:p>
          <a:endParaRPr lang="en-AU"/>
        </a:p>
      </dgm:t>
    </dgm:pt>
    <dgm:pt modelId="{8FFE572F-BABC-486D-AE1C-88A767194FA6}" type="pres">
      <dgm:prSet presAssocID="{A54A672A-74D1-484C-A470-37595D8FDC1E}" presName="level3hierChild" presStyleCnt="0"/>
      <dgm:spPr/>
    </dgm:pt>
  </dgm:ptLst>
  <dgm:cxnLst>
    <dgm:cxn modelId="{5AD1EDC2-90B5-4373-B3B2-3C31B4CEE852}" type="presOf" srcId="{F9FE92B3-57F7-4218-8040-F8F9594D940F}" destId="{1B2F6871-3F6F-47CC-8DCF-3C9144A98F90}" srcOrd="0" destOrd="0" presId="urn:microsoft.com/office/officeart/2005/8/layout/hierarchy2"/>
    <dgm:cxn modelId="{94D5F502-CFD6-49C3-8E25-906CCB55DB08}" type="presOf" srcId="{F5299218-EC46-43F4-9B6E-C4D0EA531358}" destId="{4F89D3BC-8856-4966-B480-C274CA212C3F}" srcOrd="0" destOrd="0" presId="urn:microsoft.com/office/officeart/2005/8/layout/hierarchy2"/>
    <dgm:cxn modelId="{D2397455-F04B-47B4-8948-3DFD6372C983}" type="presOf" srcId="{0113FFA8-25C1-4A52-BEAA-BB5180BD79CE}" destId="{5B9E13EB-4A07-44D4-B9F8-2580B2166D78}" srcOrd="0" destOrd="0" presId="urn:microsoft.com/office/officeart/2005/8/layout/hierarchy2"/>
    <dgm:cxn modelId="{69DB352A-9E78-4E18-B04F-A82775935A50}" srcId="{D6E6CC79-9312-41E2-AEF9-8429C4584C04}" destId="{0610651F-26BA-45D8-BBD3-6D03E873F8DE}" srcOrd="1" destOrd="0" parTransId="{0113FFA8-25C1-4A52-BEAA-BB5180BD79CE}" sibTransId="{06AFCC71-5D98-4D7A-86AB-69BD10E2286C}"/>
    <dgm:cxn modelId="{6CEBA3D9-A652-4AA3-AF16-E406C1805A93}" type="presOf" srcId="{112DACCE-1CB1-4C56-969D-39F352EA12A4}" destId="{71B2D44D-13B6-48D3-A082-CC97B05337EE}" srcOrd="0" destOrd="0" presId="urn:microsoft.com/office/officeart/2005/8/layout/hierarchy2"/>
    <dgm:cxn modelId="{D3AB944A-6281-486C-B9B0-FC5F0099C8AD}" type="presOf" srcId="{A54A672A-74D1-484C-A470-37595D8FDC1E}" destId="{1CBF8050-9C53-48D3-8065-74BE68DF17AD}" srcOrd="0" destOrd="0" presId="urn:microsoft.com/office/officeart/2005/8/layout/hierarchy2"/>
    <dgm:cxn modelId="{2246A5B7-77BF-4D73-903A-33ADE3A4A055}" type="presOf" srcId="{F616DCB5-E03F-4180-B9FD-C55E7FEAF30F}" destId="{3047A372-3676-4643-972C-5B855CD9C365}" srcOrd="0" destOrd="0" presId="urn:microsoft.com/office/officeart/2005/8/layout/hierarchy2"/>
    <dgm:cxn modelId="{FFC891A3-1A9F-4976-A33E-5927D088BD8C}" type="presOf" srcId="{0113FFA8-25C1-4A52-BEAA-BB5180BD79CE}" destId="{2343E803-04C8-4A43-A90E-17F922B963C1}" srcOrd="1" destOrd="0" presId="urn:microsoft.com/office/officeart/2005/8/layout/hierarchy2"/>
    <dgm:cxn modelId="{86AAFC37-3539-4834-8481-D607B5AB3466}" type="presOf" srcId="{24C3F0D6-AF17-4DD5-ACC0-41DB5597550C}" destId="{EE43FD2C-768C-4214-B57F-F4968FDD23B4}" srcOrd="0" destOrd="0" presId="urn:microsoft.com/office/officeart/2005/8/layout/hierarchy2"/>
    <dgm:cxn modelId="{E0722838-9096-478D-B765-FDBC50B7DA13}" type="presOf" srcId="{58C85757-03D5-456F-92F7-5239C4751A88}" destId="{0149CB7C-B012-4D12-90D8-C5B4512207BC}" srcOrd="0" destOrd="0" presId="urn:microsoft.com/office/officeart/2005/8/layout/hierarchy2"/>
    <dgm:cxn modelId="{AAA5FCD3-DC2B-48F0-9C3C-EA235001F0A3}" srcId="{03A6995C-0DB3-4AEC-BC08-36714B01C045}" destId="{E17D3638-7046-4D46-B4FB-285B3EE8BDFC}" srcOrd="0" destOrd="0" parTransId="{B26C19C1-404D-4BDA-A05E-2EE4480DF474}" sibTransId="{18C27DFC-9864-4901-84F8-E99D8ABF880B}"/>
    <dgm:cxn modelId="{0EEF0CC2-8F0B-48F4-B15C-6B4CB606F24F}" srcId="{03A6995C-0DB3-4AEC-BC08-36714B01C045}" destId="{624ADB55-5A6D-4F7A-B07F-9B3261BD5A2B}" srcOrd="2" destOrd="0" parTransId="{112DACCE-1CB1-4C56-969D-39F352EA12A4}" sibTransId="{1D6C9642-BC9D-4BFF-9111-FE208BF9C42E}"/>
    <dgm:cxn modelId="{9D139AF4-265A-4EDD-86CA-168D6DCE1E24}" type="presOf" srcId="{D6E6CC79-9312-41E2-AEF9-8429C4584C04}" destId="{B2B913E9-2B22-46E1-A9AE-B1A942644FE4}" srcOrd="0" destOrd="0" presId="urn:microsoft.com/office/officeart/2005/8/layout/hierarchy2"/>
    <dgm:cxn modelId="{A53F0421-E978-4F10-AF5C-4129B52F85A0}" type="presOf" srcId="{8EE9F16F-D041-47F4-AD13-7870B8429A72}" destId="{47ADCD80-E562-4D1E-AE3E-EDE0487A0336}" srcOrd="0" destOrd="0" presId="urn:microsoft.com/office/officeart/2005/8/layout/hierarchy2"/>
    <dgm:cxn modelId="{2BEC97D0-CF09-4CB0-B386-E127FD92AB25}" type="presOf" srcId="{1E444F6A-2520-44AB-B9AB-662329FC5BA6}" destId="{EA24AD74-025B-46D1-9B90-D1383F180CF9}" srcOrd="0" destOrd="0" presId="urn:microsoft.com/office/officeart/2005/8/layout/hierarchy2"/>
    <dgm:cxn modelId="{F24FF372-7A4D-4328-B70A-0021693588FE}" srcId="{0610651F-26BA-45D8-BBD3-6D03E873F8DE}" destId="{A54A672A-74D1-484C-A470-37595D8FDC1E}" srcOrd="6" destOrd="0" parTransId="{8EE9F16F-D041-47F4-AD13-7870B8429A72}" sibTransId="{B3AA9FE9-BEC0-4671-94C3-227C23A44BA1}"/>
    <dgm:cxn modelId="{5A6DBEF6-93C7-4743-A979-AE93CC51A54D}" type="presOf" srcId="{BC917E11-9352-463B-AE56-2B1F51357676}" destId="{C63E68B9-E7E3-4625-B537-91421E68B408}" srcOrd="0" destOrd="0" presId="urn:microsoft.com/office/officeart/2005/8/layout/hierarchy2"/>
    <dgm:cxn modelId="{5D9F9823-0540-4A4B-8ADB-971C279E719A}" srcId="{03A6995C-0DB3-4AEC-BC08-36714B01C045}" destId="{11935A22-0138-441A-8420-1EDD013402AB}" srcOrd="3" destOrd="0" parTransId="{A6A46348-BA06-42EB-8CD7-8D33D505C027}" sibTransId="{AB979385-68A3-4064-92D1-8DCC6C0B10AB}"/>
    <dgm:cxn modelId="{76D910C1-9A46-4A50-A564-BE4DE04E57FE}" type="presOf" srcId="{33BF7CB6-765F-4929-8FC8-292A6EB6B099}" destId="{1F8AA780-7F42-406C-868C-314F175B32E0}" srcOrd="0" destOrd="0" presId="urn:microsoft.com/office/officeart/2005/8/layout/hierarchy2"/>
    <dgm:cxn modelId="{5EE217FF-EC35-4640-9AF7-487B37CCA349}" type="presOf" srcId="{F9FE92B3-57F7-4218-8040-F8F9594D940F}" destId="{4FE80E94-D8CD-47E0-8A2F-40651D18DAD6}" srcOrd="1" destOrd="0" presId="urn:microsoft.com/office/officeart/2005/8/layout/hierarchy2"/>
    <dgm:cxn modelId="{05C779FE-4B3F-4E36-A7B5-9A3EA8489DE5}" srcId="{0610651F-26BA-45D8-BBD3-6D03E873F8DE}" destId="{5CE1D7BC-B320-4F8D-A7A0-21AD9C769ADD}" srcOrd="4" destOrd="0" parTransId="{F9FE92B3-57F7-4218-8040-F8F9594D940F}" sibTransId="{92F9EBB5-E5BF-4FBE-A21B-DDEFDB9FD196}"/>
    <dgm:cxn modelId="{BE5A3AF9-2ED6-4D50-9AC6-002157DC1BEA}" srcId="{F616DCB5-E03F-4180-B9FD-C55E7FEAF30F}" destId="{D6E6CC79-9312-41E2-AEF9-8429C4584C04}" srcOrd="0" destOrd="0" parTransId="{065857FB-C683-4695-A0F2-6416FC0C3D1C}" sibTransId="{0DC70160-D3F2-4279-B32C-1399D47F82E0}"/>
    <dgm:cxn modelId="{A4254163-07E8-4666-8259-DD8CA15B6094}" srcId="{0610651F-26BA-45D8-BBD3-6D03E873F8DE}" destId="{0CFC2CE6-0C64-4A37-BD61-283B95D38DB2}" srcOrd="5" destOrd="0" parTransId="{1E444F6A-2520-44AB-B9AB-662329FC5BA6}" sibTransId="{690F53D9-C2F7-4869-A0AA-849AD5CB993B}"/>
    <dgm:cxn modelId="{536F4A0C-F8DB-47D5-97D1-74C5E86ED7B1}" type="presOf" srcId="{67EF6899-CAFC-4082-8A0E-E3743BF7E422}" destId="{E99E4F70-DD57-4F49-A293-6D80AC5F7BCD}" srcOrd="1" destOrd="0" presId="urn:microsoft.com/office/officeart/2005/8/layout/hierarchy2"/>
    <dgm:cxn modelId="{9CF11D15-A41E-43B6-A9BD-E017A458D7EA}" type="presOf" srcId="{4286FDB2-5121-4292-B515-0FBF44C461F8}" destId="{C5DBC3BF-2A9C-43EE-823B-5691F8D15055}" srcOrd="0" destOrd="0" presId="urn:microsoft.com/office/officeart/2005/8/layout/hierarchy2"/>
    <dgm:cxn modelId="{D5C4BDB8-092C-4C64-AB0B-FE07DF418404}" type="presOf" srcId="{624ADB55-5A6D-4F7A-B07F-9B3261BD5A2B}" destId="{C282A957-D8F6-44DA-AC15-8673AC486648}" srcOrd="0" destOrd="0" presId="urn:microsoft.com/office/officeart/2005/8/layout/hierarchy2"/>
    <dgm:cxn modelId="{716BE7C0-193A-4C82-80CC-29618822D50D}" srcId="{0610651F-26BA-45D8-BBD3-6D03E873F8DE}" destId="{DDFDC004-FD3B-4FC3-863B-E2A811281308}" srcOrd="1" destOrd="0" parTransId="{BC917E11-9352-463B-AE56-2B1F51357676}" sibTransId="{88E3A47D-BA61-425C-8161-09E07186F91E}"/>
    <dgm:cxn modelId="{7A35D4FF-2726-4CFD-9B50-629A4465531F}" type="presOf" srcId="{5CE1D7BC-B320-4F8D-A7A0-21AD9C769ADD}" destId="{7B7344D4-A1AB-42D5-8AE4-78DDDF19BAAF}" srcOrd="0" destOrd="0" presId="urn:microsoft.com/office/officeart/2005/8/layout/hierarchy2"/>
    <dgm:cxn modelId="{61851DFA-E986-49D6-8740-AF6057AF21D9}" type="presOf" srcId="{A6A46348-BA06-42EB-8CD7-8D33D505C027}" destId="{40E17F09-8D4A-4335-BE58-90F4003FA51B}" srcOrd="1" destOrd="0" presId="urn:microsoft.com/office/officeart/2005/8/layout/hierarchy2"/>
    <dgm:cxn modelId="{5AB5E85C-CD79-411B-B335-28BFA677BF4D}" type="presOf" srcId="{0610651F-26BA-45D8-BBD3-6D03E873F8DE}" destId="{875762A5-10F6-4CEB-B05C-FE327985B585}" srcOrd="0" destOrd="0" presId="urn:microsoft.com/office/officeart/2005/8/layout/hierarchy2"/>
    <dgm:cxn modelId="{9ADB4125-B594-4FF3-85B6-4CB0E658B6D9}" type="presOf" srcId="{0CFC2CE6-0C64-4A37-BD61-283B95D38DB2}" destId="{8B7335E0-E6E0-4C51-B966-BD922885B303}" srcOrd="0" destOrd="0" presId="urn:microsoft.com/office/officeart/2005/8/layout/hierarchy2"/>
    <dgm:cxn modelId="{FB723476-AF9B-47EF-9844-ADA1D6E86429}" type="presOf" srcId="{DDFDC004-FD3B-4FC3-863B-E2A811281308}" destId="{75701D2D-2146-4D01-9C10-7A52590F4E06}" srcOrd="0" destOrd="0" presId="urn:microsoft.com/office/officeart/2005/8/layout/hierarchy2"/>
    <dgm:cxn modelId="{3350CEC7-A136-456B-8B04-15D04592EC58}" type="presOf" srcId="{112DACCE-1CB1-4C56-969D-39F352EA12A4}" destId="{BE2EB2CA-ED8A-4917-9B33-D5CDEC037F30}" srcOrd="1" destOrd="0" presId="urn:microsoft.com/office/officeart/2005/8/layout/hierarchy2"/>
    <dgm:cxn modelId="{3D293079-B1B9-411E-B916-B2D347DB8091}" type="presOf" srcId="{789EF10C-FC7A-4C8D-A06B-EA564182B316}" destId="{0C65EACA-04BD-47C0-B72C-46DE8B32BE3A}" srcOrd="1" destOrd="0" presId="urn:microsoft.com/office/officeart/2005/8/layout/hierarchy2"/>
    <dgm:cxn modelId="{03ECBBBC-A896-433E-A316-9B4B1B75B145}" srcId="{03A6995C-0DB3-4AEC-BC08-36714B01C045}" destId="{9BA36EDC-300D-4B17-A6A6-D763053D6915}" srcOrd="1" destOrd="0" parTransId="{789EF10C-FC7A-4C8D-A06B-EA564182B316}" sibTransId="{85D432E1-F295-4060-89B2-1C9DE6F6646F}"/>
    <dgm:cxn modelId="{216125FD-840C-4BA0-B6AB-4A49C57D4DC7}" srcId="{0610651F-26BA-45D8-BBD3-6D03E873F8DE}" destId="{33BF7CB6-765F-4929-8FC8-292A6EB6B099}" srcOrd="3" destOrd="0" parTransId="{4286FDB2-5121-4292-B515-0FBF44C461F8}" sibTransId="{7D6AAD95-3133-4AB1-8C94-6F8DF04962CC}"/>
    <dgm:cxn modelId="{DB474D52-E2BF-40CF-9407-8EE0675DFE48}" type="presOf" srcId="{8EE9F16F-D041-47F4-AD13-7870B8429A72}" destId="{9D4480FA-E62A-4A25-8052-2C7831F84D89}" srcOrd="1" destOrd="0" presId="urn:microsoft.com/office/officeart/2005/8/layout/hierarchy2"/>
    <dgm:cxn modelId="{480909A8-A2DA-4801-A5DF-C62B9A11CC59}" type="presOf" srcId="{D3ABCDC3-2964-49DE-9BC7-C1B662B0C143}" destId="{B64A8438-B8AA-43C4-B2D0-20D915239F73}" srcOrd="0" destOrd="0" presId="urn:microsoft.com/office/officeart/2005/8/layout/hierarchy2"/>
    <dgm:cxn modelId="{3C71C01D-1765-43EF-AAD3-2B87A8055D0C}" type="presOf" srcId="{A6A46348-BA06-42EB-8CD7-8D33D505C027}" destId="{88699EBC-A95C-4912-B78D-5C173C442864}" srcOrd="0" destOrd="0" presId="urn:microsoft.com/office/officeart/2005/8/layout/hierarchy2"/>
    <dgm:cxn modelId="{ED2887FD-2C81-4AE1-861C-1F63C509326F}" type="presOf" srcId="{B26C19C1-404D-4BDA-A05E-2EE4480DF474}" destId="{17E8CDE1-9C9B-4086-A232-C2933ACBD175}" srcOrd="1" destOrd="0" presId="urn:microsoft.com/office/officeart/2005/8/layout/hierarchy2"/>
    <dgm:cxn modelId="{AD53AD6A-3B63-4E62-A09D-B56D3937CB30}" type="presOf" srcId="{03A6995C-0DB3-4AEC-BC08-36714B01C045}" destId="{0BF15231-BC49-4C79-90E0-CAD620DEB7DB}" srcOrd="0" destOrd="0" presId="urn:microsoft.com/office/officeart/2005/8/layout/hierarchy2"/>
    <dgm:cxn modelId="{33FA9ACF-3D37-4481-A594-47FEAC697432}" srcId="{0610651F-26BA-45D8-BBD3-6D03E873F8DE}" destId="{24C3F0D6-AF17-4DD5-ACC0-41DB5597550C}" srcOrd="2" destOrd="0" parTransId="{67EF6899-CAFC-4082-8A0E-E3743BF7E422}" sibTransId="{83BEC6FD-5CB6-4B1A-B4BE-3307447D3080}"/>
    <dgm:cxn modelId="{36AEEB8E-06D6-459D-BF13-89DF06841C2E}" type="presOf" srcId="{9BA36EDC-300D-4B17-A6A6-D763053D6915}" destId="{304CD7FC-6006-4DC8-8338-B69D04ED449A}" srcOrd="0" destOrd="0" presId="urn:microsoft.com/office/officeart/2005/8/layout/hierarchy2"/>
    <dgm:cxn modelId="{CEB66303-9199-4EF4-B636-13401476339A}" type="presOf" srcId="{B26C19C1-404D-4BDA-A05E-2EE4480DF474}" destId="{BE734A3C-C0B2-4261-BD45-716B722C2FD3}" srcOrd="0" destOrd="0" presId="urn:microsoft.com/office/officeart/2005/8/layout/hierarchy2"/>
    <dgm:cxn modelId="{17BD1147-87FD-4EF0-82C3-DDCA55BC2BA7}" type="presOf" srcId="{4286FDB2-5121-4292-B515-0FBF44C461F8}" destId="{C9C83460-3D75-41F8-99FC-F5D4E703DC2D}" srcOrd="1" destOrd="0" presId="urn:microsoft.com/office/officeart/2005/8/layout/hierarchy2"/>
    <dgm:cxn modelId="{A0A69968-8883-4955-92F2-228D0EB75D93}" type="presOf" srcId="{1E444F6A-2520-44AB-B9AB-662329FC5BA6}" destId="{7D7A2659-696B-4E03-A50F-9172B06A25F1}" srcOrd="1" destOrd="0" presId="urn:microsoft.com/office/officeart/2005/8/layout/hierarchy2"/>
    <dgm:cxn modelId="{0324AF49-BF46-480E-BB34-06C4C69593AF}" type="presOf" srcId="{789EF10C-FC7A-4C8D-A06B-EA564182B316}" destId="{8735404E-464C-46ED-9414-6525EE202B8D}" srcOrd="0" destOrd="0" presId="urn:microsoft.com/office/officeart/2005/8/layout/hierarchy2"/>
    <dgm:cxn modelId="{421BE79E-A27A-47B7-AA70-B2DB50614C74}" type="presOf" srcId="{11935A22-0138-441A-8420-1EDD013402AB}" destId="{89D8F98B-853F-4A8F-849E-86002DE0679E}" srcOrd="0" destOrd="0" presId="urn:microsoft.com/office/officeart/2005/8/layout/hierarchy2"/>
    <dgm:cxn modelId="{8F58A897-9DF9-4034-B5D2-26CBBA14EA8D}" type="presOf" srcId="{BC917E11-9352-463B-AE56-2B1F51357676}" destId="{2C6226C2-DF6B-47BD-879B-FCF4CE7C8E55}" srcOrd="1" destOrd="0" presId="urn:microsoft.com/office/officeart/2005/8/layout/hierarchy2"/>
    <dgm:cxn modelId="{F7FD6E4F-D54D-49C5-A53A-2EADE836A2A8}" srcId="{0610651F-26BA-45D8-BBD3-6D03E873F8DE}" destId="{F5299218-EC46-43F4-9B6E-C4D0EA531358}" srcOrd="0" destOrd="0" parTransId="{58C85757-03D5-456F-92F7-5239C4751A88}" sibTransId="{8EE401C5-1077-43E0-A260-00F0964397D4}"/>
    <dgm:cxn modelId="{8EF4C357-C401-4D82-A7AF-B624FE0D3A36}" type="presOf" srcId="{E17D3638-7046-4D46-B4FB-285B3EE8BDFC}" destId="{768D507C-731E-42F3-9083-0BB611DAE481}" srcOrd="0" destOrd="0" presId="urn:microsoft.com/office/officeart/2005/8/layout/hierarchy2"/>
    <dgm:cxn modelId="{892EE002-DCA0-46E0-B4C9-5AE61A8281ED}" type="presOf" srcId="{58C85757-03D5-456F-92F7-5239C4751A88}" destId="{E70BF5A0-59E0-4881-9129-5C4F02A1D6AA}" srcOrd="1" destOrd="0" presId="urn:microsoft.com/office/officeart/2005/8/layout/hierarchy2"/>
    <dgm:cxn modelId="{7E4A0652-5DAB-421E-A04A-FE98848D2F69}" srcId="{D6E6CC79-9312-41E2-AEF9-8429C4584C04}" destId="{03A6995C-0DB3-4AEC-BC08-36714B01C045}" srcOrd="0" destOrd="0" parTransId="{D3ABCDC3-2964-49DE-9BC7-C1B662B0C143}" sibTransId="{ABF5BEFB-75EE-472F-BDC0-CB7C90BCF5BB}"/>
    <dgm:cxn modelId="{75DFC1A6-A5DB-4A1C-92FD-954F263A4ABE}" type="presOf" srcId="{D3ABCDC3-2964-49DE-9BC7-C1B662B0C143}" destId="{6C45037E-0EBC-4E32-A9D6-C84042F062C9}" srcOrd="1" destOrd="0" presId="urn:microsoft.com/office/officeart/2005/8/layout/hierarchy2"/>
    <dgm:cxn modelId="{CCF5C471-06BB-4E0D-866B-567814EF402F}" type="presOf" srcId="{67EF6899-CAFC-4082-8A0E-E3743BF7E422}" destId="{335B2B7E-5870-4E84-A054-0C5CF65B4CEA}" srcOrd="0" destOrd="0" presId="urn:microsoft.com/office/officeart/2005/8/layout/hierarchy2"/>
    <dgm:cxn modelId="{75835B26-5C43-45AD-B856-6563E880E6C1}" type="presParOf" srcId="{3047A372-3676-4643-972C-5B855CD9C365}" destId="{790043AA-B8B1-4432-887B-AB0D644D0572}" srcOrd="0" destOrd="0" presId="urn:microsoft.com/office/officeart/2005/8/layout/hierarchy2"/>
    <dgm:cxn modelId="{30584B0F-9485-4866-9C93-FEE134C158F3}" type="presParOf" srcId="{790043AA-B8B1-4432-887B-AB0D644D0572}" destId="{B2B913E9-2B22-46E1-A9AE-B1A942644FE4}" srcOrd="0" destOrd="0" presId="urn:microsoft.com/office/officeart/2005/8/layout/hierarchy2"/>
    <dgm:cxn modelId="{53B1C58F-A4A0-4BD6-9FA3-CE23867EA6AC}" type="presParOf" srcId="{790043AA-B8B1-4432-887B-AB0D644D0572}" destId="{EBD4002D-D220-4565-9A56-12761C149DE1}" srcOrd="1" destOrd="0" presId="urn:microsoft.com/office/officeart/2005/8/layout/hierarchy2"/>
    <dgm:cxn modelId="{87D92AAC-3338-4EB0-BF2E-45E95B6DADB2}" type="presParOf" srcId="{EBD4002D-D220-4565-9A56-12761C149DE1}" destId="{B64A8438-B8AA-43C4-B2D0-20D915239F73}" srcOrd="0" destOrd="0" presId="urn:microsoft.com/office/officeart/2005/8/layout/hierarchy2"/>
    <dgm:cxn modelId="{A064FE28-3CEB-4FA1-A070-DA14F38F84DF}" type="presParOf" srcId="{B64A8438-B8AA-43C4-B2D0-20D915239F73}" destId="{6C45037E-0EBC-4E32-A9D6-C84042F062C9}" srcOrd="0" destOrd="0" presId="urn:microsoft.com/office/officeart/2005/8/layout/hierarchy2"/>
    <dgm:cxn modelId="{B80AFD20-95F9-486B-8F09-89DAD874FBD7}" type="presParOf" srcId="{EBD4002D-D220-4565-9A56-12761C149DE1}" destId="{00424E58-80C7-47CF-A22E-3FEB535FD55C}" srcOrd="1" destOrd="0" presId="urn:microsoft.com/office/officeart/2005/8/layout/hierarchy2"/>
    <dgm:cxn modelId="{A3FAD0DE-25C1-479E-9F56-D1DB403910AA}" type="presParOf" srcId="{00424E58-80C7-47CF-A22E-3FEB535FD55C}" destId="{0BF15231-BC49-4C79-90E0-CAD620DEB7DB}" srcOrd="0" destOrd="0" presId="urn:microsoft.com/office/officeart/2005/8/layout/hierarchy2"/>
    <dgm:cxn modelId="{674ADBF4-DA8A-47AA-B65C-A4A50E2ED5F7}" type="presParOf" srcId="{00424E58-80C7-47CF-A22E-3FEB535FD55C}" destId="{44CCABF5-1D45-45B1-A5E4-45680CC1F94E}" srcOrd="1" destOrd="0" presId="urn:microsoft.com/office/officeart/2005/8/layout/hierarchy2"/>
    <dgm:cxn modelId="{DA7BA75C-C294-41E6-A93B-81AE4D6781E5}" type="presParOf" srcId="{44CCABF5-1D45-45B1-A5E4-45680CC1F94E}" destId="{BE734A3C-C0B2-4261-BD45-716B722C2FD3}" srcOrd="0" destOrd="0" presId="urn:microsoft.com/office/officeart/2005/8/layout/hierarchy2"/>
    <dgm:cxn modelId="{7D6F7778-50A1-4A8C-B529-491061E45A46}" type="presParOf" srcId="{BE734A3C-C0B2-4261-BD45-716B722C2FD3}" destId="{17E8CDE1-9C9B-4086-A232-C2933ACBD175}" srcOrd="0" destOrd="0" presId="urn:microsoft.com/office/officeart/2005/8/layout/hierarchy2"/>
    <dgm:cxn modelId="{2D1D3ED0-F054-483A-818E-D161B63DD6A9}" type="presParOf" srcId="{44CCABF5-1D45-45B1-A5E4-45680CC1F94E}" destId="{BB669EF6-6C7D-429B-860E-E0468A9F1AFB}" srcOrd="1" destOrd="0" presId="urn:microsoft.com/office/officeart/2005/8/layout/hierarchy2"/>
    <dgm:cxn modelId="{D9636936-0D0E-4707-9770-1A25B4F227CF}" type="presParOf" srcId="{BB669EF6-6C7D-429B-860E-E0468A9F1AFB}" destId="{768D507C-731E-42F3-9083-0BB611DAE481}" srcOrd="0" destOrd="0" presId="urn:microsoft.com/office/officeart/2005/8/layout/hierarchy2"/>
    <dgm:cxn modelId="{EBF59034-7CD5-4CDC-A9DE-28DC543D9FD8}" type="presParOf" srcId="{BB669EF6-6C7D-429B-860E-E0468A9F1AFB}" destId="{CEBBFF2C-71C8-464A-B3A3-D96E5B1A8626}" srcOrd="1" destOrd="0" presId="urn:microsoft.com/office/officeart/2005/8/layout/hierarchy2"/>
    <dgm:cxn modelId="{DFC01F1E-0E2C-47F2-A815-AE33C12A0BAB}" type="presParOf" srcId="{44CCABF5-1D45-45B1-A5E4-45680CC1F94E}" destId="{8735404E-464C-46ED-9414-6525EE202B8D}" srcOrd="2" destOrd="0" presId="urn:microsoft.com/office/officeart/2005/8/layout/hierarchy2"/>
    <dgm:cxn modelId="{4A3D92DF-8BF1-45DC-AD24-E65836DE1D44}" type="presParOf" srcId="{8735404E-464C-46ED-9414-6525EE202B8D}" destId="{0C65EACA-04BD-47C0-B72C-46DE8B32BE3A}" srcOrd="0" destOrd="0" presId="urn:microsoft.com/office/officeart/2005/8/layout/hierarchy2"/>
    <dgm:cxn modelId="{BC481A12-4D5C-4011-B453-3CCED22DEBB2}" type="presParOf" srcId="{44CCABF5-1D45-45B1-A5E4-45680CC1F94E}" destId="{7C21F407-731D-47B5-B50B-CE98908D639A}" srcOrd="3" destOrd="0" presId="urn:microsoft.com/office/officeart/2005/8/layout/hierarchy2"/>
    <dgm:cxn modelId="{4237369D-A7B1-4319-BA56-4D76413CD7BE}" type="presParOf" srcId="{7C21F407-731D-47B5-B50B-CE98908D639A}" destId="{304CD7FC-6006-4DC8-8338-B69D04ED449A}" srcOrd="0" destOrd="0" presId="urn:microsoft.com/office/officeart/2005/8/layout/hierarchy2"/>
    <dgm:cxn modelId="{3B5A2B36-B4DB-492C-9692-12FDA9ACA651}" type="presParOf" srcId="{7C21F407-731D-47B5-B50B-CE98908D639A}" destId="{1DC4E926-CA38-4CB0-AC07-5C8A3161EEE9}" srcOrd="1" destOrd="0" presId="urn:microsoft.com/office/officeart/2005/8/layout/hierarchy2"/>
    <dgm:cxn modelId="{18F435C8-F278-4594-B54F-488FFB57491E}" type="presParOf" srcId="{44CCABF5-1D45-45B1-A5E4-45680CC1F94E}" destId="{71B2D44D-13B6-48D3-A082-CC97B05337EE}" srcOrd="4" destOrd="0" presId="urn:microsoft.com/office/officeart/2005/8/layout/hierarchy2"/>
    <dgm:cxn modelId="{01B9C723-E9C4-4107-9EB9-BC2DF3742F32}" type="presParOf" srcId="{71B2D44D-13B6-48D3-A082-CC97B05337EE}" destId="{BE2EB2CA-ED8A-4917-9B33-D5CDEC037F30}" srcOrd="0" destOrd="0" presId="urn:microsoft.com/office/officeart/2005/8/layout/hierarchy2"/>
    <dgm:cxn modelId="{5F3FAA1A-B147-47D3-B9B4-6B4AF2AB9B17}" type="presParOf" srcId="{44CCABF5-1D45-45B1-A5E4-45680CC1F94E}" destId="{7BEB19C9-9DAD-4CB6-B214-231F0D98F10E}" srcOrd="5" destOrd="0" presId="urn:microsoft.com/office/officeart/2005/8/layout/hierarchy2"/>
    <dgm:cxn modelId="{5E8C67DD-9CE4-4F2F-90F9-1233900C19CC}" type="presParOf" srcId="{7BEB19C9-9DAD-4CB6-B214-231F0D98F10E}" destId="{C282A957-D8F6-44DA-AC15-8673AC486648}" srcOrd="0" destOrd="0" presId="urn:microsoft.com/office/officeart/2005/8/layout/hierarchy2"/>
    <dgm:cxn modelId="{40F254B3-1D35-4428-92DB-B7531CD10307}" type="presParOf" srcId="{7BEB19C9-9DAD-4CB6-B214-231F0D98F10E}" destId="{B67DEED7-2D72-453A-B59C-87D89E822B14}" srcOrd="1" destOrd="0" presId="urn:microsoft.com/office/officeart/2005/8/layout/hierarchy2"/>
    <dgm:cxn modelId="{0CA3D1EE-DD46-4902-98EF-78BD80FEDC2E}" type="presParOf" srcId="{44CCABF5-1D45-45B1-A5E4-45680CC1F94E}" destId="{88699EBC-A95C-4912-B78D-5C173C442864}" srcOrd="6" destOrd="0" presId="urn:microsoft.com/office/officeart/2005/8/layout/hierarchy2"/>
    <dgm:cxn modelId="{97D1B8AF-3B6A-442C-8164-2C3EBACA464C}" type="presParOf" srcId="{88699EBC-A95C-4912-B78D-5C173C442864}" destId="{40E17F09-8D4A-4335-BE58-90F4003FA51B}" srcOrd="0" destOrd="0" presId="urn:microsoft.com/office/officeart/2005/8/layout/hierarchy2"/>
    <dgm:cxn modelId="{EC832310-3CF0-4065-83F5-463D8E2D879B}" type="presParOf" srcId="{44CCABF5-1D45-45B1-A5E4-45680CC1F94E}" destId="{5C856193-A39C-4CA8-A8D8-5F360632ABC0}" srcOrd="7" destOrd="0" presId="urn:microsoft.com/office/officeart/2005/8/layout/hierarchy2"/>
    <dgm:cxn modelId="{287444AF-337F-4AF5-BEFF-DCA2DD5220F2}" type="presParOf" srcId="{5C856193-A39C-4CA8-A8D8-5F360632ABC0}" destId="{89D8F98B-853F-4A8F-849E-86002DE0679E}" srcOrd="0" destOrd="0" presId="urn:microsoft.com/office/officeart/2005/8/layout/hierarchy2"/>
    <dgm:cxn modelId="{0710783E-3E5D-4F80-9E92-1C4B208A8CD5}" type="presParOf" srcId="{5C856193-A39C-4CA8-A8D8-5F360632ABC0}" destId="{E7F94B54-C7B3-474A-8B31-446B1D9DBBB8}" srcOrd="1" destOrd="0" presId="urn:microsoft.com/office/officeart/2005/8/layout/hierarchy2"/>
    <dgm:cxn modelId="{3F74AE64-899F-46E1-9E55-66BC07036BAE}" type="presParOf" srcId="{EBD4002D-D220-4565-9A56-12761C149DE1}" destId="{5B9E13EB-4A07-44D4-B9F8-2580B2166D78}" srcOrd="2" destOrd="0" presId="urn:microsoft.com/office/officeart/2005/8/layout/hierarchy2"/>
    <dgm:cxn modelId="{E35FCDA9-5629-4C7C-96DD-1BC5F67B665F}" type="presParOf" srcId="{5B9E13EB-4A07-44D4-B9F8-2580B2166D78}" destId="{2343E803-04C8-4A43-A90E-17F922B963C1}" srcOrd="0" destOrd="0" presId="urn:microsoft.com/office/officeart/2005/8/layout/hierarchy2"/>
    <dgm:cxn modelId="{D90EEC77-AD8E-48DD-BE54-EE699EBF343A}" type="presParOf" srcId="{EBD4002D-D220-4565-9A56-12761C149DE1}" destId="{5071898A-8691-4D07-A15D-164B2D383FC3}" srcOrd="3" destOrd="0" presId="urn:microsoft.com/office/officeart/2005/8/layout/hierarchy2"/>
    <dgm:cxn modelId="{20B535ED-4863-424B-8ADB-6691BF6914CC}" type="presParOf" srcId="{5071898A-8691-4D07-A15D-164B2D383FC3}" destId="{875762A5-10F6-4CEB-B05C-FE327985B585}" srcOrd="0" destOrd="0" presId="urn:microsoft.com/office/officeart/2005/8/layout/hierarchy2"/>
    <dgm:cxn modelId="{78BA9AA8-1926-44CA-B346-54EF9F2CF5A2}" type="presParOf" srcId="{5071898A-8691-4D07-A15D-164B2D383FC3}" destId="{1831D652-367D-486D-9D72-1C808C19CCAF}" srcOrd="1" destOrd="0" presId="urn:microsoft.com/office/officeart/2005/8/layout/hierarchy2"/>
    <dgm:cxn modelId="{E5911903-6E70-4239-AF7E-BF404C9F8CF2}" type="presParOf" srcId="{1831D652-367D-486D-9D72-1C808C19CCAF}" destId="{0149CB7C-B012-4D12-90D8-C5B4512207BC}" srcOrd="0" destOrd="0" presId="urn:microsoft.com/office/officeart/2005/8/layout/hierarchy2"/>
    <dgm:cxn modelId="{0E65F517-128E-4245-BAC3-073CC1D4FCA1}" type="presParOf" srcId="{0149CB7C-B012-4D12-90D8-C5B4512207BC}" destId="{E70BF5A0-59E0-4881-9129-5C4F02A1D6AA}" srcOrd="0" destOrd="0" presId="urn:microsoft.com/office/officeart/2005/8/layout/hierarchy2"/>
    <dgm:cxn modelId="{9459FA0A-D40E-4D57-8476-A69DD9503342}" type="presParOf" srcId="{1831D652-367D-486D-9D72-1C808C19CCAF}" destId="{8709DB32-D500-4A73-996E-00693288A73B}" srcOrd="1" destOrd="0" presId="urn:microsoft.com/office/officeart/2005/8/layout/hierarchy2"/>
    <dgm:cxn modelId="{DF7FC0FD-2A57-47C0-B17B-4472BD3B9458}" type="presParOf" srcId="{8709DB32-D500-4A73-996E-00693288A73B}" destId="{4F89D3BC-8856-4966-B480-C274CA212C3F}" srcOrd="0" destOrd="0" presId="urn:microsoft.com/office/officeart/2005/8/layout/hierarchy2"/>
    <dgm:cxn modelId="{5C9019D2-80E9-4B7C-9B7E-128E99B595D5}" type="presParOf" srcId="{8709DB32-D500-4A73-996E-00693288A73B}" destId="{4A40DB46-BA0A-404F-96EB-D7A246C52552}" srcOrd="1" destOrd="0" presId="urn:microsoft.com/office/officeart/2005/8/layout/hierarchy2"/>
    <dgm:cxn modelId="{508031F8-72AF-472A-8E2D-78A9E83E104F}" type="presParOf" srcId="{1831D652-367D-486D-9D72-1C808C19CCAF}" destId="{C63E68B9-E7E3-4625-B537-91421E68B408}" srcOrd="2" destOrd="0" presId="urn:microsoft.com/office/officeart/2005/8/layout/hierarchy2"/>
    <dgm:cxn modelId="{EFE6D5A5-B763-409F-845A-C48F4878888E}" type="presParOf" srcId="{C63E68B9-E7E3-4625-B537-91421E68B408}" destId="{2C6226C2-DF6B-47BD-879B-FCF4CE7C8E55}" srcOrd="0" destOrd="0" presId="urn:microsoft.com/office/officeart/2005/8/layout/hierarchy2"/>
    <dgm:cxn modelId="{20DEB3AE-6DCE-49D1-A306-AEF8D748CD90}" type="presParOf" srcId="{1831D652-367D-486D-9D72-1C808C19CCAF}" destId="{6BE00AA1-350D-45A3-B7FB-1BBB5759010C}" srcOrd="3" destOrd="0" presId="urn:microsoft.com/office/officeart/2005/8/layout/hierarchy2"/>
    <dgm:cxn modelId="{7D7DB4FF-55EC-47F1-92AB-F6C88370EF86}" type="presParOf" srcId="{6BE00AA1-350D-45A3-B7FB-1BBB5759010C}" destId="{75701D2D-2146-4D01-9C10-7A52590F4E06}" srcOrd="0" destOrd="0" presId="urn:microsoft.com/office/officeart/2005/8/layout/hierarchy2"/>
    <dgm:cxn modelId="{93537EAD-D2B2-4D05-A69C-0A5815C82177}" type="presParOf" srcId="{6BE00AA1-350D-45A3-B7FB-1BBB5759010C}" destId="{4D5412C3-8BD3-4A11-9274-305A1973BD7C}" srcOrd="1" destOrd="0" presId="urn:microsoft.com/office/officeart/2005/8/layout/hierarchy2"/>
    <dgm:cxn modelId="{8AB24F51-185D-461E-95AD-B6EE2AD7126A}" type="presParOf" srcId="{1831D652-367D-486D-9D72-1C808C19CCAF}" destId="{335B2B7E-5870-4E84-A054-0C5CF65B4CEA}" srcOrd="4" destOrd="0" presId="urn:microsoft.com/office/officeart/2005/8/layout/hierarchy2"/>
    <dgm:cxn modelId="{A19C0D67-66BC-42D0-8EEB-F44ACBE3519F}" type="presParOf" srcId="{335B2B7E-5870-4E84-A054-0C5CF65B4CEA}" destId="{E99E4F70-DD57-4F49-A293-6D80AC5F7BCD}" srcOrd="0" destOrd="0" presId="urn:microsoft.com/office/officeart/2005/8/layout/hierarchy2"/>
    <dgm:cxn modelId="{6DAE2128-819D-41CD-B964-B6AC8734D8FA}" type="presParOf" srcId="{1831D652-367D-486D-9D72-1C808C19CCAF}" destId="{E6DC442E-A4BE-4A5E-BCF8-7F3C65507585}" srcOrd="5" destOrd="0" presId="urn:microsoft.com/office/officeart/2005/8/layout/hierarchy2"/>
    <dgm:cxn modelId="{C15E9D22-5850-4D75-9C51-0D8A9866DD28}" type="presParOf" srcId="{E6DC442E-A4BE-4A5E-BCF8-7F3C65507585}" destId="{EE43FD2C-768C-4214-B57F-F4968FDD23B4}" srcOrd="0" destOrd="0" presId="urn:microsoft.com/office/officeart/2005/8/layout/hierarchy2"/>
    <dgm:cxn modelId="{73002458-BB3C-42E1-986E-B31165DD6D56}" type="presParOf" srcId="{E6DC442E-A4BE-4A5E-BCF8-7F3C65507585}" destId="{98BBAB7D-BEFE-4859-A9AB-111723920B7C}" srcOrd="1" destOrd="0" presId="urn:microsoft.com/office/officeart/2005/8/layout/hierarchy2"/>
    <dgm:cxn modelId="{710CA5F4-CE55-49BD-80E0-00CD45320E51}" type="presParOf" srcId="{1831D652-367D-486D-9D72-1C808C19CCAF}" destId="{C5DBC3BF-2A9C-43EE-823B-5691F8D15055}" srcOrd="6" destOrd="0" presId="urn:microsoft.com/office/officeart/2005/8/layout/hierarchy2"/>
    <dgm:cxn modelId="{39506848-0C4B-4B1F-BC50-1C4CB03EF74B}" type="presParOf" srcId="{C5DBC3BF-2A9C-43EE-823B-5691F8D15055}" destId="{C9C83460-3D75-41F8-99FC-F5D4E703DC2D}" srcOrd="0" destOrd="0" presId="urn:microsoft.com/office/officeart/2005/8/layout/hierarchy2"/>
    <dgm:cxn modelId="{CF9FB270-B1DB-4929-A6FF-DF495AC5282D}" type="presParOf" srcId="{1831D652-367D-486D-9D72-1C808C19CCAF}" destId="{A7593A20-29E8-4034-B7D2-1D8CF83910ED}" srcOrd="7" destOrd="0" presId="urn:microsoft.com/office/officeart/2005/8/layout/hierarchy2"/>
    <dgm:cxn modelId="{1A99A9EA-2D8B-4697-B6BF-54D91C711A4A}" type="presParOf" srcId="{A7593A20-29E8-4034-B7D2-1D8CF83910ED}" destId="{1F8AA780-7F42-406C-868C-314F175B32E0}" srcOrd="0" destOrd="0" presId="urn:microsoft.com/office/officeart/2005/8/layout/hierarchy2"/>
    <dgm:cxn modelId="{DAE85C93-3365-47F3-9322-D90EAEB13206}" type="presParOf" srcId="{A7593A20-29E8-4034-B7D2-1D8CF83910ED}" destId="{B0933590-1B7B-4D6C-A353-EE0A1C1CF958}" srcOrd="1" destOrd="0" presId="urn:microsoft.com/office/officeart/2005/8/layout/hierarchy2"/>
    <dgm:cxn modelId="{88EF73BE-4687-487F-B91A-046A3602D6E6}" type="presParOf" srcId="{1831D652-367D-486D-9D72-1C808C19CCAF}" destId="{1B2F6871-3F6F-47CC-8DCF-3C9144A98F90}" srcOrd="8" destOrd="0" presId="urn:microsoft.com/office/officeart/2005/8/layout/hierarchy2"/>
    <dgm:cxn modelId="{D89AAC6D-ACAF-4FE5-B048-356D400C7DC1}" type="presParOf" srcId="{1B2F6871-3F6F-47CC-8DCF-3C9144A98F90}" destId="{4FE80E94-D8CD-47E0-8A2F-40651D18DAD6}" srcOrd="0" destOrd="0" presId="urn:microsoft.com/office/officeart/2005/8/layout/hierarchy2"/>
    <dgm:cxn modelId="{4752A420-A33B-4F81-818F-91A345791BBF}" type="presParOf" srcId="{1831D652-367D-486D-9D72-1C808C19CCAF}" destId="{87305BE1-6B22-4BE0-B475-95D9BB246440}" srcOrd="9" destOrd="0" presId="urn:microsoft.com/office/officeart/2005/8/layout/hierarchy2"/>
    <dgm:cxn modelId="{19104340-CC58-4F53-814F-9A77609DC342}" type="presParOf" srcId="{87305BE1-6B22-4BE0-B475-95D9BB246440}" destId="{7B7344D4-A1AB-42D5-8AE4-78DDDF19BAAF}" srcOrd="0" destOrd="0" presId="urn:microsoft.com/office/officeart/2005/8/layout/hierarchy2"/>
    <dgm:cxn modelId="{321C18F0-6CCF-4A32-9FED-C3CD334B0037}" type="presParOf" srcId="{87305BE1-6B22-4BE0-B475-95D9BB246440}" destId="{086B710F-4086-4610-BEF7-52AE30EA437F}" srcOrd="1" destOrd="0" presId="urn:microsoft.com/office/officeart/2005/8/layout/hierarchy2"/>
    <dgm:cxn modelId="{8D5324D9-E7A5-41B4-B660-6ECD7B8073BA}" type="presParOf" srcId="{1831D652-367D-486D-9D72-1C808C19CCAF}" destId="{EA24AD74-025B-46D1-9B90-D1383F180CF9}" srcOrd="10" destOrd="0" presId="urn:microsoft.com/office/officeart/2005/8/layout/hierarchy2"/>
    <dgm:cxn modelId="{18C84DA5-7052-4636-9894-B7EC5CC9D1B0}" type="presParOf" srcId="{EA24AD74-025B-46D1-9B90-D1383F180CF9}" destId="{7D7A2659-696B-4E03-A50F-9172B06A25F1}" srcOrd="0" destOrd="0" presId="urn:microsoft.com/office/officeart/2005/8/layout/hierarchy2"/>
    <dgm:cxn modelId="{623CAD83-95DC-4B1A-AA66-CD8510528AA2}" type="presParOf" srcId="{1831D652-367D-486D-9D72-1C808C19CCAF}" destId="{A76443B7-B752-4962-8FB7-424A8C52B4AB}" srcOrd="11" destOrd="0" presId="urn:microsoft.com/office/officeart/2005/8/layout/hierarchy2"/>
    <dgm:cxn modelId="{37346093-7A56-4AE4-8291-620EBF541A1C}" type="presParOf" srcId="{A76443B7-B752-4962-8FB7-424A8C52B4AB}" destId="{8B7335E0-E6E0-4C51-B966-BD922885B303}" srcOrd="0" destOrd="0" presId="urn:microsoft.com/office/officeart/2005/8/layout/hierarchy2"/>
    <dgm:cxn modelId="{4A6ABB31-F5A1-4539-AF8B-599B9834E94A}" type="presParOf" srcId="{A76443B7-B752-4962-8FB7-424A8C52B4AB}" destId="{229FD39D-2FB7-43FC-9560-BDAD42973B41}" srcOrd="1" destOrd="0" presId="urn:microsoft.com/office/officeart/2005/8/layout/hierarchy2"/>
    <dgm:cxn modelId="{83EB2021-B207-4F94-BDF6-7507588B1965}" type="presParOf" srcId="{1831D652-367D-486D-9D72-1C808C19CCAF}" destId="{47ADCD80-E562-4D1E-AE3E-EDE0487A0336}" srcOrd="12" destOrd="0" presId="urn:microsoft.com/office/officeart/2005/8/layout/hierarchy2"/>
    <dgm:cxn modelId="{B20BFAF8-60A8-40BE-9F6D-5FD4A8E3AD0F}" type="presParOf" srcId="{47ADCD80-E562-4D1E-AE3E-EDE0487A0336}" destId="{9D4480FA-E62A-4A25-8052-2C7831F84D89}" srcOrd="0" destOrd="0" presId="urn:microsoft.com/office/officeart/2005/8/layout/hierarchy2"/>
    <dgm:cxn modelId="{3C00035D-03AD-451C-AA04-36128658452B}" type="presParOf" srcId="{1831D652-367D-486D-9D72-1C808C19CCAF}" destId="{D889F536-3FC2-4D7C-BBC6-90B7EE88D26A}" srcOrd="13" destOrd="0" presId="urn:microsoft.com/office/officeart/2005/8/layout/hierarchy2"/>
    <dgm:cxn modelId="{9FE0CE7E-D82C-4967-8A22-5EB40BC57A5D}" type="presParOf" srcId="{D889F536-3FC2-4D7C-BBC6-90B7EE88D26A}" destId="{1CBF8050-9C53-48D3-8065-74BE68DF17AD}" srcOrd="0" destOrd="0" presId="urn:microsoft.com/office/officeart/2005/8/layout/hierarchy2"/>
    <dgm:cxn modelId="{B93ECC5C-BCB4-4F99-9390-9F685DD33E52}" type="presParOf" srcId="{D889F536-3FC2-4D7C-BBC6-90B7EE88D26A}" destId="{8FFE572F-BABC-486D-AE1C-88A767194FA6}" srcOrd="1" destOrd="0" presId="urn:microsoft.com/office/officeart/2005/8/layout/hierarchy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2B7A71-61E1-44BB-AFE8-584E7E515EAE}"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833400E5-D2BB-43A7-A9CF-43BD018BC60F}">
      <dgm:prSet phldrT="[Text]"/>
      <dgm:spPr/>
      <dgm:t>
        <a:bodyPr/>
        <a:lstStyle/>
        <a:p>
          <a:r>
            <a:rPr lang="en-US"/>
            <a:t>Supply Driver</a:t>
          </a:r>
        </a:p>
      </dgm:t>
    </dgm:pt>
    <dgm:pt modelId="{09B7DAB2-772A-4320-AFE5-5F2942D25381}" type="parTrans" cxnId="{3AE06111-B71F-4ED5-826F-5D19C08BB853}">
      <dgm:prSet/>
      <dgm:spPr/>
      <dgm:t>
        <a:bodyPr/>
        <a:lstStyle/>
        <a:p>
          <a:endParaRPr lang="en-US"/>
        </a:p>
      </dgm:t>
    </dgm:pt>
    <dgm:pt modelId="{1C074EC2-7357-4B66-9830-C07E3C2026B8}" type="sibTrans" cxnId="{3AE06111-B71F-4ED5-826F-5D19C08BB853}">
      <dgm:prSet/>
      <dgm:spPr/>
      <dgm:t>
        <a:bodyPr/>
        <a:lstStyle/>
        <a:p>
          <a:endParaRPr lang="en-US"/>
        </a:p>
      </dgm:t>
    </dgm:pt>
    <dgm:pt modelId="{3265F0DD-2019-4181-9614-F97A71133947}">
      <dgm:prSet phldrT="[Text]" custT="1"/>
      <dgm:spPr/>
      <dgm:t>
        <a:bodyPr/>
        <a:lstStyle/>
        <a:p>
          <a:r>
            <a:rPr lang="en-US" sz="900" b="1" baseline="0">
              <a:solidFill>
                <a:schemeClr val="accent2"/>
              </a:solidFill>
            </a:rPr>
            <a:t>Potential returns for chemical producers </a:t>
          </a:r>
        </a:p>
      </dgm:t>
    </dgm:pt>
    <dgm:pt modelId="{A59E6810-1922-4F58-8780-37D86E982645}" type="parTrans" cxnId="{997AFD8A-39D9-40B8-9A0B-D5429C25AC56}">
      <dgm:prSet/>
      <dgm:spPr/>
      <dgm:t>
        <a:bodyPr/>
        <a:lstStyle/>
        <a:p>
          <a:endParaRPr lang="en-US"/>
        </a:p>
      </dgm:t>
    </dgm:pt>
    <dgm:pt modelId="{37356196-2E37-40C0-A0F9-E72A113999EE}" type="sibTrans" cxnId="{997AFD8A-39D9-40B8-9A0B-D5429C25AC56}">
      <dgm:prSet/>
      <dgm:spPr/>
      <dgm:t>
        <a:bodyPr/>
        <a:lstStyle/>
        <a:p>
          <a:endParaRPr lang="en-US"/>
        </a:p>
      </dgm:t>
    </dgm:pt>
    <dgm:pt modelId="{511DD651-EB54-4368-93B6-EBDCE7775E4E}">
      <dgm:prSet phldrT="[Text]"/>
      <dgm:spPr/>
      <dgm:t>
        <a:bodyPr/>
        <a:lstStyle/>
        <a:p>
          <a:r>
            <a:rPr lang="en-US"/>
            <a:t>Demand Drivers</a:t>
          </a:r>
        </a:p>
      </dgm:t>
    </dgm:pt>
    <dgm:pt modelId="{AEE48772-850C-48FB-A0D7-254A0CD62A9B}" type="parTrans" cxnId="{54D7F559-0C3F-49FC-BC80-4C918EDB56BD}">
      <dgm:prSet/>
      <dgm:spPr/>
      <dgm:t>
        <a:bodyPr/>
        <a:lstStyle/>
        <a:p>
          <a:endParaRPr lang="en-US"/>
        </a:p>
      </dgm:t>
    </dgm:pt>
    <dgm:pt modelId="{11D8E32D-C5F0-464C-8323-02A3F9AB83FA}" type="sibTrans" cxnId="{54D7F559-0C3F-49FC-BC80-4C918EDB56BD}">
      <dgm:prSet/>
      <dgm:spPr/>
      <dgm:t>
        <a:bodyPr/>
        <a:lstStyle/>
        <a:p>
          <a:endParaRPr lang="en-US"/>
        </a:p>
      </dgm:t>
    </dgm:pt>
    <dgm:pt modelId="{991C977D-2F91-433C-814B-87EE072C95AE}">
      <dgm:prSet phldrT="[Text]"/>
      <dgm:spPr/>
      <dgm:t>
        <a:bodyPr/>
        <a:lstStyle/>
        <a:p>
          <a:r>
            <a:rPr lang="en-US"/>
            <a:t>Demand Barriers</a:t>
          </a:r>
        </a:p>
      </dgm:t>
    </dgm:pt>
    <dgm:pt modelId="{F1001976-5250-45FB-A132-15F16D51574A}" type="parTrans" cxnId="{A9842F2D-CF98-421C-993F-D1AFED209588}">
      <dgm:prSet/>
      <dgm:spPr/>
      <dgm:t>
        <a:bodyPr/>
        <a:lstStyle/>
        <a:p>
          <a:endParaRPr lang="en-US"/>
        </a:p>
      </dgm:t>
    </dgm:pt>
    <dgm:pt modelId="{B20297E2-4B18-46CB-9B04-78F416F14424}" type="sibTrans" cxnId="{A9842F2D-CF98-421C-993F-D1AFED209588}">
      <dgm:prSet/>
      <dgm:spPr/>
      <dgm:t>
        <a:bodyPr/>
        <a:lstStyle/>
        <a:p>
          <a:endParaRPr lang="en-US"/>
        </a:p>
      </dgm:t>
    </dgm:pt>
    <dgm:pt modelId="{18B8D394-2EF8-4EBA-9347-B280A72DCB7B}">
      <dgm:prSet phldrT="[Text]" custT="1"/>
      <dgm:spPr/>
      <dgm:t>
        <a:bodyPr/>
        <a:lstStyle/>
        <a:p>
          <a:r>
            <a:rPr lang="en-US" sz="900" baseline="0"/>
            <a:t>Australia has unique pests and diseases</a:t>
          </a:r>
        </a:p>
      </dgm:t>
    </dgm:pt>
    <dgm:pt modelId="{EFBCDFA6-9EAC-4B61-9F68-BFEFD245859C}" type="parTrans" cxnId="{9D8AC338-79C4-4699-B05B-63EE6026B3F7}">
      <dgm:prSet/>
      <dgm:spPr/>
      <dgm:t>
        <a:bodyPr/>
        <a:lstStyle/>
        <a:p>
          <a:endParaRPr lang="en-US"/>
        </a:p>
      </dgm:t>
    </dgm:pt>
    <dgm:pt modelId="{58E59169-C0FE-462A-AF5B-32A139B76303}" type="sibTrans" cxnId="{9D8AC338-79C4-4699-B05B-63EE6026B3F7}">
      <dgm:prSet/>
      <dgm:spPr/>
      <dgm:t>
        <a:bodyPr/>
        <a:lstStyle/>
        <a:p>
          <a:endParaRPr lang="en-US"/>
        </a:p>
      </dgm:t>
    </dgm:pt>
    <dgm:pt modelId="{FDE15311-23F5-4927-968F-7EF00717F117}">
      <dgm:prSet phldrT="[Text]"/>
      <dgm:spPr/>
      <dgm:t>
        <a:bodyPr/>
        <a:lstStyle/>
        <a:p>
          <a:r>
            <a:rPr lang="en-US"/>
            <a:t>Supply Barriers</a:t>
          </a:r>
        </a:p>
      </dgm:t>
    </dgm:pt>
    <dgm:pt modelId="{2FC63753-1229-4B5F-9EF5-F02F847C4DCF}" type="parTrans" cxnId="{A9A6EBDD-46E1-4EF8-B41A-2A96ACDFDC7B}">
      <dgm:prSet/>
      <dgm:spPr/>
      <dgm:t>
        <a:bodyPr/>
        <a:lstStyle/>
        <a:p>
          <a:endParaRPr lang="en-US"/>
        </a:p>
      </dgm:t>
    </dgm:pt>
    <dgm:pt modelId="{745CE619-121C-4337-A266-D09296449A5C}" type="sibTrans" cxnId="{A9A6EBDD-46E1-4EF8-B41A-2A96ACDFDC7B}">
      <dgm:prSet/>
      <dgm:spPr/>
      <dgm:t>
        <a:bodyPr/>
        <a:lstStyle/>
        <a:p>
          <a:endParaRPr lang="en-US"/>
        </a:p>
      </dgm:t>
    </dgm:pt>
    <dgm:pt modelId="{7CDFDB79-7F00-4250-ABC4-B14B6C9CAEE7}">
      <dgm:prSet phldrT="[Text]" custT="1"/>
      <dgm:spPr/>
      <dgm:t>
        <a:bodyPr/>
        <a:lstStyle/>
        <a:p>
          <a:r>
            <a:rPr lang="en-US" sz="900" b="1" baseline="0">
              <a:solidFill>
                <a:schemeClr val="accent2"/>
              </a:solidFill>
              <a:latin typeface="Verdana" panose="020B0604030504040204" pitchFamily="34" charset="0"/>
            </a:rPr>
            <a:t>Relative advantage of novel chemicals</a:t>
          </a:r>
          <a:endParaRPr lang="en-US" sz="900" baseline="0">
            <a:latin typeface="Verdana" panose="020B0604030504040204" pitchFamily="34" charset="0"/>
          </a:endParaRPr>
        </a:p>
      </dgm:t>
    </dgm:pt>
    <dgm:pt modelId="{E2DDDDD0-7D11-45C1-AC10-4716841FCD97}" type="parTrans" cxnId="{BF10C630-3787-4EF6-9E10-02A8CC1B8BEC}">
      <dgm:prSet/>
      <dgm:spPr/>
      <dgm:t>
        <a:bodyPr/>
        <a:lstStyle/>
        <a:p>
          <a:endParaRPr lang="en-US"/>
        </a:p>
      </dgm:t>
    </dgm:pt>
    <dgm:pt modelId="{4FC14D0C-0DE9-4A7E-9D9B-19492D541451}" type="sibTrans" cxnId="{BF10C630-3787-4EF6-9E10-02A8CC1B8BEC}">
      <dgm:prSet/>
      <dgm:spPr/>
      <dgm:t>
        <a:bodyPr/>
        <a:lstStyle/>
        <a:p>
          <a:endParaRPr lang="en-US"/>
        </a:p>
      </dgm:t>
    </dgm:pt>
    <dgm:pt modelId="{2C93041E-7B61-4915-8797-C62885E80D49}">
      <dgm:prSet custT="1"/>
      <dgm:spPr/>
      <dgm:t>
        <a:bodyPr/>
        <a:lstStyle/>
        <a:p>
          <a:r>
            <a:rPr lang="en-US" sz="900" baseline="0"/>
            <a:t>High prices for novel chemicals</a:t>
          </a:r>
        </a:p>
      </dgm:t>
    </dgm:pt>
    <dgm:pt modelId="{F208FCD8-DDBA-4C68-9B62-ED9564080E0B}" type="sibTrans" cxnId="{531C9633-CDDA-48CE-95EB-B95F369E2279}">
      <dgm:prSet/>
      <dgm:spPr/>
      <dgm:t>
        <a:bodyPr/>
        <a:lstStyle/>
        <a:p>
          <a:endParaRPr lang="en-US"/>
        </a:p>
      </dgm:t>
    </dgm:pt>
    <dgm:pt modelId="{7BD05212-A2A6-44D3-A873-027C26368972}" type="parTrans" cxnId="{531C9633-CDDA-48CE-95EB-B95F369E2279}">
      <dgm:prSet/>
      <dgm:spPr/>
      <dgm:t>
        <a:bodyPr/>
        <a:lstStyle/>
        <a:p>
          <a:endParaRPr lang="en-US"/>
        </a:p>
      </dgm:t>
    </dgm:pt>
    <dgm:pt modelId="{471C979D-C7F3-4A82-9ED7-1F18298CB0D3}">
      <dgm:prSet custT="1"/>
      <dgm:spPr/>
      <dgm:t>
        <a:bodyPr/>
        <a:lstStyle/>
        <a:p>
          <a:r>
            <a:rPr lang="en-US" sz="900" baseline="0"/>
            <a:t>Barriers to agricultural adoption</a:t>
          </a:r>
        </a:p>
      </dgm:t>
    </dgm:pt>
    <dgm:pt modelId="{8EBAFA9A-1607-4842-A71A-2AADFBDD0A54}" type="sibTrans" cxnId="{4E6711C0-C03F-44C7-9345-FB9A15F7EF40}">
      <dgm:prSet/>
      <dgm:spPr/>
      <dgm:t>
        <a:bodyPr/>
        <a:lstStyle/>
        <a:p>
          <a:endParaRPr lang="en-US"/>
        </a:p>
      </dgm:t>
    </dgm:pt>
    <dgm:pt modelId="{CB2CD014-C120-49B8-84EF-456672AE699C}" type="parTrans" cxnId="{4E6711C0-C03F-44C7-9345-FB9A15F7EF40}">
      <dgm:prSet/>
      <dgm:spPr/>
      <dgm:t>
        <a:bodyPr/>
        <a:lstStyle/>
        <a:p>
          <a:endParaRPr lang="en-US"/>
        </a:p>
      </dgm:t>
    </dgm:pt>
    <dgm:pt modelId="{92CAAAA7-E5E9-499E-91C5-98CA56BAC0FE}">
      <dgm:prSet phldrT="[Text]" custT="1"/>
      <dgm:spPr/>
      <dgm:t>
        <a:bodyPr/>
        <a:lstStyle/>
        <a:p>
          <a:r>
            <a:rPr lang="en-US" sz="900" baseline="0">
              <a:latin typeface="Verdana" panose="020B0604030504040204" pitchFamily="34" charset="0"/>
            </a:rPr>
            <a:t>Introduction of new pests and diseases</a:t>
          </a:r>
        </a:p>
      </dgm:t>
    </dgm:pt>
    <dgm:pt modelId="{6CCD8E43-7143-4C33-B2E6-6DE67D6FE4D1}" type="sibTrans" cxnId="{6093FFF3-3D87-490F-8F2D-EA005845871D}">
      <dgm:prSet/>
      <dgm:spPr/>
      <dgm:t>
        <a:bodyPr/>
        <a:lstStyle/>
        <a:p>
          <a:endParaRPr lang="en-US"/>
        </a:p>
      </dgm:t>
    </dgm:pt>
    <dgm:pt modelId="{C8EEF81D-463C-4A3A-8B26-CF2E4BD9D0BD}" type="parTrans" cxnId="{6093FFF3-3D87-490F-8F2D-EA005845871D}">
      <dgm:prSet/>
      <dgm:spPr/>
      <dgm:t>
        <a:bodyPr/>
        <a:lstStyle/>
        <a:p>
          <a:endParaRPr lang="en-US"/>
        </a:p>
      </dgm:t>
    </dgm:pt>
    <dgm:pt modelId="{305B1491-CCD8-4D83-A3AC-A1C9C92F0435}">
      <dgm:prSet custT="1"/>
      <dgm:spPr/>
      <dgm:t>
        <a:bodyPr/>
        <a:lstStyle/>
        <a:p>
          <a:r>
            <a:rPr lang="en-US" sz="900" baseline="0">
              <a:latin typeface="Verdana" panose="020B0604030504040204" pitchFamily="34" charset="0"/>
            </a:rPr>
            <a:t>Structural and geographic changes to Australian agricultural production</a:t>
          </a:r>
        </a:p>
      </dgm:t>
    </dgm:pt>
    <dgm:pt modelId="{475FF4DB-9231-4C1D-99CA-D71EFDD050B5}" type="sibTrans" cxnId="{142F96C5-4A44-4797-A23A-B918CEC44165}">
      <dgm:prSet/>
      <dgm:spPr/>
      <dgm:t>
        <a:bodyPr/>
        <a:lstStyle/>
        <a:p>
          <a:endParaRPr lang="en-US"/>
        </a:p>
      </dgm:t>
    </dgm:pt>
    <dgm:pt modelId="{5336014A-C0DF-4E96-B788-7F6AA78080AF}" type="parTrans" cxnId="{142F96C5-4A44-4797-A23A-B918CEC44165}">
      <dgm:prSet/>
      <dgm:spPr/>
      <dgm:t>
        <a:bodyPr/>
        <a:lstStyle/>
        <a:p>
          <a:endParaRPr lang="en-US"/>
        </a:p>
      </dgm:t>
    </dgm:pt>
    <dgm:pt modelId="{2586CDE8-0B35-4FD6-89F0-6E0E0A331B0C}">
      <dgm:prSet custT="1"/>
      <dgm:spPr/>
      <dgm:t>
        <a:bodyPr/>
        <a:lstStyle/>
        <a:p>
          <a:r>
            <a:rPr lang="en-US" sz="900" baseline="0">
              <a:latin typeface="Verdana" panose="020B0604030504040204" pitchFamily="34" charset="0"/>
            </a:rPr>
            <a:t>Resistance of pests and diseases to existing chemicals</a:t>
          </a:r>
        </a:p>
      </dgm:t>
    </dgm:pt>
    <dgm:pt modelId="{C52F4D51-CAD3-47DC-9161-4976E8121717}" type="sibTrans" cxnId="{1CED254F-34CC-4FA2-AA26-8D93871DF696}">
      <dgm:prSet/>
      <dgm:spPr/>
      <dgm:t>
        <a:bodyPr/>
        <a:lstStyle/>
        <a:p>
          <a:endParaRPr lang="en-US"/>
        </a:p>
      </dgm:t>
    </dgm:pt>
    <dgm:pt modelId="{53E1E03A-2082-4DAE-B144-C63F5F960682}" type="parTrans" cxnId="{1CED254F-34CC-4FA2-AA26-8D93871DF696}">
      <dgm:prSet/>
      <dgm:spPr/>
      <dgm:t>
        <a:bodyPr/>
        <a:lstStyle/>
        <a:p>
          <a:endParaRPr lang="en-US"/>
        </a:p>
      </dgm:t>
    </dgm:pt>
    <dgm:pt modelId="{70F5C6EF-94B8-446A-9D89-94CBF9C33F6C}">
      <dgm:prSet phldrT="[Text]" custT="1"/>
      <dgm:spPr/>
      <dgm:t>
        <a:bodyPr/>
        <a:lstStyle/>
        <a:p>
          <a:endParaRPr lang="en-US" sz="900" b="1" baseline="0">
            <a:solidFill>
              <a:schemeClr val="accent2"/>
            </a:solidFill>
          </a:endParaRPr>
        </a:p>
      </dgm:t>
    </dgm:pt>
    <dgm:pt modelId="{4554B400-C7FE-41ED-906D-BE3CED96C8A4}" type="sibTrans" cxnId="{8237EA33-77F9-483A-B93B-4ADC83043767}">
      <dgm:prSet/>
      <dgm:spPr/>
      <dgm:t>
        <a:bodyPr/>
        <a:lstStyle/>
        <a:p>
          <a:endParaRPr lang="en-US"/>
        </a:p>
      </dgm:t>
    </dgm:pt>
    <dgm:pt modelId="{6FAB25CD-1E8E-4CD1-BA50-1239CC17CB0F}" type="parTrans" cxnId="{8237EA33-77F9-483A-B93B-4ADC83043767}">
      <dgm:prSet/>
      <dgm:spPr/>
      <dgm:t>
        <a:bodyPr/>
        <a:lstStyle/>
        <a:p>
          <a:endParaRPr lang="en-US"/>
        </a:p>
      </dgm:t>
    </dgm:pt>
    <dgm:pt modelId="{1111FCED-BF00-405B-BB61-1DD69FCE4AC2}">
      <dgm:prSet phldrT="[Text]" custT="1"/>
      <dgm:spPr/>
      <dgm:t>
        <a:bodyPr/>
        <a:lstStyle/>
        <a:p>
          <a:r>
            <a:rPr lang="en-US" sz="900" b="1" baseline="0">
              <a:solidFill>
                <a:schemeClr val="accent2"/>
              </a:solidFill>
            </a:rPr>
            <a:t>High research and development costs</a:t>
          </a:r>
        </a:p>
      </dgm:t>
    </dgm:pt>
    <dgm:pt modelId="{F3635DB9-8E07-49CF-9210-95C06189C60D}" type="sibTrans" cxnId="{230AAE85-AD91-4D0F-804A-E46CCE6FD411}">
      <dgm:prSet/>
      <dgm:spPr/>
      <dgm:t>
        <a:bodyPr/>
        <a:lstStyle/>
        <a:p>
          <a:endParaRPr lang="en-US"/>
        </a:p>
      </dgm:t>
    </dgm:pt>
    <dgm:pt modelId="{6B659D5D-B495-4DCA-9C56-BEF301E9FCEE}" type="parTrans" cxnId="{230AAE85-AD91-4D0F-804A-E46CCE6FD411}">
      <dgm:prSet/>
      <dgm:spPr/>
      <dgm:t>
        <a:bodyPr/>
        <a:lstStyle/>
        <a:p>
          <a:endParaRPr lang="en-US"/>
        </a:p>
      </dgm:t>
    </dgm:pt>
    <dgm:pt modelId="{4964BB8E-BCA6-4902-84A8-ACA00C59EE2D}">
      <dgm:prSet custT="1"/>
      <dgm:spPr/>
      <dgm:t>
        <a:bodyPr/>
        <a:lstStyle/>
        <a:p>
          <a:r>
            <a:rPr lang="en-AU" sz="900" b="1" baseline="0">
              <a:solidFill>
                <a:schemeClr val="accent4"/>
              </a:solidFill>
            </a:rPr>
            <a:t>Cost and time to register agvet chemicals &amp; restrictions on use</a:t>
          </a:r>
          <a:endParaRPr lang="en-US" sz="900" b="1" baseline="0">
            <a:solidFill>
              <a:schemeClr val="accent4"/>
            </a:solidFill>
          </a:endParaRPr>
        </a:p>
      </dgm:t>
    </dgm:pt>
    <dgm:pt modelId="{383BF67F-E33B-4D33-AD29-5CDABA7D973B}" type="sibTrans" cxnId="{7F2CA9E2-3F17-40EB-AA00-2DEE040D3142}">
      <dgm:prSet/>
      <dgm:spPr/>
      <dgm:t>
        <a:bodyPr/>
        <a:lstStyle/>
        <a:p>
          <a:endParaRPr lang="en-US"/>
        </a:p>
      </dgm:t>
    </dgm:pt>
    <dgm:pt modelId="{C22BE894-8249-4A27-AA04-82C60C9013C8}" type="parTrans" cxnId="{7F2CA9E2-3F17-40EB-AA00-2DEE040D3142}">
      <dgm:prSet/>
      <dgm:spPr/>
      <dgm:t>
        <a:bodyPr/>
        <a:lstStyle/>
        <a:p>
          <a:endParaRPr lang="en-US"/>
        </a:p>
      </dgm:t>
    </dgm:pt>
    <dgm:pt modelId="{F51A17A6-F9DD-4FDE-B87F-3E3DF1EA5299}">
      <dgm:prSet custT="1"/>
      <dgm:spPr/>
      <dgm:t>
        <a:bodyPr/>
        <a:lstStyle/>
        <a:p>
          <a:r>
            <a:rPr lang="en-US" sz="900" baseline="0"/>
            <a:t>Australia's status as a first choice regulator</a:t>
          </a:r>
        </a:p>
      </dgm:t>
    </dgm:pt>
    <dgm:pt modelId="{A5961D20-E664-4CD7-83E9-40A36AE403E6}" type="sibTrans" cxnId="{E06B65D5-EF81-4EC9-967E-3D35E829B003}">
      <dgm:prSet/>
      <dgm:spPr/>
      <dgm:t>
        <a:bodyPr/>
        <a:lstStyle/>
        <a:p>
          <a:endParaRPr lang="en-US"/>
        </a:p>
      </dgm:t>
    </dgm:pt>
    <dgm:pt modelId="{7B4B14F1-9475-458A-B833-CF15A9460B1D}" type="parTrans" cxnId="{E06B65D5-EF81-4EC9-967E-3D35E829B003}">
      <dgm:prSet/>
      <dgm:spPr/>
      <dgm:t>
        <a:bodyPr/>
        <a:lstStyle/>
        <a:p>
          <a:endParaRPr lang="en-US"/>
        </a:p>
      </dgm:t>
    </dgm:pt>
    <dgm:pt modelId="{252DF000-39FE-45D3-A14D-94AE9D17145D}">
      <dgm:prSet phldrT="[Text]" custT="1"/>
      <dgm:spPr/>
      <dgm:t>
        <a:bodyPr/>
        <a:lstStyle/>
        <a:p>
          <a:r>
            <a:rPr lang="en-US" sz="900" b="1" baseline="0">
              <a:solidFill>
                <a:schemeClr val="accent2"/>
              </a:solidFill>
            </a:rPr>
            <a:t>The small and volatile Australian market</a:t>
          </a:r>
        </a:p>
      </dgm:t>
    </dgm:pt>
    <dgm:pt modelId="{925EFA8C-AD85-42AE-9E54-9F8B942C4F79}" type="sibTrans" cxnId="{F4C64430-0D14-4E12-8CF3-8331BF8471F6}">
      <dgm:prSet/>
      <dgm:spPr/>
      <dgm:t>
        <a:bodyPr/>
        <a:lstStyle/>
        <a:p>
          <a:endParaRPr lang="en-US"/>
        </a:p>
      </dgm:t>
    </dgm:pt>
    <dgm:pt modelId="{30F3DC2E-5A86-4B50-9481-CF5FCD0FCE38}" type="parTrans" cxnId="{F4C64430-0D14-4E12-8CF3-8331BF8471F6}">
      <dgm:prSet/>
      <dgm:spPr/>
      <dgm:t>
        <a:bodyPr/>
        <a:lstStyle/>
        <a:p>
          <a:endParaRPr lang="en-US"/>
        </a:p>
      </dgm:t>
    </dgm:pt>
    <dgm:pt modelId="{E92865CD-4B0F-4B6D-8B50-B4E67F6F5936}" type="pres">
      <dgm:prSet presAssocID="{812B7A71-61E1-44BB-AFE8-584E7E515EAE}" presName="cycleMatrixDiagram" presStyleCnt="0">
        <dgm:presLayoutVars>
          <dgm:chMax val="1"/>
          <dgm:dir/>
          <dgm:animLvl val="lvl"/>
          <dgm:resizeHandles val="exact"/>
        </dgm:presLayoutVars>
      </dgm:prSet>
      <dgm:spPr/>
      <dgm:t>
        <a:bodyPr/>
        <a:lstStyle/>
        <a:p>
          <a:endParaRPr lang="en-AU"/>
        </a:p>
      </dgm:t>
    </dgm:pt>
    <dgm:pt modelId="{E6FE9714-F21D-449A-8087-6EFC13D6873B}" type="pres">
      <dgm:prSet presAssocID="{812B7A71-61E1-44BB-AFE8-584E7E515EAE}" presName="children" presStyleCnt="0"/>
      <dgm:spPr/>
    </dgm:pt>
    <dgm:pt modelId="{0EC43B19-852C-4594-9931-1F8A6429DC55}" type="pres">
      <dgm:prSet presAssocID="{812B7A71-61E1-44BB-AFE8-584E7E515EAE}" presName="child1group" presStyleCnt="0"/>
      <dgm:spPr/>
    </dgm:pt>
    <dgm:pt modelId="{26333714-5678-476C-A5B6-6F46E216FCDA}" type="pres">
      <dgm:prSet presAssocID="{812B7A71-61E1-44BB-AFE8-584E7E515EAE}" presName="child1" presStyleLbl="bgAcc1" presStyleIdx="0" presStyleCnt="4" custScaleX="185354" custLinFactNeighborX="-38396" custLinFactNeighborY="-642"/>
      <dgm:spPr/>
      <dgm:t>
        <a:bodyPr/>
        <a:lstStyle/>
        <a:p>
          <a:endParaRPr lang="en-AU"/>
        </a:p>
      </dgm:t>
    </dgm:pt>
    <dgm:pt modelId="{89BBE244-05FC-45C3-B426-C6324E0C76C4}" type="pres">
      <dgm:prSet presAssocID="{812B7A71-61E1-44BB-AFE8-584E7E515EAE}" presName="child1Text" presStyleLbl="bgAcc1" presStyleIdx="0" presStyleCnt="4">
        <dgm:presLayoutVars>
          <dgm:bulletEnabled val="1"/>
        </dgm:presLayoutVars>
      </dgm:prSet>
      <dgm:spPr/>
      <dgm:t>
        <a:bodyPr/>
        <a:lstStyle/>
        <a:p>
          <a:endParaRPr lang="en-AU"/>
        </a:p>
      </dgm:t>
    </dgm:pt>
    <dgm:pt modelId="{FC50ECF8-1DE9-4FCF-8B89-018B4F465460}" type="pres">
      <dgm:prSet presAssocID="{812B7A71-61E1-44BB-AFE8-584E7E515EAE}" presName="child2group" presStyleCnt="0"/>
      <dgm:spPr/>
    </dgm:pt>
    <dgm:pt modelId="{A00AE621-93DE-48C0-9633-221785984609}" type="pres">
      <dgm:prSet presAssocID="{812B7A71-61E1-44BB-AFE8-584E7E515EAE}" presName="child2" presStyleLbl="bgAcc1" presStyleIdx="1" presStyleCnt="4" custScaleX="159899" custScaleY="156601" custLinFactNeighborX="27462" custLinFactNeighborY="1927"/>
      <dgm:spPr/>
      <dgm:t>
        <a:bodyPr/>
        <a:lstStyle/>
        <a:p>
          <a:endParaRPr lang="en-AU"/>
        </a:p>
      </dgm:t>
    </dgm:pt>
    <dgm:pt modelId="{1244BD93-F05E-41EF-918D-0386C88F945C}" type="pres">
      <dgm:prSet presAssocID="{812B7A71-61E1-44BB-AFE8-584E7E515EAE}" presName="child2Text" presStyleLbl="bgAcc1" presStyleIdx="1" presStyleCnt="4">
        <dgm:presLayoutVars>
          <dgm:bulletEnabled val="1"/>
        </dgm:presLayoutVars>
      </dgm:prSet>
      <dgm:spPr/>
      <dgm:t>
        <a:bodyPr/>
        <a:lstStyle/>
        <a:p>
          <a:endParaRPr lang="en-AU"/>
        </a:p>
      </dgm:t>
    </dgm:pt>
    <dgm:pt modelId="{9AED260E-3683-45FE-B51C-1FED0B6D07E8}" type="pres">
      <dgm:prSet presAssocID="{812B7A71-61E1-44BB-AFE8-584E7E515EAE}" presName="child3group" presStyleCnt="0"/>
      <dgm:spPr/>
    </dgm:pt>
    <dgm:pt modelId="{768EC151-592A-49F0-B28E-F69ACD1ECB3F}" type="pres">
      <dgm:prSet presAssocID="{812B7A71-61E1-44BB-AFE8-584E7E515EAE}" presName="child3" presStyleLbl="bgAcc1" presStyleIdx="2" presStyleCnt="4" custScaleX="168889" custScaleY="96597" custLinFactNeighborX="13984" custLinFactNeighborY="13564"/>
      <dgm:spPr/>
      <dgm:t>
        <a:bodyPr/>
        <a:lstStyle/>
        <a:p>
          <a:endParaRPr lang="en-AU"/>
        </a:p>
      </dgm:t>
    </dgm:pt>
    <dgm:pt modelId="{911239EB-5A3F-4E7C-BA38-0E47DD0A85E0}" type="pres">
      <dgm:prSet presAssocID="{812B7A71-61E1-44BB-AFE8-584E7E515EAE}" presName="child3Text" presStyleLbl="bgAcc1" presStyleIdx="2" presStyleCnt="4">
        <dgm:presLayoutVars>
          <dgm:bulletEnabled val="1"/>
        </dgm:presLayoutVars>
      </dgm:prSet>
      <dgm:spPr/>
      <dgm:t>
        <a:bodyPr/>
        <a:lstStyle/>
        <a:p>
          <a:endParaRPr lang="en-AU"/>
        </a:p>
      </dgm:t>
    </dgm:pt>
    <dgm:pt modelId="{A411F8D9-96E4-4086-B55C-5147EEB5820B}" type="pres">
      <dgm:prSet presAssocID="{812B7A71-61E1-44BB-AFE8-584E7E515EAE}" presName="child4group" presStyleCnt="0"/>
      <dgm:spPr/>
    </dgm:pt>
    <dgm:pt modelId="{4B3FDF04-5511-4AAC-9850-1838657A4631}" type="pres">
      <dgm:prSet presAssocID="{812B7A71-61E1-44BB-AFE8-584E7E515EAE}" presName="child4" presStyleLbl="bgAcc1" presStyleIdx="3" presStyleCnt="4" custScaleX="184202" custScaleY="146179" custLinFactNeighborX="-27462" custLinFactNeighborY="-642"/>
      <dgm:spPr/>
      <dgm:t>
        <a:bodyPr/>
        <a:lstStyle/>
        <a:p>
          <a:endParaRPr lang="en-AU"/>
        </a:p>
      </dgm:t>
    </dgm:pt>
    <dgm:pt modelId="{046E8968-61DC-43D1-8270-3916388A0689}" type="pres">
      <dgm:prSet presAssocID="{812B7A71-61E1-44BB-AFE8-584E7E515EAE}" presName="child4Text" presStyleLbl="bgAcc1" presStyleIdx="3" presStyleCnt="4">
        <dgm:presLayoutVars>
          <dgm:bulletEnabled val="1"/>
        </dgm:presLayoutVars>
      </dgm:prSet>
      <dgm:spPr/>
      <dgm:t>
        <a:bodyPr/>
        <a:lstStyle/>
        <a:p>
          <a:endParaRPr lang="en-AU"/>
        </a:p>
      </dgm:t>
    </dgm:pt>
    <dgm:pt modelId="{D550077C-7EDE-40B3-8AC7-2AF2162D8152}" type="pres">
      <dgm:prSet presAssocID="{812B7A71-61E1-44BB-AFE8-584E7E515EAE}" presName="childPlaceholder" presStyleCnt="0"/>
      <dgm:spPr/>
    </dgm:pt>
    <dgm:pt modelId="{03FB3DC2-8936-419C-93D8-4254E2F7C033}" type="pres">
      <dgm:prSet presAssocID="{812B7A71-61E1-44BB-AFE8-584E7E515EAE}" presName="circle" presStyleCnt="0"/>
      <dgm:spPr/>
    </dgm:pt>
    <dgm:pt modelId="{ED81651F-80CC-4F8C-BB0D-0DE25CA7A78C}" type="pres">
      <dgm:prSet presAssocID="{812B7A71-61E1-44BB-AFE8-584E7E515EAE}" presName="quadrant1" presStyleLbl="node1" presStyleIdx="0" presStyleCnt="4">
        <dgm:presLayoutVars>
          <dgm:chMax val="1"/>
          <dgm:bulletEnabled val="1"/>
        </dgm:presLayoutVars>
      </dgm:prSet>
      <dgm:spPr/>
      <dgm:t>
        <a:bodyPr/>
        <a:lstStyle/>
        <a:p>
          <a:endParaRPr lang="en-AU"/>
        </a:p>
      </dgm:t>
    </dgm:pt>
    <dgm:pt modelId="{9D753D7C-67D2-4F67-8390-BA62EDDAA026}" type="pres">
      <dgm:prSet presAssocID="{812B7A71-61E1-44BB-AFE8-584E7E515EAE}" presName="quadrant2" presStyleLbl="node1" presStyleIdx="1" presStyleCnt="4">
        <dgm:presLayoutVars>
          <dgm:chMax val="1"/>
          <dgm:bulletEnabled val="1"/>
        </dgm:presLayoutVars>
      </dgm:prSet>
      <dgm:spPr/>
      <dgm:t>
        <a:bodyPr/>
        <a:lstStyle/>
        <a:p>
          <a:endParaRPr lang="en-AU"/>
        </a:p>
      </dgm:t>
    </dgm:pt>
    <dgm:pt modelId="{4D809BB9-5749-461E-B402-0B6A96329B80}" type="pres">
      <dgm:prSet presAssocID="{812B7A71-61E1-44BB-AFE8-584E7E515EAE}" presName="quadrant3" presStyleLbl="node1" presStyleIdx="2" presStyleCnt="4">
        <dgm:presLayoutVars>
          <dgm:chMax val="1"/>
          <dgm:bulletEnabled val="1"/>
        </dgm:presLayoutVars>
      </dgm:prSet>
      <dgm:spPr/>
      <dgm:t>
        <a:bodyPr/>
        <a:lstStyle/>
        <a:p>
          <a:endParaRPr lang="en-AU"/>
        </a:p>
      </dgm:t>
    </dgm:pt>
    <dgm:pt modelId="{9B19F39C-6C98-4176-9F6A-1547764C76A1}" type="pres">
      <dgm:prSet presAssocID="{812B7A71-61E1-44BB-AFE8-584E7E515EAE}" presName="quadrant4" presStyleLbl="node1" presStyleIdx="3" presStyleCnt="4">
        <dgm:presLayoutVars>
          <dgm:chMax val="1"/>
          <dgm:bulletEnabled val="1"/>
        </dgm:presLayoutVars>
      </dgm:prSet>
      <dgm:spPr/>
      <dgm:t>
        <a:bodyPr/>
        <a:lstStyle/>
        <a:p>
          <a:endParaRPr lang="en-AU"/>
        </a:p>
      </dgm:t>
    </dgm:pt>
    <dgm:pt modelId="{B8C7AA17-5222-4FD4-8413-DFEEC9849E5A}" type="pres">
      <dgm:prSet presAssocID="{812B7A71-61E1-44BB-AFE8-584E7E515EAE}" presName="quadrantPlaceholder" presStyleCnt="0"/>
      <dgm:spPr/>
    </dgm:pt>
    <dgm:pt modelId="{93973434-E506-4225-85E5-57B2DCE76F6C}" type="pres">
      <dgm:prSet presAssocID="{812B7A71-61E1-44BB-AFE8-584E7E515EAE}" presName="center1" presStyleLbl="fgShp" presStyleIdx="0" presStyleCnt="2" custFlipVert="1" custScaleY="38750" custLinFactX="200000" custLinFactNeighborX="279846" custLinFactNeighborY="-15811"/>
      <dgm:spPr>
        <a:solidFill>
          <a:schemeClr val="bg1"/>
        </a:solidFill>
      </dgm:spPr>
    </dgm:pt>
    <dgm:pt modelId="{03455FE1-45BE-4ACA-8664-439C640D990C}" type="pres">
      <dgm:prSet presAssocID="{812B7A71-61E1-44BB-AFE8-584E7E515EAE}" presName="center2" presStyleLbl="fgShp" presStyleIdx="1" presStyleCnt="2" custLinFactX="200000" custLinFactNeighborX="279845" custLinFactNeighborY="-15811"/>
      <dgm:spPr>
        <a:solidFill>
          <a:schemeClr val="bg1"/>
        </a:solidFill>
      </dgm:spPr>
    </dgm:pt>
  </dgm:ptLst>
  <dgm:cxnLst>
    <dgm:cxn modelId="{54D7F559-0C3F-49FC-BC80-4C918EDB56BD}" srcId="{812B7A71-61E1-44BB-AFE8-584E7E515EAE}" destId="{511DD651-EB54-4368-93B6-EBDCE7775E4E}" srcOrd="1" destOrd="0" parTransId="{AEE48772-850C-48FB-A0D7-254A0CD62A9B}" sibTransId="{11D8E32D-C5F0-464C-8323-02A3F9AB83FA}"/>
    <dgm:cxn modelId="{7F2CA9E2-3F17-40EB-AA00-2DEE040D3142}" srcId="{FDE15311-23F5-4927-968F-7EF00717F117}" destId="{4964BB8E-BCA6-4902-84A8-ACA00C59EE2D}" srcOrd="3" destOrd="0" parTransId="{C22BE894-8249-4A27-AA04-82C60C9013C8}" sibTransId="{383BF67F-E33B-4D33-AD29-5CDABA7D973B}"/>
    <dgm:cxn modelId="{A579CFE6-2A61-4B44-B647-C87B3C0FAAC9}" type="presOf" srcId="{511DD651-EB54-4368-93B6-EBDCE7775E4E}" destId="{9D753D7C-67D2-4F67-8390-BA62EDDAA026}" srcOrd="0" destOrd="0" presId="urn:microsoft.com/office/officeart/2005/8/layout/cycle4"/>
    <dgm:cxn modelId="{DB2A5732-6BB4-4AA6-86B7-8B17F5B58510}" type="presOf" srcId="{3265F0DD-2019-4181-9614-F97A71133947}" destId="{26333714-5678-476C-A5B6-6F46E216FCDA}" srcOrd="0" destOrd="0" presId="urn:microsoft.com/office/officeart/2005/8/layout/cycle4"/>
    <dgm:cxn modelId="{37392585-0EE7-42C3-AB02-3D09C261715F}" type="presOf" srcId="{FDE15311-23F5-4927-968F-7EF00717F117}" destId="{9B19F39C-6C98-4176-9F6A-1547764C76A1}" srcOrd="0" destOrd="0" presId="urn:microsoft.com/office/officeart/2005/8/layout/cycle4"/>
    <dgm:cxn modelId="{40D34BC0-446B-4F59-ABA9-DEE597EF48A1}" type="presOf" srcId="{70F5C6EF-94B8-446A-9D89-94CBF9C33F6C}" destId="{046E8968-61DC-43D1-8270-3916388A0689}" srcOrd="1" destOrd="0" presId="urn:microsoft.com/office/officeart/2005/8/layout/cycle4"/>
    <dgm:cxn modelId="{531C9633-CDDA-48CE-95EB-B95F369E2279}" srcId="{991C977D-2F91-433C-814B-87EE072C95AE}" destId="{2C93041E-7B61-4915-8797-C62885E80D49}" srcOrd="1" destOrd="0" parTransId="{7BD05212-A2A6-44D3-A873-027C26368972}" sibTransId="{F208FCD8-DDBA-4C68-9B62-ED9564080E0B}"/>
    <dgm:cxn modelId="{1A063ABB-DBE2-4D96-B270-73D7187E0F6E}" type="presOf" srcId="{2C93041E-7B61-4915-8797-C62885E80D49}" destId="{911239EB-5A3F-4E7C-BA38-0E47DD0A85E0}" srcOrd="1" destOrd="1" presId="urn:microsoft.com/office/officeart/2005/8/layout/cycle4"/>
    <dgm:cxn modelId="{ECE104E7-2F69-4B73-978F-74964B855BD6}" type="presOf" srcId="{F51A17A6-F9DD-4FDE-B87F-3E3DF1EA5299}" destId="{89BBE244-05FC-45C3-B426-C6324E0C76C4}" srcOrd="1" destOrd="1" presId="urn:microsoft.com/office/officeart/2005/8/layout/cycle4"/>
    <dgm:cxn modelId="{CC65F782-7E0B-46D1-82C3-EBC995BEC7FA}" type="presOf" srcId="{305B1491-CCD8-4D83-A3AC-A1C9C92F0435}" destId="{1244BD93-F05E-41EF-918D-0386C88F945C}" srcOrd="1" destOrd="2" presId="urn:microsoft.com/office/officeart/2005/8/layout/cycle4"/>
    <dgm:cxn modelId="{65DBE1C7-3845-420C-95FC-9BAEF074107C}" type="presOf" srcId="{4964BB8E-BCA6-4902-84A8-ACA00C59EE2D}" destId="{4B3FDF04-5511-4AAC-9850-1838657A4631}" srcOrd="0" destOrd="3" presId="urn:microsoft.com/office/officeart/2005/8/layout/cycle4"/>
    <dgm:cxn modelId="{E6943711-DEE0-4D5D-8CF0-2BB2B9CCB909}" type="presOf" srcId="{252DF000-39FE-45D3-A14D-94AE9D17145D}" destId="{4B3FDF04-5511-4AAC-9850-1838657A4631}" srcOrd="0" destOrd="1" presId="urn:microsoft.com/office/officeart/2005/8/layout/cycle4"/>
    <dgm:cxn modelId="{0835A3EE-D366-47DF-8D4E-845D86477D4F}" type="presOf" srcId="{1111FCED-BF00-405B-BB61-1DD69FCE4AC2}" destId="{046E8968-61DC-43D1-8270-3916388A0689}" srcOrd="1" destOrd="2" presId="urn:microsoft.com/office/officeart/2005/8/layout/cycle4"/>
    <dgm:cxn modelId="{6093FFF3-3D87-490F-8F2D-EA005845871D}" srcId="{511DD651-EB54-4368-93B6-EBDCE7775E4E}" destId="{92CAAAA7-E5E9-499E-91C5-98CA56BAC0FE}" srcOrd="1" destOrd="0" parTransId="{C8EEF81D-463C-4A3A-8B26-CF2E4BD9D0BD}" sibTransId="{6CCD8E43-7143-4C33-B2E6-6DE67D6FE4D1}"/>
    <dgm:cxn modelId="{C83746C4-60D8-484B-903D-8E15747E4576}" type="presOf" srcId="{2C93041E-7B61-4915-8797-C62885E80D49}" destId="{768EC151-592A-49F0-B28E-F69ACD1ECB3F}" srcOrd="0" destOrd="1" presId="urn:microsoft.com/office/officeart/2005/8/layout/cycle4"/>
    <dgm:cxn modelId="{C1A5CC49-A905-4616-8556-6B9A8DAC995E}" type="presOf" srcId="{4964BB8E-BCA6-4902-84A8-ACA00C59EE2D}" destId="{046E8968-61DC-43D1-8270-3916388A0689}" srcOrd="1" destOrd="3" presId="urn:microsoft.com/office/officeart/2005/8/layout/cycle4"/>
    <dgm:cxn modelId="{387E45D2-9CD3-4494-A370-6643ADC8D49D}" type="presOf" srcId="{92CAAAA7-E5E9-499E-91C5-98CA56BAC0FE}" destId="{A00AE621-93DE-48C0-9633-221785984609}" srcOrd="0" destOrd="1" presId="urn:microsoft.com/office/officeart/2005/8/layout/cycle4"/>
    <dgm:cxn modelId="{BB3DC097-775F-4932-8BD2-0693783E6FE4}" type="presOf" srcId="{92CAAAA7-E5E9-499E-91C5-98CA56BAC0FE}" destId="{1244BD93-F05E-41EF-918D-0386C88F945C}" srcOrd="1" destOrd="1" presId="urn:microsoft.com/office/officeart/2005/8/layout/cycle4"/>
    <dgm:cxn modelId="{4064BE61-E68C-489C-BA22-1828EBE766B1}" type="presOf" srcId="{3265F0DD-2019-4181-9614-F97A71133947}" destId="{89BBE244-05FC-45C3-B426-C6324E0C76C4}" srcOrd="1" destOrd="0" presId="urn:microsoft.com/office/officeart/2005/8/layout/cycle4"/>
    <dgm:cxn modelId="{BF4F2F6F-3910-4C49-9DC6-243BEDD3FFB3}" type="presOf" srcId="{471C979D-C7F3-4A82-9ED7-1F18298CB0D3}" destId="{768EC151-592A-49F0-B28E-F69ACD1ECB3F}" srcOrd="0" destOrd="2" presId="urn:microsoft.com/office/officeart/2005/8/layout/cycle4"/>
    <dgm:cxn modelId="{7AC03EAE-824B-4D83-875D-CC08B6555510}" type="presOf" srcId="{812B7A71-61E1-44BB-AFE8-584E7E515EAE}" destId="{E92865CD-4B0F-4B6D-8B50-B4E67F6F5936}" srcOrd="0" destOrd="0" presId="urn:microsoft.com/office/officeart/2005/8/layout/cycle4"/>
    <dgm:cxn modelId="{A9A6EBDD-46E1-4EF8-B41A-2A96ACDFDC7B}" srcId="{812B7A71-61E1-44BB-AFE8-584E7E515EAE}" destId="{FDE15311-23F5-4927-968F-7EF00717F117}" srcOrd="3" destOrd="0" parTransId="{2FC63753-1229-4B5F-9EF5-F02F847C4DCF}" sibTransId="{745CE619-121C-4337-A266-D09296449A5C}"/>
    <dgm:cxn modelId="{BF10C630-3787-4EF6-9E10-02A8CC1B8BEC}" srcId="{511DD651-EB54-4368-93B6-EBDCE7775E4E}" destId="{7CDFDB79-7F00-4250-ABC4-B14B6C9CAEE7}" srcOrd="0" destOrd="0" parTransId="{E2DDDDD0-7D11-45C1-AC10-4716841FCD97}" sibTransId="{4FC14D0C-0DE9-4A7E-9D9B-19492D541451}"/>
    <dgm:cxn modelId="{BEC002F3-3C83-4DED-BE54-E802FBF3DCDB}" type="presOf" srcId="{2586CDE8-0B35-4FD6-89F0-6E0E0A331B0C}" destId="{1244BD93-F05E-41EF-918D-0386C88F945C}" srcOrd="1" destOrd="3" presId="urn:microsoft.com/office/officeart/2005/8/layout/cycle4"/>
    <dgm:cxn modelId="{194B01FF-2658-4401-8040-ACF2B09B204D}" type="presOf" srcId="{471C979D-C7F3-4A82-9ED7-1F18298CB0D3}" destId="{911239EB-5A3F-4E7C-BA38-0E47DD0A85E0}" srcOrd="1" destOrd="2" presId="urn:microsoft.com/office/officeart/2005/8/layout/cycle4"/>
    <dgm:cxn modelId="{A9842F2D-CF98-421C-993F-D1AFED209588}" srcId="{812B7A71-61E1-44BB-AFE8-584E7E515EAE}" destId="{991C977D-2F91-433C-814B-87EE072C95AE}" srcOrd="2" destOrd="0" parTransId="{F1001976-5250-45FB-A132-15F16D51574A}" sibTransId="{B20297E2-4B18-46CB-9B04-78F416F14424}"/>
    <dgm:cxn modelId="{8237EA33-77F9-483A-B93B-4ADC83043767}" srcId="{FDE15311-23F5-4927-968F-7EF00717F117}" destId="{70F5C6EF-94B8-446A-9D89-94CBF9C33F6C}" srcOrd="0" destOrd="0" parTransId="{6FAB25CD-1E8E-4CD1-BA50-1239CC17CB0F}" sibTransId="{4554B400-C7FE-41ED-906D-BE3CED96C8A4}"/>
    <dgm:cxn modelId="{8F0752E4-A4AD-4A4A-88EB-31FBA75B5ED9}" type="presOf" srcId="{7CDFDB79-7F00-4250-ABC4-B14B6C9CAEE7}" destId="{1244BD93-F05E-41EF-918D-0386C88F945C}" srcOrd="1" destOrd="0" presId="urn:microsoft.com/office/officeart/2005/8/layout/cycle4"/>
    <dgm:cxn modelId="{FE70CA29-A0A8-43E4-8277-006FDFCD0A40}" type="presOf" srcId="{1111FCED-BF00-405B-BB61-1DD69FCE4AC2}" destId="{4B3FDF04-5511-4AAC-9850-1838657A4631}" srcOrd="0" destOrd="2" presId="urn:microsoft.com/office/officeart/2005/8/layout/cycle4"/>
    <dgm:cxn modelId="{BC772924-BBD3-4B49-9444-30DD223B9BA3}" type="presOf" srcId="{991C977D-2F91-433C-814B-87EE072C95AE}" destId="{4D809BB9-5749-461E-B402-0B6A96329B80}" srcOrd="0" destOrd="0" presId="urn:microsoft.com/office/officeart/2005/8/layout/cycle4"/>
    <dgm:cxn modelId="{BA7F367E-4BAF-4363-AD9A-8B9552A13F22}" type="presOf" srcId="{2586CDE8-0B35-4FD6-89F0-6E0E0A331B0C}" destId="{A00AE621-93DE-48C0-9633-221785984609}" srcOrd="0" destOrd="3" presId="urn:microsoft.com/office/officeart/2005/8/layout/cycle4"/>
    <dgm:cxn modelId="{4E6711C0-C03F-44C7-9345-FB9A15F7EF40}" srcId="{991C977D-2F91-433C-814B-87EE072C95AE}" destId="{471C979D-C7F3-4A82-9ED7-1F18298CB0D3}" srcOrd="2" destOrd="0" parTransId="{CB2CD014-C120-49B8-84EF-456672AE699C}" sibTransId="{8EBAFA9A-1607-4842-A71A-2AADFBDD0A54}"/>
    <dgm:cxn modelId="{FB7E6AA7-3B16-4CAB-BBEF-F75BD2151B0B}" type="presOf" srcId="{252DF000-39FE-45D3-A14D-94AE9D17145D}" destId="{046E8968-61DC-43D1-8270-3916388A0689}" srcOrd="1" destOrd="1" presId="urn:microsoft.com/office/officeart/2005/8/layout/cycle4"/>
    <dgm:cxn modelId="{D0F46E8F-3BEC-4300-BEB7-1AB1A17A798E}" type="presOf" srcId="{F51A17A6-F9DD-4FDE-B87F-3E3DF1EA5299}" destId="{26333714-5678-476C-A5B6-6F46E216FCDA}" srcOrd="0" destOrd="1" presId="urn:microsoft.com/office/officeart/2005/8/layout/cycle4"/>
    <dgm:cxn modelId="{BDAEC504-E917-470B-B12E-AA4EDB063736}" type="presOf" srcId="{70F5C6EF-94B8-446A-9D89-94CBF9C33F6C}" destId="{4B3FDF04-5511-4AAC-9850-1838657A4631}" srcOrd="0" destOrd="0" presId="urn:microsoft.com/office/officeart/2005/8/layout/cycle4"/>
    <dgm:cxn modelId="{9D8AC338-79C4-4699-B05B-63EE6026B3F7}" srcId="{991C977D-2F91-433C-814B-87EE072C95AE}" destId="{18B8D394-2EF8-4EBA-9347-B280A72DCB7B}" srcOrd="0" destOrd="0" parTransId="{EFBCDFA6-9EAC-4B61-9F68-BFEFD245859C}" sibTransId="{58E59169-C0FE-462A-AF5B-32A139B76303}"/>
    <dgm:cxn modelId="{F4C64430-0D14-4E12-8CF3-8331BF8471F6}" srcId="{FDE15311-23F5-4927-968F-7EF00717F117}" destId="{252DF000-39FE-45D3-A14D-94AE9D17145D}" srcOrd="1" destOrd="0" parTransId="{30F3DC2E-5A86-4B50-9481-CF5FCD0FCE38}" sibTransId="{925EFA8C-AD85-42AE-9E54-9F8B942C4F79}"/>
    <dgm:cxn modelId="{E06B65D5-EF81-4EC9-967E-3D35E829B003}" srcId="{833400E5-D2BB-43A7-A9CF-43BD018BC60F}" destId="{F51A17A6-F9DD-4FDE-B87F-3E3DF1EA5299}" srcOrd="1" destOrd="0" parTransId="{7B4B14F1-9475-458A-B833-CF15A9460B1D}" sibTransId="{A5961D20-E664-4CD7-83E9-40A36AE403E6}"/>
    <dgm:cxn modelId="{BA7027A5-D755-4BD2-86D6-A53E237EE55E}" type="presOf" srcId="{18B8D394-2EF8-4EBA-9347-B280A72DCB7B}" destId="{911239EB-5A3F-4E7C-BA38-0E47DD0A85E0}" srcOrd="1" destOrd="0" presId="urn:microsoft.com/office/officeart/2005/8/layout/cycle4"/>
    <dgm:cxn modelId="{142F96C5-4A44-4797-A23A-B918CEC44165}" srcId="{511DD651-EB54-4368-93B6-EBDCE7775E4E}" destId="{305B1491-CCD8-4D83-A3AC-A1C9C92F0435}" srcOrd="2" destOrd="0" parTransId="{5336014A-C0DF-4E96-B788-7F6AA78080AF}" sibTransId="{475FF4DB-9231-4C1D-99CA-D71EFDD050B5}"/>
    <dgm:cxn modelId="{230AAE85-AD91-4D0F-804A-E46CCE6FD411}" srcId="{FDE15311-23F5-4927-968F-7EF00717F117}" destId="{1111FCED-BF00-405B-BB61-1DD69FCE4AC2}" srcOrd="2" destOrd="0" parTransId="{6B659D5D-B495-4DCA-9C56-BEF301E9FCEE}" sibTransId="{F3635DB9-8E07-49CF-9210-95C06189C60D}"/>
    <dgm:cxn modelId="{997AFD8A-39D9-40B8-9A0B-D5429C25AC56}" srcId="{833400E5-D2BB-43A7-A9CF-43BD018BC60F}" destId="{3265F0DD-2019-4181-9614-F97A71133947}" srcOrd="0" destOrd="0" parTransId="{A59E6810-1922-4F58-8780-37D86E982645}" sibTransId="{37356196-2E37-40C0-A0F9-E72A113999EE}"/>
    <dgm:cxn modelId="{3FBDCCD4-B8EB-4600-B2D7-42AF7ECF3613}" type="presOf" srcId="{18B8D394-2EF8-4EBA-9347-B280A72DCB7B}" destId="{768EC151-592A-49F0-B28E-F69ACD1ECB3F}" srcOrd="0" destOrd="0" presId="urn:microsoft.com/office/officeart/2005/8/layout/cycle4"/>
    <dgm:cxn modelId="{5231668B-98F2-401B-883B-3B8814DB7032}" type="presOf" srcId="{305B1491-CCD8-4D83-A3AC-A1C9C92F0435}" destId="{A00AE621-93DE-48C0-9633-221785984609}" srcOrd="0" destOrd="2" presId="urn:microsoft.com/office/officeart/2005/8/layout/cycle4"/>
    <dgm:cxn modelId="{C81F17AA-42EC-4A43-A306-95F2DAB954D0}" type="presOf" srcId="{833400E5-D2BB-43A7-A9CF-43BD018BC60F}" destId="{ED81651F-80CC-4F8C-BB0D-0DE25CA7A78C}" srcOrd="0" destOrd="0" presId="urn:microsoft.com/office/officeart/2005/8/layout/cycle4"/>
    <dgm:cxn modelId="{3AE06111-B71F-4ED5-826F-5D19C08BB853}" srcId="{812B7A71-61E1-44BB-AFE8-584E7E515EAE}" destId="{833400E5-D2BB-43A7-A9CF-43BD018BC60F}" srcOrd="0" destOrd="0" parTransId="{09B7DAB2-772A-4320-AFE5-5F2942D25381}" sibTransId="{1C074EC2-7357-4B66-9830-C07E3C2026B8}"/>
    <dgm:cxn modelId="{1CED254F-34CC-4FA2-AA26-8D93871DF696}" srcId="{511DD651-EB54-4368-93B6-EBDCE7775E4E}" destId="{2586CDE8-0B35-4FD6-89F0-6E0E0A331B0C}" srcOrd="3" destOrd="0" parTransId="{53E1E03A-2082-4DAE-B144-C63F5F960682}" sibTransId="{C52F4D51-CAD3-47DC-9161-4976E8121717}"/>
    <dgm:cxn modelId="{886FC840-C7A0-4893-B554-A17537816953}" type="presOf" srcId="{7CDFDB79-7F00-4250-ABC4-B14B6C9CAEE7}" destId="{A00AE621-93DE-48C0-9633-221785984609}" srcOrd="0" destOrd="0" presId="urn:microsoft.com/office/officeart/2005/8/layout/cycle4"/>
    <dgm:cxn modelId="{CCFAA147-C9E1-4B82-8864-209E69DD8D39}" type="presParOf" srcId="{E92865CD-4B0F-4B6D-8B50-B4E67F6F5936}" destId="{E6FE9714-F21D-449A-8087-6EFC13D6873B}" srcOrd="0" destOrd="0" presId="urn:microsoft.com/office/officeart/2005/8/layout/cycle4"/>
    <dgm:cxn modelId="{2B9833DD-AEF9-44C4-BFAE-6DE03B5BAAFC}" type="presParOf" srcId="{E6FE9714-F21D-449A-8087-6EFC13D6873B}" destId="{0EC43B19-852C-4594-9931-1F8A6429DC55}" srcOrd="0" destOrd="0" presId="urn:microsoft.com/office/officeart/2005/8/layout/cycle4"/>
    <dgm:cxn modelId="{9D96B8D1-D4E0-4B44-8EC0-FFEDC38A034C}" type="presParOf" srcId="{0EC43B19-852C-4594-9931-1F8A6429DC55}" destId="{26333714-5678-476C-A5B6-6F46E216FCDA}" srcOrd="0" destOrd="0" presId="urn:microsoft.com/office/officeart/2005/8/layout/cycle4"/>
    <dgm:cxn modelId="{08AE5260-900E-4F29-BAD4-F996FE51E303}" type="presParOf" srcId="{0EC43B19-852C-4594-9931-1F8A6429DC55}" destId="{89BBE244-05FC-45C3-B426-C6324E0C76C4}" srcOrd="1" destOrd="0" presId="urn:microsoft.com/office/officeart/2005/8/layout/cycle4"/>
    <dgm:cxn modelId="{281C44F6-09F0-4EFE-B20D-DBF07C2EA9D6}" type="presParOf" srcId="{E6FE9714-F21D-449A-8087-6EFC13D6873B}" destId="{FC50ECF8-1DE9-4FCF-8B89-018B4F465460}" srcOrd="1" destOrd="0" presId="urn:microsoft.com/office/officeart/2005/8/layout/cycle4"/>
    <dgm:cxn modelId="{9B504EFD-E3E6-4C02-A388-445265D3A66E}" type="presParOf" srcId="{FC50ECF8-1DE9-4FCF-8B89-018B4F465460}" destId="{A00AE621-93DE-48C0-9633-221785984609}" srcOrd="0" destOrd="0" presId="urn:microsoft.com/office/officeart/2005/8/layout/cycle4"/>
    <dgm:cxn modelId="{6B920644-5A3D-4777-958D-61EA2B7D55BC}" type="presParOf" srcId="{FC50ECF8-1DE9-4FCF-8B89-018B4F465460}" destId="{1244BD93-F05E-41EF-918D-0386C88F945C}" srcOrd="1" destOrd="0" presId="urn:microsoft.com/office/officeart/2005/8/layout/cycle4"/>
    <dgm:cxn modelId="{81F79F5C-D3AD-47CA-9BDA-1A91E91AB704}" type="presParOf" srcId="{E6FE9714-F21D-449A-8087-6EFC13D6873B}" destId="{9AED260E-3683-45FE-B51C-1FED0B6D07E8}" srcOrd="2" destOrd="0" presId="urn:microsoft.com/office/officeart/2005/8/layout/cycle4"/>
    <dgm:cxn modelId="{81983E2A-21CB-4AEA-A032-B4085260EFC8}" type="presParOf" srcId="{9AED260E-3683-45FE-B51C-1FED0B6D07E8}" destId="{768EC151-592A-49F0-B28E-F69ACD1ECB3F}" srcOrd="0" destOrd="0" presId="urn:microsoft.com/office/officeart/2005/8/layout/cycle4"/>
    <dgm:cxn modelId="{DFA6DFE5-1A4C-4381-A4EF-65CF8C8C852B}" type="presParOf" srcId="{9AED260E-3683-45FE-B51C-1FED0B6D07E8}" destId="{911239EB-5A3F-4E7C-BA38-0E47DD0A85E0}" srcOrd="1" destOrd="0" presId="urn:microsoft.com/office/officeart/2005/8/layout/cycle4"/>
    <dgm:cxn modelId="{A9FB108E-4CBD-458B-A044-3A7F551472C9}" type="presParOf" srcId="{E6FE9714-F21D-449A-8087-6EFC13D6873B}" destId="{A411F8D9-96E4-4086-B55C-5147EEB5820B}" srcOrd="3" destOrd="0" presId="urn:microsoft.com/office/officeart/2005/8/layout/cycle4"/>
    <dgm:cxn modelId="{6128A8CF-5BBE-419E-B401-F3EEBFBD816C}" type="presParOf" srcId="{A411F8D9-96E4-4086-B55C-5147EEB5820B}" destId="{4B3FDF04-5511-4AAC-9850-1838657A4631}" srcOrd="0" destOrd="0" presId="urn:microsoft.com/office/officeart/2005/8/layout/cycle4"/>
    <dgm:cxn modelId="{F46C0CC2-B487-454C-B717-E5834D39DAB7}" type="presParOf" srcId="{A411F8D9-96E4-4086-B55C-5147EEB5820B}" destId="{046E8968-61DC-43D1-8270-3916388A0689}" srcOrd="1" destOrd="0" presId="urn:microsoft.com/office/officeart/2005/8/layout/cycle4"/>
    <dgm:cxn modelId="{5C9CFB1B-9A23-424D-8A42-C006D75DE4D7}" type="presParOf" srcId="{E6FE9714-F21D-449A-8087-6EFC13D6873B}" destId="{D550077C-7EDE-40B3-8AC7-2AF2162D8152}" srcOrd="4" destOrd="0" presId="urn:microsoft.com/office/officeart/2005/8/layout/cycle4"/>
    <dgm:cxn modelId="{4DB1285D-3226-4993-9F3F-1715C1C80893}" type="presParOf" srcId="{E92865CD-4B0F-4B6D-8B50-B4E67F6F5936}" destId="{03FB3DC2-8936-419C-93D8-4254E2F7C033}" srcOrd="1" destOrd="0" presId="urn:microsoft.com/office/officeart/2005/8/layout/cycle4"/>
    <dgm:cxn modelId="{A6B4CAB5-9690-4C08-A4E9-BD2D5F1A910D}" type="presParOf" srcId="{03FB3DC2-8936-419C-93D8-4254E2F7C033}" destId="{ED81651F-80CC-4F8C-BB0D-0DE25CA7A78C}" srcOrd="0" destOrd="0" presId="urn:microsoft.com/office/officeart/2005/8/layout/cycle4"/>
    <dgm:cxn modelId="{42167FB6-E1C9-451D-B6B3-10F4E15736C4}" type="presParOf" srcId="{03FB3DC2-8936-419C-93D8-4254E2F7C033}" destId="{9D753D7C-67D2-4F67-8390-BA62EDDAA026}" srcOrd="1" destOrd="0" presId="urn:microsoft.com/office/officeart/2005/8/layout/cycle4"/>
    <dgm:cxn modelId="{3BD35DB1-9B34-4459-82D9-691E88AE9DCA}" type="presParOf" srcId="{03FB3DC2-8936-419C-93D8-4254E2F7C033}" destId="{4D809BB9-5749-461E-B402-0B6A96329B80}" srcOrd="2" destOrd="0" presId="urn:microsoft.com/office/officeart/2005/8/layout/cycle4"/>
    <dgm:cxn modelId="{6AB9D2B4-55C8-4017-9F3B-4633DCA78236}" type="presParOf" srcId="{03FB3DC2-8936-419C-93D8-4254E2F7C033}" destId="{9B19F39C-6C98-4176-9F6A-1547764C76A1}" srcOrd="3" destOrd="0" presId="urn:microsoft.com/office/officeart/2005/8/layout/cycle4"/>
    <dgm:cxn modelId="{AFC1FD67-E361-41A4-B942-FEB92993CD1B}" type="presParOf" srcId="{03FB3DC2-8936-419C-93D8-4254E2F7C033}" destId="{B8C7AA17-5222-4FD4-8413-DFEEC9849E5A}" srcOrd="4" destOrd="0" presId="urn:microsoft.com/office/officeart/2005/8/layout/cycle4"/>
    <dgm:cxn modelId="{DB118253-485C-440D-BECE-12F60FC8E9E1}" type="presParOf" srcId="{E92865CD-4B0F-4B6D-8B50-B4E67F6F5936}" destId="{93973434-E506-4225-85E5-57B2DCE76F6C}" srcOrd="2" destOrd="0" presId="urn:microsoft.com/office/officeart/2005/8/layout/cycle4"/>
    <dgm:cxn modelId="{15EB73A9-D62F-4209-8901-4936C3571EFD}" type="presParOf" srcId="{E92865CD-4B0F-4B6D-8B50-B4E67F6F5936}" destId="{03455FE1-45BE-4ACA-8664-439C640D990C}" srcOrd="3" destOrd="0" presId="urn:microsoft.com/office/officeart/2005/8/layout/cycle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B913E9-2B22-46E1-A9AE-B1A942644FE4}">
      <dsp:nvSpPr>
        <dsp:cNvPr id="0" name=""/>
        <dsp:cNvSpPr/>
      </dsp:nvSpPr>
      <dsp:spPr>
        <a:xfrm>
          <a:off x="234558" y="111322"/>
          <a:ext cx="838193" cy="420458"/>
        </a:xfrm>
        <a:prstGeom prst="roundRect">
          <a:avLst>
            <a:gd name="adj" fmla="val 10000"/>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Agvet chemicals</a:t>
          </a:r>
        </a:p>
      </dsp:txBody>
      <dsp:txXfrm>
        <a:off x="246873" y="123637"/>
        <a:ext cx="813563" cy="395828"/>
      </dsp:txXfrm>
    </dsp:sp>
    <dsp:sp modelId="{B64A8438-B8AA-43C4-B2D0-20D915239F73}">
      <dsp:nvSpPr>
        <dsp:cNvPr id="0" name=""/>
        <dsp:cNvSpPr/>
      </dsp:nvSpPr>
      <dsp:spPr>
        <a:xfrm rot="3545354">
          <a:off x="340421" y="1606403"/>
          <a:ext cx="3011861" cy="14378"/>
        </a:xfrm>
        <a:custGeom>
          <a:avLst/>
          <a:gdLst/>
          <a:ahLst/>
          <a:cxnLst/>
          <a:rect l="0" t="0" r="0" b="0"/>
          <a:pathLst>
            <a:path>
              <a:moveTo>
                <a:pt x="0" y="7189"/>
              </a:moveTo>
              <a:lnTo>
                <a:pt x="3011861"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771055" y="1538295"/>
        <a:ext cx="150593" cy="150593"/>
      </dsp:txXfrm>
    </dsp:sp>
    <dsp:sp modelId="{0BF15231-BC49-4C79-90E0-CAD620DEB7DB}">
      <dsp:nvSpPr>
        <dsp:cNvPr id="0" name=""/>
        <dsp:cNvSpPr/>
      </dsp:nvSpPr>
      <dsp:spPr>
        <a:xfrm>
          <a:off x="2619952" y="2604850"/>
          <a:ext cx="933830" cy="601565"/>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Agricultural chemicals</a:t>
          </a:r>
        </a:p>
      </dsp:txBody>
      <dsp:txXfrm>
        <a:off x="2637571" y="2622469"/>
        <a:ext cx="898592" cy="566327"/>
      </dsp:txXfrm>
    </dsp:sp>
    <dsp:sp modelId="{BE734A3C-C0B2-4261-BD45-716B722C2FD3}">
      <dsp:nvSpPr>
        <dsp:cNvPr id="0" name=""/>
        <dsp:cNvSpPr/>
      </dsp:nvSpPr>
      <dsp:spPr>
        <a:xfrm rot="53572">
          <a:off x="3553708" y="2907978"/>
          <a:ext cx="1223749" cy="14378"/>
        </a:xfrm>
        <a:custGeom>
          <a:avLst/>
          <a:gdLst/>
          <a:ahLst/>
          <a:cxnLst/>
          <a:rect l="0" t="0" r="0" b="0"/>
          <a:pathLst>
            <a:path>
              <a:moveTo>
                <a:pt x="0" y="7189"/>
              </a:moveTo>
              <a:lnTo>
                <a:pt x="1223749"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34989" y="2884574"/>
        <a:ext cx="61187" cy="61187"/>
      </dsp:txXfrm>
    </dsp:sp>
    <dsp:sp modelId="{768D507C-731E-42F3-9083-0BB611DAE481}">
      <dsp:nvSpPr>
        <dsp:cNvPr id="0" name=""/>
        <dsp:cNvSpPr/>
      </dsp:nvSpPr>
      <dsp:spPr>
        <a:xfrm>
          <a:off x="4777383" y="2762187"/>
          <a:ext cx="1500357" cy="325029"/>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Herbicides</a:t>
          </a:r>
        </a:p>
      </dsp:txBody>
      <dsp:txXfrm>
        <a:off x="4786903" y="2771707"/>
        <a:ext cx="1481317" cy="305989"/>
      </dsp:txXfrm>
    </dsp:sp>
    <dsp:sp modelId="{8735404E-464C-46ED-9414-6525EE202B8D}">
      <dsp:nvSpPr>
        <dsp:cNvPr id="0" name=""/>
        <dsp:cNvSpPr/>
      </dsp:nvSpPr>
      <dsp:spPr>
        <a:xfrm rot="986398">
          <a:off x="3527704" y="3078970"/>
          <a:ext cx="1275757" cy="14378"/>
        </a:xfrm>
        <a:custGeom>
          <a:avLst/>
          <a:gdLst/>
          <a:ahLst/>
          <a:cxnLst/>
          <a:rect l="0" t="0" r="0" b="0"/>
          <a:pathLst>
            <a:path>
              <a:moveTo>
                <a:pt x="0" y="7189"/>
              </a:moveTo>
              <a:lnTo>
                <a:pt x="1275757"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33689" y="3054265"/>
        <a:ext cx="63787" cy="63787"/>
      </dsp:txXfrm>
    </dsp:sp>
    <dsp:sp modelId="{304CD7FC-6006-4DC8-8338-B69D04ED449A}">
      <dsp:nvSpPr>
        <dsp:cNvPr id="0" name=""/>
        <dsp:cNvSpPr/>
      </dsp:nvSpPr>
      <dsp:spPr>
        <a:xfrm>
          <a:off x="4777383" y="3104171"/>
          <a:ext cx="1500357" cy="325029"/>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Fungicides</a:t>
          </a:r>
        </a:p>
      </dsp:txBody>
      <dsp:txXfrm>
        <a:off x="4786903" y="3113691"/>
        <a:ext cx="1481317" cy="305989"/>
      </dsp:txXfrm>
    </dsp:sp>
    <dsp:sp modelId="{71B2D44D-13B6-48D3-A082-CC97B05337EE}">
      <dsp:nvSpPr>
        <dsp:cNvPr id="0" name=""/>
        <dsp:cNvSpPr/>
      </dsp:nvSpPr>
      <dsp:spPr>
        <a:xfrm rot="1775966">
          <a:off x="3461960" y="3245987"/>
          <a:ext cx="1407246" cy="14378"/>
        </a:xfrm>
        <a:custGeom>
          <a:avLst/>
          <a:gdLst/>
          <a:ahLst/>
          <a:cxnLst/>
          <a:rect l="0" t="0" r="0" b="0"/>
          <a:pathLst>
            <a:path>
              <a:moveTo>
                <a:pt x="0" y="7189"/>
              </a:moveTo>
              <a:lnTo>
                <a:pt x="1407246"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30402" y="3217994"/>
        <a:ext cx="70362" cy="70362"/>
      </dsp:txXfrm>
    </dsp:sp>
    <dsp:sp modelId="{C282A957-D8F6-44DA-AC15-8673AC486648}">
      <dsp:nvSpPr>
        <dsp:cNvPr id="0" name=""/>
        <dsp:cNvSpPr/>
      </dsp:nvSpPr>
      <dsp:spPr>
        <a:xfrm>
          <a:off x="4777383" y="3438204"/>
          <a:ext cx="1500357" cy="325029"/>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Insecticides</a:t>
          </a:r>
        </a:p>
      </dsp:txBody>
      <dsp:txXfrm>
        <a:off x="4786903" y="3447724"/>
        <a:ext cx="1481317" cy="305989"/>
      </dsp:txXfrm>
    </dsp:sp>
    <dsp:sp modelId="{88699EBC-A95C-4912-B78D-5C173C442864}">
      <dsp:nvSpPr>
        <dsp:cNvPr id="0" name=""/>
        <dsp:cNvSpPr/>
      </dsp:nvSpPr>
      <dsp:spPr>
        <a:xfrm rot="2357035">
          <a:off x="3375162" y="3398910"/>
          <a:ext cx="1580842" cy="14378"/>
        </a:xfrm>
        <a:custGeom>
          <a:avLst/>
          <a:gdLst/>
          <a:ahLst/>
          <a:cxnLst/>
          <a:rect l="0" t="0" r="0" b="0"/>
          <a:pathLst>
            <a:path>
              <a:moveTo>
                <a:pt x="0" y="7189"/>
              </a:moveTo>
              <a:lnTo>
                <a:pt x="1580842"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26062" y="3366577"/>
        <a:ext cx="79042" cy="79042"/>
      </dsp:txXfrm>
    </dsp:sp>
    <dsp:sp modelId="{89D8F98B-853F-4A8F-849E-86002DE0679E}">
      <dsp:nvSpPr>
        <dsp:cNvPr id="0" name=""/>
        <dsp:cNvSpPr/>
      </dsp:nvSpPr>
      <dsp:spPr>
        <a:xfrm>
          <a:off x="4777383" y="3744050"/>
          <a:ext cx="1500357" cy="325029"/>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Animal pest baits</a:t>
          </a:r>
        </a:p>
      </dsp:txBody>
      <dsp:txXfrm>
        <a:off x="4786903" y="3753570"/>
        <a:ext cx="1481317" cy="305989"/>
      </dsp:txXfrm>
    </dsp:sp>
    <dsp:sp modelId="{5B9E13EB-4A07-44D4-B9F8-2580B2166D78}">
      <dsp:nvSpPr>
        <dsp:cNvPr id="0" name=""/>
        <dsp:cNvSpPr/>
      </dsp:nvSpPr>
      <dsp:spPr>
        <a:xfrm rot="9703">
          <a:off x="1072749" y="316507"/>
          <a:ext cx="1520027" cy="14378"/>
        </a:xfrm>
        <a:custGeom>
          <a:avLst/>
          <a:gdLst/>
          <a:ahLst/>
          <a:cxnLst/>
          <a:rect l="0" t="0" r="0" b="0"/>
          <a:pathLst>
            <a:path>
              <a:moveTo>
                <a:pt x="0" y="7189"/>
              </a:moveTo>
              <a:lnTo>
                <a:pt x="1520027"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794762" y="285695"/>
        <a:ext cx="76001" cy="76001"/>
      </dsp:txXfrm>
    </dsp:sp>
    <dsp:sp modelId="{875762A5-10F6-4CEB-B05C-FE327985B585}">
      <dsp:nvSpPr>
        <dsp:cNvPr id="0" name=""/>
        <dsp:cNvSpPr/>
      </dsp:nvSpPr>
      <dsp:spPr>
        <a:xfrm>
          <a:off x="2592773" y="80489"/>
          <a:ext cx="964929" cy="490704"/>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Veterinary medicines</a:t>
          </a:r>
        </a:p>
      </dsp:txBody>
      <dsp:txXfrm>
        <a:off x="2607145" y="94861"/>
        <a:ext cx="936185" cy="461960"/>
      </dsp:txXfrm>
    </dsp:sp>
    <dsp:sp modelId="{0149CB7C-B012-4D12-90D8-C5B4512207BC}">
      <dsp:nvSpPr>
        <dsp:cNvPr id="0" name=""/>
        <dsp:cNvSpPr/>
      </dsp:nvSpPr>
      <dsp:spPr>
        <a:xfrm rot="64671">
          <a:off x="3557595" y="330119"/>
          <a:ext cx="1219188" cy="14378"/>
        </a:xfrm>
        <a:custGeom>
          <a:avLst/>
          <a:gdLst/>
          <a:ahLst/>
          <a:cxnLst/>
          <a:rect l="0" t="0" r="0" b="0"/>
          <a:pathLst>
            <a:path>
              <a:moveTo>
                <a:pt x="0" y="7189"/>
              </a:moveTo>
              <a:lnTo>
                <a:pt x="1219188"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36709" y="306829"/>
        <a:ext cx="60959" cy="60959"/>
      </dsp:txXfrm>
    </dsp:sp>
    <dsp:sp modelId="{4F89D3BC-8856-4966-B480-C274CA212C3F}">
      <dsp:nvSpPr>
        <dsp:cNvPr id="0" name=""/>
        <dsp:cNvSpPr/>
      </dsp:nvSpPr>
      <dsp:spPr>
        <a:xfrm>
          <a:off x="4776675" y="186260"/>
          <a:ext cx="1500357" cy="325029"/>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Parasiticides</a:t>
          </a:r>
        </a:p>
      </dsp:txBody>
      <dsp:txXfrm>
        <a:off x="4786195" y="195780"/>
        <a:ext cx="1481317" cy="305989"/>
      </dsp:txXfrm>
    </dsp:sp>
    <dsp:sp modelId="{C63E68B9-E7E3-4625-B537-91421E68B408}">
      <dsp:nvSpPr>
        <dsp:cNvPr id="0" name=""/>
        <dsp:cNvSpPr/>
      </dsp:nvSpPr>
      <dsp:spPr>
        <a:xfrm rot="979337">
          <a:off x="3532106" y="497136"/>
          <a:ext cx="1270165" cy="14378"/>
        </a:xfrm>
        <a:custGeom>
          <a:avLst/>
          <a:gdLst/>
          <a:ahLst/>
          <a:cxnLst/>
          <a:rect l="0" t="0" r="0" b="0"/>
          <a:pathLst>
            <a:path>
              <a:moveTo>
                <a:pt x="0" y="7189"/>
              </a:moveTo>
              <a:lnTo>
                <a:pt x="1270165"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35435" y="472571"/>
        <a:ext cx="63508" cy="63508"/>
      </dsp:txXfrm>
    </dsp:sp>
    <dsp:sp modelId="{75701D2D-2146-4D01-9C10-7A52590F4E06}">
      <dsp:nvSpPr>
        <dsp:cNvPr id="0" name=""/>
        <dsp:cNvSpPr/>
      </dsp:nvSpPr>
      <dsp:spPr>
        <a:xfrm>
          <a:off x="4776675" y="520294"/>
          <a:ext cx="1500357" cy="325029"/>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Vaccines</a:t>
          </a:r>
        </a:p>
      </dsp:txBody>
      <dsp:txXfrm>
        <a:off x="4786195" y="529814"/>
        <a:ext cx="1481317" cy="305989"/>
      </dsp:txXfrm>
    </dsp:sp>
    <dsp:sp modelId="{335B2B7E-5870-4E84-A054-0C5CF65B4CEA}">
      <dsp:nvSpPr>
        <dsp:cNvPr id="0" name=""/>
        <dsp:cNvSpPr/>
      </dsp:nvSpPr>
      <dsp:spPr>
        <a:xfrm rot="1789780">
          <a:off x="3464617" y="668128"/>
          <a:ext cx="1405142" cy="14378"/>
        </a:xfrm>
        <a:custGeom>
          <a:avLst/>
          <a:gdLst/>
          <a:ahLst/>
          <a:cxnLst/>
          <a:rect l="0" t="0" r="0" b="0"/>
          <a:pathLst>
            <a:path>
              <a:moveTo>
                <a:pt x="0" y="7189"/>
              </a:moveTo>
              <a:lnTo>
                <a:pt x="1405142"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32060" y="640188"/>
        <a:ext cx="70257" cy="70257"/>
      </dsp:txXfrm>
    </dsp:sp>
    <dsp:sp modelId="{EE43FD2C-768C-4214-B57F-F4968FDD23B4}">
      <dsp:nvSpPr>
        <dsp:cNvPr id="0" name=""/>
        <dsp:cNvSpPr/>
      </dsp:nvSpPr>
      <dsp:spPr>
        <a:xfrm>
          <a:off x="4776675" y="862277"/>
          <a:ext cx="1500357" cy="325029"/>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Endocrine related products</a:t>
          </a:r>
        </a:p>
      </dsp:txBody>
      <dsp:txXfrm>
        <a:off x="4786195" y="871797"/>
        <a:ext cx="1481317" cy="305989"/>
      </dsp:txXfrm>
    </dsp:sp>
    <dsp:sp modelId="{C5DBC3BF-2A9C-43EE-823B-5691F8D15055}">
      <dsp:nvSpPr>
        <dsp:cNvPr id="0" name=""/>
        <dsp:cNvSpPr/>
      </dsp:nvSpPr>
      <dsp:spPr>
        <a:xfrm rot="2429723">
          <a:off x="3365716" y="839118"/>
          <a:ext cx="1602944" cy="14378"/>
        </a:xfrm>
        <a:custGeom>
          <a:avLst/>
          <a:gdLst/>
          <a:ahLst/>
          <a:cxnLst/>
          <a:rect l="0" t="0" r="0" b="0"/>
          <a:pathLst>
            <a:path>
              <a:moveTo>
                <a:pt x="0" y="7189"/>
              </a:moveTo>
              <a:lnTo>
                <a:pt x="1602944"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27115" y="806233"/>
        <a:ext cx="80147" cy="80147"/>
      </dsp:txXfrm>
    </dsp:sp>
    <dsp:sp modelId="{1F8AA780-7F42-406C-868C-314F175B32E0}">
      <dsp:nvSpPr>
        <dsp:cNvPr id="0" name=""/>
        <dsp:cNvSpPr/>
      </dsp:nvSpPr>
      <dsp:spPr>
        <a:xfrm>
          <a:off x="4776675" y="1204257"/>
          <a:ext cx="1500357" cy="325029"/>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Nervous, dermatological and other related products</a:t>
          </a:r>
        </a:p>
      </dsp:txBody>
      <dsp:txXfrm>
        <a:off x="4786195" y="1213777"/>
        <a:ext cx="1481317" cy="305989"/>
      </dsp:txXfrm>
    </dsp:sp>
    <dsp:sp modelId="{1B2F6871-3F6F-47CC-8DCF-3C9144A98F90}">
      <dsp:nvSpPr>
        <dsp:cNvPr id="0" name=""/>
        <dsp:cNvSpPr/>
      </dsp:nvSpPr>
      <dsp:spPr>
        <a:xfrm rot="2926098">
          <a:off x="3242472" y="1014086"/>
          <a:ext cx="1849434" cy="14378"/>
        </a:xfrm>
        <a:custGeom>
          <a:avLst/>
          <a:gdLst/>
          <a:ahLst/>
          <a:cxnLst/>
          <a:rect l="0" t="0" r="0" b="0"/>
          <a:pathLst>
            <a:path>
              <a:moveTo>
                <a:pt x="0" y="7189"/>
              </a:moveTo>
              <a:lnTo>
                <a:pt x="1849434"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20953" y="975039"/>
        <a:ext cx="92471" cy="92471"/>
      </dsp:txXfrm>
    </dsp:sp>
    <dsp:sp modelId="{7B7344D4-A1AB-42D5-8AE4-78DDDF19BAAF}">
      <dsp:nvSpPr>
        <dsp:cNvPr id="0" name=""/>
        <dsp:cNvSpPr/>
      </dsp:nvSpPr>
      <dsp:spPr>
        <a:xfrm>
          <a:off x="4776675" y="1554194"/>
          <a:ext cx="1500357" cy="325029"/>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Orals and injectables</a:t>
          </a:r>
        </a:p>
      </dsp:txBody>
      <dsp:txXfrm>
        <a:off x="4786195" y="1563714"/>
        <a:ext cx="1481317" cy="305989"/>
      </dsp:txXfrm>
    </dsp:sp>
    <dsp:sp modelId="{EA24AD74-025B-46D1-9B90-D1383F180CF9}">
      <dsp:nvSpPr>
        <dsp:cNvPr id="0" name=""/>
        <dsp:cNvSpPr/>
      </dsp:nvSpPr>
      <dsp:spPr>
        <a:xfrm rot="3314597">
          <a:off x="3098089" y="1197003"/>
          <a:ext cx="2138199" cy="14378"/>
        </a:xfrm>
        <a:custGeom>
          <a:avLst/>
          <a:gdLst/>
          <a:ahLst/>
          <a:cxnLst/>
          <a:rect l="0" t="0" r="0" b="0"/>
          <a:pathLst>
            <a:path>
              <a:moveTo>
                <a:pt x="0" y="7189"/>
              </a:moveTo>
              <a:lnTo>
                <a:pt x="2138199"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13734" y="1150737"/>
        <a:ext cx="106909" cy="106909"/>
      </dsp:txXfrm>
    </dsp:sp>
    <dsp:sp modelId="{8B7335E0-E6E0-4C51-B966-BD922885B303}">
      <dsp:nvSpPr>
        <dsp:cNvPr id="0" name=""/>
        <dsp:cNvSpPr/>
      </dsp:nvSpPr>
      <dsp:spPr>
        <a:xfrm>
          <a:off x="4776675" y="1920028"/>
          <a:ext cx="1500357" cy="325029"/>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Anticoccidial anti-inflammatory</a:t>
          </a:r>
        </a:p>
      </dsp:txBody>
      <dsp:txXfrm>
        <a:off x="4786195" y="1929548"/>
        <a:ext cx="1481317" cy="305989"/>
      </dsp:txXfrm>
    </dsp:sp>
    <dsp:sp modelId="{47ADCD80-E562-4D1E-AE3E-EDE0487A0336}">
      <dsp:nvSpPr>
        <dsp:cNvPr id="0" name=""/>
        <dsp:cNvSpPr/>
      </dsp:nvSpPr>
      <dsp:spPr>
        <a:xfrm rot="3635293">
          <a:off x="2926082" y="1399796"/>
          <a:ext cx="2482212" cy="14378"/>
        </a:xfrm>
        <a:custGeom>
          <a:avLst/>
          <a:gdLst/>
          <a:ahLst/>
          <a:cxnLst/>
          <a:rect l="0" t="0" r="0" b="0"/>
          <a:pathLst>
            <a:path>
              <a:moveTo>
                <a:pt x="0" y="7189"/>
              </a:moveTo>
              <a:lnTo>
                <a:pt x="2482212" y="71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4105133" y="1344930"/>
        <a:ext cx="124110" cy="124110"/>
      </dsp:txXfrm>
    </dsp:sp>
    <dsp:sp modelId="{1CBF8050-9C53-48D3-8065-74BE68DF17AD}">
      <dsp:nvSpPr>
        <dsp:cNvPr id="0" name=""/>
        <dsp:cNvSpPr/>
      </dsp:nvSpPr>
      <dsp:spPr>
        <a:xfrm>
          <a:off x="4776675" y="2325613"/>
          <a:ext cx="1500357" cy="325029"/>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Anaesthetics, Analgesics and Antibiotics</a:t>
          </a:r>
        </a:p>
      </dsp:txBody>
      <dsp:txXfrm>
        <a:off x="4786195" y="2335133"/>
        <a:ext cx="1481317" cy="3059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EC151-592A-49F0-B28E-F69ACD1ECB3F}">
      <dsp:nvSpPr>
        <dsp:cNvPr id="0" name=""/>
        <dsp:cNvSpPr/>
      </dsp:nvSpPr>
      <dsp:spPr>
        <a:xfrm>
          <a:off x="3411507" y="2371410"/>
          <a:ext cx="2829545" cy="10483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kern="1200" baseline="0"/>
            <a:t>Australia has unique pests and diseases</a:t>
          </a:r>
        </a:p>
        <a:p>
          <a:pPr marL="57150" lvl="1" indent="-57150" algn="l" defTabSz="400050">
            <a:lnSpc>
              <a:spcPct val="90000"/>
            </a:lnSpc>
            <a:spcBef>
              <a:spcPct val="0"/>
            </a:spcBef>
            <a:spcAft>
              <a:spcPct val="15000"/>
            </a:spcAft>
            <a:buChar char="••"/>
          </a:pPr>
          <a:r>
            <a:rPr lang="en-US" sz="900" kern="1200" baseline="0"/>
            <a:t>High prices for novel chemicals</a:t>
          </a:r>
        </a:p>
        <a:p>
          <a:pPr marL="57150" lvl="1" indent="-57150" algn="l" defTabSz="400050">
            <a:lnSpc>
              <a:spcPct val="90000"/>
            </a:lnSpc>
            <a:spcBef>
              <a:spcPct val="0"/>
            </a:spcBef>
            <a:spcAft>
              <a:spcPct val="15000"/>
            </a:spcAft>
            <a:buChar char="••"/>
          </a:pPr>
          <a:r>
            <a:rPr lang="en-US" sz="900" kern="1200" baseline="0"/>
            <a:t>Barriers to agricultural adoption</a:t>
          </a:r>
        </a:p>
      </dsp:txBody>
      <dsp:txXfrm>
        <a:off x="4283400" y="2656524"/>
        <a:ext cx="1934623" cy="740196"/>
      </dsp:txXfrm>
    </dsp:sp>
    <dsp:sp modelId="{4B3FDF04-5511-4AAC-9850-1838657A4631}">
      <dsp:nvSpPr>
        <dsp:cNvPr id="0" name=""/>
        <dsp:cNvSpPr/>
      </dsp:nvSpPr>
      <dsp:spPr>
        <a:xfrm>
          <a:off x="0" y="2091065"/>
          <a:ext cx="3086097" cy="15864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endParaRPr lang="en-US" sz="900" b="1" kern="1200" baseline="0">
            <a:solidFill>
              <a:schemeClr val="accent2"/>
            </a:solidFill>
          </a:endParaRPr>
        </a:p>
        <a:p>
          <a:pPr marL="57150" lvl="1" indent="-57150" algn="l" defTabSz="400050">
            <a:lnSpc>
              <a:spcPct val="90000"/>
            </a:lnSpc>
            <a:spcBef>
              <a:spcPct val="0"/>
            </a:spcBef>
            <a:spcAft>
              <a:spcPct val="15000"/>
            </a:spcAft>
            <a:buChar char="••"/>
          </a:pPr>
          <a:r>
            <a:rPr lang="en-US" sz="900" b="1" kern="1200" baseline="0">
              <a:solidFill>
                <a:schemeClr val="accent2"/>
              </a:solidFill>
            </a:rPr>
            <a:t>The small and volatile Australian market</a:t>
          </a:r>
        </a:p>
        <a:p>
          <a:pPr marL="57150" lvl="1" indent="-57150" algn="l" defTabSz="400050">
            <a:lnSpc>
              <a:spcPct val="90000"/>
            </a:lnSpc>
            <a:spcBef>
              <a:spcPct val="0"/>
            </a:spcBef>
            <a:spcAft>
              <a:spcPct val="15000"/>
            </a:spcAft>
            <a:buChar char="••"/>
          </a:pPr>
          <a:r>
            <a:rPr lang="en-US" sz="900" b="1" kern="1200" baseline="0">
              <a:solidFill>
                <a:schemeClr val="accent2"/>
              </a:solidFill>
            </a:rPr>
            <a:t>High research and development costs</a:t>
          </a:r>
        </a:p>
        <a:p>
          <a:pPr marL="57150" lvl="1" indent="-57150" algn="l" defTabSz="400050">
            <a:lnSpc>
              <a:spcPct val="90000"/>
            </a:lnSpc>
            <a:spcBef>
              <a:spcPct val="0"/>
            </a:spcBef>
            <a:spcAft>
              <a:spcPct val="15000"/>
            </a:spcAft>
            <a:buChar char="••"/>
          </a:pPr>
          <a:r>
            <a:rPr lang="en-AU" sz="900" b="1" kern="1200" baseline="0">
              <a:solidFill>
                <a:schemeClr val="accent4"/>
              </a:solidFill>
            </a:rPr>
            <a:t>Cost and time to register agvet chemicals &amp; restrictions on use</a:t>
          </a:r>
          <a:endParaRPr lang="en-US" sz="900" b="1" kern="1200" baseline="0">
            <a:solidFill>
              <a:schemeClr val="accent4"/>
            </a:solidFill>
          </a:endParaRPr>
        </a:p>
      </dsp:txBody>
      <dsp:txXfrm>
        <a:off x="34849" y="2522524"/>
        <a:ext cx="2090570" cy="1120131"/>
      </dsp:txXfrm>
    </dsp:sp>
    <dsp:sp modelId="{A00AE621-93DE-48C0-9633-221785984609}">
      <dsp:nvSpPr>
        <dsp:cNvPr id="0" name=""/>
        <dsp:cNvSpPr/>
      </dsp:nvSpPr>
      <dsp:spPr>
        <a:xfrm>
          <a:off x="3633606" y="-243808"/>
          <a:ext cx="2678928" cy="1699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b="1" kern="1200" baseline="0">
              <a:solidFill>
                <a:schemeClr val="accent2"/>
              </a:solidFill>
              <a:latin typeface="Verdana" panose="020B0604030504040204" pitchFamily="34" charset="0"/>
            </a:rPr>
            <a:t>Relative advantage of novel chemicals</a:t>
          </a:r>
          <a:endParaRPr lang="en-US" sz="900" kern="1200" baseline="0">
            <a:latin typeface="Verdana" panose="020B0604030504040204" pitchFamily="34" charset="0"/>
          </a:endParaRPr>
        </a:p>
        <a:p>
          <a:pPr marL="57150" lvl="1" indent="-57150" algn="l" defTabSz="400050">
            <a:lnSpc>
              <a:spcPct val="90000"/>
            </a:lnSpc>
            <a:spcBef>
              <a:spcPct val="0"/>
            </a:spcBef>
            <a:spcAft>
              <a:spcPct val="15000"/>
            </a:spcAft>
            <a:buChar char="••"/>
          </a:pPr>
          <a:r>
            <a:rPr lang="en-US" sz="900" kern="1200" baseline="0">
              <a:latin typeface="Verdana" panose="020B0604030504040204" pitchFamily="34" charset="0"/>
            </a:rPr>
            <a:t>Introduction of new pests and diseases</a:t>
          </a:r>
        </a:p>
        <a:p>
          <a:pPr marL="57150" lvl="1" indent="-57150" algn="l" defTabSz="400050">
            <a:lnSpc>
              <a:spcPct val="90000"/>
            </a:lnSpc>
            <a:spcBef>
              <a:spcPct val="0"/>
            </a:spcBef>
            <a:spcAft>
              <a:spcPct val="15000"/>
            </a:spcAft>
            <a:buChar char="••"/>
          </a:pPr>
          <a:r>
            <a:rPr lang="en-US" sz="900" kern="1200" baseline="0">
              <a:latin typeface="Verdana" panose="020B0604030504040204" pitchFamily="34" charset="0"/>
            </a:rPr>
            <a:t>Structural and geographic changes to Australian agricultural production</a:t>
          </a:r>
        </a:p>
        <a:p>
          <a:pPr marL="57150" lvl="1" indent="-57150" algn="l" defTabSz="400050">
            <a:lnSpc>
              <a:spcPct val="90000"/>
            </a:lnSpc>
            <a:spcBef>
              <a:spcPct val="0"/>
            </a:spcBef>
            <a:spcAft>
              <a:spcPct val="15000"/>
            </a:spcAft>
            <a:buChar char="••"/>
          </a:pPr>
          <a:r>
            <a:rPr lang="en-US" sz="900" kern="1200" baseline="0">
              <a:latin typeface="Verdana" panose="020B0604030504040204" pitchFamily="34" charset="0"/>
            </a:rPr>
            <a:t>Resistance of pests and diseases to existing chemicals</a:t>
          </a:r>
        </a:p>
      </dsp:txBody>
      <dsp:txXfrm>
        <a:off x="4474618" y="-206475"/>
        <a:ext cx="1800583" cy="1199993"/>
      </dsp:txXfrm>
    </dsp:sp>
    <dsp:sp modelId="{26333714-5678-476C-A5B6-6F46E216FCDA}">
      <dsp:nvSpPr>
        <dsp:cNvPr id="0" name=""/>
        <dsp:cNvSpPr/>
      </dsp:nvSpPr>
      <dsp:spPr>
        <a:xfrm>
          <a:off x="0" y="35447"/>
          <a:ext cx="3105398" cy="10852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b="1" kern="1200" baseline="0">
              <a:solidFill>
                <a:schemeClr val="accent2"/>
              </a:solidFill>
            </a:rPr>
            <a:t>Potential returns for chemical producers </a:t>
          </a:r>
        </a:p>
        <a:p>
          <a:pPr marL="57150" lvl="1" indent="-57150" algn="l" defTabSz="400050">
            <a:lnSpc>
              <a:spcPct val="90000"/>
            </a:lnSpc>
            <a:spcBef>
              <a:spcPct val="0"/>
            </a:spcBef>
            <a:spcAft>
              <a:spcPct val="15000"/>
            </a:spcAft>
            <a:buChar char="••"/>
          </a:pPr>
          <a:r>
            <a:rPr lang="en-US" sz="900" kern="1200" baseline="0"/>
            <a:t>Australia's status as a first choice regulator</a:t>
          </a:r>
        </a:p>
      </dsp:txBody>
      <dsp:txXfrm>
        <a:off x="23840" y="59287"/>
        <a:ext cx="2126098" cy="766273"/>
      </dsp:txXfrm>
    </dsp:sp>
    <dsp:sp modelId="{ED81651F-80CC-4F8C-BB0D-0DE25CA7A78C}">
      <dsp:nvSpPr>
        <dsp:cNvPr id="0" name=""/>
        <dsp:cNvSpPr/>
      </dsp:nvSpPr>
      <dsp:spPr>
        <a:xfrm>
          <a:off x="1653844" y="207452"/>
          <a:ext cx="1468507" cy="146850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Supply Driver</a:t>
          </a:r>
        </a:p>
      </dsp:txBody>
      <dsp:txXfrm>
        <a:off x="2083960" y="637568"/>
        <a:ext cx="1038391" cy="1038391"/>
      </dsp:txXfrm>
    </dsp:sp>
    <dsp:sp modelId="{9D753D7C-67D2-4F67-8390-BA62EDDAA026}">
      <dsp:nvSpPr>
        <dsp:cNvPr id="0" name=""/>
        <dsp:cNvSpPr/>
      </dsp:nvSpPr>
      <dsp:spPr>
        <a:xfrm rot="5400000">
          <a:off x="3190182" y="207452"/>
          <a:ext cx="1468507" cy="146850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Demand Drivers</a:t>
          </a:r>
        </a:p>
      </dsp:txBody>
      <dsp:txXfrm rot="-5400000">
        <a:off x="3190182" y="637568"/>
        <a:ext cx="1038391" cy="1038391"/>
      </dsp:txXfrm>
    </dsp:sp>
    <dsp:sp modelId="{4D809BB9-5749-461E-B402-0B6A96329B80}">
      <dsp:nvSpPr>
        <dsp:cNvPr id="0" name=""/>
        <dsp:cNvSpPr/>
      </dsp:nvSpPr>
      <dsp:spPr>
        <a:xfrm rot="10800000">
          <a:off x="3190182" y="1743789"/>
          <a:ext cx="1468507" cy="146850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Demand Barriers</a:t>
          </a:r>
        </a:p>
      </dsp:txBody>
      <dsp:txXfrm rot="10800000">
        <a:off x="3190182" y="1743789"/>
        <a:ext cx="1038391" cy="1038391"/>
      </dsp:txXfrm>
    </dsp:sp>
    <dsp:sp modelId="{9B19F39C-6C98-4176-9F6A-1547764C76A1}">
      <dsp:nvSpPr>
        <dsp:cNvPr id="0" name=""/>
        <dsp:cNvSpPr/>
      </dsp:nvSpPr>
      <dsp:spPr>
        <a:xfrm rot="16200000">
          <a:off x="1653844" y="1743789"/>
          <a:ext cx="1468507" cy="146850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Supply Barriers</a:t>
          </a:r>
        </a:p>
      </dsp:txBody>
      <dsp:txXfrm rot="5400000">
        <a:off x="2083960" y="1743789"/>
        <a:ext cx="1038391" cy="1038391"/>
      </dsp:txXfrm>
    </dsp:sp>
    <dsp:sp modelId="{93973434-E506-4225-85E5-57B2DCE76F6C}">
      <dsp:nvSpPr>
        <dsp:cNvPr id="0" name=""/>
        <dsp:cNvSpPr/>
      </dsp:nvSpPr>
      <dsp:spPr>
        <a:xfrm flipV="1">
          <a:off x="5335695" y="1469956"/>
          <a:ext cx="507025" cy="170845"/>
        </a:xfrm>
        <a:prstGeom prst="circularArrow">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455FE1-45BE-4ACA-8664-439C640D990C}">
      <dsp:nvSpPr>
        <dsp:cNvPr id="0" name=""/>
        <dsp:cNvSpPr/>
      </dsp:nvSpPr>
      <dsp:spPr>
        <a:xfrm rot="10800000">
          <a:off x="5335690" y="1504506"/>
          <a:ext cx="507025" cy="440891"/>
        </a:xfrm>
        <a:prstGeom prst="circularArrow">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ct:contentTypeSchema xmlns:ct="http://schemas.microsoft.com/office/2006/metadata/contentType" xmlns:ma="http://schemas.microsoft.com/office/2006/metadata/properties/metaAttributes" ct:_="" ma:_="" ma:contentTypeName="Audit Document" ma:contentTypeID="0x010100D3DFCF6CB9174298A5FC3AC90FEF1D8E005FD00586E3B64CE58F056669AB9C012400FF529400EF4CF64DA66E254E89365E31" ma:contentTypeVersion="6" ma:contentTypeDescription="Audit Document Content Type" ma:contentTypeScope="" ma:versionID="9af67e5e2ab9099bc904168f3b62ebd8">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f898bdfd268c76a05e6632d926cd37c8" ns1:_="" ns2:_="">
    <xsd:import namespace="http://schemas.microsoft.com/sharepoint/v3"/>
    <xsd:import namespace="http://schemas.microsoft.com/sharepoint/v4"/>
    <xsd:element name="properties">
      <xsd:complexType>
        <xsd:sequence>
          <xsd:element name="documentManagement">
            <xsd:complexType>
              <xsd:all>
                <xsd:element ref="ns1:Status" minOccurs="0"/>
                <xsd:element ref="ns1:Year" minOccurs="0"/>
                <xsd:element ref="ns1:Month" minOccurs="0"/>
                <xsd:element ref="ns1:ClientName" minOccurs="0"/>
                <xsd:element ref="ns1:ClientIndustry" minOccurs="0"/>
                <xsd:element ref="ns1:ProjectName" minOccurs="0"/>
                <xsd:element ref="ns1:ClientNumber" minOccurs="0"/>
                <xsd:element ref="ns1:ProjectNumber" minOccurs="0"/>
                <xsd:element ref="ns1:Barcode" minOccurs="0"/>
                <xsd:element ref="ns1:RoutingInfo" minOccurs="0"/>
                <xsd:element ref="ns1:RequestOriginal" minOccurs="0"/>
                <xsd:element ref="ns1:Hash" minOccurs="0"/>
                <xsd:element ref="ns1:DocumentCategory" minOccurs="0"/>
                <xsd:element ref="ns1:EdreamsCustomField1" minOccurs="0"/>
                <xsd:element ref="ns1:EdreamsCustomField2" minOccurs="0"/>
                <xsd:element ref="ns1:EdreamsCustomField3" minOccurs="0"/>
                <xsd:element ref="ns1:EdreamsCustomField4" minOccurs="0"/>
                <xsd:element ref="ns1:EdreamsCustomField5" minOccurs="0"/>
                <xsd:element ref="ns1:Relevant" minOccurs="0"/>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tus" ma:index="8" nillable="true" ma:displayName="Status" ma:default="Draft" ma:format="Dropdown" ma:internalName="Status" ma:readOnly="false">
      <xsd:simpleType>
        <xsd:restriction base="dms:Choice">
          <xsd:enumeration value="Draft"/>
          <xsd:enumeration value="Final"/>
        </xsd:restriction>
      </xsd:simpleType>
    </xsd:element>
    <xsd:element name="Year" ma:index="9" nillable="true" ma:displayName="Year" ma:format="Dropdown" ma:internalName="Year" ma:readOnly="false">
      <xsd:simpleType>
        <xsd:restriction base="dms:Choice">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Month" ma:index="10" nillable="true" ma:displayName="Month" ma:format="Dropdown" ma:internalName="Month"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ClientName" ma:index="11" nillable="true" ma:displayName="Client Name" ma:default="DEPARTMENT OF AGRICULTURE AND WATER RESO" ma:internalName="ClientName">
      <xsd:simpleType>
        <xsd:restriction base="dms:Text"/>
      </xsd:simpleType>
    </xsd:element>
    <xsd:element name="ClientIndustry" ma:index="12" nillable="true" ma:displayName="Client Industry" ma:default="Regulation of Agricu" ma:internalName="ClientIndustry">
      <xsd:simpleType>
        <xsd:restriction base="dms:Text"/>
      </xsd:simpleType>
    </xsd:element>
    <xsd:element name="ProjectName" ma:index="13" nillable="true" ma:displayName="Project Name" ma:default="AgVet Regulatory Review " ma:internalName="ProjectName">
      <xsd:simpleType>
        <xsd:restriction base="dms:Text"/>
      </xsd:simpleType>
    </xsd:element>
    <xsd:element name="ClientNumber" ma:index="14" nillable="true" ma:displayName="Client Number" ma:default="2771459" ma:internalName="ClientNumber">
      <xsd:simpleType>
        <xsd:restriction base="dms:Text"/>
      </xsd:simpleType>
    </xsd:element>
    <xsd:element name="ProjectNumber" ma:index="15" nillable="true" ma:displayName="Project Number" ma:default="DEP00144-01" ma:internalName="ProjectNumber">
      <xsd:simpleType>
        <xsd:restriction base="dms:Text"/>
      </xsd:simpleType>
    </xsd:element>
    <xsd:element name="Barcode" ma:index="16" nillable="true" ma:displayName="Barcode" ma:description="" ma:internalName="Barcode">
      <xsd:simpleType>
        <xsd:restriction base="dms:Text"/>
      </xsd:simpleType>
    </xsd:element>
    <xsd:element name="RoutingInfo" ma:index="17" nillable="true" ma:displayName="Routing Info" ma:description="" ma:internalName="RoutingInfo">
      <xsd:simpleType>
        <xsd:restriction base="dms:Text"/>
      </xsd:simpleType>
    </xsd:element>
    <xsd:element name="RequestOriginal" ma:index="18" nillable="true" ma:displayName="Request Original" ma:description="" ma:internalName="RequestOriginal">
      <xsd:simpleType>
        <xsd:restriction base="dms:Text"/>
      </xsd:simpleType>
    </xsd:element>
    <xsd:element name="Hash" ma:index="19" nillable="true" ma:displayName="Hash" ma:hidden="true" ma:internalName="Hash" ma:readOnly="false">
      <xsd:simpleType>
        <xsd:restriction base="dms:Text"/>
      </xsd:simpleType>
    </xsd:element>
    <xsd:element name="DocumentCategory" ma:index="20" nillable="true" ma:displayName="Document Category" ma:internalName="DocumentCategory" ma:readOnly="false">
      <xsd:simpleType>
        <xsd:restriction base="dms:Unknown"/>
      </xsd:simpleType>
    </xsd:element>
    <xsd:element name="EdreamsCustomField1" ma:index="21" nillable="true" ma:displayName="EdreamsCustomField1" ma:description="Do not use this field for now!" ma:hidden="true" ma:internalName="EdreamsCustomField1" ma:readOnly="false">
      <xsd:simpleType>
        <xsd:restriction base="dms:Unknown"/>
      </xsd:simpleType>
    </xsd:element>
    <xsd:element name="EdreamsCustomField2" ma:index="22" nillable="true" ma:displayName="EdreamsCustomField2" ma:description="Do not use this field for now!" ma:hidden="true" ma:internalName="EdreamsCustomField2" ma:readOnly="false">
      <xsd:simpleType>
        <xsd:restriction base="dms:Unknown"/>
      </xsd:simpleType>
    </xsd:element>
    <xsd:element name="EdreamsCustomField3" ma:index="23" nillable="true" ma:displayName="EdreamsCustomField3" ma:description="Do not use this field for now!" ma:hidden="true" ma:internalName="EdreamsCustomField3" ma:readOnly="false">
      <xsd:simpleType>
        <xsd:restriction base="dms:Unknown"/>
      </xsd:simpleType>
    </xsd:element>
    <xsd:element name="EdreamsCustomField4" ma:index="24" nillable="true" ma:displayName="EdreamsCustomField4" ma:description="Do not use this field for now!" ma:hidden="true" ma:internalName="EdreamsCustomField4" ma:readOnly="false">
      <xsd:simpleType>
        <xsd:restriction base="dms:Unknown"/>
      </xsd:simpleType>
    </xsd:element>
    <xsd:element name="EdreamsCustomField5" ma:index="25" nillable="true" ma:displayName="EdreamsCustomField5" ma:description="Do not use this field for now!" ma:hidden="true" ma:internalName="EdreamsCustomField5" ma:readOnly="false">
      <xsd:simpleType>
        <xsd:restriction base="dms:Unknown"/>
      </xsd:simpleType>
    </xsd:element>
    <xsd:element name="Relevant" ma:index="26" nillable="true" ma:displayName="Relevant" ma:default="1" ma:internalName="Relevant" ma:readOnly="false">
      <xsd:simpleType>
        <xsd:restriction base="dms:Boolean"/>
      </xsd:simpleType>
    </xsd:element>
    <xsd:element name="EmailSender" ma:index="27" nillable="true" ma:displayName="E-Mail Sender" ma:hidden="true" ma:internalName="EmailSender">
      <xsd:simpleType>
        <xsd:restriction base="dms:Note">
          <xsd:maxLength value="255"/>
        </xsd:restriction>
      </xsd:simpleType>
    </xsd:element>
    <xsd:element name="EmailTo" ma:index="28" nillable="true" ma:displayName="E-Mail To" ma:hidden="true" ma:internalName="EmailTo">
      <xsd:simpleType>
        <xsd:restriction base="dms:Note">
          <xsd:maxLength value="255"/>
        </xsd:restriction>
      </xsd:simpleType>
    </xsd:element>
    <xsd:element name="EmailCc" ma:index="29" nillable="true" ma:displayName="E-Mail Cc" ma:hidden="true" ma:internalName="EmailCc">
      <xsd:simpleType>
        <xsd:restriction base="dms:Note">
          <xsd:maxLength value="255"/>
        </xsd:restriction>
      </xsd:simpleType>
    </xsd:element>
    <xsd:element name="EmailFrom" ma:index="30" nillable="true" ma:displayName="E-Mail From" ma:hidden="true" ma:internalName="EmailFrom">
      <xsd:simpleType>
        <xsd:restriction base="dms:Text"/>
      </xsd:simpleType>
    </xsd:element>
    <xsd:element name="EmailSubject" ma:index="31"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2"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Year xmlns="http://schemas.microsoft.com/sharepoint/v3" xsi:nil="true"/>
    <ClientIndustry xmlns="http://schemas.microsoft.com/sharepoint/v3">Regulation of Agricu</ClientIndustry>
    <Status xmlns="http://schemas.microsoft.com/sharepoint/v3">Draft</Status>
    <Month xmlns="http://schemas.microsoft.com/sharepoint/v3" xsi:nil="true"/>
    <EmailTo xmlns="http://schemas.microsoft.com/sharepoint/v3" xsi:nil="true"/>
    <RoutingInfo xmlns="http://schemas.microsoft.com/sharepoint/v3" xsi:nil="true"/>
    <EmailHeaders xmlns="http://schemas.microsoft.com/sharepoint/v4" xsi:nil="true"/>
    <DocumentCategory xmlns="http://schemas.microsoft.com/sharepoint/v3" xsi:nil="true"/>
    <Relevant xmlns="http://schemas.microsoft.com/sharepoint/v3">true</Relevant>
    <EmailSender xmlns="http://schemas.microsoft.com/sharepoint/v3" xsi:nil="true"/>
    <EmailFrom xmlns="http://schemas.microsoft.com/sharepoint/v3" xsi:nil="true"/>
    <EdreamsCustomField4 xmlns="http://schemas.microsoft.com/sharepoint/v3" xsi:nil="true"/>
    <EdreamsCustomField5 xmlns="http://schemas.microsoft.com/sharepoint/v3" xsi:nil="true"/>
    <Barcode xmlns="http://schemas.microsoft.com/sharepoint/v3" xsi:nil="true"/>
    <ProjectNumber xmlns="http://schemas.microsoft.com/sharepoint/v3">DEP00144-01</ProjectNumber>
    <EmailSubject xmlns="http://schemas.microsoft.com/sharepoint/v3" xsi:nil="true"/>
    <EdreamsCustomField1 xmlns="http://schemas.microsoft.com/sharepoint/v3" xsi:nil="true"/>
    <EdreamsCustomField2 xmlns="http://schemas.microsoft.com/sharepoint/v3" xsi:nil="true"/>
    <ClientName xmlns="http://schemas.microsoft.com/sharepoint/v3">DEPARTMENT OF AGRICULTURE AND WATER RESO</ClientName>
    <EdreamsCustomField3 xmlns="http://schemas.microsoft.com/sharepoint/v3" xsi:nil="true"/>
    <RequestOriginal xmlns="http://schemas.microsoft.com/sharepoint/v3" xsi:nil="true"/>
    <ProjectName xmlns="http://schemas.microsoft.com/sharepoint/v3">AgVet Regulatory Review </ProjectName>
    <ClientNumber xmlns="http://schemas.microsoft.com/sharepoint/v3">2771459</ClientNumber>
    <Hash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83054-D5DE-487A-9AA2-F75F595F0D67}">
  <ds:schemaRefs>
    <ds:schemaRef ds:uri="http://schemas.microsoft.com/sharepoint/v3/contenttype/forms"/>
  </ds:schemaRefs>
</ds:datastoreItem>
</file>

<file path=customXml/itemProps2.xml><?xml version="1.0" encoding="utf-8"?>
<ds:datastoreItem xmlns:ds="http://schemas.openxmlformats.org/officeDocument/2006/customXml" ds:itemID="{1613E4C2-423C-42B4-8AB4-C7743B7A8CF2}">
  <ds:schemaRefs>
    <ds:schemaRef ds:uri="http://schemas.microsoft.com/office/2006/metadata/customXsn"/>
  </ds:schemaRefs>
</ds:datastoreItem>
</file>

<file path=customXml/itemProps3.xml><?xml version="1.0" encoding="utf-8"?>
<ds:datastoreItem xmlns:ds="http://schemas.openxmlformats.org/officeDocument/2006/customXml" ds:itemID="{E2D41FCB-1581-470C-8AC3-36700082B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EAF4AE-B8A8-4919-B89B-F78E1D9C04AE}">
  <ds:schemaRefs>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5.xml><?xml version="1.0" encoding="utf-8"?>
<ds:datastoreItem xmlns:ds="http://schemas.openxmlformats.org/officeDocument/2006/customXml" ds:itemID="{908A0EDF-DD04-4002-AD11-33179DF03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19895</Words>
  <Characters>113405</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gvet Chemicals – Market Drivers and Barrier</vt:lpstr>
    </vt:vector>
  </TitlesOfParts>
  <Company/>
  <LinksUpToDate>false</LinksUpToDate>
  <CharactersWithSpaces>133034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gvet Chemicals – Market Drivers and Barrier</dc:title>
  <dc:subject/>
  <dc:creator/>
  <cp:keywords/>
  <dc:description/>
  <cp:lastModifiedBy/>
  <cp:revision>1</cp:revision>
  <dcterms:created xsi:type="dcterms:W3CDTF">2019-09-10T02:18:00Z</dcterms:created>
  <dcterms:modified xsi:type="dcterms:W3CDTF">2019-12-22T22:07:00Z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0x010100D3DFCF6CB9174298A5FC3AC90FEF1D8E005FD00586E3B64CE58F056669AB9C012400FF529400EF4CF64DA66E254E89365E31</vt:lpwstr>
  </property>
  <property fmtid="{D5CDD505-2E9C-101B-9397-08002B2CF9AE}" pid="3" name="ZOTERO_PREF_2">
    <vt:lpwstr>="delayCitationUpdates" value="true"/&gt;&lt;/prefs&gt;&lt;/data&gt;</vt:lpwstr>
  </property>
  <property fmtid="{D5CDD505-2E9C-101B-9397-08002B2CF9AE}" pid="4" name="ZOTERO_PREF_1">
    <vt:lpwstr>&lt;data data-version="3" zotero-version="5.0.60"&gt;&lt;session id="87o2Zv23"/&gt;&lt;style id="http://www.zotero.org/styles/chicago-author-date" locale="en-US" hasBibliography="1" bibliographyStyleHasBeenSet="1"/&gt;&lt;prefs&gt;&lt;pref name="fieldType" value="Field"/&gt;&lt;pref name</vt:lpwstr>
  </property>
</Properties>
</file>