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D438" w14:textId="1E326310" w:rsidR="00D04A3C" w:rsidRDefault="00B04C6A" w:rsidP="0098739B">
      <w:bookmarkStart w:id="0" w:name="_Hlk117692872"/>
      <w:r>
        <w:t>24 December 2024</w:t>
      </w:r>
    </w:p>
    <w:p w14:paraId="5BE39D46" w14:textId="2746D354" w:rsidR="00EC6BB2" w:rsidRPr="00E96411" w:rsidRDefault="00EC6BB2" w:rsidP="00EC6BB2">
      <w:pPr>
        <w:pStyle w:val="Series"/>
        <w:rPr>
          <w:color w:val="auto"/>
        </w:rPr>
      </w:pPr>
      <w:r w:rsidRPr="00E96411">
        <w:rPr>
          <w:color w:val="auto"/>
        </w:rPr>
        <w:t xml:space="preserve">Policy Decision </w:t>
      </w:r>
      <w:r w:rsidR="00A57667" w:rsidRPr="00E96411">
        <w:rPr>
          <w:color w:val="auto"/>
        </w:rPr>
        <w:t>24-0</w:t>
      </w:r>
      <w:r w:rsidR="004B4FE4" w:rsidRPr="00E96411">
        <w:rPr>
          <w:color w:val="auto"/>
        </w:rPr>
        <w:t>1</w:t>
      </w:r>
    </w:p>
    <w:bookmarkEnd w:id="0"/>
    <w:p w14:paraId="457174D6" w14:textId="6A70BB7C" w:rsidR="00B82095" w:rsidRPr="00565790" w:rsidRDefault="00A74356" w:rsidP="00220618">
      <w:pPr>
        <w:pStyle w:val="Heading1"/>
        <w:rPr>
          <w:color w:val="auto"/>
        </w:rPr>
      </w:pPr>
      <w:r w:rsidRPr="00565790">
        <w:rPr>
          <w:color w:val="auto"/>
        </w:rPr>
        <w:t>Japanese encephalitis virus infection in animals case definition</w:t>
      </w:r>
    </w:p>
    <w:p w14:paraId="2C9BFF66" w14:textId="50FA1634" w:rsidR="00B82095" w:rsidRDefault="00440ABE" w:rsidP="0098739B">
      <w:r>
        <w:t>Animal Health Committee</w:t>
      </w:r>
    </w:p>
    <w:p w14:paraId="04763F7B" w14:textId="17059CC3" w:rsidR="00943779" w:rsidRPr="00513C0F" w:rsidRDefault="00BF2C25" w:rsidP="0098739B">
      <w:pPr>
        <w:pStyle w:val="Heading2"/>
      </w:pPr>
      <w:r w:rsidRPr="00513C0F">
        <w:t>Purpose</w:t>
      </w:r>
    </w:p>
    <w:p w14:paraId="588504B0" w14:textId="38FFF0E1" w:rsidR="00BF2C25" w:rsidRDefault="00BF2C25" w:rsidP="0098739B">
      <w:r>
        <w:t>This case definition document details the nationally agreed laboratory and clinical evidence criteria required</w:t>
      </w:r>
      <w:r>
        <w:t xml:space="preserve"> </w:t>
      </w:r>
      <w:r>
        <w:t>for the diagnosis of infection with Japanese encephalitis virus (JEV) in vertebrate animals in Australia.</w:t>
      </w:r>
    </w:p>
    <w:p w14:paraId="7A6A06CA" w14:textId="3D788D89" w:rsidR="00BF2C25" w:rsidRDefault="00BF2C25" w:rsidP="0098739B">
      <w:r>
        <w:t>This case definition is to facilitate nationally consistent interpretation, reporting and disease response</w:t>
      </w:r>
      <w:r>
        <w:t xml:space="preserve"> </w:t>
      </w:r>
      <w:r>
        <w:t>activities in the context of passive (diagnostic) and targeted surveillance settings.</w:t>
      </w:r>
    </w:p>
    <w:p w14:paraId="4D6AF30C" w14:textId="0504B014" w:rsidR="00BF2C25" w:rsidRDefault="00BF2C25" w:rsidP="0098739B">
      <w:r>
        <w:t>It has been developed in collaboration with key stakeholders. AHC will provide final approval for these case</w:t>
      </w:r>
      <w:r>
        <w:t xml:space="preserve"> </w:t>
      </w:r>
      <w:r>
        <w:t>definitions.</w:t>
      </w:r>
    </w:p>
    <w:p w14:paraId="3CE6B07A" w14:textId="41E85159" w:rsidR="00D30F87" w:rsidRPr="00513C0F" w:rsidRDefault="00D30F87" w:rsidP="0098739B">
      <w:pPr>
        <w:pStyle w:val="Heading2"/>
      </w:pPr>
      <w:r w:rsidRPr="00513C0F">
        <w:t>Scope</w:t>
      </w:r>
    </w:p>
    <w:p w14:paraId="70F5D8CF" w14:textId="77777777" w:rsidR="0061674B" w:rsidRDefault="0061674B" w:rsidP="0098739B">
      <w:r>
        <w:t>The JEV case definition covers infection with, and exposure to JEV in vertebrate animals in Australia.</w:t>
      </w:r>
    </w:p>
    <w:p w14:paraId="5CE663B2" w14:textId="76873F11" w:rsidR="0061674B" w:rsidRDefault="0061674B" w:rsidP="0098739B">
      <w:r>
        <w:t>It considers the level of confidence attributable to ‘positive’ laboratory evidence, in conjunction with the</w:t>
      </w:r>
      <w:r>
        <w:t xml:space="preserve"> </w:t>
      </w:r>
      <w:r>
        <w:t>clinical status of the case. It does not define ‘negative’ evidence required for exclusion of JEV.</w:t>
      </w:r>
    </w:p>
    <w:p w14:paraId="4AC08171" w14:textId="0353E186" w:rsidR="0061674B" w:rsidRDefault="0061674B" w:rsidP="0098739B">
      <w:r>
        <w:t>The criteria for reporting of JEV investigations in the National Notifiable Disease Investigation (NNDI) data</w:t>
      </w:r>
      <w:r>
        <w:t xml:space="preserve"> </w:t>
      </w:r>
      <w:r>
        <w:t xml:space="preserve">program of the National Animal Health Information Program (NAHIP) </w:t>
      </w:r>
      <w:proofErr w:type="gramStart"/>
      <w:r>
        <w:t>is</w:t>
      </w:r>
      <w:proofErr w:type="gramEnd"/>
      <w:r>
        <w:t xml:space="preserve"> currently limited to clinical</w:t>
      </w:r>
      <w:r>
        <w:t xml:space="preserve"> </w:t>
      </w:r>
      <w:r>
        <w:t>investigations. Existing criteria for reporting should be used for that specific program.</w:t>
      </w:r>
    </w:p>
    <w:p w14:paraId="11B8C62B" w14:textId="365443A0" w:rsidR="0061674B" w:rsidRDefault="0061674B" w:rsidP="0098739B">
      <w:r>
        <w:t>The JEV data sharing Memorandum of Understanding (2024) details the process on how and what data is to be</w:t>
      </w:r>
      <w:r>
        <w:t xml:space="preserve"> </w:t>
      </w:r>
      <w:r>
        <w:t>shared with other agencies. This case definition is designed to complement the MoU to allow uniform</w:t>
      </w:r>
      <w:r>
        <w:t xml:space="preserve"> </w:t>
      </w:r>
      <w:r>
        <w:t>reporting and interpretation of surveillance results.</w:t>
      </w:r>
    </w:p>
    <w:p w14:paraId="63EB03B3" w14:textId="378686F0" w:rsidR="00D30F87" w:rsidRDefault="0061674B" w:rsidP="0098739B">
      <w:r>
        <w:t>This case definition does not apply to other flaviviruses; however, the extent to which relevant flaviviruses</w:t>
      </w:r>
      <w:r>
        <w:t xml:space="preserve"> </w:t>
      </w:r>
      <w:r>
        <w:t>cross-react with JEV is considered in laboratory interpretation. The case definition applies to testing</w:t>
      </w:r>
      <w:r>
        <w:t xml:space="preserve"> </w:t>
      </w:r>
      <w:r>
        <w:t>undertaken at accredited animal health labs; laboratories that are not National Association of Testing</w:t>
      </w:r>
      <w:r>
        <w:t xml:space="preserve"> </w:t>
      </w:r>
      <w:r>
        <w:t xml:space="preserve">Authorities (NATA) </w:t>
      </w:r>
      <w:proofErr w:type="gramStart"/>
      <w:r>
        <w:t>accredited</w:t>
      </w:r>
      <w:proofErr w:type="gramEnd"/>
      <w:r>
        <w:t xml:space="preserve"> or Government run facilities will require confirmatory testing prior to any action</w:t>
      </w:r>
      <w:r>
        <w:t xml:space="preserve"> </w:t>
      </w:r>
      <w:r>
        <w:t>by the jurisdictions.</w:t>
      </w:r>
    </w:p>
    <w:p w14:paraId="1D68AC36" w14:textId="379A02CB" w:rsidR="0061674B" w:rsidRPr="00513C0F" w:rsidRDefault="0061674B" w:rsidP="0098739B">
      <w:pPr>
        <w:pStyle w:val="Heading2"/>
      </w:pPr>
      <w:r w:rsidRPr="00513C0F">
        <w:lastRenderedPageBreak/>
        <w:t>Case definition</w:t>
      </w:r>
    </w:p>
    <w:p w14:paraId="31DCF555" w14:textId="017D9689" w:rsidR="006A6DC6" w:rsidRDefault="006A6DC6" w:rsidP="0098739B">
      <w:r>
        <w:t xml:space="preserve">A </w:t>
      </w:r>
      <w:r w:rsidRPr="00B002AA">
        <w:rPr>
          <w:b/>
          <w:bCs/>
        </w:rPr>
        <w:t>confirmed</w:t>
      </w:r>
      <w:r>
        <w:t xml:space="preserve"> case of infection with JEV is defined as laboratory-definitive evidence of infection with or without</w:t>
      </w:r>
      <w:r>
        <w:t xml:space="preserve"> </w:t>
      </w:r>
      <w:r>
        <w:t>clinical signs.</w:t>
      </w:r>
      <w:r w:rsidR="00036A17">
        <w:rPr>
          <w:rStyle w:val="FootnoteReference"/>
        </w:rPr>
        <w:footnoteReference w:id="2"/>
      </w:r>
      <w:r w:rsidR="00036A17">
        <w:rPr>
          <w:rStyle w:val="FootnoteReference"/>
        </w:rPr>
        <w:footnoteReference w:id="3"/>
      </w:r>
    </w:p>
    <w:p w14:paraId="3F1A0141" w14:textId="04BC92DA" w:rsidR="0061674B" w:rsidRDefault="006A6DC6" w:rsidP="0098739B">
      <w:r w:rsidRPr="003309E3">
        <w:rPr>
          <w:b/>
          <w:bCs/>
        </w:rPr>
        <w:t>Evidence of exposure</w:t>
      </w:r>
      <w:r>
        <w:t xml:space="preserve"> to JEV is defined as laboratory evidence of exposure with or without clinical signs.</w:t>
      </w:r>
    </w:p>
    <w:p w14:paraId="202B1247" w14:textId="6E40CF52" w:rsidR="003309E3" w:rsidRPr="00513C0F" w:rsidRDefault="003309E3" w:rsidP="0098739B">
      <w:pPr>
        <w:pStyle w:val="Heading2"/>
      </w:pPr>
      <w:r w:rsidRPr="00513C0F">
        <w:t>Reporting</w:t>
      </w:r>
    </w:p>
    <w:p w14:paraId="0361B87D" w14:textId="011E0182" w:rsidR="003309E3" w:rsidRDefault="003309E3" w:rsidP="0098739B">
      <w:r>
        <w:t xml:space="preserve">Submissions meeting the criteria for a </w:t>
      </w:r>
      <w:r w:rsidRPr="003309E3">
        <w:rPr>
          <w:b/>
          <w:bCs/>
        </w:rPr>
        <w:t>confirmed</w:t>
      </w:r>
      <w:r>
        <w:t xml:space="preserve"> case of infection with JEV should be notified as per normal</w:t>
      </w:r>
      <w:r>
        <w:t xml:space="preserve"> </w:t>
      </w:r>
      <w:r>
        <w:t>jurisdictional processes and any relevant data sharing agreements.</w:t>
      </w:r>
    </w:p>
    <w:p w14:paraId="32BED850" w14:textId="46809523" w:rsidR="003309E3" w:rsidRDefault="003309E3" w:rsidP="0098739B">
      <w:r>
        <w:t xml:space="preserve">Consideration should also be given to sharing information of </w:t>
      </w:r>
      <w:r w:rsidRPr="003309E3">
        <w:rPr>
          <w:b/>
          <w:bCs/>
        </w:rPr>
        <w:t>evidence of exposure</w:t>
      </w:r>
      <w:r>
        <w:t xml:space="preserve"> to JEV in either </w:t>
      </w:r>
      <w:proofErr w:type="spellStart"/>
      <w:r>
        <w:t>i</w:t>
      </w:r>
      <w:proofErr w:type="spellEnd"/>
      <w:r>
        <w:t>) species,</w:t>
      </w:r>
      <w:r w:rsidR="00036A17">
        <w:t xml:space="preserve"> </w:t>
      </w:r>
      <w:r>
        <w:t>or ii) geographical areas, in which JEV has not previously been detected.</w:t>
      </w:r>
    </w:p>
    <w:p w14:paraId="0D7DFE94" w14:textId="1F5FD0FF" w:rsidR="003309E3" w:rsidRDefault="003309E3" w:rsidP="0098739B">
      <w:r>
        <w:t>Results of investigations not meeting the case definition should be reported as required; for example, results</w:t>
      </w:r>
      <w:r w:rsidR="00036A17">
        <w:t xml:space="preserve"> </w:t>
      </w:r>
      <w:r>
        <w:t>of clinical investigations into the NAHIP.</w:t>
      </w:r>
    </w:p>
    <w:p w14:paraId="0533D316" w14:textId="3FEB90C7" w:rsidR="003973EF" w:rsidRPr="00513C0F" w:rsidRDefault="003973EF" w:rsidP="0098739B">
      <w:pPr>
        <w:pStyle w:val="Heading2"/>
      </w:pPr>
      <w:r w:rsidRPr="00513C0F">
        <w:t>Clinical evidence</w:t>
      </w:r>
    </w:p>
    <w:p w14:paraId="6CEED0A5" w14:textId="5CE2EBC0" w:rsidR="00E2681F" w:rsidRPr="0098739B" w:rsidRDefault="00E2681F" w:rsidP="0098739B">
      <w:r w:rsidRPr="0098739B">
        <w:t xml:space="preserve">Most infections with JEV are subclinical. Clinical disease in animals is </w:t>
      </w:r>
      <w:proofErr w:type="gramStart"/>
      <w:r w:rsidRPr="0098739B">
        <w:t>most commonly reported</w:t>
      </w:r>
      <w:proofErr w:type="gramEnd"/>
      <w:r w:rsidRPr="0098739B">
        <w:t xml:space="preserve"> in pigs and</w:t>
      </w:r>
      <w:r w:rsidRPr="0098739B">
        <w:t xml:space="preserve"> </w:t>
      </w:r>
      <w:r w:rsidRPr="0098739B">
        <w:t>equids; reports of disease in other species are rare.</w:t>
      </w:r>
    </w:p>
    <w:p w14:paraId="20C74D5E" w14:textId="77777777" w:rsidR="00E2681F" w:rsidRPr="00997DB3" w:rsidRDefault="00E2681F" w:rsidP="00997DB3">
      <w:pPr>
        <w:pStyle w:val="Heading3"/>
        <w:rPr>
          <w:sz w:val="28"/>
        </w:rPr>
      </w:pPr>
      <w:r w:rsidRPr="00997DB3">
        <w:rPr>
          <w:sz w:val="28"/>
        </w:rPr>
        <w:t>Pigs</w:t>
      </w:r>
    </w:p>
    <w:p w14:paraId="7DDF7FDF" w14:textId="77777777" w:rsidR="004A0A26" w:rsidRDefault="00E2681F" w:rsidP="0098739B">
      <w:pPr>
        <w:pStyle w:val="ListNumber"/>
        <w:numPr>
          <w:ilvl w:val="0"/>
          <w:numId w:val="24"/>
        </w:numPr>
      </w:pPr>
      <w:r w:rsidRPr="006007BC">
        <w:t>Reproductive</w:t>
      </w:r>
      <w:r>
        <w:t xml:space="preserve"> disease in sows characterised by abortion, stillbirths, or mummified foetuses, delayed</w:t>
      </w:r>
      <w:r w:rsidR="004A0A26">
        <w:t xml:space="preserve"> </w:t>
      </w:r>
      <w:r>
        <w:t>farrowing or increased return to service rates or paretic or clinically affected piglets that die soon</w:t>
      </w:r>
      <w:r w:rsidR="004A0A26">
        <w:t xml:space="preserve"> </w:t>
      </w:r>
      <w:r>
        <w:t>after birth, above the expected level for the enterprise, AND/OR</w:t>
      </w:r>
    </w:p>
    <w:p w14:paraId="66D2E94B" w14:textId="77777777" w:rsidR="004A0A26" w:rsidRDefault="00E2681F" w:rsidP="0098739B">
      <w:pPr>
        <w:pStyle w:val="ListNumber"/>
        <w:numPr>
          <w:ilvl w:val="0"/>
          <w:numId w:val="24"/>
        </w:numPr>
      </w:pPr>
      <w:r>
        <w:t>Shaking, trembling, ataxic or convulsing young pigs that do poorly, with variable pyrexia, AND/OR</w:t>
      </w:r>
    </w:p>
    <w:p w14:paraId="665AA2F0" w14:textId="0BC6DB2C" w:rsidR="003973EF" w:rsidRDefault="00E2681F" w:rsidP="0098739B">
      <w:pPr>
        <w:pStyle w:val="ListNumber"/>
        <w:numPr>
          <w:ilvl w:val="0"/>
          <w:numId w:val="24"/>
        </w:numPr>
      </w:pPr>
      <w:r>
        <w:t>Orchitis, decreased sperm number or motility in semen, or abnormal spermatozoa.</w:t>
      </w:r>
    </w:p>
    <w:p w14:paraId="532B17DF" w14:textId="56685A4C" w:rsidR="004A0A26" w:rsidRPr="00C4607C" w:rsidRDefault="00C4607C" w:rsidP="00C4607C">
      <w:pPr>
        <w:pStyle w:val="Heading3"/>
        <w:rPr>
          <w:sz w:val="28"/>
        </w:rPr>
      </w:pPr>
      <w:r w:rsidRPr="00C4607C">
        <w:rPr>
          <w:sz w:val="28"/>
        </w:rPr>
        <w:t>Equids</w:t>
      </w:r>
    </w:p>
    <w:p w14:paraId="7332F08B" w14:textId="69EA4246" w:rsidR="00C4607C" w:rsidRDefault="00C4607C" w:rsidP="00FE5926">
      <w:pPr>
        <w:pStyle w:val="ListNumber"/>
        <w:numPr>
          <w:ilvl w:val="0"/>
          <w:numId w:val="46"/>
        </w:numPr>
      </w:pPr>
      <w:r>
        <w:t>Neurologic disease characterised by ataxia (including stumbling, staggering, wobbly gait, or</w:t>
      </w:r>
      <w:r w:rsidR="002E49D3">
        <w:t xml:space="preserve"> </w:t>
      </w:r>
      <w:r>
        <w:t>incoordination), OR</w:t>
      </w:r>
    </w:p>
    <w:p w14:paraId="0442F45E" w14:textId="77777777" w:rsidR="00C4607C" w:rsidRDefault="00C4607C" w:rsidP="002E49D3">
      <w:pPr>
        <w:pStyle w:val="ListNumber"/>
      </w:pPr>
      <w:r>
        <w:t>Neurologic disease without ataxia, characterised by two or more of the following:</w:t>
      </w:r>
    </w:p>
    <w:p w14:paraId="17A574F8" w14:textId="4656E7E2" w:rsidR="00C4607C" w:rsidRDefault="00C4607C" w:rsidP="002E49D3">
      <w:pPr>
        <w:pStyle w:val="ListNumber"/>
      </w:pPr>
      <w:r>
        <w:t>Facial paralysis</w:t>
      </w:r>
    </w:p>
    <w:p w14:paraId="41851820" w14:textId="26E3002C" w:rsidR="00C4607C" w:rsidRDefault="00C4607C" w:rsidP="00845692">
      <w:pPr>
        <w:pStyle w:val="ListBullet"/>
        <w:numPr>
          <w:ilvl w:val="0"/>
          <w:numId w:val="47"/>
        </w:numPr>
        <w:ind w:left="454" w:hanging="454"/>
      </w:pPr>
      <w:r>
        <w:t>Muscle tremors/fasciculation</w:t>
      </w:r>
    </w:p>
    <w:p w14:paraId="29FB48C9" w14:textId="702FA080" w:rsidR="00C4607C" w:rsidRDefault="00C4607C" w:rsidP="00845692">
      <w:pPr>
        <w:pStyle w:val="ListBullet"/>
        <w:numPr>
          <w:ilvl w:val="0"/>
          <w:numId w:val="47"/>
        </w:numPr>
        <w:ind w:left="454" w:hanging="454"/>
      </w:pPr>
      <w:r>
        <w:t>Hyperaesthesia</w:t>
      </w:r>
    </w:p>
    <w:p w14:paraId="28241399" w14:textId="56A7D562" w:rsidR="00C4607C" w:rsidRDefault="00C4607C" w:rsidP="00845692">
      <w:pPr>
        <w:pStyle w:val="ListBullet"/>
        <w:numPr>
          <w:ilvl w:val="0"/>
          <w:numId w:val="47"/>
        </w:numPr>
        <w:ind w:left="454" w:hanging="454"/>
      </w:pPr>
      <w:r>
        <w:t>Circling</w:t>
      </w:r>
    </w:p>
    <w:p w14:paraId="0B10A07D" w14:textId="6AC31CF5" w:rsidR="00C4607C" w:rsidRDefault="00C4607C" w:rsidP="00845692">
      <w:pPr>
        <w:pStyle w:val="ListBullet"/>
        <w:numPr>
          <w:ilvl w:val="0"/>
          <w:numId w:val="47"/>
        </w:numPr>
        <w:ind w:left="454" w:hanging="454"/>
      </w:pPr>
      <w:r>
        <w:t>Blindness</w:t>
      </w:r>
    </w:p>
    <w:p w14:paraId="17E98EF7" w14:textId="1E0352C2" w:rsidR="00C4607C" w:rsidRDefault="00C4607C" w:rsidP="00845692">
      <w:pPr>
        <w:pStyle w:val="ListBullet"/>
        <w:numPr>
          <w:ilvl w:val="0"/>
          <w:numId w:val="47"/>
        </w:numPr>
        <w:ind w:left="454" w:hanging="454"/>
      </w:pPr>
      <w:r>
        <w:lastRenderedPageBreak/>
        <w:t>Recumbency or inability to stand</w:t>
      </w:r>
    </w:p>
    <w:p w14:paraId="761E4C01" w14:textId="6247ECB4" w:rsidR="00C4607C" w:rsidRDefault="00C4607C" w:rsidP="00845692">
      <w:pPr>
        <w:pStyle w:val="ListBullet"/>
        <w:numPr>
          <w:ilvl w:val="0"/>
          <w:numId w:val="47"/>
        </w:numPr>
        <w:ind w:left="454" w:hanging="454"/>
      </w:pPr>
      <w:r>
        <w:t>Hind limb weakness</w:t>
      </w:r>
    </w:p>
    <w:p w14:paraId="0356BE00" w14:textId="3B0F1680" w:rsidR="00C4607C" w:rsidRDefault="00C4607C" w:rsidP="00845692">
      <w:pPr>
        <w:pStyle w:val="ListBullet"/>
        <w:numPr>
          <w:ilvl w:val="0"/>
          <w:numId w:val="47"/>
        </w:numPr>
        <w:ind w:left="454" w:hanging="454"/>
      </w:pPr>
      <w:r>
        <w:t>Multiple limb paralysis</w:t>
      </w:r>
    </w:p>
    <w:p w14:paraId="31C3AE63" w14:textId="20B8A3A9" w:rsidR="00C4607C" w:rsidRDefault="00C4607C" w:rsidP="00845692">
      <w:pPr>
        <w:pStyle w:val="ListBullet"/>
        <w:numPr>
          <w:ilvl w:val="0"/>
          <w:numId w:val="47"/>
        </w:numPr>
        <w:ind w:left="454" w:hanging="454"/>
      </w:pPr>
      <w:r>
        <w:t>Altered mental state</w:t>
      </w:r>
    </w:p>
    <w:p w14:paraId="3B05E222" w14:textId="406169EF" w:rsidR="00C4607C" w:rsidRDefault="00C4607C" w:rsidP="00845692">
      <w:pPr>
        <w:pStyle w:val="ListBullet"/>
        <w:numPr>
          <w:ilvl w:val="0"/>
          <w:numId w:val="47"/>
        </w:numPr>
        <w:ind w:left="454" w:hanging="454"/>
      </w:pPr>
      <w:r>
        <w:t>Hypermetria</w:t>
      </w:r>
    </w:p>
    <w:p w14:paraId="6BC107D8" w14:textId="052166A3" w:rsidR="00C4607C" w:rsidRDefault="00C4607C" w:rsidP="00845692">
      <w:pPr>
        <w:pStyle w:val="ListBullet"/>
        <w:numPr>
          <w:ilvl w:val="0"/>
          <w:numId w:val="47"/>
        </w:numPr>
        <w:ind w:left="454" w:hanging="454"/>
      </w:pPr>
      <w:r>
        <w:t>Depression</w:t>
      </w:r>
    </w:p>
    <w:p w14:paraId="38659BA3" w14:textId="3A5DD0ED" w:rsidR="00C4607C" w:rsidRDefault="00C4607C" w:rsidP="00845692">
      <w:pPr>
        <w:pStyle w:val="ListBullet"/>
      </w:pPr>
      <w:r w:rsidRPr="00845692">
        <w:rPr>
          <w:b/>
          <w:bCs/>
        </w:rPr>
        <w:t>NOTE:</w:t>
      </w:r>
      <w:r>
        <w:t xml:space="preserve"> Fever is an inconsistent finding, usually </w:t>
      </w:r>
      <w:proofErr w:type="gramStart"/>
      <w:r>
        <w:t>as a result of</w:t>
      </w:r>
      <w:proofErr w:type="gramEnd"/>
      <w:r>
        <w:t xml:space="preserve"> the late onset of central nervous system (CNS) signs relative to</w:t>
      </w:r>
      <w:r w:rsidR="00845692">
        <w:t xml:space="preserve"> </w:t>
      </w:r>
      <w:r>
        <w:t>the time of infection and is not an essential component of the clinical description. Behavioural changes including</w:t>
      </w:r>
      <w:r w:rsidR="00845692">
        <w:t xml:space="preserve"> </w:t>
      </w:r>
      <w:r>
        <w:t>somnolence, listlessness, apprehension, or periods of hyperexcitability may occur. Other common clinical signs include</w:t>
      </w:r>
      <w:r w:rsidR="00845692">
        <w:t xml:space="preserve"> </w:t>
      </w:r>
      <w:r>
        <w:t>colic, lameness and anorexia.</w:t>
      </w:r>
    </w:p>
    <w:p w14:paraId="1292897A" w14:textId="78A8FF89" w:rsidR="00F936A3" w:rsidRDefault="00F936A3" w:rsidP="00F936A3">
      <w:pPr>
        <w:pStyle w:val="Heading2"/>
      </w:pPr>
      <w:r>
        <w:t>Laboratory evidence</w:t>
      </w:r>
    </w:p>
    <w:p w14:paraId="1CDC5B96" w14:textId="77777777" w:rsidR="00F936A3" w:rsidRPr="00F936A3" w:rsidRDefault="00F936A3" w:rsidP="00F936A3">
      <w:pPr>
        <w:pStyle w:val="Heading3"/>
        <w:rPr>
          <w:sz w:val="28"/>
        </w:rPr>
      </w:pPr>
      <w:r w:rsidRPr="00F936A3">
        <w:rPr>
          <w:sz w:val="28"/>
        </w:rPr>
        <w:t>Definitive evidence of infection</w:t>
      </w:r>
    </w:p>
    <w:p w14:paraId="4CB23C11" w14:textId="2F78B266" w:rsidR="00F936A3" w:rsidRDefault="00F936A3" w:rsidP="00F936A3">
      <w:pPr>
        <w:pStyle w:val="ListNumber"/>
        <w:numPr>
          <w:ilvl w:val="0"/>
          <w:numId w:val="48"/>
        </w:numPr>
      </w:pPr>
      <w:r>
        <w:t>Isolation and identification of JEV, OR</w:t>
      </w:r>
    </w:p>
    <w:p w14:paraId="6CB74951" w14:textId="18A6680F" w:rsidR="00F936A3" w:rsidRDefault="00F936A3" w:rsidP="00F936A3">
      <w:pPr>
        <w:pStyle w:val="ListNumber"/>
        <w:numPr>
          <w:ilvl w:val="0"/>
          <w:numId w:val="48"/>
        </w:numPr>
      </w:pPr>
      <w:r>
        <w:t>Detection of JEV by nucleic acid testing, OR</w:t>
      </w:r>
    </w:p>
    <w:p w14:paraId="352FCD9D" w14:textId="67030428" w:rsidR="00F936A3" w:rsidRDefault="00F936A3" w:rsidP="006E0D94">
      <w:pPr>
        <w:pStyle w:val="ListNumber"/>
        <w:numPr>
          <w:ilvl w:val="0"/>
          <w:numId w:val="48"/>
        </w:numPr>
      </w:pPr>
      <w:r>
        <w:t>Seroconversion or a diagnostically significant increase in JEV-specific antibody levels by testing paired</w:t>
      </w:r>
      <w:r>
        <w:t xml:space="preserve"> </w:t>
      </w:r>
      <w:r>
        <w:t>sera in an appropriate serological test in the absence of significant levels of antibodies to other</w:t>
      </w:r>
      <w:r>
        <w:t xml:space="preserve"> </w:t>
      </w:r>
      <w:r>
        <w:t xml:space="preserve">flaviviruses e.g. Murray Valley encephalitis virus (MVEV) and West Nile virus – </w:t>
      </w:r>
      <w:proofErr w:type="spellStart"/>
      <w:r>
        <w:t>Kunjin</w:t>
      </w:r>
      <w:proofErr w:type="spellEnd"/>
      <w:r>
        <w:t xml:space="preserve"> subtype (WNVKUN),</w:t>
      </w:r>
      <w:r>
        <w:t xml:space="preserve"> </w:t>
      </w:r>
      <w:r>
        <w:t>and with no history of vaccination, OR</w:t>
      </w:r>
    </w:p>
    <w:p w14:paraId="5A1E439D" w14:textId="49F18A57" w:rsidR="00F936A3" w:rsidRDefault="00F936A3" w:rsidP="00854614">
      <w:pPr>
        <w:pStyle w:val="ListNumber"/>
        <w:numPr>
          <w:ilvl w:val="0"/>
          <w:numId w:val="48"/>
        </w:numPr>
      </w:pPr>
      <w:r>
        <w:t>Detection of diagnostically significant levels of JEV-specific IgM antibody in cerebrospinal fluid (CSF) in</w:t>
      </w:r>
      <w:r>
        <w:t xml:space="preserve"> </w:t>
      </w:r>
      <w:r>
        <w:t>the absence of significant levels of antibodies to other flaviviruses e.g. MVEV and WNV-KUN, and with</w:t>
      </w:r>
      <w:r>
        <w:t xml:space="preserve"> </w:t>
      </w:r>
      <w:r>
        <w:t>no history of vaccination.</w:t>
      </w:r>
    </w:p>
    <w:p w14:paraId="608BA70E" w14:textId="53C88EBA" w:rsidR="00F936A3" w:rsidRDefault="00F936A3" w:rsidP="00F936A3">
      <w:r>
        <w:t>Note: Testing should be carried out at laboratories experienced in flavivirus testing, and it is important to</w:t>
      </w:r>
      <w:r>
        <w:t xml:space="preserve"> </w:t>
      </w:r>
      <w:r>
        <w:t>consult laboratory staff for guidance on interpreting results.</w:t>
      </w:r>
    </w:p>
    <w:p w14:paraId="6CDD2BBD" w14:textId="77777777" w:rsidR="00F936A3" w:rsidRPr="00F936A3" w:rsidRDefault="00F936A3" w:rsidP="00F936A3">
      <w:pPr>
        <w:pStyle w:val="Heading3"/>
        <w:rPr>
          <w:sz w:val="28"/>
        </w:rPr>
      </w:pPr>
      <w:r w:rsidRPr="00F936A3">
        <w:rPr>
          <w:sz w:val="28"/>
        </w:rPr>
        <w:t>Evidence of exposure</w:t>
      </w:r>
    </w:p>
    <w:p w14:paraId="72EBA9EA" w14:textId="6FB06004" w:rsidR="00E5522F" w:rsidRPr="00285194" w:rsidRDefault="00E5522F" w:rsidP="00793918">
      <w:pPr>
        <w:pStyle w:val="ListNumber"/>
        <w:numPr>
          <w:ilvl w:val="0"/>
          <w:numId w:val="49"/>
        </w:numPr>
      </w:pPr>
      <w:r w:rsidRPr="00285194">
        <w:t>Detection of diagnostically significant levels of JEV-specific IgM antibody in serum in the absence of</w:t>
      </w:r>
      <w:r w:rsidR="00285194">
        <w:t xml:space="preserve"> </w:t>
      </w:r>
      <w:r w:rsidRPr="00285194">
        <w:t>significant levels of antibodies to other flaviviruses e.g. MVEV and WNV-KUN, and with no history of</w:t>
      </w:r>
      <w:r w:rsidR="00285194">
        <w:t xml:space="preserve"> </w:t>
      </w:r>
      <w:r w:rsidRPr="00285194">
        <w:t>vaccination, OR</w:t>
      </w:r>
    </w:p>
    <w:p w14:paraId="4A33ECA3" w14:textId="33E7DFB1" w:rsidR="00E5522F" w:rsidRPr="00285194" w:rsidRDefault="00E5522F" w:rsidP="00793918">
      <w:pPr>
        <w:pStyle w:val="ListNumber"/>
        <w:numPr>
          <w:ilvl w:val="0"/>
          <w:numId w:val="49"/>
        </w:numPr>
      </w:pPr>
      <w:r w:rsidRPr="00285194">
        <w:t>Detection of diagnostically significant levels of JEV-specific IgG antibodies in CSF or serum in the</w:t>
      </w:r>
      <w:r w:rsidR="00285194">
        <w:t xml:space="preserve"> </w:t>
      </w:r>
      <w:r w:rsidRPr="00285194">
        <w:t>absence of significant levels of antibodies to other flaviviruses e.g. MVEV and WNV-KUN, and with no</w:t>
      </w:r>
      <w:r w:rsidR="00285194" w:rsidRPr="00285194">
        <w:t xml:space="preserve"> </w:t>
      </w:r>
      <w:r w:rsidRPr="00285194">
        <w:t>history of vaccination.</w:t>
      </w:r>
    </w:p>
    <w:p w14:paraId="608383E4" w14:textId="70900A3E" w:rsidR="00CE165B" w:rsidRDefault="00E5522F" w:rsidP="00285194">
      <w:pPr>
        <w:pStyle w:val="ListNumber2"/>
        <w:numPr>
          <w:ilvl w:val="0"/>
          <w:numId w:val="0"/>
        </w:numPr>
        <w:rPr>
          <w:rFonts w:asciiTheme="minorHAnsi" w:eastAsiaTheme="minorHAnsi" w:hAnsiTheme="minorHAnsi" w:cstheme="minorBidi"/>
          <w:szCs w:val="22"/>
          <w:lang w:eastAsia="ja-JP"/>
        </w:rPr>
      </w:pPr>
      <w:r w:rsidRPr="00E5522F">
        <w:rPr>
          <w:rFonts w:asciiTheme="minorHAnsi" w:eastAsiaTheme="minorHAnsi" w:hAnsiTheme="minorHAnsi" w:cstheme="minorBidi"/>
          <w:szCs w:val="22"/>
          <w:lang w:eastAsia="ja-JP"/>
        </w:rPr>
        <w:t>Note: Testing should be carried out at laboratories experienced in flavivirus testing, and it is important to</w:t>
      </w:r>
      <w:r w:rsidR="00285194">
        <w:rPr>
          <w:rFonts w:asciiTheme="minorHAnsi" w:eastAsiaTheme="minorHAnsi" w:hAnsiTheme="minorHAnsi" w:cstheme="minorBidi"/>
          <w:szCs w:val="22"/>
          <w:lang w:eastAsia="ja-JP"/>
        </w:rPr>
        <w:t xml:space="preserve"> </w:t>
      </w:r>
      <w:r w:rsidRPr="00E5522F">
        <w:rPr>
          <w:rFonts w:asciiTheme="minorHAnsi" w:eastAsiaTheme="minorHAnsi" w:hAnsiTheme="minorHAnsi" w:cstheme="minorBidi"/>
          <w:szCs w:val="22"/>
          <w:lang w:eastAsia="ja-JP"/>
        </w:rPr>
        <w:t>consult laboratory staff for guidance on interpreting results</w:t>
      </w:r>
      <w:r w:rsidR="00285194">
        <w:rPr>
          <w:rFonts w:asciiTheme="minorHAnsi" w:eastAsiaTheme="minorHAnsi" w:hAnsiTheme="minorHAnsi" w:cstheme="minorBidi"/>
          <w:szCs w:val="22"/>
          <w:lang w:eastAsia="ja-JP"/>
        </w:rPr>
        <w:t>.</w:t>
      </w:r>
    </w:p>
    <w:p w14:paraId="7021C874" w14:textId="02FCDBDE" w:rsidR="00285194" w:rsidRDefault="00814347" w:rsidP="00814347">
      <w:pPr>
        <w:pStyle w:val="Heading2"/>
      </w:pPr>
      <w:r w:rsidRPr="00814347">
        <w:t>Additional information on laboratory testing</w:t>
      </w:r>
    </w:p>
    <w:p w14:paraId="36778F8C" w14:textId="2DE5250C" w:rsidR="00814347" w:rsidRDefault="00814347" w:rsidP="00814347">
      <w:r>
        <w:t>The primary method of agent detection of JEV is real-time reverse transcription (RT-) polymerase chain</w:t>
      </w:r>
      <w:r>
        <w:t xml:space="preserve"> </w:t>
      </w:r>
      <w:r>
        <w:t xml:space="preserve">reaction (PCR) in </w:t>
      </w:r>
      <w:r w:rsidRPr="00B53592">
        <w:rPr>
          <w:i/>
          <w:iCs/>
        </w:rPr>
        <w:t>post-mortem</w:t>
      </w:r>
      <w:r>
        <w:t xml:space="preserve"> tissues (particularly CNS, tonsillar, placental or foetal tissues) or blood and CSF</w:t>
      </w:r>
      <w:r>
        <w:t xml:space="preserve"> </w:t>
      </w:r>
      <w:r>
        <w:t>collected from acute cases.</w:t>
      </w:r>
    </w:p>
    <w:p w14:paraId="5552130E" w14:textId="051735AF" w:rsidR="00814347" w:rsidRDefault="00814347" w:rsidP="00814347">
      <w:r>
        <w:lastRenderedPageBreak/>
        <w:t>Due to the short viraemia associated with JEV infection there is usually only a short diagnostic window for</w:t>
      </w:r>
      <w:r>
        <w:t xml:space="preserve"> </w:t>
      </w:r>
      <w:r>
        <w:t xml:space="preserve">virus detection by PCR in blood and serum samples. The presence of virus is also transient in </w:t>
      </w:r>
      <w:proofErr w:type="gramStart"/>
      <w:r>
        <w:t>CSF</w:t>
      </w:r>
      <w:proofErr w:type="gramEnd"/>
      <w:r>
        <w:t xml:space="preserve"> and it is</w:t>
      </w:r>
      <w:r>
        <w:t xml:space="preserve"> </w:t>
      </w:r>
      <w:r>
        <w:t>infrequently isolated or detected by PCR. Negative PCR results obtained from blood, serum and CSF samples</w:t>
      </w:r>
      <w:r>
        <w:t xml:space="preserve"> </w:t>
      </w:r>
      <w:r>
        <w:t>must be interpreted in this context. Oral and/or nasal swabs may also be tested; however, use of this sample</w:t>
      </w:r>
      <w:r>
        <w:t xml:space="preserve"> </w:t>
      </w:r>
      <w:r>
        <w:t>for agent detection has not been well validated.</w:t>
      </w:r>
    </w:p>
    <w:p w14:paraId="6DBF5FB4" w14:textId="7E4C3C0B" w:rsidR="00814347" w:rsidRDefault="00814347" w:rsidP="00814347">
      <w:r>
        <w:t>Virus isolation may be performed, however the positive isolation rate from diseased or dead animals is usually</w:t>
      </w:r>
      <w:r>
        <w:t xml:space="preserve"> </w:t>
      </w:r>
      <w:r>
        <w:t>very low unless sample selection is guided by screening of tissues by PCR first. CNS samples are preferred.</w:t>
      </w:r>
    </w:p>
    <w:p w14:paraId="7AABB705" w14:textId="077A3098" w:rsidR="00814347" w:rsidRDefault="00814347" w:rsidP="00814347">
      <w:r>
        <w:t xml:space="preserve">Serological tests are </w:t>
      </w:r>
      <w:proofErr w:type="gramStart"/>
      <w:r>
        <w:t>most commonly used</w:t>
      </w:r>
      <w:proofErr w:type="gramEnd"/>
      <w:r>
        <w:t xml:space="preserve"> for live animal diagnosis and are also useful for surveillance</w:t>
      </w:r>
      <w:r>
        <w:t xml:space="preserve"> </w:t>
      </w:r>
      <w:r>
        <w:t>programs to determine the prevalence of infection in an animal population and/or the geographical</w:t>
      </w:r>
      <w:r>
        <w:t xml:space="preserve"> </w:t>
      </w:r>
      <w:r>
        <w:t>distribution of the virus.</w:t>
      </w:r>
    </w:p>
    <w:p w14:paraId="77D484A9" w14:textId="586C3568" w:rsidR="00E66B8A" w:rsidRDefault="002747FC" w:rsidP="00E66B8A">
      <w:r>
        <w:t>Interpretation of serological tests is complicated by the antigenic relatedness of flaviviruses, particularly those</w:t>
      </w:r>
      <w:r w:rsidR="00E66B8A">
        <w:t xml:space="preserve"> </w:t>
      </w:r>
      <w:r>
        <w:t>belonging to the same serogroup. Within the Japanese encephalitis (JE) serogroup, Australia has six endemic</w:t>
      </w:r>
      <w:r w:rsidR="00E66B8A">
        <w:t xml:space="preserve"> </w:t>
      </w:r>
      <w:r w:rsidR="00E66B8A">
        <w:t xml:space="preserve">viruses: JE, Murray Valley encephalitis (MVE), WNV-KUN, </w:t>
      </w:r>
      <w:proofErr w:type="spellStart"/>
      <w:r w:rsidR="00E66B8A">
        <w:t>Alfuy</w:t>
      </w:r>
      <w:proofErr w:type="spellEnd"/>
      <w:r w:rsidR="00E66B8A">
        <w:t xml:space="preserve">, </w:t>
      </w:r>
      <w:proofErr w:type="spellStart"/>
      <w:r w:rsidR="00E66B8A">
        <w:t>Kokobera</w:t>
      </w:r>
      <w:proofErr w:type="spellEnd"/>
      <w:r w:rsidR="00E66B8A">
        <w:t xml:space="preserve"> and Stratford viruses. Of these, MVE</w:t>
      </w:r>
      <w:r w:rsidR="00E66B8A">
        <w:t xml:space="preserve"> </w:t>
      </w:r>
      <w:r w:rsidR="00E66B8A">
        <w:t>and WNV-KUN viruses have been associated with outbreaks of encephalitis in humans and horses. Serological</w:t>
      </w:r>
      <w:r w:rsidR="00E66B8A">
        <w:t xml:space="preserve"> </w:t>
      </w:r>
      <w:r w:rsidR="00E66B8A">
        <w:t>testing should be performed, and results interpreted, in this context. Therefore, testing for JE, MVE and WNVKUN</w:t>
      </w:r>
      <w:r w:rsidR="00E66B8A">
        <w:t xml:space="preserve"> </w:t>
      </w:r>
      <w:r w:rsidR="00E66B8A">
        <w:t>viruses should ideally be performed in parallel to assess the presence of cross-reactive antibody.</w:t>
      </w:r>
    </w:p>
    <w:p w14:paraId="3EB27EA7" w14:textId="1F320166" w:rsidR="00E66B8A" w:rsidRDefault="00E66B8A" w:rsidP="00E66B8A">
      <w:r>
        <w:t>Serological interpretation should also consider the age</w:t>
      </w:r>
      <w:r w:rsidR="00B432C0">
        <w:rPr>
          <w:rStyle w:val="FootnoteReference"/>
        </w:rPr>
        <w:footnoteReference w:id="4"/>
      </w:r>
      <w:r>
        <w:t xml:space="preserve"> of the animal and potential for prior exposure to JEV</w:t>
      </w:r>
      <w:r>
        <w:t xml:space="preserve"> </w:t>
      </w:r>
      <w:r>
        <w:t>and/or related flaviviruses. Some horses may have also received JE vaccination for travel or prior to</w:t>
      </w:r>
      <w:r w:rsidR="00B432C0">
        <w:t xml:space="preserve"> </w:t>
      </w:r>
      <w:r>
        <w:t>importation.</w:t>
      </w:r>
    </w:p>
    <w:p w14:paraId="25AF994A" w14:textId="7B8AF569" w:rsidR="00E66B8A" w:rsidRDefault="00E66B8A" w:rsidP="00E66B8A">
      <w:r>
        <w:t>Serological tests to detect IgM and IgG antibodies to flaviviruses include competitive enzyme linked</w:t>
      </w:r>
      <w:r>
        <w:t xml:space="preserve"> </w:t>
      </w:r>
      <w:r>
        <w:t>immunosorbent assay (c-ELISA), IgM antibody capture (MAC) ELISA, and virus neutralisation (VN) tests. To</w:t>
      </w:r>
      <w:r>
        <w:t xml:space="preserve"> </w:t>
      </w:r>
      <w:r>
        <w:t>resolve the possibility that results are due to cross-reactivity, the more specific VN tests are preferred. Of the</w:t>
      </w:r>
      <w:r>
        <w:t xml:space="preserve"> </w:t>
      </w:r>
      <w:r>
        <w:t>different VN test formats that may be employed, the plaque reduction neutralisation test (PRNT) is considered</w:t>
      </w:r>
      <w:r w:rsidR="00D96BBA">
        <w:t xml:space="preserve"> </w:t>
      </w:r>
      <w:r>
        <w:t>the most specific. Testing of a dilution series of sera in ELISAs has also proven to be useful to resolve cross</w:t>
      </w:r>
      <w:r w:rsidR="00477750">
        <w:t>-</w:t>
      </w:r>
      <w:r>
        <w:t>reactive</w:t>
      </w:r>
      <w:r w:rsidR="00D96BBA">
        <w:t xml:space="preserve"> </w:t>
      </w:r>
      <w:r>
        <w:t>antibodies.</w:t>
      </w:r>
    </w:p>
    <w:p w14:paraId="035161E7" w14:textId="5372BDCD" w:rsidR="00E66B8A" w:rsidRDefault="00E66B8A" w:rsidP="00E66B8A">
      <w:r>
        <w:t>A diagnosis of recent infection can be based on the demonstration of seroconversion or a diagnostically</w:t>
      </w:r>
      <w:r w:rsidR="00D96BBA">
        <w:t xml:space="preserve"> </w:t>
      </w:r>
      <w:r>
        <w:t>significant rise in antibody level (as determined by the testing laboratory) between paired serum samples</w:t>
      </w:r>
      <w:r w:rsidR="00D96BBA">
        <w:t xml:space="preserve"> </w:t>
      </w:r>
      <w:r>
        <w:t>collected in the acute or convalescent phases (ideally, taken at least 14 to 21 days apart) using the</w:t>
      </w:r>
      <w:r w:rsidR="00D96BBA">
        <w:t xml:space="preserve"> </w:t>
      </w:r>
      <w:r>
        <w:t>neutralisation or another specific test. However cross reactions with related flaviviruses can still occur and</w:t>
      </w:r>
      <w:r w:rsidR="00D96BBA">
        <w:t xml:space="preserve"> </w:t>
      </w:r>
      <w:r>
        <w:t>should be considered when interpreting results.</w:t>
      </w:r>
    </w:p>
    <w:p w14:paraId="73E53AA1" w14:textId="4147A503" w:rsidR="002747FC" w:rsidRPr="00814347" w:rsidRDefault="00E66B8A" w:rsidP="00E66B8A">
      <w:r>
        <w:t>Where possible, cases with clinical evidence that return laboratory evidence of exposure to JEV should</w:t>
      </w:r>
      <w:r w:rsidR="00D96BBA">
        <w:t xml:space="preserve"> </w:t>
      </w:r>
      <w:r>
        <w:t>undergo additional testing, with the aim to confirm the presence of infection.</w:t>
      </w:r>
    </w:p>
    <w:p w14:paraId="453F6DE9" w14:textId="3DC0005D" w:rsidR="00EC6BB2" w:rsidRDefault="00EC6BB2" w:rsidP="0098739B">
      <w:pPr>
        <w:pStyle w:val="Heading2"/>
      </w:pPr>
      <w:r w:rsidRPr="00513C0F">
        <w:t>References</w:t>
      </w:r>
    </w:p>
    <w:p w14:paraId="5BFE2259" w14:textId="437173A9" w:rsidR="00793918" w:rsidRDefault="004334F2" w:rsidP="004334F2">
      <w:pPr>
        <w:pStyle w:val="ListNumber"/>
        <w:numPr>
          <w:ilvl w:val="0"/>
          <w:numId w:val="50"/>
        </w:numPr>
      </w:pPr>
      <w:r>
        <w:t>AHC47_OOS09</w:t>
      </w:r>
      <w:r w:rsidR="009322F7">
        <w:t>_RESOLUTION_J</w:t>
      </w:r>
      <w:r w:rsidR="00C80AF6">
        <w:t>apanese encephalitis in animals case definition</w:t>
      </w:r>
    </w:p>
    <w:p w14:paraId="7D781243" w14:textId="77777777" w:rsidR="004D4446" w:rsidRPr="004D4446" w:rsidRDefault="004D4446" w:rsidP="004D4446">
      <w:pPr>
        <w:pStyle w:val="Heading2"/>
      </w:pPr>
      <w:r w:rsidRPr="004D4446">
        <w:lastRenderedPageBreak/>
        <w:t>Version Control</w:t>
      </w:r>
    </w:p>
    <w:tbl>
      <w:tblPr>
        <w:tblStyle w:val="TableGrid"/>
        <w:tblW w:w="0" w:type="auto"/>
        <w:tblInd w:w="360" w:type="dxa"/>
        <w:tblLayout w:type="fixed"/>
        <w:tblLook w:val="06A0" w:firstRow="1" w:lastRow="0" w:firstColumn="1" w:lastColumn="0" w:noHBand="1" w:noVBand="1"/>
      </w:tblPr>
      <w:tblGrid>
        <w:gridCol w:w="1350"/>
        <w:gridCol w:w="2250"/>
        <w:gridCol w:w="2891"/>
        <w:gridCol w:w="2164"/>
      </w:tblGrid>
      <w:tr w:rsidR="004D4446" w14:paraId="77503F0B" w14:textId="77777777" w:rsidTr="002E2ACC">
        <w:trPr>
          <w:trHeight w:val="300"/>
        </w:trPr>
        <w:tc>
          <w:tcPr>
            <w:tcW w:w="1350" w:type="dxa"/>
          </w:tcPr>
          <w:p w14:paraId="026196B8" w14:textId="77777777" w:rsidR="004D4446" w:rsidRDefault="004D4446" w:rsidP="002E2ACC">
            <w:pPr>
              <w:rPr>
                <w:rFonts w:ascii="Public Sans" w:hAnsi="Public Sans" w:cs="DINOffcPro-Bold"/>
                <w:b/>
                <w:bCs/>
                <w:color w:val="000000" w:themeColor="text1"/>
                <w:sz w:val="20"/>
                <w:szCs w:val="20"/>
              </w:rPr>
            </w:pPr>
            <w:r w:rsidRPr="64DF924E">
              <w:rPr>
                <w:rFonts w:ascii="Public Sans" w:hAnsi="Public Sans" w:cs="DINOffcPro-Bold"/>
                <w:b/>
                <w:bCs/>
                <w:color w:val="000000" w:themeColor="text1"/>
                <w:sz w:val="20"/>
                <w:szCs w:val="20"/>
              </w:rPr>
              <w:t>Version Number</w:t>
            </w:r>
          </w:p>
        </w:tc>
        <w:tc>
          <w:tcPr>
            <w:tcW w:w="2250" w:type="dxa"/>
          </w:tcPr>
          <w:p w14:paraId="74DFC66A" w14:textId="77777777" w:rsidR="004D4446" w:rsidRDefault="004D4446" w:rsidP="002E2ACC">
            <w:pPr>
              <w:rPr>
                <w:rFonts w:ascii="Public Sans" w:hAnsi="Public Sans" w:cs="DINOffcPro-Bold"/>
                <w:b/>
                <w:bCs/>
                <w:color w:val="000000" w:themeColor="text1"/>
                <w:sz w:val="20"/>
                <w:szCs w:val="20"/>
              </w:rPr>
            </w:pPr>
            <w:r w:rsidRPr="64DF924E">
              <w:rPr>
                <w:rFonts w:ascii="Public Sans" w:hAnsi="Public Sans" w:cs="DINOffcPro-Bold"/>
                <w:b/>
                <w:bCs/>
                <w:color w:val="000000" w:themeColor="text1"/>
                <w:sz w:val="20"/>
                <w:szCs w:val="20"/>
              </w:rPr>
              <w:t>Author/Reviewed by</w:t>
            </w:r>
          </w:p>
        </w:tc>
        <w:tc>
          <w:tcPr>
            <w:tcW w:w="2891" w:type="dxa"/>
          </w:tcPr>
          <w:p w14:paraId="47CBCBD8" w14:textId="77777777" w:rsidR="004D4446" w:rsidRDefault="004D4446" w:rsidP="002E2ACC">
            <w:pPr>
              <w:rPr>
                <w:rFonts w:ascii="Public Sans" w:hAnsi="Public Sans" w:cs="DINOffcPro-Bold"/>
                <w:b/>
                <w:bCs/>
                <w:color w:val="000000" w:themeColor="text1"/>
                <w:sz w:val="20"/>
                <w:szCs w:val="20"/>
              </w:rPr>
            </w:pPr>
            <w:r w:rsidRPr="64DF924E">
              <w:rPr>
                <w:rFonts w:ascii="Public Sans" w:hAnsi="Public Sans" w:cs="DINOffcPro-Bold"/>
                <w:b/>
                <w:bCs/>
                <w:color w:val="000000" w:themeColor="text1"/>
                <w:sz w:val="20"/>
                <w:szCs w:val="20"/>
              </w:rPr>
              <w:t>Approved by</w:t>
            </w:r>
          </w:p>
        </w:tc>
        <w:tc>
          <w:tcPr>
            <w:tcW w:w="2164" w:type="dxa"/>
          </w:tcPr>
          <w:p w14:paraId="7057E745" w14:textId="77777777" w:rsidR="004D4446" w:rsidRDefault="004D4446" w:rsidP="002E2ACC">
            <w:pPr>
              <w:rPr>
                <w:rFonts w:ascii="Public Sans" w:hAnsi="Public Sans" w:cs="DINOffcPro-Bold"/>
                <w:b/>
                <w:bCs/>
                <w:color w:val="000000" w:themeColor="text1"/>
                <w:sz w:val="20"/>
                <w:szCs w:val="20"/>
              </w:rPr>
            </w:pPr>
            <w:r w:rsidRPr="64DF924E">
              <w:rPr>
                <w:rFonts w:ascii="Public Sans" w:hAnsi="Public Sans" w:cs="DINOffcPro-Bold"/>
                <w:b/>
                <w:bCs/>
                <w:color w:val="000000" w:themeColor="text1"/>
                <w:sz w:val="20"/>
                <w:szCs w:val="20"/>
              </w:rPr>
              <w:t>Approval Date</w:t>
            </w:r>
          </w:p>
        </w:tc>
      </w:tr>
      <w:tr w:rsidR="004D4446" w14:paraId="2D590E1C" w14:textId="77777777" w:rsidTr="002E2ACC">
        <w:trPr>
          <w:trHeight w:val="179"/>
        </w:trPr>
        <w:tc>
          <w:tcPr>
            <w:tcW w:w="1350" w:type="dxa"/>
          </w:tcPr>
          <w:p w14:paraId="5C8F884C" w14:textId="77777777" w:rsidR="004D4446" w:rsidRDefault="004D4446" w:rsidP="002E2ACC">
            <w:pPr>
              <w:pStyle w:val="ListParagraph"/>
              <w:rPr>
                <w:rFonts w:ascii="Public Sans" w:hAnsi="Public Sans" w:cs="DINOffcPro-Bold"/>
                <w:color w:val="000000" w:themeColor="text1"/>
                <w:sz w:val="20"/>
                <w:szCs w:val="20"/>
              </w:rPr>
            </w:pPr>
            <w:r w:rsidRPr="64DF924E">
              <w:rPr>
                <w:rFonts w:ascii="Public Sans" w:hAnsi="Public Sans" w:cs="DINOffcPro-Bold"/>
                <w:color w:val="000000" w:themeColor="text1"/>
                <w:sz w:val="20"/>
                <w:szCs w:val="20"/>
              </w:rPr>
              <w:t>1</w:t>
            </w:r>
          </w:p>
        </w:tc>
        <w:tc>
          <w:tcPr>
            <w:tcW w:w="2250" w:type="dxa"/>
          </w:tcPr>
          <w:p w14:paraId="096CBCD4" w14:textId="77777777" w:rsidR="004D4446" w:rsidRDefault="004D4446" w:rsidP="002E2ACC">
            <w:pPr>
              <w:rPr>
                <w:rFonts w:ascii="Public Sans" w:hAnsi="Public Sans" w:cs="DINOffcPro-Bold"/>
                <w:color w:val="000000" w:themeColor="text1"/>
                <w:sz w:val="20"/>
                <w:szCs w:val="20"/>
              </w:rPr>
            </w:pPr>
            <w:r w:rsidRPr="64DF924E">
              <w:rPr>
                <w:rFonts w:ascii="Public Sans" w:hAnsi="Public Sans" w:cs="DINOffcPro-Bold"/>
                <w:color w:val="000000" w:themeColor="text1"/>
                <w:sz w:val="20"/>
                <w:szCs w:val="20"/>
              </w:rPr>
              <w:t>Initial writing group</w:t>
            </w:r>
          </w:p>
        </w:tc>
        <w:tc>
          <w:tcPr>
            <w:tcW w:w="2891" w:type="dxa"/>
          </w:tcPr>
          <w:p w14:paraId="2B94D61A" w14:textId="77777777" w:rsidR="004D4446" w:rsidRDefault="004D4446" w:rsidP="002E2ACC">
            <w:pPr>
              <w:pStyle w:val="ListParagraph"/>
              <w:rPr>
                <w:rFonts w:ascii="Public Sans" w:hAnsi="Public Sans" w:cs="DINOffcPro-Bold"/>
                <w:color w:val="000000" w:themeColor="text1"/>
                <w:sz w:val="20"/>
                <w:szCs w:val="20"/>
                <w:highlight w:val="yellow"/>
              </w:rPr>
            </w:pPr>
            <w:r w:rsidRPr="007167CF">
              <w:rPr>
                <w:rFonts w:ascii="Public Sans" w:hAnsi="Public Sans" w:cs="DINOffcPro-Bold"/>
                <w:color w:val="000000" w:themeColor="text1"/>
                <w:sz w:val="20"/>
                <w:szCs w:val="20"/>
              </w:rPr>
              <w:t>Animal Health Committee</w:t>
            </w:r>
          </w:p>
        </w:tc>
        <w:tc>
          <w:tcPr>
            <w:tcW w:w="2164" w:type="dxa"/>
          </w:tcPr>
          <w:p w14:paraId="07E6690F" w14:textId="77777777" w:rsidR="004D4446" w:rsidRDefault="004D4446" w:rsidP="002E2ACC">
            <w:pPr>
              <w:pStyle w:val="ListParagraph"/>
              <w:rPr>
                <w:rFonts w:ascii="Public Sans" w:hAnsi="Public Sans" w:cs="DINOffcPro-Bold"/>
                <w:color w:val="000000" w:themeColor="text1"/>
                <w:sz w:val="20"/>
                <w:szCs w:val="20"/>
                <w:highlight w:val="yellow"/>
              </w:rPr>
            </w:pPr>
            <w:r w:rsidRPr="007167CF">
              <w:rPr>
                <w:rFonts w:ascii="Public Sans" w:hAnsi="Public Sans" w:cs="DINOffcPro-Bold"/>
                <w:color w:val="000000" w:themeColor="text1"/>
                <w:sz w:val="20"/>
                <w:szCs w:val="20"/>
              </w:rPr>
              <w:t>24/12/2024</w:t>
            </w:r>
          </w:p>
        </w:tc>
      </w:tr>
      <w:tr w:rsidR="004D4446" w14:paraId="77E5D0AA" w14:textId="77777777" w:rsidTr="002E2ACC">
        <w:trPr>
          <w:trHeight w:val="300"/>
        </w:trPr>
        <w:tc>
          <w:tcPr>
            <w:tcW w:w="8655" w:type="dxa"/>
            <w:gridSpan w:val="4"/>
          </w:tcPr>
          <w:p w14:paraId="4C7F21B6" w14:textId="77777777" w:rsidR="004D4446" w:rsidRDefault="004D4446" w:rsidP="002E2ACC">
            <w:pPr>
              <w:rPr>
                <w:rFonts w:ascii="Public Sans" w:hAnsi="Public Sans" w:cs="DINOffcPro-Bold"/>
                <w:b/>
                <w:bCs/>
                <w:color w:val="000000" w:themeColor="text1"/>
                <w:sz w:val="18"/>
                <w:szCs w:val="18"/>
              </w:rPr>
            </w:pPr>
            <w:r w:rsidRPr="64DF924E">
              <w:rPr>
                <w:rFonts w:ascii="Public Sans" w:hAnsi="Public Sans" w:cs="DINOffcPro-Bold"/>
                <w:b/>
                <w:bCs/>
                <w:color w:val="000000" w:themeColor="text1"/>
                <w:sz w:val="18"/>
                <w:szCs w:val="18"/>
              </w:rPr>
              <w:t>Document Control and Release Notice:</w:t>
            </w:r>
          </w:p>
          <w:p w14:paraId="443D1F47" w14:textId="77777777" w:rsidR="004D4446" w:rsidRDefault="004D4446" w:rsidP="002E2ACC">
            <w:pPr>
              <w:rPr>
                <w:rFonts w:ascii="Public Sans" w:hAnsi="Public Sans" w:cs="DINOffcPro-Bold"/>
                <w:color w:val="000000" w:themeColor="text1"/>
                <w:sz w:val="18"/>
                <w:szCs w:val="18"/>
              </w:rPr>
            </w:pPr>
            <w:r w:rsidRPr="64DF924E">
              <w:rPr>
                <w:rFonts w:ascii="Public Sans" w:hAnsi="Public Sans" w:cs="DINOffcPro-Bold"/>
                <w:color w:val="000000" w:themeColor="text1"/>
                <w:sz w:val="18"/>
                <w:szCs w:val="18"/>
              </w:rPr>
              <w:t xml:space="preserve">For identification of amendments, each page contains a version, date and page number. Changes will only be issued as a complete replacement document. Recipients should remove superseded versions from circulation. This document is authorised for release once it has been approved. </w:t>
            </w:r>
          </w:p>
        </w:tc>
      </w:tr>
    </w:tbl>
    <w:p w14:paraId="4682FCD9" w14:textId="77777777" w:rsidR="004D4446" w:rsidRPr="004D4446" w:rsidRDefault="004D4446" w:rsidP="004D4446">
      <w:pPr>
        <w:pStyle w:val="Heading2"/>
      </w:pPr>
      <w:r w:rsidRPr="004D4446">
        <w:t>Summary of Changes</w:t>
      </w:r>
    </w:p>
    <w:tbl>
      <w:tblPr>
        <w:tblStyle w:val="TableGrid"/>
        <w:tblW w:w="0" w:type="auto"/>
        <w:tblInd w:w="360" w:type="dxa"/>
        <w:tblLayout w:type="fixed"/>
        <w:tblLook w:val="06A0" w:firstRow="1" w:lastRow="0" w:firstColumn="1" w:lastColumn="0" w:noHBand="1" w:noVBand="1"/>
      </w:tblPr>
      <w:tblGrid>
        <w:gridCol w:w="4328"/>
        <w:gridCol w:w="4328"/>
      </w:tblGrid>
      <w:tr w:rsidR="004D4446" w14:paraId="131BC9EC" w14:textId="77777777" w:rsidTr="002E2ACC">
        <w:trPr>
          <w:trHeight w:val="300"/>
        </w:trPr>
        <w:tc>
          <w:tcPr>
            <w:tcW w:w="4328" w:type="dxa"/>
          </w:tcPr>
          <w:p w14:paraId="2A2AEAAC" w14:textId="77777777" w:rsidR="004D4446" w:rsidRDefault="004D4446" w:rsidP="002E2ACC">
            <w:pPr>
              <w:pStyle w:val="ListParagraph"/>
              <w:rPr>
                <w:rFonts w:ascii="Public Sans" w:hAnsi="Public Sans" w:cs="DINOffcPro-Bold"/>
                <w:b/>
                <w:bCs/>
                <w:color w:val="000000" w:themeColor="text1"/>
                <w:sz w:val="20"/>
                <w:szCs w:val="20"/>
              </w:rPr>
            </w:pPr>
            <w:r w:rsidRPr="64DF924E">
              <w:rPr>
                <w:rFonts w:ascii="Public Sans" w:hAnsi="Public Sans" w:cs="DINOffcPro-Bold"/>
                <w:b/>
                <w:bCs/>
                <w:color w:val="000000" w:themeColor="text1"/>
                <w:sz w:val="20"/>
                <w:szCs w:val="20"/>
              </w:rPr>
              <w:t>Version Number</w:t>
            </w:r>
          </w:p>
        </w:tc>
        <w:tc>
          <w:tcPr>
            <w:tcW w:w="4328" w:type="dxa"/>
          </w:tcPr>
          <w:p w14:paraId="4B799A28" w14:textId="77777777" w:rsidR="004D4446" w:rsidRDefault="004D4446" w:rsidP="002E2ACC">
            <w:pPr>
              <w:pStyle w:val="ListParagraph"/>
              <w:rPr>
                <w:rFonts w:ascii="Public Sans" w:hAnsi="Public Sans" w:cs="DINOffcPro-Bold"/>
                <w:b/>
                <w:bCs/>
                <w:color w:val="000000" w:themeColor="text1"/>
                <w:sz w:val="20"/>
                <w:szCs w:val="20"/>
              </w:rPr>
            </w:pPr>
            <w:r w:rsidRPr="64DF924E">
              <w:rPr>
                <w:rFonts w:ascii="Public Sans" w:hAnsi="Public Sans" w:cs="DINOffcPro-Bold"/>
                <w:b/>
                <w:bCs/>
                <w:color w:val="000000" w:themeColor="text1"/>
                <w:sz w:val="20"/>
                <w:szCs w:val="20"/>
              </w:rPr>
              <w:t>Summary of changes</w:t>
            </w:r>
          </w:p>
        </w:tc>
      </w:tr>
      <w:tr w:rsidR="004D4446" w14:paraId="1855863E" w14:textId="77777777" w:rsidTr="002E2ACC">
        <w:trPr>
          <w:trHeight w:val="300"/>
        </w:trPr>
        <w:tc>
          <w:tcPr>
            <w:tcW w:w="4328" w:type="dxa"/>
          </w:tcPr>
          <w:p w14:paraId="2C1E30F6" w14:textId="77777777" w:rsidR="004D4446" w:rsidRDefault="004D4446" w:rsidP="002E2ACC">
            <w:pPr>
              <w:pStyle w:val="ListParagraph"/>
              <w:rPr>
                <w:rFonts w:ascii="Public Sans" w:hAnsi="Public Sans" w:cs="DINOffcPro-Bold"/>
                <w:color w:val="000000" w:themeColor="text1"/>
                <w:sz w:val="20"/>
                <w:szCs w:val="20"/>
              </w:rPr>
            </w:pPr>
            <w:r w:rsidRPr="64DF924E">
              <w:rPr>
                <w:rFonts w:ascii="Public Sans" w:hAnsi="Public Sans" w:cs="DINOffcPro-Bold"/>
                <w:color w:val="000000" w:themeColor="text1"/>
                <w:sz w:val="20"/>
                <w:szCs w:val="20"/>
              </w:rPr>
              <w:t>1.0</w:t>
            </w:r>
          </w:p>
        </w:tc>
        <w:tc>
          <w:tcPr>
            <w:tcW w:w="4328" w:type="dxa"/>
          </w:tcPr>
          <w:p w14:paraId="1D49191F" w14:textId="77777777" w:rsidR="004D4446" w:rsidRDefault="004D4446" w:rsidP="002E2ACC">
            <w:pPr>
              <w:pStyle w:val="ListParagraph"/>
              <w:rPr>
                <w:rFonts w:ascii="Public Sans" w:hAnsi="Public Sans" w:cs="DINOffcPro-Bold"/>
                <w:color w:val="000000" w:themeColor="text1"/>
                <w:sz w:val="20"/>
                <w:szCs w:val="20"/>
              </w:rPr>
            </w:pPr>
            <w:r w:rsidRPr="64DF924E">
              <w:rPr>
                <w:rFonts w:ascii="Public Sans" w:hAnsi="Public Sans" w:cs="DINOffcPro-Bold"/>
                <w:color w:val="000000" w:themeColor="text1"/>
                <w:sz w:val="20"/>
                <w:szCs w:val="20"/>
              </w:rPr>
              <w:t>Initial release</w:t>
            </w:r>
          </w:p>
        </w:tc>
      </w:tr>
    </w:tbl>
    <w:p w14:paraId="2C235BE9" w14:textId="022AF681" w:rsidR="001F6FAD" w:rsidRPr="00513C0F" w:rsidRDefault="001F6FAD" w:rsidP="0098739B">
      <w:pPr>
        <w:pStyle w:val="Heading2"/>
      </w:pPr>
      <w:r w:rsidRPr="00513C0F">
        <w:t>More information</w:t>
      </w:r>
    </w:p>
    <w:p w14:paraId="5EF12550" w14:textId="71CDB47D" w:rsidR="001F6FAD" w:rsidRDefault="001F6FAD" w:rsidP="0098739B">
      <w:r>
        <w:t xml:space="preserve">Learn more about </w:t>
      </w:r>
      <w:r w:rsidR="00EC6BB2">
        <w:t xml:space="preserve">the </w:t>
      </w:r>
      <w:hyperlink r:id="rId11" w:history="1">
        <w:r w:rsidR="00EC6BB2" w:rsidRPr="00EC6BB2">
          <w:rPr>
            <w:rStyle w:val="Hyperlink"/>
          </w:rPr>
          <w:t>Animal Health Committee</w:t>
        </w:r>
      </w:hyperlink>
      <w:r w:rsidR="00EC6BB2">
        <w:t>.</w:t>
      </w:r>
      <w:r>
        <w:t xml:space="preserve"> </w:t>
      </w:r>
    </w:p>
    <w:p w14:paraId="2FA0555F" w14:textId="027FF6C8" w:rsidR="001F6FAD" w:rsidRPr="00A60120" w:rsidRDefault="001F6FAD" w:rsidP="0098739B">
      <w:r>
        <w:t xml:space="preserve">Email </w:t>
      </w:r>
      <w:hyperlink r:id="rId12" w:history="1">
        <w:r w:rsidR="00EC6BB2" w:rsidRPr="00BD0648">
          <w:rPr>
            <w:rStyle w:val="Hyperlink"/>
          </w:rPr>
          <w:t>ahc@agriculture.gov.au</w:t>
        </w:r>
      </w:hyperlink>
    </w:p>
    <w:p w14:paraId="4CB71C01" w14:textId="77777777" w:rsidR="00EB6860" w:rsidRPr="00EB6860" w:rsidRDefault="00EB6860" w:rsidP="00EB6860">
      <w:pPr>
        <w:pStyle w:val="Normalsmall"/>
        <w:spacing w:after="0"/>
        <w:rPr>
          <w:rFonts w:asciiTheme="minorHAnsi" w:hAnsiTheme="minorHAnsi" w:cstheme="minorHAnsi"/>
        </w:rPr>
      </w:pPr>
      <w:r w:rsidRPr="00EB6860">
        <w:rPr>
          <w:rStyle w:val="Strong"/>
          <w:rFonts w:asciiTheme="minorHAnsi" w:hAnsiTheme="minorHAnsi" w:cstheme="minorHAnsi"/>
        </w:rPr>
        <w:t>Acknowledgement of Country</w:t>
      </w:r>
    </w:p>
    <w:p w14:paraId="27BA210A" w14:textId="77777777" w:rsidR="00EB6860" w:rsidRDefault="00EB6860" w:rsidP="00EB6860">
      <w:pPr>
        <w:pStyle w:val="Normalsmall"/>
        <w:rPr>
          <w:rFonts w:asciiTheme="minorHAnsi" w:hAnsiTheme="minorHAnsi" w:cstheme="minorHAnsi"/>
        </w:rPr>
      </w:pPr>
      <w:r w:rsidRPr="00EB6860">
        <w:rPr>
          <w:rFonts w:asciiTheme="minorHAnsi" w:hAnsiTheme="minorHAnsi" w:cstheme="minorHAnsi"/>
        </w:rPr>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5F742AB0" w14:textId="77777777" w:rsidR="00CC4537" w:rsidRPr="00CC4537" w:rsidRDefault="00CC4537" w:rsidP="00CC4537">
      <w:pPr>
        <w:spacing w:before="360"/>
        <w:rPr>
          <w:sz w:val="18"/>
          <w:szCs w:val="18"/>
          <w:lang w:eastAsia="en-US"/>
        </w:rPr>
      </w:pPr>
      <w:r w:rsidRPr="00CC4537">
        <w:rPr>
          <w:sz w:val="18"/>
          <w:szCs w:val="18"/>
          <w:lang w:eastAsia="en-US"/>
        </w:rPr>
        <w:t>© Commonwealth of Australia 2026</w:t>
      </w:r>
    </w:p>
    <w:p w14:paraId="06969242" w14:textId="77777777" w:rsidR="00CC4537" w:rsidRPr="00CC4537" w:rsidRDefault="00CC4537" w:rsidP="00CC4537">
      <w:pPr>
        <w:rPr>
          <w:sz w:val="18"/>
          <w:szCs w:val="18"/>
          <w:lang w:eastAsia="en-US"/>
        </w:rPr>
      </w:pPr>
      <w:r w:rsidRPr="00CC4537">
        <w:rPr>
          <w:sz w:val="18"/>
          <w:szCs w:val="18"/>
          <w:lang w:eastAsia="en-US"/>
        </w:rPr>
        <w:t>Unless otherwise noted, copyright (and any other intellectual property rights) in this publication is owned by the Commonwealth of Australia (referred to as the Commonwealth).</w:t>
      </w:r>
    </w:p>
    <w:p w14:paraId="5975AC2A" w14:textId="77777777" w:rsidR="00CC4537" w:rsidRPr="00CC4537" w:rsidRDefault="00CC4537" w:rsidP="00CC4537">
      <w:pPr>
        <w:rPr>
          <w:sz w:val="18"/>
          <w:szCs w:val="18"/>
          <w:lang w:eastAsia="en-US"/>
        </w:rPr>
      </w:pPr>
      <w:r w:rsidRPr="00CC4537">
        <w:rPr>
          <w:sz w:val="18"/>
          <w:szCs w:val="18"/>
          <w:lang w:eastAsia="en-US"/>
        </w:rPr>
        <w:t xml:space="preserve">All material in this publication is licensed under a </w:t>
      </w:r>
      <w:hyperlink r:id="rId13" w:history="1">
        <w:r w:rsidRPr="00CC4537">
          <w:rPr>
            <w:color w:val="165788"/>
            <w:sz w:val="18"/>
            <w:szCs w:val="18"/>
            <w:u w:val="single"/>
            <w:lang w:eastAsia="en-US"/>
          </w:rPr>
          <w:t>Creative Commons Attribution 4.0 International Licence</w:t>
        </w:r>
      </w:hyperlink>
      <w:r w:rsidRPr="00CC4537">
        <w:rPr>
          <w:sz w:val="18"/>
          <w:szCs w:val="18"/>
          <w:lang w:eastAsia="en-US"/>
        </w:rPr>
        <w:t xml:space="preserve"> except content supplied by third parties, logos and the Commonwealth Coat of Arms.</w:t>
      </w:r>
    </w:p>
    <w:p w14:paraId="2AB34D95" w14:textId="5C1F465D" w:rsidR="00B404AB" w:rsidRPr="00CC4537" w:rsidRDefault="00CC4537" w:rsidP="00CC4537">
      <w:pPr>
        <w:rPr>
          <w:sz w:val="18"/>
          <w:szCs w:val="18"/>
          <w:lang w:eastAsia="en-US"/>
        </w:rPr>
      </w:pPr>
      <w:r w:rsidRPr="00CC4537">
        <w:rPr>
          <w:sz w:val="18"/>
          <w:szCs w:val="18"/>
          <w:lang w:eastAsia="en-US"/>
        </w:rP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rsidRPr="00CC4537">
        <w:rPr>
          <w:sz w:val="18"/>
          <w:szCs w:val="18"/>
          <w:lang w:eastAsia="en-US"/>
        </w:rPr>
        <w:t>as a result of</w:t>
      </w:r>
      <w:proofErr w:type="gramEnd"/>
      <w:r w:rsidRPr="00CC4537">
        <w:rPr>
          <w:sz w:val="18"/>
          <w:szCs w:val="18"/>
          <w:lang w:eastAsia="en-US"/>
        </w:rPr>
        <w:t xml:space="preserve"> accessing, using or relying on any of the information or data in this publication to the maximum extent permitted by law.</w:t>
      </w:r>
    </w:p>
    <w:sectPr w:rsidR="00B404AB" w:rsidRPr="00CC4537" w:rsidSect="008B22A2">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2400" w14:textId="77777777" w:rsidR="00440ABE" w:rsidRDefault="00440ABE" w:rsidP="0098739B">
      <w:r>
        <w:separator/>
      </w:r>
    </w:p>
    <w:p w14:paraId="54DCC693" w14:textId="77777777" w:rsidR="00440ABE" w:rsidRDefault="00440ABE" w:rsidP="0098739B"/>
    <w:p w14:paraId="34BAE68C" w14:textId="77777777" w:rsidR="00440ABE" w:rsidRDefault="00440ABE" w:rsidP="0098739B"/>
  </w:endnote>
  <w:endnote w:type="continuationSeparator" w:id="0">
    <w:p w14:paraId="744EAE8C" w14:textId="77777777" w:rsidR="00440ABE" w:rsidRDefault="00440ABE" w:rsidP="0098739B">
      <w:r>
        <w:continuationSeparator/>
      </w:r>
    </w:p>
    <w:p w14:paraId="098B26E0" w14:textId="77777777" w:rsidR="00440ABE" w:rsidRDefault="00440ABE" w:rsidP="0098739B"/>
    <w:p w14:paraId="3A5F21B0" w14:textId="77777777" w:rsidR="00440ABE" w:rsidRDefault="00440ABE" w:rsidP="0098739B"/>
  </w:endnote>
  <w:endnote w:type="continuationNotice" w:id="1">
    <w:p w14:paraId="78813263" w14:textId="77777777" w:rsidR="00440ABE" w:rsidRDefault="00440ABE" w:rsidP="0098739B">
      <w:pPr>
        <w:pStyle w:val="Footer"/>
      </w:pPr>
    </w:p>
    <w:p w14:paraId="0F76F215" w14:textId="77777777" w:rsidR="00440ABE" w:rsidRDefault="00440ABE" w:rsidP="0098739B"/>
    <w:p w14:paraId="6131DBAE" w14:textId="77777777" w:rsidR="00440ABE" w:rsidRDefault="00440ABE" w:rsidP="00987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DINOffc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212" w14:textId="46D8F4E3" w:rsidR="00E3139E" w:rsidRDefault="00E3139E" w:rsidP="0098739B">
    <w:pPr>
      <w:pStyle w:val="Footer"/>
    </w:pPr>
    <w:r>
      <w:rPr>
        <w:noProof/>
      </w:rPr>
      <mc:AlternateContent>
        <mc:Choice Requires="wps">
          <w:drawing>
            <wp:anchor distT="0" distB="0" distL="0" distR="0" simplePos="0" relativeHeight="251662336" behindDoc="0" locked="0" layoutInCell="1" allowOverlap="1" wp14:anchorId="0C37921E" wp14:editId="7FBFE2DD">
              <wp:simplePos x="635" y="635"/>
              <wp:positionH relativeFrom="page">
                <wp:align>center</wp:align>
              </wp:positionH>
              <wp:positionV relativeFrom="page">
                <wp:align>bottom</wp:align>
              </wp:positionV>
              <wp:extent cx="551815" cy="404495"/>
              <wp:effectExtent l="0" t="0" r="635" b="0"/>
              <wp:wrapNone/>
              <wp:docPr id="588300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3FD1E8" w14:textId="2664953D" w:rsidR="00E3139E" w:rsidRPr="00E3139E" w:rsidRDefault="00E3139E" w:rsidP="0098739B">
                          <w:pPr>
                            <w:rPr>
                              <w:noProof/>
                            </w:rPr>
                          </w:pPr>
                          <w:r w:rsidRPr="00E3139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7921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73FD1E8" w14:textId="2664953D" w:rsidR="00E3139E" w:rsidRPr="00E3139E" w:rsidRDefault="00E3139E" w:rsidP="0098739B">
                    <w:pPr>
                      <w:rPr>
                        <w:noProof/>
                      </w:rPr>
                    </w:pPr>
                    <w:r w:rsidRPr="00E3139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B3EA" w14:textId="67053A1B" w:rsidR="003C14AC" w:rsidRDefault="00E3139E" w:rsidP="0098739B">
    <w:pPr>
      <w:pStyle w:val="Footer"/>
    </w:pPr>
    <w:r>
      <w:rPr>
        <w:noProof/>
      </w:rPr>
      <mc:AlternateContent>
        <mc:Choice Requires="wps">
          <w:drawing>
            <wp:anchor distT="0" distB="0" distL="0" distR="0" simplePos="0" relativeHeight="251663360" behindDoc="0" locked="0" layoutInCell="1" allowOverlap="1" wp14:anchorId="4E930DAD" wp14:editId="1C9554A7">
              <wp:simplePos x="792480" y="10050145"/>
              <wp:positionH relativeFrom="page">
                <wp:align>center</wp:align>
              </wp:positionH>
              <wp:positionV relativeFrom="page">
                <wp:align>bottom</wp:align>
              </wp:positionV>
              <wp:extent cx="551815" cy="404495"/>
              <wp:effectExtent l="0" t="0" r="635" b="0"/>
              <wp:wrapNone/>
              <wp:docPr id="12578104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FBDD87" w14:textId="5C6E7D93" w:rsidR="00E3139E" w:rsidRPr="00E3139E" w:rsidRDefault="00E3139E" w:rsidP="0098739B">
                          <w:pPr>
                            <w:rPr>
                              <w:noProof/>
                            </w:rPr>
                          </w:pPr>
                          <w:r w:rsidRPr="00E3139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30DA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FFBDD87" w14:textId="5C6E7D93" w:rsidR="00E3139E" w:rsidRPr="00E3139E" w:rsidRDefault="00E3139E" w:rsidP="0098739B">
                    <w:pPr>
                      <w:rPr>
                        <w:noProof/>
                      </w:rPr>
                    </w:pPr>
                    <w:r w:rsidRPr="00E3139E">
                      <w:rPr>
                        <w:noProof/>
                      </w:rPr>
                      <w:t>OFFICIAL</w:t>
                    </w:r>
                  </w:p>
                </w:txbxContent>
              </v:textbox>
              <w10:wrap anchorx="page" anchory="page"/>
            </v:shape>
          </w:pict>
        </mc:Fallback>
      </mc:AlternateContent>
    </w:r>
    <w:r w:rsidR="003C14AC">
      <w:t>Animal Health Committee</w:t>
    </w:r>
  </w:p>
  <w:p w14:paraId="1E152251" w14:textId="77777777" w:rsidR="000542B4" w:rsidRDefault="00CC4537" w:rsidP="0098739B">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9D9F" w14:textId="77777777" w:rsidR="00E3139E" w:rsidRDefault="00E3139E" w:rsidP="0098739B">
    <w:pPr>
      <w:pStyle w:val="Footer"/>
    </w:pPr>
    <w:r>
      <w:rPr>
        <w:noProof/>
      </w:rPr>
      <mc:AlternateContent>
        <mc:Choice Requires="wps">
          <w:drawing>
            <wp:anchor distT="0" distB="0" distL="0" distR="0" simplePos="0" relativeHeight="251661312" behindDoc="0" locked="0" layoutInCell="1" allowOverlap="1" wp14:anchorId="5667CB49" wp14:editId="134E3DE0">
              <wp:simplePos x="790575" y="9820275"/>
              <wp:positionH relativeFrom="page">
                <wp:align>center</wp:align>
              </wp:positionH>
              <wp:positionV relativeFrom="page">
                <wp:align>bottom</wp:align>
              </wp:positionV>
              <wp:extent cx="551815" cy="404495"/>
              <wp:effectExtent l="0" t="0" r="635" b="0"/>
              <wp:wrapNone/>
              <wp:docPr id="14253112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9F09F4" w14:textId="384DB21A" w:rsidR="00E3139E" w:rsidRPr="00E3139E" w:rsidRDefault="00E3139E" w:rsidP="0098739B">
                          <w:pPr>
                            <w:rPr>
                              <w:noProof/>
                            </w:rPr>
                          </w:pPr>
                          <w:r w:rsidRPr="00E3139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7CB49"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89F09F4" w14:textId="384DB21A" w:rsidR="00E3139E" w:rsidRPr="00E3139E" w:rsidRDefault="00E3139E" w:rsidP="0098739B">
                    <w:pPr>
                      <w:rPr>
                        <w:noProof/>
                      </w:rPr>
                    </w:pPr>
                    <w:r w:rsidRPr="00E3139E">
                      <w:rPr>
                        <w:noProof/>
                      </w:rPr>
                      <w:t>OFFICIAL</w:t>
                    </w:r>
                  </w:p>
                </w:txbxContent>
              </v:textbox>
              <w10:wrap anchorx="page" anchory="page"/>
            </v:shape>
          </w:pict>
        </mc:Fallback>
      </mc:AlternateContent>
    </w:r>
  </w:p>
  <w:sdt>
    <w:sdtPr>
      <w:id w:val="-858040093"/>
      <w:docPartObj>
        <w:docPartGallery w:val="Page Numbers (Bottom of Page)"/>
        <w:docPartUnique/>
      </w:docPartObj>
    </w:sdtPr>
    <w:sdtEndPr>
      <w:rPr>
        <w:noProof/>
      </w:rPr>
    </w:sdtEndPr>
    <w:sdtContent>
      <w:p w14:paraId="60E23D33" w14:textId="17B66ED5" w:rsidR="000542B4" w:rsidRDefault="00201EA6" w:rsidP="0098739B">
        <w:pPr>
          <w:pStyle w:val="Footer"/>
        </w:pPr>
        <w:r>
          <w:t>Animal Health Committee</w:t>
        </w:r>
      </w:p>
      <w:p w14:paraId="6252AAA9" w14:textId="77777777" w:rsidR="00577F29" w:rsidRDefault="00A77E8E" w:rsidP="0098739B">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AAE8" w14:textId="77777777" w:rsidR="00440ABE" w:rsidRDefault="00440ABE" w:rsidP="0098739B">
      <w:r>
        <w:separator/>
      </w:r>
    </w:p>
    <w:p w14:paraId="4A3B4B24" w14:textId="77777777" w:rsidR="00440ABE" w:rsidRDefault="00440ABE" w:rsidP="0098739B"/>
    <w:p w14:paraId="5FBE7B25" w14:textId="77777777" w:rsidR="00440ABE" w:rsidRDefault="00440ABE" w:rsidP="0098739B"/>
  </w:footnote>
  <w:footnote w:type="continuationSeparator" w:id="0">
    <w:p w14:paraId="3E839B6E" w14:textId="77777777" w:rsidR="00440ABE" w:rsidRDefault="00440ABE" w:rsidP="0098739B">
      <w:r>
        <w:continuationSeparator/>
      </w:r>
    </w:p>
    <w:p w14:paraId="59EEB1B0" w14:textId="77777777" w:rsidR="00440ABE" w:rsidRDefault="00440ABE" w:rsidP="0098739B"/>
    <w:p w14:paraId="352387E7" w14:textId="77777777" w:rsidR="00440ABE" w:rsidRDefault="00440ABE" w:rsidP="0098739B"/>
  </w:footnote>
  <w:footnote w:type="continuationNotice" w:id="1">
    <w:p w14:paraId="30D37E7B" w14:textId="77777777" w:rsidR="00440ABE" w:rsidRDefault="00440ABE" w:rsidP="0098739B">
      <w:pPr>
        <w:pStyle w:val="Footer"/>
      </w:pPr>
    </w:p>
    <w:p w14:paraId="3CA80887" w14:textId="77777777" w:rsidR="00440ABE" w:rsidRDefault="00440ABE" w:rsidP="0098739B"/>
    <w:p w14:paraId="155C06B3" w14:textId="77777777" w:rsidR="00440ABE" w:rsidRDefault="00440ABE" w:rsidP="0098739B"/>
  </w:footnote>
  <w:footnote w:id="2">
    <w:p w14:paraId="68E726D4" w14:textId="05A2DFC7" w:rsidR="00036A17" w:rsidRDefault="00036A17" w:rsidP="0098739B">
      <w:pPr>
        <w:pStyle w:val="FootnoteText"/>
      </w:pPr>
      <w:r>
        <w:rPr>
          <w:rStyle w:val="FootnoteReference"/>
        </w:rPr>
        <w:footnoteRef/>
      </w:r>
      <w:r>
        <w:t xml:space="preserve"> </w:t>
      </w:r>
      <w:r w:rsidRPr="00036A17">
        <w:t>‘</w:t>
      </w:r>
      <w:proofErr w:type="gramStart"/>
      <w:r w:rsidRPr="00036A17">
        <w:t>without</w:t>
      </w:r>
      <w:proofErr w:type="gramEnd"/>
      <w:r w:rsidRPr="00036A17">
        <w:t xml:space="preserve"> clinical signs’ includes cases where no clinical history is available.</w:t>
      </w:r>
    </w:p>
  </w:footnote>
  <w:footnote w:id="3">
    <w:p w14:paraId="4A04C1B6" w14:textId="444D9810" w:rsidR="00036A17" w:rsidRDefault="00036A17" w:rsidP="0098739B">
      <w:pPr>
        <w:pStyle w:val="FootnoteText"/>
      </w:pPr>
      <w:r>
        <w:rPr>
          <w:rStyle w:val="FootnoteReference"/>
        </w:rPr>
        <w:footnoteRef/>
      </w:r>
      <w:r>
        <w:t xml:space="preserve"> </w:t>
      </w:r>
      <w:r w:rsidR="003973EF">
        <w:t>At the time of writing, reporting of confirmed cases of infection with JEV into NAHIP is limited to those with a</w:t>
      </w:r>
      <w:r w:rsidR="003973EF">
        <w:t xml:space="preserve"> </w:t>
      </w:r>
      <w:r w:rsidR="003973EF">
        <w:t>history of consistent clinical disease.</w:t>
      </w:r>
    </w:p>
  </w:footnote>
  <w:footnote w:id="4">
    <w:p w14:paraId="1131DE59" w14:textId="6EC44B55" w:rsidR="00B432C0" w:rsidRDefault="00B432C0" w:rsidP="00477750">
      <w:pPr>
        <w:pStyle w:val="FootnoteText"/>
      </w:pPr>
      <w:r>
        <w:rPr>
          <w:rStyle w:val="FootnoteReference"/>
        </w:rPr>
        <w:footnoteRef/>
      </w:r>
      <w:r>
        <w:t xml:space="preserve"> </w:t>
      </w:r>
      <w:r w:rsidR="00477750">
        <w:t>Maternal antibody in piglets typically wanes between 1</w:t>
      </w:r>
      <w:r w:rsidR="00477750">
        <w:t>-</w:t>
      </w:r>
      <w:r w:rsidR="00477750">
        <w:t>3 months after weaning but may persist for 8</w:t>
      </w:r>
      <w:r w:rsidR="00477750">
        <w:t> </w:t>
      </w:r>
      <w:r w:rsidR="00477750">
        <w:t>months. Maternal antibodies in foals born to immuni</w:t>
      </w:r>
      <w:r w:rsidR="00477750">
        <w:t>s</w:t>
      </w:r>
      <w:r w:rsidR="00477750">
        <w:t>ed mares can persist for 4 to 5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CAE1" w14:textId="01A79C61" w:rsidR="00E3139E" w:rsidRDefault="00E3139E" w:rsidP="0098739B">
    <w:pPr>
      <w:pStyle w:val="Header"/>
    </w:pPr>
    <w:r>
      <w:rPr>
        <w:noProof/>
      </w:rPr>
      <mc:AlternateContent>
        <mc:Choice Requires="wps">
          <w:drawing>
            <wp:anchor distT="0" distB="0" distL="0" distR="0" simplePos="0" relativeHeight="251659264" behindDoc="0" locked="0" layoutInCell="1" allowOverlap="1" wp14:anchorId="1626F36F" wp14:editId="4610CB34">
              <wp:simplePos x="635" y="635"/>
              <wp:positionH relativeFrom="page">
                <wp:align>center</wp:align>
              </wp:positionH>
              <wp:positionV relativeFrom="page">
                <wp:align>top</wp:align>
              </wp:positionV>
              <wp:extent cx="551815" cy="404495"/>
              <wp:effectExtent l="0" t="0" r="635" b="14605"/>
              <wp:wrapNone/>
              <wp:docPr id="351374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EDC85B" w14:textId="4B2C2905" w:rsidR="00E3139E" w:rsidRPr="00E3139E" w:rsidRDefault="00E3139E" w:rsidP="0098739B">
                          <w:pPr>
                            <w:rPr>
                              <w:noProof/>
                            </w:rPr>
                          </w:pPr>
                          <w:r w:rsidRPr="00E3139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6F36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EDC85B" w14:textId="4B2C2905" w:rsidR="00E3139E" w:rsidRPr="00E3139E" w:rsidRDefault="00E3139E" w:rsidP="0098739B">
                    <w:pPr>
                      <w:rPr>
                        <w:noProof/>
                      </w:rPr>
                    </w:pPr>
                    <w:r w:rsidRPr="00E3139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5836" w14:textId="57D5B25A" w:rsidR="000542B4" w:rsidRPr="009F0693" w:rsidRDefault="00E3139E" w:rsidP="0098739B">
    <w:pPr>
      <w:pStyle w:val="Header"/>
    </w:pPr>
    <w:r>
      <w:rPr>
        <w:noProof/>
      </w:rPr>
      <mc:AlternateContent>
        <mc:Choice Requires="wps">
          <w:drawing>
            <wp:anchor distT="0" distB="0" distL="0" distR="0" simplePos="0" relativeHeight="251660288" behindDoc="0" locked="0" layoutInCell="1" allowOverlap="1" wp14:anchorId="452FD721" wp14:editId="3157416D">
              <wp:simplePos x="792480" y="360680"/>
              <wp:positionH relativeFrom="page">
                <wp:align>center</wp:align>
              </wp:positionH>
              <wp:positionV relativeFrom="page">
                <wp:align>top</wp:align>
              </wp:positionV>
              <wp:extent cx="551815" cy="404495"/>
              <wp:effectExtent l="0" t="0" r="635" b="14605"/>
              <wp:wrapNone/>
              <wp:docPr id="8695330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D46377" w14:textId="61F8973B" w:rsidR="00E3139E" w:rsidRPr="00E3139E" w:rsidRDefault="00E3139E" w:rsidP="0098739B">
                          <w:pPr>
                            <w:rPr>
                              <w:noProof/>
                            </w:rPr>
                          </w:pPr>
                          <w:r w:rsidRPr="00E3139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FD72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FD46377" w14:textId="61F8973B" w:rsidR="00E3139E" w:rsidRPr="00E3139E" w:rsidRDefault="00E3139E" w:rsidP="0098739B">
                    <w:pPr>
                      <w:rPr>
                        <w:noProof/>
                      </w:rPr>
                    </w:pPr>
                    <w:r w:rsidRPr="00E3139E">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D224" w14:textId="5426EF83" w:rsidR="000E455C" w:rsidRDefault="00E3139E" w:rsidP="0098739B">
    <w:pPr>
      <w:pStyle w:val="Footer"/>
    </w:pPr>
    <w:r>
      <w:rPr>
        <w:noProof/>
      </w:rPr>
      <mc:AlternateContent>
        <mc:Choice Requires="wps">
          <w:drawing>
            <wp:anchor distT="0" distB="0" distL="0" distR="0" simplePos="0" relativeHeight="251658240" behindDoc="0" locked="0" layoutInCell="1" allowOverlap="1" wp14:anchorId="74BF4FB3" wp14:editId="3FEEFF22">
              <wp:simplePos x="790575" y="361950"/>
              <wp:positionH relativeFrom="page">
                <wp:align>center</wp:align>
              </wp:positionH>
              <wp:positionV relativeFrom="page">
                <wp:align>top</wp:align>
              </wp:positionV>
              <wp:extent cx="551815" cy="404495"/>
              <wp:effectExtent l="0" t="0" r="635" b="14605"/>
              <wp:wrapNone/>
              <wp:docPr id="9458029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EDE712" w14:textId="1CC64FAB" w:rsidR="00E3139E" w:rsidRPr="00E3139E" w:rsidRDefault="00E3139E" w:rsidP="0098739B">
                          <w:pPr>
                            <w:rPr>
                              <w:noProof/>
                            </w:rPr>
                          </w:pPr>
                          <w:r w:rsidRPr="00E3139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BF4FB3"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7EDE712" w14:textId="1CC64FAB" w:rsidR="00E3139E" w:rsidRPr="00E3139E" w:rsidRDefault="00E3139E" w:rsidP="0098739B">
                    <w:pPr>
                      <w:rPr>
                        <w:noProof/>
                      </w:rPr>
                    </w:pPr>
                    <w:r w:rsidRPr="00E3139E">
                      <w:rPr>
                        <w:noProof/>
                      </w:rPr>
                      <w:t>OFFICIAL</w:t>
                    </w:r>
                  </w:p>
                </w:txbxContent>
              </v:textbox>
              <w10:wrap anchorx="page" anchory="page"/>
            </v:shape>
          </w:pict>
        </mc:Fallback>
      </mc:AlternateContent>
    </w:r>
    <w:r w:rsidR="006363F1">
      <w:rPr>
        <w:noProof/>
      </w:rPr>
      <w:drawing>
        <wp:inline distT="0" distB="0" distL="0" distR="0" wp14:anchorId="1A6C6E02" wp14:editId="7368F48B">
          <wp:extent cx="5400675" cy="1257300"/>
          <wp:effectExtent l="0" t="0" r="9525" b="0"/>
          <wp:docPr id="1" name="Picture 1" descr="Australian Government Logo and Animal Health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Logo and Animal Health Committee Logo"/>
                  <pic:cNvPicPr/>
                </pic:nvPicPr>
                <pic:blipFill>
                  <a:blip r:embed="rId1">
                    <a:extLst>
                      <a:ext uri="{28A0092B-C50C-407E-A947-70E740481C1C}">
                        <a14:useLocalDpi xmlns:a14="http://schemas.microsoft.com/office/drawing/2010/main" val="0"/>
                      </a:ext>
                    </a:extLst>
                  </a:blip>
                  <a:stretch>
                    <a:fillRect/>
                  </a:stretch>
                </pic:blipFill>
                <pic:spPr>
                  <a:xfrm>
                    <a:off x="0" y="0"/>
                    <a:ext cx="5400675"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6C74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47FD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EC1BD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0C2FE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8D486A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48C10CA"/>
    <w:multiLevelType w:val="hybridMultilevel"/>
    <w:tmpl w:val="904668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E3402E6"/>
    <w:multiLevelType w:val="hybridMultilevel"/>
    <w:tmpl w:val="9EEA15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96B606F"/>
    <w:multiLevelType w:val="hybridMultilevel"/>
    <w:tmpl w:val="E0560262"/>
    <w:lvl w:ilvl="0" w:tplc="B9FA63BE">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2"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426F9D"/>
    <w:multiLevelType w:val="multilevel"/>
    <w:tmpl w:val="47AAA7EE"/>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21A328D5"/>
    <w:multiLevelType w:val="multilevel"/>
    <w:tmpl w:val="47AAA7EE"/>
    <w:numStyleLink w:val="Numberlist"/>
  </w:abstractNum>
  <w:abstractNum w:abstractNumId="15"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0703CC"/>
    <w:multiLevelType w:val="multilevel"/>
    <w:tmpl w:val="47AAA7EE"/>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2B103637"/>
    <w:multiLevelType w:val="multilevel"/>
    <w:tmpl w:val="47AAA7EE"/>
    <w:numStyleLink w:val="Numberlist"/>
  </w:abstractNum>
  <w:abstractNum w:abstractNumId="18" w15:restartNumberingAfterBreak="0">
    <w:nsid w:val="2C6274CC"/>
    <w:multiLevelType w:val="hybridMultilevel"/>
    <w:tmpl w:val="2AAC50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F47136"/>
    <w:multiLevelType w:val="multilevel"/>
    <w:tmpl w:val="47AAA7EE"/>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394A15FE"/>
    <w:multiLevelType w:val="multilevel"/>
    <w:tmpl w:val="F36C17E8"/>
    <w:numStyleLink w:val="Headinglist"/>
  </w:abstractNum>
  <w:abstractNum w:abstractNumId="21" w15:restartNumberingAfterBreak="0">
    <w:nsid w:val="3BD81DEB"/>
    <w:multiLevelType w:val="hybridMultilevel"/>
    <w:tmpl w:val="7FEAC0D6"/>
    <w:lvl w:ilvl="0" w:tplc="6F14B9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0E00238"/>
    <w:multiLevelType w:val="hybridMultilevel"/>
    <w:tmpl w:val="90EC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4F4729"/>
    <w:multiLevelType w:val="multilevel"/>
    <w:tmpl w:val="A0241B28"/>
    <w:numStyleLink w:val="List1"/>
  </w:abstractNum>
  <w:abstractNum w:abstractNumId="24" w15:restartNumberingAfterBreak="0">
    <w:nsid w:val="437511A8"/>
    <w:multiLevelType w:val="hybridMultilevel"/>
    <w:tmpl w:val="3D5E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FF11B6"/>
    <w:multiLevelType w:val="hybridMultilevel"/>
    <w:tmpl w:val="91CEEF22"/>
    <w:lvl w:ilvl="0" w:tplc="6F4651A8">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86800B4"/>
    <w:multiLevelType w:val="multilevel"/>
    <w:tmpl w:val="A0241B28"/>
    <w:numStyleLink w:val="List1"/>
  </w:abstractNum>
  <w:abstractNum w:abstractNumId="27"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8" w15:restartNumberingAfterBreak="0">
    <w:nsid w:val="496159DC"/>
    <w:multiLevelType w:val="multilevel"/>
    <w:tmpl w:val="47AAA7EE"/>
    <w:numStyleLink w:val="Numberlist"/>
  </w:abstractNum>
  <w:abstractNum w:abstractNumId="29" w15:restartNumberingAfterBreak="0">
    <w:nsid w:val="4AFE37F1"/>
    <w:multiLevelType w:val="hybridMultilevel"/>
    <w:tmpl w:val="48CE9E5C"/>
    <w:lvl w:ilvl="0" w:tplc="0C09000F">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D74CFC"/>
    <w:multiLevelType w:val="hybridMultilevel"/>
    <w:tmpl w:val="323CB43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7303BF"/>
    <w:multiLevelType w:val="hybridMultilevel"/>
    <w:tmpl w:val="48CE9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C150A6"/>
    <w:multiLevelType w:val="hybridMultilevel"/>
    <w:tmpl w:val="897AAF8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5" w15:restartNumberingAfterBreak="0">
    <w:nsid w:val="58EA5590"/>
    <w:multiLevelType w:val="multilevel"/>
    <w:tmpl w:val="47AAA7EE"/>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6"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8" w15:restartNumberingAfterBreak="0">
    <w:nsid w:val="5B8F3B04"/>
    <w:multiLevelType w:val="multilevel"/>
    <w:tmpl w:val="47AAA7EE"/>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9" w15:restartNumberingAfterBreak="0">
    <w:nsid w:val="61164DD0"/>
    <w:multiLevelType w:val="hybridMultilevel"/>
    <w:tmpl w:val="FC281CCE"/>
    <w:lvl w:ilvl="0" w:tplc="0C09000F">
      <w:start w:val="1"/>
      <w:numFmt w:val="decimal"/>
      <w:lvlText w:val="%1."/>
      <w:lvlJc w:val="left"/>
      <w:pPr>
        <w:ind w:left="6" w:hanging="360"/>
      </w:pPr>
      <w:rPr>
        <w:rFonts w:hint="default"/>
      </w:rPr>
    </w:lvl>
    <w:lvl w:ilvl="1" w:tplc="0C090015">
      <w:start w:val="1"/>
      <w:numFmt w:val="upperLetter"/>
      <w:lvlText w:val="%2."/>
      <w:lvlJc w:val="left"/>
      <w:pPr>
        <w:ind w:left="726" w:hanging="360"/>
      </w:pPr>
      <w:rPr>
        <w:rFont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0"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EE0A34"/>
    <w:multiLevelType w:val="hybridMultilevel"/>
    <w:tmpl w:val="38743F72"/>
    <w:lvl w:ilvl="0" w:tplc="B5506130">
      <w:start w:val="1"/>
      <w:numFmt w:val="lowerRoman"/>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2" w15:restartNumberingAfterBreak="0">
    <w:nsid w:val="6C8C10A1"/>
    <w:multiLevelType w:val="multilevel"/>
    <w:tmpl w:val="47AAA7EE"/>
    <w:numStyleLink w:val="Numberlist"/>
  </w:abstractNum>
  <w:abstractNum w:abstractNumId="43" w15:restartNumberingAfterBreak="0">
    <w:nsid w:val="733934B7"/>
    <w:multiLevelType w:val="multilevel"/>
    <w:tmpl w:val="A0241B28"/>
    <w:numStyleLink w:val="List1"/>
  </w:abstractNum>
  <w:num w:numId="1" w16cid:durableId="956760409">
    <w:abstractNumId w:val="6"/>
  </w:num>
  <w:num w:numId="2" w16cid:durableId="1558467801">
    <w:abstractNumId w:val="26"/>
  </w:num>
  <w:num w:numId="3" w16cid:durableId="1391002950">
    <w:abstractNumId w:val="27"/>
  </w:num>
  <w:num w:numId="4" w16cid:durableId="163668770">
    <w:abstractNumId w:val="11"/>
  </w:num>
  <w:num w:numId="5" w16cid:durableId="1905025752">
    <w:abstractNumId w:val="37"/>
  </w:num>
  <w:num w:numId="6" w16cid:durableId="320934746">
    <w:abstractNumId w:val="38"/>
  </w:num>
  <w:num w:numId="7" w16cid:durableId="2077165610">
    <w:abstractNumId w:val="8"/>
  </w:num>
  <w:num w:numId="8" w16cid:durableId="1728845122">
    <w:abstractNumId w:val="15"/>
  </w:num>
  <w:num w:numId="9" w16cid:durableId="1190334111">
    <w:abstractNumId w:val="20"/>
  </w:num>
  <w:num w:numId="10" w16cid:durableId="1108886631">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186383">
    <w:abstractNumId w:val="5"/>
  </w:num>
  <w:num w:numId="12" w16cid:durableId="1200166742">
    <w:abstractNumId w:val="4"/>
  </w:num>
  <w:num w:numId="13" w16cid:durableId="1213467866">
    <w:abstractNumId w:val="3"/>
  </w:num>
  <w:num w:numId="14" w16cid:durableId="470026627">
    <w:abstractNumId w:val="2"/>
  </w:num>
  <w:num w:numId="15" w16cid:durableId="1108357475">
    <w:abstractNumId w:val="12"/>
  </w:num>
  <w:num w:numId="16" w16cid:durableId="595596255">
    <w:abstractNumId w:val="34"/>
  </w:num>
  <w:num w:numId="17" w16cid:durableId="954214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738777">
    <w:abstractNumId w:val="40"/>
  </w:num>
  <w:num w:numId="19" w16cid:durableId="447511908">
    <w:abstractNumId w:val="1"/>
  </w:num>
  <w:num w:numId="20" w16cid:durableId="1757095758">
    <w:abstractNumId w:val="0"/>
  </w:num>
  <w:num w:numId="21" w16cid:durableId="2090542526">
    <w:abstractNumId w:val="17"/>
  </w:num>
  <w:num w:numId="22" w16cid:durableId="64187712">
    <w:abstractNumId w:val="28"/>
  </w:num>
  <w:num w:numId="23" w16cid:durableId="381949125">
    <w:abstractNumId w:val="42"/>
  </w:num>
  <w:num w:numId="24" w16cid:durableId="314916888">
    <w:abstractNumId w:val="14"/>
    <w:lvlOverride w:ilvl="0">
      <w:lvl w:ilvl="0">
        <w:start w:val="1"/>
        <w:numFmt w:val="decimal"/>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5" w16cid:durableId="525943627">
    <w:abstractNumId w:val="23"/>
  </w:num>
  <w:num w:numId="26" w16cid:durableId="1044020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680980">
    <w:abstractNumId w:val="43"/>
  </w:num>
  <w:num w:numId="28" w16cid:durableId="1821801649">
    <w:abstractNumId w:val="30"/>
  </w:num>
  <w:num w:numId="29" w16cid:durableId="90051860">
    <w:abstractNumId w:val="36"/>
  </w:num>
  <w:num w:numId="30" w16cid:durableId="735130269">
    <w:abstractNumId w:val="10"/>
  </w:num>
  <w:num w:numId="31" w16cid:durableId="1910505491">
    <w:abstractNumId w:val="39"/>
  </w:num>
  <w:num w:numId="32" w16cid:durableId="2116436647">
    <w:abstractNumId w:val="7"/>
  </w:num>
  <w:num w:numId="33" w16cid:durableId="1806385872">
    <w:abstractNumId w:val="32"/>
  </w:num>
  <w:num w:numId="34" w16cid:durableId="1714190497">
    <w:abstractNumId w:val="29"/>
  </w:num>
  <w:num w:numId="35" w16cid:durableId="276065669">
    <w:abstractNumId w:val="18"/>
  </w:num>
  <w:num w:numId="36" w16cid:durableId="373113875">
    <w:abstractNumId w:val="9"/>
  </w:num>
  <w:num w:numId="37" w16cid:durableId="272635904">
    <w:abstractNumId w:val="21"/>
  </w:num>
  <w:num w:numId="38" w16cid:durableId="380861800">
    <w:abstractNumId w:val="24"/>
  </w:num>
  <w:num w:numId="39" w16cid:durableId="1233278085">
    <w:abstractNumId w:val="14"/>
  </w:num>
  <w:num w:numId="40" w16cid:durableId="1298679185">
    <w:abstractNumId w:val="31"/>
  </w:num>
  <w:num w:numId="41" w16cid:durableId="563806870">
    <w:abstractNumId w:val="33"/>
  </w:num>
  <w:num w:numId="42" w16cid:durableId="1536969655">
    <w:abstractNumId w:val="25"/>
  </w:num>
  <w:num w:numId="43" w16cid:durableId="170535550">
    <w:abstractNumId w:val="41"/>
  </w:num>
  <w:num w:numId="44" w16cid:durableId="438263061">
    <w:abstractNumId w:val="14"/>
    <w:lvlOverride w:ilvl="0">
      <w:startOverride w:val="1"/>
      <w:lvl w:ilvl="0">
        <w:start w:val="1"/>
        <w:numFmt w:val="decimal"/>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45" w16cid:durableId="1961566677">
    <w:abstractNumId w:val="25"/>
    <w:lvlOverride w:ilvl="0">
      <w:startOverride w:val="1"/>
    </w:lvlOverride>
  </w:num>
  <w:num w:numId="46" w16cid:durableId="596522107">
    <w:abstractNumId w:val="13"/>
  </w:num>
  <w:num w:numId="47" w16cid:durableId="2044986235">
    <w:abstractNumId w:val="22"/>
  </w:num>
  <w:num w:numId="48" w16cid:durableId="1185826965">
    <w:abstractNumId w:val="16"/>
  </w:num>
  <w:num w:numId="49" w16cid:durableId="1689410647">
    <w:abstractNumId w:val="19"/>
  </w:num>
  <w:num w:numId="50" w16cid:durableId="90075338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BE"/>
    <w:rsid w:val="0000059E"/>
    <w:rsid w:val="0000066F"/>
    <w:rsid w:val="00021590"/>
    <w:rsid w:val="00025D1B"/>
    <w:rsid w:val="000266C4"/>
    <w:rsid w:val="00036A17"/>
    <w:rsid w:val="000542B4"/>
    <w:rsid w:val="000618F3"/>
    <w:rsid w:val="00066D0B"/>
    <w:rsid w:val="000717D2"/>
    <w:rsid w:val="00074A56"/>
    <w:rsid w:val="00080827"/>
    <w:rsid w:val="0008277A"/>
    <w:rsid w:val="000904C1"/>
    <w:rsid w:val="000913B5"/>
    <w:rsid w:val="000A5BA0"/>
    <w:rsid w:val="000B3924"/>
    <w:rsid w:val="000B3C44"/>
    <w:rsid w:val="000C0412"/>
    <w:rsid w:val="000C3DA6"/>
    <w:rsid w:val="000C4558"/>
    <w:rsid w:val="000E455C"/>
    <w:rsid w:val="000E7803"/>
    <w:rsid w:val="000F0491"/>
    <w:rsid w:val="001233A8"/>
    <w:rsid w:val="0013173D"/>
    <w:rsid w:val="00190D7E"/>
    <w:rsid w:val="001929D2"/>
    <w:rsid w:val="001A6968"/>
    <w:rsid w:val="001C714A"/>
    <w:rsid w:val="001D0EF3"/>
    <w:rsid w:val="001F6FAD"/>
    <w:rsid w:val="00201EA6"/>
    <w:rsid w:val="00203DE1"/>
    <w:rsid w:val="00220618"/>
    <w:rsid w:val="00236442"/>
    <w:rsid w:val="00237A69"/>
    <w:rsid w:val="0026282C"/>
    <w:rsid w:val="00264311"/>
    <w:rsid w:val="002747FC"/>
    <w:rsid w:val="00275B23"/>
    <w:rsid w:val="00275B58"/>
    <w:rsid w:val="00284B53"/>
    <w:rsid w:val="00285194"/>
    <w:rsid w:val="002B1FAF"/>
    <w:rsid w:val="002E3FD4"/>
    <w:rsid w:val="002E49D3"/>
    <w:rsid w:val="002F4595"/>
    <w:rsid w:val="00300AFD"/>
    <w:rsid w:val="003032C0"/>
    <w:rsid w:val="003309E3"/>
    <w:rsid w:val="00336B60"/>
    <w:rsid w:val="00344910"/>
    <w:rsid w:val="0035108D"/>
    <w:rsid w:val="003569F9"/>
    <w:rsid w:val="00366721"/>
    <w:rsid w:val="00370990"/>
    <w:rsid w:val="0037698A"/>
    <w:rsid w:val="00392124"/>
    <w:rsid w:val="003937B8"/>
    <w:rsid w:val="003973EF"/>
    <w:rsid w:val="003A74E9"/>
    <w:rsid w:val="003C14AC"/>
    <w:rsid w:val="003E55BF"/>
    <w:rsid w:val="003F73D7"/>
    <w:rsid w:val="00411260"/>
    <w:rsid w:val="004334F2"/>
    <w:rsid w:val="00434854"/>
    <w:rsid w:val="00437CE0"/>
    <w:rsid w:val="00440A3F"/>
    <w:rsid w:val="00440ABE"/>
    <w:rsid w:val="00442630"/>
    <w:rsid w:val="0044304D"/>
    <w:rsid w:val="00446CB3"/>
    <w:rsid w:val="00474BB1"/>
    <w:rsid w:val="00477750"/>
    <w:rsid w:val="00495068"/>
    <w:rsid w:val="004A0A26"/>
    <w:rsid w:val="004B4FE4"/>
    <w:rsid w:val="004C2DA2"/>
    <w:rsid w:val="004C430D"/>
    <w:rsid w:val="004D0888"/>
    <w:rsid w:val="004D4446"/>
    <w:rsid w:val="005019C1"/>
    <w:rsid w:val="00513C0F"/>
    <w:rsid w:val="00515287"/>
    <w:rsid w:val="005157CF"/>
    <w:rsid w:val="005242F4"/>
    <w:rsid w:val="00531B5A"/>
    <w:rsid w:val="00553E9D"/>
    <w:rsid w:val="0055447F"/>
    <w:rsid w:val="00565790"/>
    <w:rsid w:val="00567DFC"/>
    <w:rsid w:val="00572422"/>
    <w:rsid w:val="00577F29"/>
    <w:rsid w:val="005A48A6"/>
    <w:rsid w:val="005B613F"/>
    <w:rsid w:val="005C2BFD"/>
    <w:rsid w:val="006007BC"/>
    <w:rsid w:val="00607A21"/>
    <w:rsid w:val="00607A36"/>
    <w:rsid w:val="006156DF"/>
    <w:rsid w:val="0061674B"/>
    <w:rsid w:val="00625D8D"/>
    <w:rsid w:val="0063461D"/>
    <w:rsid w:val="006360F9"/>
    <w:rsid w:val="006363F1"/>
    <w:rsid w:val="00642F36"/>
    <w:rsid w:val="00646917"/>
    <w:rsid w:val="00656587"/>
    <w:rsid w:val="00696682"/>
    <w:rsid w:val="006A6DC6"/>
    <w:rsid w:val="006B0030"/>
    <w:rsid w:val="006D372A"/>
    <w:rsid w:val="006D413F"/>
    <w:rsid w:val="006F6FE8"/>
    <w:rsid w:val="0070464B"/>
    <w:rsid w:val="00721291"/>
    <w:rsid w:val="007258B1"/>
    <w:rsid w:val="00725C8B"/>
    <w:rsid w:val="00754CA3"/>
    <w:rsid w:val="0076549B"/>
    <w:rsid w:val="00793918"/>
    <w:rsid w:val="00793E18"/>
    <w:rsid w:val="007C0010"/>
    <w:rsid w:val="007D480B"/>
    <w:rsid w:val="007E69AF"/>
    <w:rsid w:val="0080517C"/>
    <w:rsid w:val="00814347"/>
    <w:rsid w:val="00824843"/>
    <w:rsid w:val="00832638"/>
    <w:rsid w:val="00845692"/>
    <w:rsid w:val="00863E83"/>
    <w:rsid w:val="00865130"/>
    <w:rsid w:val="00892F53"/>
    <w:rsid w:val="00895341"/>
    <w:rsid w:val="008B22A2"/>
    <w:rsid w:val="008B6EA5"/>
    <w:rsid w:val="008E3B54"/>
    <w:rsid w:val="008F1712"/>
    <w:rsid w:val="008F382A"/>
    <w:rsid w:val="00902E92"/>
    <w:rsid w:val="0090743D"/>
    <w:rsid w:val="00911F4A"/>
    <w:rsid w:val="00916FC3"/>
    <w:rsid w:val="009322F7"/>
    <w:rsid w:val="00943779"/>
    <w:rsid w:val="00943B84"/>
    <w:rsid w:val="00974CD6"/>
    <w:rsid w:val="009844EA"/>
    <w:rsid w:val="0098739B"/>
    <w:rsid w:val="00997DB3"/>
    <w:rsid w:val="009C206F"/>
    <w:rsid w:val="009C37F9"/>
    <w:rsid w:val="009C3FA3"/>
    <w:rsid w:val="009C5CE4"/>
    <w:rsid w:val="009D7044"/>
    <w:rsid w:val="009F0693"/>
    <w:rsid w:val="009F3F9D"/>
    <w:rsid w:val="00A04AFD"/>
    <w:rsid w:val="00A130F7"/>
    <w:rsid w:val="00A32860"/>
    <w:rsid w:val="00A57667"/>
    <w:rsid w:val="00A60120"/>
    <w:rsid w:val="00A62F99"/>
    <w:rsid w:val="00A65D84"/>
    <w:rsid w:val="00A74356"/>
    <w:rsid w:val="00A77E8E"/>
    <w:rsid w:val="00A8157A"/>
    <w:rsid w:val="00A90453"/>
    <w:rsid w:val="00AA1D89"/>
    <w:rsid w:val="00AE1E6E"/>
    <w:rsid w:val="00AE40DE"/>
    <w:rsid w:val="00AE4763"/>
    <w:rsid w:val="00B002AA"/>
    <w:rsid w:val="00B00F94"/>
    <w:rsid w:val="00B0121B"/>
    <w:rsid w:val="00B0455B"/>
    <w:rsid w:val="00B04C6A"/>
    <w:rsid w:val="00B04EF0"/>
    <w:rsid w:val="00B11E02"/>
    <w:rsid w:val="00B3476F"/>
    <w:rsid w:val="00B404AB"/>
    <w:rsid w:val="00B432C0"/>
    <w:rsid w:val="00B43568"/>
    <w:rsid w:val="00B53592"/>
    <w:rsid w:val="00B82095"/>
    <w:rsid w:val="00B90975"/>
    <w:rsid w:val="00B93571"/>
    <w:rsid w:val="00B94CBD"/>
    <w:rsid w:val="00BA2806"/>
    <w:rsid w:val="00BA6C7E"/>
    <w:rsid w:val="00BC321A"/>
    <w:rsid w:val="00BC7783"/>
    <w:rsid w:val="00BD4F8E"/>
    <w:rsid w:val="00BE345B"/>
    <w:rsid w:val="00BF2C25"/>
    <w:rsid w:val="00C4607C"/>
    <w:rsid w:val="00C6128D"/>
    <w:rsid w:val="00C73278"/>
    <w:rsid w:val="00C765C8"/>
    <w:rsid w:val="00C80AF6"/>
    <w:rsid w:val="00C82029"/>
    <w:rsid w:val="00C9283A"/>
    <w:rsid w:val="00C95039"/>
    <w:rsid w:val="00CA4615"/>
    <w:rsid w:val="00CA7C6F"/>
    <w:rsid w:val="00CC4537"/>
    <w:rsid w:val="00CD3A6F"/>
    <w:rsid w:val="00CD6263"/>
    <w:rsid w:val="00CE165B"/>
    <w:rsid w:val="00CE7F36"/>
    <w:rsid w:val="00CF7D08"/>
    <w:rsid w:val="00D04A3C"/>
    <w:rsid w:val="00D22097"/>
    <w:rsid w:val="00D30F87"/>
    <w:rsid w:val="00D36C41"/>
    <w:rsid w:val="00D4039B"/>
    <w:rsid w:val="00D55A85"/>
    <w:rsid w:val="00D750D0"/>
    <w:rsid w:val="00D87480"/>
    <w:rsid w:val="00D8769E"/>
    <w:rsid w:val="00D96BBA"/>
    <w:rsid w:val="00DB71FD"/>
    <w:rsid w:val="00DC453F"/>
    <w:rsid w:val="00DC57F0"/>
    <w:rsid w:val="00DE337E"/>
    <w:rsid w:val="00DE546F"/>
    <w:rsid w:val="00DF241E"/>
    <w:rsid w:val="00E25A07"/>
    <w:rsid w:val="00E2681F"/>
    <w:rsid w:val="00E30156"/>
    <w:rsid w:val="00E3139E"/>
    <w:rsid w:val="00E333DF"/>
    <w:rsid w:val="00E44E91"/>
    <w:rsid w:val="00E5522F"/>
    <w:rsid w:val="00E66B8A"/>
    <w:rsid w:val="00E83C41"/>
    <w:rsid w:val="00E96411"/>
    <w:rsid w:val="00E9781D"/>
    <w:rsid w:val="00EA5D76"/>
    <w:rsid w:val="00EB6860"/>
    <w:rsid w:val="00EC2925"/>
    <w:rsid w:val="00EC5579"/>
    <w:rsid w:val="00EC5C40"/>
    <w:rsid w:val="00EC6BB2"/>
    <w:rsid w:val="00ED774B"/>
    <w:rsid w:val="00EE0118"/>
    <w:rsid w:val="00EE49CE"/>
    <w:rsid w:val="00EE7C8D"/>
    <w:rsid w:val="00EF24B1"/>
    <w:rsid w:val="00EF3918"/>
    <w:rsid w:val="00F330C3"/>
    <w:rsid w:val="00F75F33"/>
    <w:rsid w:val="00F84236"/>
    <w:rsid w:val="00F936A3"/>
    <w:rsid w:val="00F97EE7"/>
    <w:rsid w:val="00FA5566"/>
    <w:rsid w:val="00FC2CE4"/>
    <w:rsid w:val="00FC379E"/>
    <w:rsid w:val="00FC55E0"/>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C738"/>
  <w15:docId w15:val="{0D1B0EAB-8D39-4F95-B705-41F3E08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9B"/>
    <w:pPr>
      <w:spacing w:after="120" w:line="276" w:lineRule="auto"/>
    </w:pPr>
    <w:rPr>
      <w:rFonts w:asciiTheme="minorHAnsi" w:eastAsiaTheme="minorHAnsi" w:hAnsiTheme="minorHAnsi" w:cstheme="minorBidi"/>
      <w:sz w:val="22"/>
      <w:szCs w:val="22"/>
      <w:lang w:eastAsia="ja-JP"/>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513C0F"/>
    <w:pPr>
      <w:keepNext/>
      <w:spacing w:before="120" w:line="240" w:lineRule="auto"/>
      <w:ind w:left="720" w:hanging="720"/>
      <w:outlineLvl w:val="1"/>
    </w:pPr>
    <w:rPr>
      <w:rFonts w:eastAsiaTheme="minorEastAsia"/>
      <w:b/>
      <w:bCs/>
      <w:sz w:val="32"/>
      <w:szCs w:val="28"/>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513C0F"/>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spacing w:before="120"/>
    </w:pPr>
  </w:style>
  <w:style w:type="paragraph" w:styleId="ListBullet2">
    <w:name w:val="List Bullet 2"/>
    <w:basedOn w:val="Normal"/>
    <w:uiPriority w:val="8"/>
    <w:qFormat/>
    <w:pPr>
      <w:spacing w:before="120"/>
      <w:contextualSpacing/>
    </w:pPr>
  </w:style>
  <w:style w:type="paragraph" w:styleId="ListNumber">
    <w:name w:val="List Number"/>
    <w:basedOn w:val="Normal"/>
    <w:uiPriority w:val="9"/>
    <w:qFormat/>
    <w:pPr>
      <w:tabs>
        <w:tab w:val="left" w:pos="142"/>
      </w:tabs>
      <w:spacing w:before="120"/>
    </w:pPr>
  </w:style>
  <w:style w:type="paragraph" w:styleId="ListNumber2">
    <w:name w:val="List Number 2"/>
    <w:uiPriority w:val="10"/>
    <w:qFormat/>
    <w:rsid w:val="0013173D"/>
    <w:pPr>
      <w:numPr>
        <w:numId w:val="42"/>
      </w:numPr>
      <w:tabs>
        <w:tab w:val="left" w:pos="567"/>
      </w:tabs>
      <w:spacing w:before="120" w:after="120" w:line="264" w:lineRule="auto"/>
      <w:ind w:left="850" w:hanging="425"/>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2B1FAF"/>
    <w:pPr>
      <w:numPr>
        <w:numId w:val="16"/>
      </w:numPr>
      <w:spacing w:before="60" w:after="60"/>
      <w:ind w:left="403"/>
      <w:contextualSpacing/>
    </w:pPr>
    <w:rPr>
      <w:rFonts w:eastAsia="Calibri"/>
      <w:color w:val="000000" w:themeColor="text1"/>
      <w:sz w:val="19"/>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rsid w:val="002B1FAF"/>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Paragraph">
    <w:name w:val="List Paragraph"/>
    <w:basedOn w:val="Normal"/>
    <w:uiPriority w:val="34"/>
    <w:qFormat/>
    <w:rsid w:val="004D4446"/>
    <w:pPr>
      <w:spacing w:after="160" w:line="259"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hc@agriculture.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griculture-land/animal/health/committees/ah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Reviewcompleted xmlns="762d8928-0daf-4069-9c35-589ded0002d7" xsi:nil="true"/>
    <lcf76f155ced4ddcb4097134ff3c332f xmlns="762d8928-0daf-4069-9c35-589ded0002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7E633937122D4C982576F433DC022C" ma:contentTypeVersion="18" ma:contentTypeDescription="Create a new document." ma:contentTypeScope="" ma:versionID="4b6044cdd664f5c5777160cd59b46ba5">
  <xsd:schema xmlns:xsd="http://www.w3.org/2001/XMLSchema" xmlns:xs="http://www.w3.org/2001/XMLSchema" xmlns:p="http://schemas.microsoft.com/office/2006/metadata/properties" xmlns:ns2="762d8928-0daf-4069-9c35-589ded0002d7" xmlns:ns3="8c858643-2136-437b-905a-79b326f4e2e1" xmlns:ns4="81c01dc6-2c49-4730-b140-874c95cac377" targetNamespace="http://schemas.microsoft.com/office/2006/metadata/properties" ma:root="true" ma:fieldsID="ffe07f3b83922d8a33e790bae48db15b" ns2:_="" ns3:_="" ns4:_="">
    <xsd:import namespace="762d8928-0daf-4069-9c35-589ded0002d7"/>
    <xsd:import namespace="8c858643-2136-437b-905a-79b326f4e2e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eviewcomplet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d8928-0daf-4069-9c35-589ded00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completed" ma:index="14" nillable="true" ma:displayName="Review completed" ma:description="Note if review has been completed" ma:format="Dropdown" ma:internalName="Reviewcompleted">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58643-2136-437b-905a-79b326f4e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718991-70e4-4619-b9b3-86ed41a5f1e9}" ma:internalName="TaxCatchAll" ma:showField="CatchAllData" ma:web="8c858643-2136-437b-905a-79b326f4e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f0e0db-f490-4122-abae-21917392c748"/>
    <ds:schemaRef ds:uri="http://purl.org/dc/elements/1.1/"/>
    <ds:schemaRef ds:uri="http://schemas.microsoft.com/office/2006/metadata/properties"/>
    <ds:schemaRef ds:uri="http://schemas.microsoft.com/sharepoint/v3"/>
    <ds:schemaRef ds:uri="http://www.w3.org/XML/1998/namespace"/>
    <ds:schemaRef ds:uri="http://purl.org/dc/dcmitype/"/>
    <ds:schemaRef ds:uri="81c01dc6-2c49-4730-b140-874c95cac377"/>
    <ds:schemaRef ds:uri="762d8928-0daf-4069-9c35-589ded0002d7"/>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B5525A47-DE85-442C-90CC-6E5D14F2B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d8928-0daf-4069-9c35-589ded0002d7"/>
    <ds:schemaRef ds:uri="8c858643-2136-437b-905a-79b326f4e2e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5</Pages>
  <Words>1657</Words>
  <Characters>9697</Characters>
  <Application>Microsoft Office Word</Application>
  <DocSecurity>0</DocSecurity>
  <Lines>170</Lines>
  <Paragraphs>105</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11249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Parkin, Liz</dc:creator>
  <cp:lastModifiedBy>AHC Secretariat</cp:lastModifiedBy>
  <cp:revision>49</cp:revision>
  <cp:lastPrinted>2022-05-11T23:44:00Z</cp:lastPrinted>
  <dcterms:created xsi:type="dcterms:W3CDTF">2026-01-08T23:02:00Z</dcterms:created>
  <dcterms:modified xsi:type="dcterms:W3CDTF">2026-01-08T23:38:00Z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0x010100C07E633937122D4C982576F433DC022C</vt:lpwstr>
  </property>
  <property fmtid="{D5CDD505-2E9C-101B-9397-08002B2CF9AE}" pid="3" name="ClassificationContentMarkingHeaderShapeIds">
    <vt:lpwstr>385fceb0,14f18c73,33d40563</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54f48627,2310c1d8,4af8aa15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2025-04-07T06:17:33Z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00333c42-bd24-47e9-bbe7-0c9830bff970</vt:lpwstr>
  </property>
  <property fmtid="{D5CDD505-2E9C-101B-9397-08002B2CF9AE}" pid="15" name="MSIP_Label_933d8be6-3c40-4052-87a2-9c2adcba8759_ContentBits">
    <vt:lpwstr>3</vt:lpwstr>
  </property>
  <property fmtid="{D5CDD505-2E9C-101B-9397-08002B2CF9AE}" pid="16" name="MSIP_Label_933d8be6-3c40-4052-87a2-9c2adcba8759_Tag">
    <vt:lpwstr>10, 0, 1, 1</vt:lpwstr>
  </property>
  <property fmtid="{D5CDD505-2E9C-101B-9397-08002B2CF9AE}" pid="17" name="MediaServiceImageTags">
    <vt:lpwstr/>
  </property>
</Properties>
</file>