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FBCC" w14:textId="77777777" w:rsidR="00E362EF" w:rsidRDefault="00BE4306" w:rsidP="00A3475E">
      <w:pPr>
        <w:pStyle w:val="Heading1"/>
        <w:spacing w:after="120"/>
      </w:pPr>
      <w:r>
        <w:t>A</w:t>
      </w:r>
      <w:r w:rsidRPr="00F0340A">
        <w:t>ustralian Heritage Grants Round 4 (2021</w:t>
      </w:r>
      <w:r w:rsidR="00A3475E">
        <w:t>–</w:t>
      </w:r>
      <w:r w:rsidRPr="00F0340A">
        <w:t xml:space="preserve">22): </w:t>
      </w:r>
      <w:r>
        <w:t>Successful</w:t>
      </w:r>
      <w:r w:rsidR="00A3475E">
        <w:t> </w:t>
      </w:r>
      <w:r w:rsidRPr="00F0340A">
        <w:t>projects</w:t>
      </w:r>
    </w:p>
    <w:tbl>
      <w:tblPr>
        <w:tblpPr w:leftFromText="180" w:rightFromText="180" w:vertAnchor="text" w:tblpY="1"/>
        <w:tblOverlap w:val="never"/>
        <w:tblW w:w="5000" w:type="pct"/>
        <w:tblBorders>
          <w:top w:val="single" w:sz="4" w:space="0" w:color="auto"/>
          <w:insideH w:val="single" w:sz="4" w:space="0" w:color="auto"/>
        </w:tblBorders>
        <w:tblLook w:val="04A0" w:firstRow="1" w:lastRow="0" w:firstColumn="1" w:lastColumn="0" w:noHBand="0" w:noVBand="1"/>
      </w:tblPr>
      <w:tblGrid>
        <w:gridCol w:w="1665"/>
        <w:gridCol w:w="1431"/>
        <w:gridCol w:w="5790"/>
        <w:gridCol w:w="1397"/>
        <w:gridCol w:w="818"/>
        <w:gridCol w:w="1750"/>
        <w:gridCol w:w="1151"/>
      </w:tblGrid>
      <w:tr w:rsidR="008E3DA8" w14:paraId="4C288D46" w14:textId="77777777" w:rsidTr="00575B54">
        <w:trPr>
          <w:cantSplit/>
          <w:tblHeader/>
        </w:trPr>
        <w:tc>
          <w:tcPr>
            <w:tcW w:w="595" w:type="pct"/>
            <w:shd w:val="clear" w:color="auto" w:fill="auto"/>
            <w:hideMark/>
          </w:tcPr>
          <w:p w14:paraId="188ABA32" w14:textId="77777777" w:rsidR="00442170" w:rsidRPr="00442170" w:rsidRDefault="00BE4306" w:rsidP="00575B54">
            <w:pPr>
              <w:pStyle w:val="TableHeading"/>
            </w:pPr>
            <w:bookmarkStart w:id="0" w:name="Title_1"/>
            <w:bookmarkEnd w:id="0"/>
            <w:r w:rsidRPr="00442170">
              <w:t xml:space="preserve">Project </w:t>
            </w:r>
            <w:r>
              <w:t>t</w:t>
            </w:r>
            <w:r w:rsidRPr="00442170">
              <w:t>itle</w:t>
            </w:r>
          </w:p>
        </w:tc>
        <w:tc>
          <w:tcPr>
            <w:tcW w:w="511" w:type="pct"/>
            <w:shd w:val="clear" w:color="auto" w:fill="auto"/>
            <w:hideMark/>
          </w:tcPr>
          <w:p w14:paraId="1D15D806" w14:textId="77777777" w:rsidR="00442170" w:rsidRPr="00442170" w:rsidRDefault="00BE4306" w:rsidP="00575B54">
            <w:pPr>
              <w:pStyle w:val="TableHeading"/>
            </w:pPr>
            <w:r w:rsidRPr="00442170">
              <w:t>Recipient</w:t>
            </w:r>
          </w:p>
        </w:tc>
        <w:tc>
          <w:tcPr>
            <w:tcW w:w="2068" w:type="pct"/>
            <w:shd w:val="clear" w:color="auto" w:fill="auto"/>
            <w:hideMark/>
          </w:tcPr>
          <w:p w14:paraId="6A0D1912" w14:textId="77777777" w:rsidR="00442170" w:rsidRPr="00442170" w:rsidRDefault="00BE4306" w:rsidP="00575B54">
            <w:pPr>
              <w:pStyle w:val="TableHeading"/>
            </w:pPr>
            <w:r w:rsidRPr="00442170">
              <w:t xml:space="preserve">Project </w:t>
            </w:r>
            <w:r>
              <w:t>d</w:t>
            </w:r>
            <w:r w:rsidRPr="00442170">
              <w:t>escription</w:t>
            </w:r>
          </w:p>
        </w:tc>
        <w:tc>
          <w:tcPr>
            <w:tcW w:w="499" w:type="pct"/>
            <w:shd w:val="clear" w:color="auto" w:fill="auto"/>
            <w:hideMark/>
          </w:tcPr>
          <w:p w14:paraId="1387BEE7" w14:textId="77777777" w:rsidR="00442170" w:rsidRPr="00442170" w:rsidRDefault="00BE4306" w:rsidP="00575B54">
            <w:pPr>
              <w:pStyle w:val="TableHeading"/>
            </w:pPr>
            <w:r w:rsidRPr="00442170">
              <w:t xml:space="preserve">National Heritage List </w:t>
            </w:r>
            <w:r w:rsidR="00C5052D">
              <w:t>s</w:t>
            </w:r>
            <w:r w:rsidR="00C5052D" w:rsidRPr="00442170">
              <w:t>ite</w:t>
            </w:r>
          </w:p>
        </w:tc>
        <w:tc>
          <w:tcPr>
            <w:tcW w:w="292" w:type="pct"/>
            <w:shd w:val="clear" w:color="auto" w:fill="auto"/>
          </w:tcPr>
          <w:p w14:paraId="59B364F4" w14:textId="77777777" w:rsidR="00442170" w:rsidRPr="00442170" w:rsidRDefault="00BE4306" w:rsidP="00575B54">
            <w:pPr>
              <w:pStyle w:val="TableHeading"/>
            </w:pPr>
            <w:r w:rsidRPr="00442170">
              <w:t>State</w:t>
            </w:r>
          </w:p>
        </w:tc>
        <w:tc>
          <w:tcPr>
            <w:tcW w:w="625" w:type="pct"/>
            <w:shd w:val="clear" w:color="auto" w:fill="auto"/>
          </w:tcPr>
          <w:p w14:paraId="5234D7F4" w14:textId="77777777" w:rsidR="00442170" w:rsidRPr="00442170" w:rsidRDefault="00BE4306" w:rsidP="00575B54">
            <w:pPr>
              <w:pStyle w:val="TableHeading"/>
            </w:pPr>
            <w:r w:rsidRPr="00442170">
              <w:t xml:space="preserve">Total </w:t>
            </w:r>
            <w:r>
              <w:t>f</w:t>
            </w:r>
            <w:r w:rsidRPr="00442170">
              <w:t xml:space="preserve">unding </w:t>
            </w:r>
            <w:r>
              <w:t>(</w:t>
            </w:r>
            <w:r w:rsidR="00C5052D">
              <w:t>$</w:t>
            </w:r>
            <w:r>
              <w:t xml:space="preserve">) </w:t>
            </w:r>
            <w:r w:rsidRPr="00442170">
              <w:t xml:space="preserve">(GST </w:t>
            </w:r>
            <w:r>
              <w:t>e</w:t>
            </w:r>
            <w:r w:rsidRPr="00442170">
              <w:t>xclusive)</w:t>
            </w:r>
          </w:p>
        </w:tc>
        <w:tc>
          <w:tcPr>
            <w:tcW w:w="411" w:type="pct"/>
            <w:shd w:val="clear" w:color="auto" w:fill="auto"/>
          </w:tcPr>
          <w:p w14:paraId="504D9A62" w14:textId="77777777" w:rsidR="00442170" w:rsidRPr="00442170" w:rsidRDefault="00BE4306" w:rsidP="00575B54">
            <w:pPr>
              <w:pStyle w:val="TableHeading"/>
            </w:pPr>
            <w:r w:rsidRPr="00442170">
              <w:t xml:space="preserve">Total </w:t>
            </w:r>
            <w:r>
              <w:t>f</w:t>
            </w:r>
            <w:r w:rsidRPr="00442170">
              <w:t xml:space="preserve">unding </w:t>
            </w:r>
            <w:r>
              <w:t>(</w:t>
            </w:r>
            <w:r w:rsidR="00575B54">
              <w:t>$</w:t>
            </w:r>
            <w:r>
              <w:t xml:space="preserve">) </w:t>
            </w:r>
            <w:r w:rsidRPr="00442170">
              <w:t>(GST</w:t>
            </w:r>
            <w:r w:rsidR="001B2468">
              <w:t xml:space="preserve"> </w:t>
            </w:r>
            <w:r w:rsidRPr="00442170">
              <w:t>where applicable)</w:t>
            </w:r>
          </w:p>
        </w:tc>
      </w:tr>
      <w:tr w:rsidR="008E3DA8" w14:paraId="3F0E59A7" w14:textId="77777777" w:rsidTr="00575B54">
        <w:tc>
          <w:tcPr>
            <w:tcW w:w="595" w:type="pct"/>
            <w:shd w:val="clear" w:color="auto" w:fill="auto"/>
          </w:tcPr>
          <w:p w14:paraId="4AC090F1" w14:textId="77777777" w:rsidR="00442170" w:rsidRPr="001B2468" w:rsidRDefault="00BE4306" w:rsidP="00575B54">
            <w:pPr>
              <w:pStyle w:val="TableText"/>
            </w:pPr>
            <w:r w:rsidRPr="001B2468">
              <w:t>3D digital captures of the iconic high</w:t>
            </w:r>
            <w:r w:rsidR="001F4DC5" w:rsidRPr="001B2468">
              <w:t>-</w:t>
            </w:r>
            <w:r w:rsidRPr="001B2468">
              <w:t>country huts of the Australian Alps</w:t>
            </w:r>
          </w:p>
        </w:tc>
        <w:tc>
          <w:tcPr>
            <w:tcW w:w="511" w:type="pct"/>
            <w:shd w:val="clear" w:color="auto" w:fill="auto"/>
          </w:tcPr>
          <w:p w14:paraId="58855793" w14:textId="77777777" w:rsidR="00442170" w:rsidRPr="001B2468" w:rsidRDefault="00BE4306" w:rsidP="00575B54">
            <w:pPr>
              <w:pStyle w:val="TableText"/>
            </w:pPr>
            <w:r w:rsidRPr="001B2468">
              <w:t>Department of Planning Industry and Environment</w:t>
            </w:r>
          </w:p>
        </w:tc>
        <w:tc>
          <w:tcPr>
            <w:tcW w:w="2068" w:type="pct"/>
            <w:shd w:val="clear" w:color="auto" w:fill="auto"/>
          </w:tcPr>
          <w:p w14:paraId="0E7D7D12" w14:textId="77777777" w:rsidR="001F4DC5" w:rsidRPr="001B2468" w:rsidRDefault="00BE4306" w:rsidP="00575B54">
            <w:pPr>
              <w:pStyle w:val="TableText"/>
            </w:pPr>
            <w:r w:rsidRPr="001B2468">
              <w:t>This project will digitally capture and produce 3D digital models of over 100 heritage huts across the Australian Alps National Parks</w:t>
            </w:r>
            <w:r w:rsidRPr="001B2468">
              <w:t xml:space="preserve"> and Reserves of the ACT, </w:t>
            </w:r>
            <w:proofErr w:type="gramStart"/>
            <w:r w:rsidRPr="001B2468">
              <w:t>NSW</w:t>
            </w:r>
            <w:proofErr w:type="gramEnd"/>
            <w:r w:rsidRPr="001B2468">
              <w:t xml:space="preserve"> and Victoria. The high-definition 3D digital models will be made available online and incorporated on the Australian Alps National Parks website for public viewing. The models will allow 3D virtual tours and walk-throughs with</w:t>
            </w:r>
            <w:r w:rsidRPr="001B2468">
              <w:t xml:space="preserve"> incorporated interpretive material such as drone footage, </w:t>
            </w:r>
            <w:proofErr w:type="gramStart"/>
            <w:r w:rsidRPr="001B2468">
              <w:t>videos</w:t>
            </w:r>
            <w:proofErr w:type="gramEnd"/>
            <w:r w:rsidRPr="001B2468">
              <w:t xml:space="preserve"> and historic information about each hut.</w:t>
            </w:r>
          </w:p>
          <w:p w14:paraId="7F33C6C5" w14:textId="77777777" w:rsidR="001F4DC5" w:rsidRPr="001B2468" w:rsidRDefault="00BE4306" w:rsidP="00575B54">
            <w:pPr>
              <w:pStyle w:val="TableText"/>
            </w:pPr>
            <w:r w:rsidRPr="001B2468">
              <w:t>This is a joint application with Department of Planning Industry and Environment.</w:t>
            </w:r>
          </w:p>
          <w:p w14:paraId="005D6C5B" w14:textId="77777777" w:rsidR="00442170" w:rsidRPr="001B2468" w:rsidRDefault="00BE4306" w:rsidP="00575B54">
            <w:pPr>
              <w:pStyle w:val="TableText"/>
            </w:pPr>
            <w:r w:rsidRPr="001B2468">
              <w:t>The project duration is 30 months.</w:t>
            </w:r>
          </w:p>
        </w:tc>
        <w:tc>
          <w:tcPr>
            <w:tcW w:w="499" w:type="pct"/>
            <w:shd w:val="clear" w:color="auto" w:fill="auto"/>
          </w:tcPr>
          <w:p w14:paraId="1B128B0B" w14:textId="77777777" w:rsidR="00442170" w:rsidRPr="001B2468" w:rsidRDefault="00BE4306" w:rsidP="00575B54">
            <w:pPr>
              <w:pStyle w:val="TableText"/>
            </w:pPr>
            <w:r w:rsidRPr="001B2468">
              <w:t>Australian Alps National Parks a</w:t>
            </w:r>
            <w:r w:rsidRPr="001B2468">
              <w:t>nd Reserves</w:t>
            </w:r>
          </w:p>
        </w:tc>
        <w:tc>
          <w:tcPr>
            <w:tcW w:w="292" w:type="pct"/>
            <w:shd w:val="clear" w:color="auto" w:fill="auto"/>
          </w:tcPr>
          <w:p w14:paraId="316CF060" w14:textId="77777777" w:rsidR="00442170" w:rsidRPr="001B2468" w:rsidRDefault="00BE4306" w:rsidP="00575B54">
            <w:pPr>
              <w:pStyle w:val="TableText"/>
            </w:pPr>
            <w:r w:rsidRPr="001B2468">
              <w:t>NSW</w:t>
            </w:r>
          </w:p>
        </w:tc>
        <w:tc>
          <w:tcPr>
            <w:tcW w:w="625" w:type="pct"/>
            <w:shd w:val="clear" w:color="auto" w:fill="auto"/>
          </w:tcPr>
          <w:p w14:paraId="3B4E70C3" w14:textId="77777777" w:rsidR="00442170" w:rsidRPr="001B2468" w:rsidRDefault="00BE4306" w:rsidP="00575B54">
            <w:pPr>
              <w:pStyle w:val="TableText"/>
              <w:jc w:val="right"/>
            </w:pPr>
            <w:r w:rsidRPr="001B2468">
              <w:t>198,102</w:t>
            </w:r>
          </w:p>
        </w:tc>
        <w:tc>
          <w:tcPr>
            <w:tcW w:w="411" w:type="pct"/>
            <w:shd w:val="clear" w:color="auto" w:fill="auto"/>
          </w:tcPr>
          <w:p w14:paraId="4B48B32B" w14:textId="77777777" w:rsidR="00442170" w:rsidRPr="001B2468" w:rsidRDefault="00BE4306" w:rsidP="00575B54">
            <w:pPr>
              <w:pStyle w:val="TableText"/>
              <w:jc w:val="right"/>
            </w:pPr>
            <w:r w:rsidRPr="001B2468">
              <w:t>217,912</w:t>
            </w:r>
          </w:p>
        </w:tc>
      </w:tr>
      <w:tr w:rsidR="008E3DA8" w14:paraId="1F043D3F" w14:textId="77777777" w:rsidTr="00575B54">
        <w:tc>
          <w:tcPr>
            <w:tcW w:w="595" w:type="pct"/>
            <w:shd w:val="clear" w:color="auto" w:fill="auto"/>
          </w:tcPr>
          <w:p w14:paraId="24923E20" w14:textId="77777777" w:rsidR="00442170" w:rsidRPr="001B2468" w:rsidRDefault="00BE4306" w:rsidP="00575B54">
            <w:pPr>
              <w:pStyle w:val="TableText"/>
            </w:pPr>
            <w:r w:rsidRPr="001B2468">
              <w:t>Protecting Tasmania’s Port Davey–Bathurst Harbour World Heritage Values</w:t>
            </w:r>
          </w:p>
        </w:tc>
        <w:tc>
          <w:tcPr>
            <w:tcW w:w="511" w:type="pct"/>
            <w:shd w:val="clear" w:color="auto" w:fill="auto"/>
          </w:tcPr>
          <w:p w14:paraId="19661F07" w14:textId="77777777" w:rsidR="00442170" w:rsidRPr="001B2468" w:rsidRDefault="00BE4306" w:rsidP="00575B54">
            <w:pPr>
              <w:pStyle w:val="TableText"/>
            </w:pPr>
            <w:r w:rsidRPr="001B2468">
              <w:t>Department of Primary Industries Parks Water and Environment</w:t>
            </w:r>
          </w:p>
        </w:tc>
        <w:tc>
          <w:tcPr>
            <w:tcW w:w="2068" w:type="pct"/>
            <w:shd w:val="clear" w:color="auto" w:fill="auto"/>
          </w:tcPr>
          <w:p w14:paraId="7DC11B5E" w14:textId="77777777" w:rsidR="001F4DC5" w:rsidRPr="001B2468" w:rsidRDefault="00BE4306" w:rsidP="00575B54">
            <w:pPr>
              <w:pStyle w:val="TableText"/>
            </w:pPr>
            <w:r w:rsidRPr="001B2468">
              <w:t>This project will assess the effectiveness of existing management arrangements to protect the globally unique tannin-influenced marine communities in Port Davey-Bathurst Harbour, southwest Tasmania. Previously established monitoring sites will be re-survey</w:t>
            </w:r>
            <w:r w:rsidRPr="001B2468">
              <w:t>ed using standardised methods, including photo-quadrats, to determine whether significant changes to the community have occurred and whether exotic species have established. If significant changes have occurred or exotic species have been detected, then ap</w:t>
            </w:r>
            <w:r w:rsidRPr="001B2468">
              <w:t>propriate management responses will be developed. Video and still imagery will be collected to produce and release a virtual underwater tour to increase awareness and engagement of the values. This is a joint project with the University of Tasmania.</w:t>
            </w:r>
          </w:p>
          <w:p w14:paraId="7443DE74" w14:textId="77777777" w:rsidR="00442170" w:rsidRPr="001B2468" w:rsidRDefault="00BE4306" w:rsidP="00575B54">
            <w:pPr>
              <w:pStyle w:val="TableText"/>
            </w:pPr>
            <w:r w:rsidRPr="001B2468">
              <w:t>The pr</w:t>
            </w:r>
            <w:r w:rsidRPr="001B2468">
              <w:t>oject duration is 22 months.</w:t>
            </w:r>
          </w:p>
        </w:tc>
        <w:tc>
          <w:tcPr>
            <w:tcW w:w="499" w:type="pct"/>
            <w:shd w:val="clear" w:color="auto" w:fill="auto"/>
          </w:tcPr>
          <w:p w14:paraId="6ABA0B56" w14:textId="77777777" w:rsidR="00442170" w:rsidRPr="001B2468" w:rsidRDefault="00BE4306" w:rsidP="00575B54">
            <w:pPr>
              <w:pStyle w:val="TableText"/>
            </w:pPr>
            <w:r w:rsidRPr="001B2468">
              <w:t>Tasmanian Wilderness</w:t>
            </w:r>
          </w:p>
        </w:tc>
        <w:tc>
          <w:tcPr>
            <w:tcW w:w="292" w:type="pct"/>
            <w:shd w:val="clear" w:color="auto" w:fill="auto"/>
          </w:tcPr>
          <w:p w14:paraId="7E51E48A" w14:textId="77777777" w:rsidR="007C1D6C" w:rsidRPr="007C1D6C" w:rsidRDefault="00BE4306" w:rsidP="00575B54">
            <w:pPr>
              <w:pStyle w:val="TableText"/>
            </w:pPr>
            <w:r w:rsidRPr="007C1D6C">
              <w:t>T</w:t>
            </w:r>
            <w:r w:rsidR="00A3475E" w:rsidRPr="007C1D6C">
              <w:t>as</w:t>
            </w:r>
            <w:r>
              <w:t>.</w:t>
            </w:r>
          </w:p>
        </w:tc>
        <w:tc>
          <w:tcPr>
            <w:tcW w:w="625" w:type="pct"/>
            <w:shd w:val="clear" w:color="auto" w:fill="auto"/>
          </w:tcPr>
          <w:p w14:paraId="26B97D77" w14:textId="77777777" w:rsidR="00442170" w:rsidRPr="001B2468" w:rsidRDefault="00BE4306" w:rsidP="00575B54">
            <w:pPr>
              <w:pStyle w:val="TableText"/>
              <w:jc w:val="right"/>
            </w:pPr>
            <w:r w:rsidRPr="001B2468">
              <w:t>171,195</w:t>
            </w:r>
          </w:p>
        </w:tc>
        <w:tc>
          <w:tcPr>
            <w:tcW w:w="411" w:type="pct"/>
            <w:shd w:val="clear" w:color="auto" w:fill="auto"/>
          </w:tcPr>
          <w:p w14:paraId="350F1779" w14:textId="77777777" w:rsidR="00442170" w:rsidRPr="001B2468" w:rsidRDefault="00BE4306" w:rsidP="00575B54">
            <w:pPr>
              <w:pStyle w:val="TableText"/>
              <w:jc w:val="right"/>
            </w:pPr>
            <w:r w:rsidRPr="001B2468">
              <w:t>188,314</w:t>
            </w:r>
          </w:p>
        </w:tc>
      </w:tr>
      <w:tr w:rsidR="008E3DA8" w14:paraId="27E074DC" w14:textId="77777777" w:rsidTr="00575B54">
        <w:tc>
          <w:tcPr>
            <w:tcW w:w="595" w:type="pct"/>
            <w:shd w:val="clear" w:color="auto" w:fill="auto"/>
          </w:tcPr>
          <w:p w14:paraId="00AE6DE3" w14:textId="77777777" w:rsidR="00442170" w:rsidRPr="001B2468" w:rsidRDefault="00BE4306" w:rsidP="00575B54">
            <w:pPr>
              <w:pStyle w:val="TableText"/>
            </w:pPr>
            <w:r w:rsidRPr="001B2468">
              <w:lastRenderedPageBreak/>
              <w:t>Replace 15 Damaged Poles in Murtoa's Heritage Listed Stick Shed</w:t>
            </w:r>
          </w:p>
        </w:tc>
        <w:tc>
          <w:tcPr>
            <w:tcW w:w="511" w:type="pct"/>
            <w:shd w:val="clear" w:color="auto" w:fill="auto"/>
          </w:tcPr>
          <w:p w14:paraId="3EBA4254" w14:textId="77777777" w:rsidR="00442170" w:rsidRPr="001B2468" w:rsidRDefault="00BE4306" w:rsidP="00575B54">
            <w:pPr>
              <w:pStyle w:val="TableText"/>
            </w:pPr>
            <w:r w:rsidRPr="001B2468">
              <w:t>Murtoa Stick Shed Committee of Management</w:t>
            </w:r>
          </w:p>
        </w:tc>
        <w:tc>
          <w:tcPr>
            <w:tcW w:w="2068" w:type="pct"/>
            <w:shd w:val="clear" w:color="auto" w:fill="auto"/>
          </w:tcPr>
          <w:p w14:paraId="0A8F7872" w14:textId="77777777" w:rsidR="001F4DC5" w:rsidRPr="001B2468" w:rsidRDefault="00BE4306" w:rsidP="00575B54">
            <w:pPr>
              <w:pStyle w:val="TableText"/>
            </w:pPr>
            <w:r w:rsidRPr="001B2468">
              <w:t xml:space="preserve">The project aims to replace 15 damaged timber poles to maintain the </w:t>
            </w:r>
            <w:r w:rsidRPr="001B2468">
              <w:t>structure of the Murtoa No. 1 Grain Store. The project activities involve the use of a suitably qualified building practitioner to replace the damaged poles across three work periods. The use of the timber poles is in keeping with the heritage values of th</w:t>
            </w:r>
            <w:r w:rsidRPr="001B2468">
              <w:t>e listed place.</w:t>
            </w:r>
          </w:p>
          <w:p w14:paraId="3D0C69E2" w14:textId="77777777" w:rsidR="00442170" w:rsidRPr="001B2468" w:rsidRDefault="00BE4306" w:rsidP="00575B54">
            <w:pPr>
              <w:pStyle w:val="TableText"/>
            </w:pPr>
            <w:r w:rsidRPr="001B2468">
              <w:t>The project duration is 27 months.</w:t>
            </w:r>
          </w:p>
        </w:tc>
        <w:tc>
          <w:tcPr>
            <w:tcW w:w="499" w:type="pct"/>
            <w:shd w:val="clear" w:color="auto" w:fill="auto"/>
          </w:tcPr>
          <w:p w14:paraId="2046CCFC" w14:textId="77777777" w:rsidR="00442170" w:rsidRPr="001B2468" w:rsidRDefault="00BE4306" w:rsidP="00575B54">
            <w:pPr>
              <w:pStyle w:val="TableText"/>
            </w:pPr>
            <w:r w:rsidRPr="001B2468">
              <w:t>Murtoa No. 1 Grain Store</w:t>
            </w:r>
          </w:p>
        </w:tc>
        <w:tc>
          <w:tcPr>
            <w:tcW w:w="292" w:type="pct"/>
            <w:shd w:val="clear" w:color="auto" w:fill="auto"/>
          </w:tcPr>
          <w:p w14:paraId="573296C5" w14:textId="77777777" w:rsidR="007C1D6C" w:rsidRPr="007C1D6C" w:rsidRDefault="00BE4306" w:rsidP="00575B54">
            <w:pPr>
              <w:pStyle w:val="TableText"/>
            </w:pPr>
            <w:r w:rsidRPr="001B2468">
              <w:t>V</w:t>
            </w:r>
            <w:r>
              <w:t>ic.</w:t>
            </w:r>
          </w:p>
        </w:tc>
        <w:tc>
          <w:tcPr>
            <w:tcW w:w="625" w:type="pct"/>
            <w:shd w:val="clear" w:color="auto" w:fill="auto"/>
          </w:tcPr>
          <w:p w14:paraId="4ACED863" w14:textId="77777777" w:rsidR="00442170" w:rsidRPr="00D241DC" w:rsidRDefault="00BE4306" w:rsidP="00575B54">
            <w:pPr>
              <w:pStyle w:val="TableText"/>
              <w:jc w:val="right"/>
            </w:pPr>
            <w:r w:rsidRPr="00D241DC">
              <w:t>61,000</w:t>
            </w:r>
          </w:p>
        </w:tc>
        <w:tc>
          <w:tcPr>
            <w:tcW w:w="411" w:type="pct"/>
            <w:shd w:val="clear" w:color="auto" w:fill="auto"/>
          </w:tcPr>
          <w:p w14:paraId="7C50191D" w14:textId="77777777" w:rsidR="00442170" w:rsidRPr="00D241DC" w:rsidRDefault="00BE4306" w:rsidP="00575B54">
            <w:pPr>
              <w:pStyle w:val="TableText"/>
              <w:jc w:val="right"/>
            </w:pPr>
            <w:r w:rsidRPr="00D241DC">
              <w:t>67,100</w:t>
            </w:r>
          </w:p>
        </w:tc>
      </w:tr>
      <w:tr w:rsidR="008E3DA8" w14:paraId="0105CEBA" w14:textId="77777777" w:rsidTr="00575B54">
        <w:tc>
          <w:tcPr>
            <w:tcW w:w="595" w:type="pct"/>
            <w:shd w:val="clear" w:color="auto" w:fill="auto"/>
          </w:tcPr>
          <w:p w14:paraId="68EFD132" w14:textId="77777777" w:rsidR="00442170" w:rsidRPr="001B2468" w:rsidRDefault="00BE4306" w:rsidP="00575B54">
            <w:pPr>
              <w:pStyle w:val="TableText"/>
            </w:pPr>
            <w:proofErr w:type="spellStart"/>
            <w:r w:rsidRPr="001B2468">
              <w:t>Nilpena</w:t>
            </w:r>
            <w:proofErr w:type="spellEnd"/>
            <w:r w:rsidRPr="001B2468">
              <w:t xml:space="preserve"> </w:t>
            </w:r>
            <w:proofErr w:type="spellStart"/>
            <w:r w:rsidRPr="001B2468">
              <w:t>Ediacara</w:t>
            </w:r>
            <w:proofErr w:type="spellEnd"/>
            <w:r w:rsidRPr="001B2468">
              <w:t xml:space="preserve"> Fossil Beds Conservation Management Plan &amp; Stabilisation</w:t>
            </w:r>
          </w:p>
        </w:tc>
        <w:tc>
          <w:tcPr>
            <w:tcW w:w="511" w:type="pct"/>
            <w:shd w:val="clear" w:color="auto" w:fill="auto"/>
          </w:tcPr>
          <w:p w14:paraId="53394A9F" w14:textId="77777777" w:rsidR="00442170" w:rsidRPr="001B2468" w:rsidRDefault="00BE4306" w:rsidP="00575B54">
            <w:pPr>
              <w:pStyle w:val="TableText"/>
            </w:pPr>
            <w:r w:rsidRPr="001B2468">
              <w:t>Department for Environment and Water</w:t>
            </w:r>
          </w:p>
        </w:tc>
        <w:tc>
          <w:tcPr>
            <w:tcW w:w="2068" w:type="pct"/>
            <w:shd w:val="clear" w:color="auto" w:fill="auto"/>
          </w:tcPr>
          <w:p w14:paraId="57F09F56" w14:textId="77777777" w:rsidR="001F4DC5" w:rsidRPr="001B2468" w:rsidRDefault="00BE4306" w:rsidP="00575B54">
            <w:pPr>
              <w:pStyle w:val="TableText"/>
            </w:pPr>
            <w:r w:rsidRPr="001B2468">
              <w:t xml:space="preserve">The project aims to conserve and preserve the </w:t>
            </w:r>
            <w:r w:rsidRPr="001B2468">
              <w:t xml:space="preserve">fossil beds both physically and digitally at the </w:t>
            </w:r>
            <w:proofErr w:type="spellStart"/>
            <w:r w:rsidRPr="001B2468">
              <w:t>Ediacara</w:t>
            </w:r>
            <w:proofErr w:type="spellEnd"/>
            <w:r w:rsidRPr="001B2468">
              <w:t xml:space="preserve"> fossil site – </w:t>
            </w:r>
            <w:proofErr w:type="spellStart"/>
            <w:r w:rsidRPr="001B2468">
              <w:t>Nilpena</w:t>
            </w:r>
            <w:proofErr w:type="spellEnd"/>
            <w:r w:rsidRPr="001B2468">
              <w:t xml:space="preserve"> as evidence of the emergence of Earth’s earliest complex animal life. The activities include preparing a conservation management plan, fossil bed stabilisation and drainage wor</w:t>
            </w:r>
            <w:r w:rsidRPr="001B2468">
              <w:t xml:space="preserve">k at the excavated beds and conducting photogrammetry and digitisation of all fossil beds to preserve all data. This is a joint application with project partner, Flinders Ranges </w:t>
            </w:r>
            <w:proofErr w:type="spellStart"/>
            <w:r w:rsidRPr="001B2468">
              <w:t>Ediacara</w:t>
            </w:r>
            <w:proofErr w:type="spellEnd"/>
            <w:r w:rsidRPr="001B2468">
              <w:t xml:space="preserve"> Foundation Limited.</w:t>
            </w:r>
          </w:p>
          <w:p w14:paraId="451D7D75" w14:textId="77777777" w:rsidR="00442170" w:rsidRPr="001B2468" w:rsidRDefault="00BE4306" w:rsidP="00575B54">
            <w:pPr>
              <w:pStyle w:val="TableText"/>
            </w:pPr>
            <w:r w:rsidRPr="001B2468">
              <w:t>The project duration is 34 months.</w:t>
            </w:r>
          </w:p>
        </w:tc>
        <w:tc>
          <w:tcPr>
            <w:tcW w:w="499" w:type="pct"/>
            <w:shd w:val="clear" w:color="auto" w:fill="auto"/>
          </w:tcPr>
          <w:p w14:paraId="1762DBD4" w14:textId="77777777" w:rsidR="00442170" w:rsidRPr="001B2468" w:rsidRDefault="00BE4306" w:rsidP="00575B54">
            <w:pPr>
              <w:pStyle w:val="TableText"/>
            </w:pPr>
            <w:proofErr w:type="spellStart"/>
            <w:r w:rsidRPr="001B2468">
              <w:t>Ediacara</w:t>
            </w:r>
            <w:proofErr w:type="spellEnd"/>
            <w:r w:rsidRPr="001B2468">
              <w:t xml:space="preserve"> Fossi</w:t>
            </w:r>
            <w:r w:rsidRPr="001B2468">
              <w:t xml:space="preserve">l Site - </w:t>
            </w:r>
            <w:proofErr w:type="spellStart"/>
            <w:r w:rsidRPr="001B2468">
              <w:t>Nilpena</w:t>
            </w:r>
            <w:proofErr w:type="spellEnd"/>
          </w:p>
        </w:tc>
        <w:tc>
          <w:tcPr>
            <w:tcW w:w="292" w:type="pct"/>
            <w:shd w:val="clear" w:color="auto" w:fill="auto"/>
          </w:tcPr>
          <w:p w14:paraId="46982430" w14:textId="77777777" w:rsidR="00442170" w:rsidRPr="001B2468" w:rsidRDefault="00BE4306" w:rsidP="00575B54">
            <w:pPr>
              <w:pStyle w:val="TableText"/>
            </w:pPr>
            <w:r w:rsidRPr="001B2468">
              <w:t>SA</w:t>
            </w:r>
          </w:p>
        </w:tc>
        <w:tc>
          <w:tcPr>
            <w:tcW w:w="625" w:type="pct"/>
            <w:shd w:val="clear" w:color="auto" w:fill="auto"/>
          </w:tcPr>
          <w:p w14:paraId="55B12CEA" w14:textId="77777777" w:rsidR="00442170" w:rsidRPr="001B2468" w:rsidRDefault="00BE4306" w:rsidP="00575B54">
            <w:pPr>
              <w:pStyle w:val="TableText"/>
              <w:jc w:val="right"/>
            </w:pPr>
            <w:r w:rsidRPr="001B2468">
              <w:t>310,200</w:t>
            </w:r>
          </w:p>
        </w:tc>
        <w:tc>
          <w:tcPr>
            <w:tcW w:w="411" w:type="pct"/>
            <w:shd w:val="clear" w:color="auto" w:fill="auto"/>
          </w:tcPr>
          <w:p w14:paraId="0914E0EE" w14:textId="77777777" w:rsidR="00442170" w:rsidRPr="001B2468" w:rsidRDefault="00BE4306" w:rsidP="00575B54">
            <w:pPr>
              <w:pStyle w:val="TableText"/>
              <w:jc w:val="right"/>
            </w:pPr>
            <w:r w:rsidRPr="001B2468">
              <w:t>341,220</w:t>
            </w:r>
          </w:p>
        </w:tc>
      </w:tr>
      <w:tr w:rsidR="008E3DA8" w14:paraId="13BC54FD" w14:textId="77777777" w:rsidTr="00575B54">
        <w:tc>
          <w:tcPr>
            <w:tcW w:w="595" w:type="pct"/>
            <w:shd w:val="clear" w:color="auto" w:fill="auto"/>
          </w:tcPr>
          <w:p w14:paraId="56D854E4" w14:textId="77777777" w:rsidR="00442170" w:rsidRPr="001B2468" w:rsidRDefault="00BE4306" w:rsidP="00575B54">
            <w:pPr>
              <w:pStyle w:val="TableText"/>
            </w:pPr>
            <w:r w:rsidRPr="001B2468">
              <w:t xml:space="preserve">Interpreting the wonders of the </w:t>
            </w:r>
            <w:proofErr w:type="spellStart"/>
            <w:r w:rsidRPr="001B2468">
              <w:t>Purnululu</w:t>
            </w:r>
            <w:proofErr w:type="spellEnd"/>
            <w:r w:rsidRPr="001B2468">
              <w:t xml:space="preserve"> World Heritage Area</w:t>
            </w:r>
          </w:p>
        </w:tc>
        <w:tc>
          <w:tcPr>
            <w:tcW w:w="511" w:type="pct"/>
            <w:shd w:val="clear" w:color="auto" w:fill="auto"/>
          </w:tcPr>
          <w:p w14:paraId="443D85D2" w14:textId="77777777" w:rsidR="00442170" w:rsidRPr="001B2468" w:rsidRDefault="00BE4306" w:rsidP="00575B54">
            <w:pPr>
              <w:pStyle w:val="TableText"/>
            </w:pPr>
            <w:r w:rsidRPr="001B2468">
              <w:t>Department of Biodiversity, Conservation and Attractions</w:t>
            </w:r>
          </w:p>
        </w:tc>
        <w:tc>
          <w:tcPr>
            <w:tcW w:w="2068" w:type="pct"/>
            <w:shd w:val="clear" w:color="auto" w:fill="auto"/>
          </w:tcPr>
          <w:p w14:paraId="0743AA2D" w14:textId="77777777" w:rsidR="001F4DC5" w:rsidRPr="001B2468" w:rsidRDefault="00BE4306" w:rsidP="00575B54">
            <w:pPr>
              <w:pStyle w:val="TableText"/>
            </w:pPr>
            <w:r w:rsidRPr="001B2468">
              <w:t xml:space="preserve">The project aims to improve the presentation and appreciation of the natural and cultural values of the </w:t>
            </w:r>
            <w:proofErr w:type="spellStart"/>
            <w:r w:rsidRPr="001B2468">
              <w:t>Purnululu</w:t>
            </w:r>
            <w:proofErr w:type="spellEnd"/>
            <w:r w:rsidRPr="001B2468">
              <w:t xml:space="preserve"> National Park by developing interpretation at the new Visitors Centre and throughout the </w:t>
            </w:r>
            <w:proofErr w:type="spellStart"/>
            <w:r w:rsidRPr="001B2468">
              <w:t>Purnululu</w:t>
            </w:r>
            <w:proofErr w:type="spellEnd"/>
            <w:r w:rsidRPr="001B2468">
              <w:t xml:space="preserve"> National Park using innovative technology, </w:t>
            </w:r>
            <w:r w:rsidRPr="001B2468">
              <w:t xml:space="preserve">signage, storytelling, and landscaping; developing Virtual Reality tours of key walking trails; and exhibiting the </w:t>
            </w:r>
            <w:proofErr w:type="spellStart"/>
            <w:r w:rsidRPr="001B2468">
              <w:t>Purnululu</w:t>
            </w:r>
            <w:proofErr w:type="spellEnd"/>
            <w:r w:rsidRPr="001B2468">
              <w:t xml:space="preserve"> National Park on the Google Arts and Culture Platform.</w:t>
            </w:r>
          </w:p>
          <w:p w14:paraId="49E42E81" w14:textId="77777777" w:rsidR="00442170" w:rsidRPr="001B2468" w:rsidRDefault="00BE4306" w:rsidP="00575B54">
            <w:pPr>
              <w:pStyle w:val="TableText"/>
            </w:pPr>
            <w:r w:rsidRPr="001B2468">
              <w:t>The project duration is 30 months.</w:t>
            </w:r>
          </w:p>
        </w:tc>
        <w:tc>
          <w:tcPr>
            <w:tcW w:w="499" w:type="pct"/>
            <w:shd w:val="clear" w:color="auto" w:fill="auto"/>
          </w:tcPr>
          <w:p w14:paraId="51D8E081" w14:textId="77777777" w:rsidR="00442170" w:rsidRPr="001B2468" w:rsidRDefault="00BE4306" w:rsidP="00575B54">
            <w:pPr>
              <w:pStyle w:val="TableText"/>
            </w:pPr>
            <w:proofErr w:type="spellStart"/>
            <w:r w:rsidRPr="001B2468">
              <w:t>Purnululu</w:t>
            </w:r>
            <w:proofErr w:type="spellEnd"/>
            <w:r w:rsidRPr="001B2468">
              <w:t xml:space="preserve"> National Park</w:t>
            </w:r>
          </w:p>
        </w:tc>
        <w:tc>
          <w:tcPr>
            <w:tcW w:w="292" w:type="pct"/>
            <w:shd w:val="clear" w:color="auto" w:fill="auto"/>
          </w:tcPr>
          <w:p w14:paraId="0829A64F" w14:textId="77777777" w:rsidR="00442170" w:rsidRPr="001B2468" w:rsidRDefault="00BE4306" w:rsidP="00575B54">
            <w:pPr>
              <w:pStyle w:val="TableText"/>
            </w:pPr>
            <w:r w:rsidRPr="001B2468">
              <w:t>WA</w:t>
            </w:r>
          </w:p>
        </w:tc>
        <w:tc>
          <w:tcPr>
            <w:tcW w:w="625" w:type="pct"/>
            <w:shd w:val="clear" w:color="auto" w:fill="auto"/>
          </w:tcPr>
          <w:p w14:paraId="40DDD853" w14:textId="77777777" w:rsidR="00442170" w:rsidRPr="001B2468" w:rsidRDefault="00BE4306" w:rsidP="00575B54">
            <w:pPr>
              <w:pStyle w:val="TableText"/>
              <w:jc w:val="right"/>
            </w:pPr>
            <w:r w:rsidRPr="001B2468">
              <w:t>243,928</w:t>
            </w:r>
          </w:p>
        </w:tc>
        <w:tc>
          <w:tcPr>
            <w:tcW w:w="411" w:type="pct"/>
            <w:shd w:val="clear" w:color="auto" w:fill="auto"/>
          </w:tcPr>
          <w:p w14:paraId="19C0C7C3" w14:textId="77777777" w:rsidR="00442170" w:rsidRPr="001B2468" w:rsidRDefault="00BE4306" w:rsidP="00575B54">
            <w:pPr>
              <w:pStyle w:val="TableText"/>
              <w:jc w:val="right"/>
            </w:pPr>
            <w:r w:rsidRPr="001B2468">
              <w:t>268,320</w:t>
            </w:r>
          </w:p>
        </w:tc>
      </w:tr>
      <w:tr w:rsidR="008E3DA8" w14:paraId="7018BB7D" w14:textId="77777777" w:rsidTr="00575B54">
        <w:tc>
          <w:tcPr>
            <w:tcW w:w="595" w:type="pct"/>
            <w:shd w:val="clear" w:color="auto" w:fill="auto"/>
          </w:tcPr>
          <w:p w14:paraId="3B153CE3" w14:textId="77777777" w:rsidR="00442170" w:rsidRPr="001B2468" w:rsidRDefault="00BE4306" w:rsidP="00575B54">
            <w:pPr>
              <w:pStyle w:val="TableText"/>
            </w:pPr>
            <w:r w:rsidRPr="001B2468">
              <w:t>Improving the Management and Resilience of Shark Bay (</w:t>
            </w:r>
            <w:proofErr w:type="spellStart"/>
            <w:r w:rsidRPr="001B2468">
              <w:t>Gathaagudu</w:t>
            </w:r>
            <w:proofErr w:type="spellEnd"/>
            <w:r w:rsidRPr="001B2468">
              <w:t>) WHA</w:t>
            </w:r>
          </w:p>
        </w:tc>
        <w:tc>
          <w:tcPr>
            <w:tcW w:w="511" w:type="pct"/>
            <w:shd w:val="clear" w:color="auto" w:fill="auto"/>
          </w:tcPr>
          <w:p w14:paraId="38CD952D" w14:textId="77777777" w:rsidR="00442170" w:rsidRPr="001B2468" w:rsidRDefault="00BE4306" w:rsidP="00575B54">
            <w:pPr>
              <w:pStyle w:val="TableText"/>
            </w:pPr>
            <w:r w:rsidRPr="001B2468">
              <w:t>Rangelands NRM</w:t>
            </w:r>
            <w:r w:rsidR="00DD18FE">
              <w:t xml:space="preserve"> </w:t>
            </w:r>
            <w:r w:rsidRPr="001B2468">
              <w:t>Coordinating Group (Inc)</w:t>
            </w:r>
          </w:p>
        </w:tc>
        <w:tc>
          <w:tcPr>
            <w:tcW w:w="2068" w:type="pct"/>
            <w:shd w:val="clear" w:color="auto" w:fill="auto"/>
          </w:tcPr>
          <w:p w14:paraId="41E0A87A" w14:textId="77777777" w:rsidR="001F4DC5" w:rsidRPr="001B2468" w:rsidRDefault="00BE4306" w:rsidP="00575B54">
            <w:pPr>
              <w:pStyle w:val="TableText"/>
            </w:pPr>
            <w:r w:rsidRPr="001B2468">
              <w:t>The project aims to support and train local Indigenous groups and partners to carry out on-ground environmental works, monitor the natura</w:t>
            </w:r>
            <w:r w:rsidRPr="001B2468">
              <w:t>l and cultural heritage values of Shark Bay (</w:t>
            </w:r>
            <w:proofErr w:type="spellStart"/>
            <w:r w:rsidRPr="001B2468">
              <w:t>Gathaagudu</w:t>
            </w:r>
            <w:proofErr w:type="spellEnd"/>
            <w:r w:rsidRPr="001B2468">
              <w:t xml:space="preserve">) World Heritage Area, and engage the wider community, both locally and globally, to increase awareness and support. The activities will involve community engagement; land management; and publication. </w:t>
            </w:r>
            <w:r w:rsidRPr="001B2468">
              <w:t xml:space="preserve">This is a joint application with Department of Biodiversity Conservation and Attractions, Bush Heritage Australia, and </w:t>
            </w:r>
            <w:proofErr w:type="spellStart"/>
            <w:r w:rsidRPr="001B2468">
              <w:t>Malgana</w:t>
            </w:r>
            <w:proofErr w:type="spellEnd"/>
            <w:r w:rsidRPr="001B2468">
              <w:t xml:space="preserve"> Aboriginal Corporation RNTBC.</w:t>
            </w:r>
          </w:p>
          <w:p w14:paraId="62AC34F2" w14:textId="77777777" w:rsidR="00442170" w:rsidRPr="001B2468" w:rsidRDefault="00BE4306" w:rsidP="00575B54">
            <w:pPr>
              <w:pStyle w:val="TableText"/>
            </w:pPr>
            <w:r w:rsidRPr="001B2468">
              <w:t>The project duration is 25 months.</w:t>
            </w:r>
          </w:p>
        </w:tc>
        <w:tc>
          <w:tcPr>
            <w:tcW w:w="499" w:type="pct"/>
            <w:shd w:val="clear" w:color="auto" w:fill="auto"/>
          </w:tcPr>
          <w:p w14:paraId="037825F3" w14:textId="77777777" w:rsidR="00442170" w:rsidRPr="001B2468" w:rsidRDefault="00BE4306" w:rsidP="00575B54">
            <w:pPr>
              <w:pStyle w:val="TableText"/>
            </w:pPr>
            <w:r w:rsidRPr="001B2468">
              <w:t>Shark Bay, Western Australia</w:t>
            </w:r>
          </w:p>
        </w:tc>
        <w:tc>
          <w:tcPr>
            <w:tcW w:w="292" w:type="pct"/>
            <w:shd w:val="clear" w:color="auto" w:fill="auto"/>
          </w:tcPr>
          <w:p w14:paraId="33547C52" w14:textId="77777777" w:rsidR="00442170" w:rsidRPr="001B2468" w:rsidRDefault="00BE4306" w:rsidP="00575B54">
            <w:pPr>
              <w:pStyle w:val="TableText"/>
            </w:pPr>
            <w:r w:rsidRPr="001B2468">
              <w:t>WA</w:t>
            </w:r>
          </w:p>
        </w:tc>
        <w:tc>
          <w:tcPr>
            <w:tcW w:w="625" w:type="pct"/>
            <w:shd w:val="clear" w:color="auto" w:fill="auto"/>
          </w:tcPr>
          <w:p w14:paraId="4B323399" w14:textId="77777777" w:rsidR="00442170" w:rsidRPr="001B2468" w:rsidRDefault="00BE4306" w:rsidP="00575B54">
            <w:pPr>
              <w:pStyle w:val="TableText"/>
              <w:jc w:val="right"/>
            </w:pPr>
            <w:r w:rsidRPr="001B2468">
              <w:t>395,720</w:t>
            </w:r>
          </w:p>
        </w:tc>
        <w:tc>
          <w:tcPr>
            <w:tcW w:w="411" w:type="pct"/>
            <w:shd w:val="clear" w:color="auto" w:fill="auto"/>
          </w:tcPr>
          <w:p w14:paraId="5FF25E4E" w14:textId="77777777" w:rsidR="00442170" w:rsidRPr="001B2468" w:rsidRDefault="00BE4306" w:rsidP="00575B54">
            <w:pPr>
              <w:pStyle w:val="TableText"/>
              <w:jc w:val="right"/>
            </w:pPr>
            <w:r w:rsidRPr="001B2468">
              <w:t>435,292</w:t>
            </w:r>
          </w:p>
        </w:tc>
      </w:tr>
      <w:tr w:rsidR="008E3DA8" w14:paraId="09B62AEC" w14:textId="77777777" w:rsidTr="00575B54">
        <w:tc>
          <w:tcPr>
            <w:tcW w:w="595" w:type="pct"/>
            <w:shd w:val="clear" w:color="auto" w:fill="auto"/>
          </w:tcPr>
          <w:p w14:paraId="7FDD8C7D" w14:textId="77777777" w:rsidR="00442170" w:rsidRPr="001B2468" w:rsidRDefault="00BE4306" w:rsidP="00575B54">
            <w:pPr>
              <w:pStyle w:val="TableText"/>
            </w:pPr>
            <w:r w:rsidRPr="001B2468">
              <w:lastRenderedPageBreak/>
              <w:t>Elizabeth Springs management review and cultural engagement</w:t>
            </w:r>
          </w:p>
        </w:tc>
        <w:tc>
          <w:tcPr>
            <w:tcW w:w="511" w:type="pct"/>
            <w:shd w:val="clear" w:color="auto" w:fill="auto"/>
          </w:tcPr>
          <w:p w14:paraId="71638EC5" w14:textId="77777777" w:rsidR="00442170" w:rsidRPr="001B2468" w:rsidRDefault="00BE4306" w:rsidP="00575B54">
            <w:pPr>
              <w:pStyle w:val="TableText"/>
            </w:pPr>
            <w:r w:rsidRPr="001B2468">
              <w:t>Department of Environment and Science</w:t>
            </w:r>
          </w:p>
        </w:tc>
        <w:tc>
          <w:tcPr>
            <w:tcW w:w="2068" w:type="pct"/>
            <w:shd w:val="clear" w:color="auto" w:fill="auto"/>
          </w:tcPr>
          <w:p w14:paraId="1369030C" w14:textId="77777777" w:rsidR="001F4DC5" w:rsidRPr="001B2468" w:rsidRDefault="00BE4306" w:rsidP="00575B54">
            <w:pPr>
              <w:pStyle w:val="TableText"/>
            </w:pPr>
            <w:r w:rsidRPr="001B2468">
              <w:t>The project review of past management actions by specialist to achieve collaborative agreement on future management actions will ensure the long-term conservation and preservation of the ecosystem, to guide management plans and re-establish a baseline of e</w:t>
            </w:r>
            <w:r w:rsidRPr="001B2468">
              <w:t>cosystem health and condition. The project will also identify the cultural values of Elizabeth Springs to ensure future planning and management actions are culturally appropriate.</w:t>
            </w:r>
          </w:p>
          <w:p w14:paraId="3EA690FE" w14:textId="77777777" w:rsidR="00442170" w:rsidRPr="001B2468" w:rsidRDefault="00BE4306" w:rsidP="00575B54">
            <w:pPr>
              <w:pStyle w:val="TableText"/>
            </w:pPr>
            <w:r w:rsidRPr="001B2468">
              <w:t>Key activities include:</w:t>
            </w:r>
          </w:p>
          <w:p w14:paraId="17152B81" w14:textId="77777777" w:rsidR="00442170" w:rsidRPr="00C5052D" w:rsidRDefault="00BE4306" w:rsidP="00575B54">
            <w:pPr>
              <w:pStyle w:val="TableBullet1"/>
            </w:pPr>
            <w:r w:rsidRPr="00C5052D">
              <w:t>establishing stakeholder engagement requirements</w:t>
            </w:r>
          </w:p>
          <w:p w14:paraId="2232B56D" w14:textId="77777777" w:rsidR="00442170" w:rsidRPr="00C5052D" w:rsidRDefault="00BE4306" w:rsidP="00575B54">
            <w:pPr>
              <w:pStyle w:val="TableBullet1"/>
            </w:pPr>
            <w:r w:rsidRPr="00C5052D">
              <w:t>bac</w:t>
            </w:r>
            <w:r w:rsidRPr="00C5052D">
              <w:t>kground information paper to collate history and current knowledge</w:t>
            </w:r>
          </w:p>
          <w:p w14:paraId="0E66EDF8" w14:textId="77777777" w:rsidR="00442170" w:rsidRPr="00C5052D" w:rsidRDefault="00BE4306" w:rsidP="00575B54">
            <w:pPr>
              <w:pStyle w:val="TableBullet1"/>
            </w:pPr>
            <w:r w:rsidRPr="00C5052D">
              <w:t>field trips to review condition of the mound springs against base line condition assessment</w:t>
            </w:r>
          </w:p>
          <w:p w14:paraId="1DC3EEA1" w14:textId="77777777" w:rsidR="00442170" w:rsidRPr="00C5052D" w:rsidRDefault="00BE4306" w:rsidP="00575B54">
            <w:pPr>
              <w:pStyle w:val="TableBullet1"/>
            </w:pPr>
            <w:r w:rsidRPr="00C5052D">
              <w:t>developing a draft proposed management plan</w:t>
            </w:r>
          </w:p>
          <w:p w14:paraId="00A65E6C" w14:textId="77777777" w:rsidR="00442170" w:rsidRPr="00C5052D" w:rsidRDefault="00BE4306" w:rsidP="00575B54">
            <w:pPr>
              <w:pStyle w:val="TableBullet1"/>
            </w:pPr>
            <w:r w:rsidRPr="00C5052D">
              <w:t>implementing actions including fencing and weed manag</w:t>
            </w:r>
            <w:r w:rsidRPr="00C5052D">
              <w:t>ement, and</w:t>
            </w:r>
          </w:p>
          <w:p w14:paraId="0981171A" w14:textId="77777777" w:rsidR="001F4DC5" w:rsidRPr="00C5052D" w:rsidRDefault="00BE4306" w:rsidP="00575B54">
            <w:pPr>
              <w:pStyle w:val="TableBullet1"/>
            </w:pPr>
            <w:r w:rsidRPr="00C5052D">
              <w:t>integrating the agreed and recommended management actions into a strategy and planning process.</w:t>
            </w:r>
          </w:p>
          <w:p w14:paraId="385FE6F6" w14:textId="77777777" w:rsidR="00442170" w:rsidRPr="001B2468" w:rsidRDefault="00BE4306" w:rsidP="00575B54">
            <w:pPr>
              <w:pStyle w:val="TableText"/>
            </w:pPr>
            <w:r w:rsidRPr="001B2468">
              <w:t>The project duration is 24 months.</w:t>
            </w:r>
          </w:p>
        </w:tc>
        <w:tc>
          <w:tcPr>
            <w:tcW w:w="499" w:type="pct"/>
            <w:shd w:val="clear" w:color="auto" w:fill="auto"/>
          </w:tcPr>
          <w:p w14:paraId="522C3848" w14:textId="77777777" w:rsidR="00442170" w:rsidRPr="001B2468" w:rsidRDefault="00BE4306" w:rsidP="00575B54">
            <w:pPr>
              <w:pStyle w:val="TableText"/>
            </w:pPr>
            <w:r w:rsidRPr="001B2468">
              <w:t>Elizabeth Springs</w:t>
            </w:r>
          </w:p>
        </w:tc>
        <w:tc>
          <w:tcPr>
            <w:tcW w:w="292" w:type="pct"/>
            <w:shd w:val="clear" w:color="auto" w:fill="auto"/>
          </w:tcPr>
          <w:p w14:paraId="0577FA47" w14:textId="77777777" w:rsidR="00442170" w:rsidRPr="001B2468" w:rsidRDefault="00BE4306" w:rsidP="00575B54">
            <w:pPr>
              <w:pStyle w:val="TableText"/>
            </w:pPr>
            <w:r w:rsidRPr="001B2468">
              <w:t>QLD</w:t>
            </w:r>
          </w:p>
        </w:tc>
        <w:tc>
          <w:tcPr>
            <w:tcW w:w="625" w:type="pct"/>
            <w:shd w:val="clear" w:color="auto" w:fill="auto"/>
          </w:tcPr>
          <w:p w14:paraId="66C91A48" w14:textId="77777777" w:rsidR="00442170" w:rsidRPr="001B2468" w:rsidRDefault="00BE4306" w:rsidP="00575B54">
            <w:pPr>
              <w:pStyle w:val="TableText"/>
              <w:jc w:val="right"/>
            </w:pPr>
            <w:r w:rsidRPr="001B2468">
              <w:t>60,000</w:t>
            </w:r>
          </w:p>
        </w:tc>
        <w:tc>
          <w:tcPr>
            <w:tcW w:w="411" w:type="pct"/>
            <w:shd w:val="clear" w:color="auto" w:fill="auto"/>
          </w:tcPr>
          <w:p w14:paraId="4C02279A" w14:textId="77777777" w:rsidR="00442170" w:rsidRPr="001B2468" w:rsidRDefault="00BE4306" w:rsidP="00575B54">
            <w:pPr>
              <w:pStyle w:val="TableText"/>
              <w:jc w:val="right"/>
            </w:pPr>
            <w:r w:rsidRPr="001B2468">
              <w:t>66,000</w:t>
            </w:r>
          </w:p>
        </w:tc>
      </w:tr>
      <w:tr w:rsidR="008E3DA8" w14:paraId="0349378D" w14:textId="77777777" w:rsidTr="00575B54">
        <w:tc>
          <w:tcPr>
            <w:tcW w:w="595" w:type="pct"/>
            <w:shd w:val="clear" w:color="auto" w:fill="auto"/>
          </w:tcPr>
          <w:p w14:paraId="2C994965" w14:textId="77777777" w:rsidR="00442170" w:rsidRPr="001B2468" w:rsidRDefault="00BE4306" w:rsidP="00575B54">
            <w:pPr>
              <w:pStyle w:val="TableText"/>
            </w:pPr>
            <w:proofErr w:type="spellStart"/>
            <w:r w:rsidRPr="001B2468">
              <w:t>Ngarrabullgan</w:t>
            </w:r>
            <w:proofErr w:type="spellEnd"/>
            <w:r w:rsidRPr="001B2468">
              <w:t xml:space="preserve"> – Cultural and Natural Responsibility to Care for </w:t>
            </w:r>
            <w:r w:rsidRPr="001B2468">
              <w:t>Country</w:t>
            </w:r>
          </w:p>
        </w:tc>
        <w:tc>
          <w:tcPr>
            <w:tcW w:w="511" w:type="pct"/>
            <w:shd w:val="clear" w:color="auto" w:fill="auto"/>
          </w:tcPr>
          <w:p w14:paraId="0FA1813C" w14:textId="77777777" w:rsidR="00442170" w:rsidRPr="001B2468" w:rsidRDefault="00BE4306" w:rsidP="00575B54">
            <w:pPr>
              <w:pStyle w:val="TableText"/>
            </w:pPr>
            <w:proofErr w:type="spellStart"/>
            <w:r w:rsidRPr="001B2468">
              <w:t>Nguddaboolgan</w:t>
            </w:r>
            <w:proofErr w:type="spellEnd"/>
            <w:r w:rsidRPr="001B2468">
              <w:t xml:space="preserve"> Native Title Aboriginal Corporation RNTBC</w:t>
            </w:r>
          </w:p>
        </w:tc>
        <w:tc>
          <w:tcPr>
            <w:tcW w:w="2068" w:type="pct"/>
            <w:shd w:val="clear" w:color="auto" w:fill="auto"/>
          </w:tcPr>
          <w:p w14:paraId="41E79098" w14:textId="77777777" w:rsidR="001F4DC5" w:rsidRPr="001B2468" w:rsidRDefault="00BE4306" w:rsidP="00575B54">
            <w:pPr>
              <w:pStyle w:val="TableText"/>
            </w:pPr>
            <w:r w:rsidRPr="001B2468">
              <w:t xml:space="preserve">The project aims to protect evidence of Aboriginal occupation of </w:t>
            </w:r>
            <w:proofErr w:type="spellStart"/>
            <w:r w:rsidRPr="001B2468">
              <w:t>Ngarrabullgan</w:t>
            </w:r>
            <w:proofErr w:type="spellEnd"/>
            <w:r w:rsidRPr="001B2468">
              <w:t xml:space="preserve"> from Pleistocene to Anthropocene, archaeological sites and cultural sites, examples of the rock art, and natural </w:t>
            </w:r>
            <w:r w:rsidRPr="001B2468">
              <w:t xml:space="preserve">and cultural features of the mountain that are valuable to the </w:t>
            </w:r>
            <w:proofErr w:type="spellStart"/>
            <w:r w:rsidRPr="001B2468">
              <w:t>Djungan</w:t>
            </w:r>
            <w:proofErr w:type="spellEnd"/>
            <w:r w:rsidRPr="001B2468">
              <w:t xml:space="preserve"> People and surrounding tribes. The project also aims to provide easy and safe access for Traditional Owners and Elders to express traditional cultural practices and reconnect with </w:t>
            </w:r>
            <w:proofErr w:type="spellStart"/>
            <w:r w:rsidRPr="001B2468">
              <w:t>Djung</w:t>
            </w:r>
            <w:r w:rsidRPr="001B2468">
              <w:t>an</w:t>
            </w:r>
            <w:proofErr w:type="spellEnd"/>
            <w:r w:rsidRPr="001B2468">
              <w:t xml:space="preserve"> People through cultural activities and promote wider awareness of cultural and natural values of the site and surrounds. The activities will update a new </w:t>
            </w:r>
            <w:proofErr w:type="spellStart"/>
            <w:r w:rsidRPr="001B2468">
              <w:t>Ngarrabullgan</w:t>
            </w:r>
            <w:proofErr w:type="spellEnd"/>
            <w:r w:rsidRPr="001B2468">
              <w:t xml:space="preserve"> Management Plan; construct firebreaks to improve fire safety of cultural heritage sit</w:t>
            </w:r>
            <w:r w:rsidRPr="001B2468">
              <w:t xml:space="preserve">es and endemic fauna and flora; install fences around </w:t>
            </w:r>
            <w:proofErr w:type="spellStart"/>
            <w:r w:rsidRPr="001B2468">
              <w:t>Ngarrabullgan</w:t>
            </w:r>
            <w:proofErr w:type="spellEnd"/>
            <w:r w:rsidRPr="001B2468">
              <w:t xml:space="preserve"> to protect cultural heritage sites and sensitive ecosystems from animals and trespassers; and improve awareness of </w:t>
            </w:r>
            <w:proofErr w:type="spellStart"/>
            <w:r w:rsidRPr="001B2468">
              <w:t>Ngarrabullgan</w:t>
            </w:r>
            <w:proofErr w:type="spellEnd"/>
            <w:r w:rsidRPr="001B2468">
              <w:t xml:space="preserve"> cultural and natural values through development of a market</w:t>
            </w:r>
            <w:r w:rsidRPr="001B2468">
              <w:t>ing campaign.</w:t>
            </w:r>
          </w:p>
          <w:p w14:paraId="6BA30117" w14:textId="77777777" w:rsidR="001F4DC5" w:rsidRPr="001B2468" w:rsidRDefault="00BE4306" w:rsidP="00575B54">
            <w:pPr>
              <w:pStyle w:val="TableText"/>
            </w:pPr>
            <w:r w:rsidRPr="001B2468">
              <w:lastRenderedPageBreak/>
              <w:t xml:space="preserve">This is a joint application with project partners, Indigenous Land and Sea </w:t>
            </w:r>
            <w:r w:rsidRPr="001B2468">
              <w:t xml:space="preserve">Corporation, North Queensland Land Council Native Title Representative Body Aboriginal Corporation, Commonwealth Scientific and Industrial Research Organisation, On Common Country Pty Ltd, Lawrence </w:t>
            </w:r>
            <w:proofErr w:type="spellStart"/>
            <w:r w:rsidRPr="001B2468">
              <w:t>Sproats</w:t>
            </w:r>
            <w:proofErr w:type="spellEnd"/>
            <w:r w:rsidRPr="001B2468">
              <w:t xml:space="preserve">, Steven </w:t>
            </w:r>
            <w:proofErr w:type="spellStart"/>
            <w:r w:rsidRPr="001B2468">
              <w:t>Cran</w:t>
            </w:r>
            <w:proofErr w:type="spellEnd"/>
            <w:r w:rsidRPr="001B2468">
              <w:t xml:space="preserve">, Bush Heritage Australia, David </w:t>
            </w:r>
            <w:proofErr w:type="gramStart"/>
            <w:r w:rsidRPr="001B2468">
              <w:t>Fell</w:t>
            </w:r>
            <w:proofErr w:type="gramEnd"/>
            <w:r w:rsidRPr="001B2468">
              <w:t xml:space="preserve"> </w:t>
            </w:r>
            <w:r w:rsidRPr="001B2468">
              <w:t xml:space="preserve">Environmental Pty Ltd and </w:t>
            </w:r>
            <w:proofErr w:type="spellStart"/>
            <w:r w:rsidRPr="001B2468">
              <w:t>Gambir</w:t>
            </w:r>
            <w:proofErr w:type="spellEnd"/>
            <w:r w:rsidRPr="001B2468">
              <w:t xml:space="preserve"> </w:t>
            </w:r>
            <w:proofErr w:type="spellStart"/>
            <w:r w:rsidRPr="001B2468">
              <w:t>Yidinji</w:t>
            </w:r>
            <w:proofErr w:type="spellEnd"/>
            <w:r w:rsidRPr="001B2468">
              <w:t xml:space="preserve"> Cultural Heritage and Protection Aboriginal Corporation.</w:t>
            </w:r>
          </w:p>
          <w:p w14:paraId="676DC271" w14:textId="77777777" w:rsidR="00442170" w:rsidRPr="001B2468" w:rsidRDefault="00BE4306" w:rsidP="00575B54">
            <w:pPr>
              <w:pStyle w:val="TableText"/>
            </w:pPr>
            <w:r w:rsidRPr="001B2468">
              <w:t>The project duration is 17 months.</w:t>
            </w:r>
          </w:p>
        </w:tc>
        <w:tc>
          <w:tcPr>
            <w:tcW w:w="499" w:type="pct"/>
            <w:shd w:val="clear" w:color="auto" w:fill="auto"/>
          </w:tcPr>
          <w:p w14:paraId="78C96940" w14:textId="77777777" w:rsidR="00442170" w:rsidRPr="001B2468" w:rsidRDefault="00BE4306" w:rsidP="00575B54">
            <w:pPr>
              <w:pStyle w:val="TableText"/>
            </w:pPr>
            <w:proofErr w:type="spellStart"/>
            <w:r w:rsidRPr="001B2468">
              <w:lastRenderedPageBreak/>
              <w:t>Ngarrabullgan</w:t>
            </w:r>
            <w:proofErr w:type="spellEnd"/>
          </w:p>
        </w:tc>
        <w:tc>
          <w:tcPr>
            <w:tcW w:w="292" w:type="pct"/>
            <w:shd w:val="clear" w:color="auto" w:fill="auto"/>
          </w:tcPr>
          <w:p w14:paraId="61D7B449" w14:textId="77777777" w:rsidR="00442170" w:rsidRPr="001B2468" w:rsidRDefault="00BE4306" w:rsidP="00575B54">
            <w:pPr>
              <w:pStyle w:val="TableText"/>
            </w:pPr>
            <w:r w:rsidRPr="001B2468">
              <w:t>QLD</w:t>
            </w:r>
          </w:p>
        </w:tc>
        <w:tc>
          <w:tcPr>
            <w:tcW w:w="625" w:type="pct"/>
            <w:shd w:val="clear" w:color="auto" w:fill="auto"/>
          </w:tcPr>
          <w:p w14:paraId="2B2C2E0F" w14:textId="77777777" w:rsidR="00442170" w:rsidRPr="001B2468" w:rsidRDefault="00BE4306" w:rsidP="00575B54">
            <w:pPr>
              <w:pStyle w:val="TableText"/>
              <w:jc w:val="right"/>
            </w:pPr>
            <w:r w:rsidRPr="001B2468">
              <w:t>367,353</w:t>
            </w:r>
          </w:p>
        </w:tc>
        <w:tc>
          <w:tcPr>
            <w:tcW w:w="411" w:type="pct"/>
            <w:shd w:val="clear" w:color="auto" w:fill="auto"/>
          </w:tcPr>
          <w:p w14:paraId="58EFD19C" w14:textId="77777777" w:rsidR="00442170" w:rsidRPr="001B2468" w:rsidRDefault="00BE4306" w:rsidP="00575B54">
            <w:pPr>
              <w:pStyle w:val="TableText"/>
              <w:jc w:val="right"/>
            </w:pPr>
            <w:r w:rsidRPr="001B2468">
              <w:t>404,088</w:t>
            </w:r>
          </w:p>
        </w:tc>
      </w:tr>
      <w:tr w:rsidR="008E3DA8" w14:paraId="4F3F3D18" w14:textId="77777777" w:rsidTr="00575B54">
        <w:tc>
          <w:tcPr>
            <w:tcW w:w="595" w:type="pct"/>
            <w:shd w:val="clear" w:color="auto" w:fill="auto"/>
          </w:tcPr>
          <w:p w14:paraId="2AE4C296" w14:textId="77777777" w:rsidR="00442170" w:rsidRPr="001B2468" w:rsidRDefault="00BE4306" w:rsidP="00575B54">
            <w:pPr>
              <w:pStyle w:val="TableText"/>
            </w:pPr>
            <w:r w:rsidRPr="001B2468">
              <w:t>The Wet Tropics Cultural Landscape Hub</w:t>
            </w:r>
          </w:p>
        </w:tc>
        <w:tc>
          <w:tcPr>
            <w:tcW w:w="511" w:type="pct"/>
            <w:shd w:val="clear" w:color="auto" w:fill="auto"/>
          </w:tcPr>
          <w:p w14:paraId="2509CE56" w14:textId="77777777" w:rsidR="00442170" w:rsidRPr="001B2468" w:rsidRDefault="00BE4306" w:rsidP="00575B54">
            <w:pPr>
              <w:pStyle w:val="TableText"/>
            </w:pPr>
            <w:r w:rsidRPr="001B2468">
              <w:t>Wet Tropics Management Authority</w:t>
            </w:r>
          </w:p>
        </w:tc>
        <w:tc>
          <w:tcPr>
            <w:tcW w:w="2068" w:type="pct"/>
            <w:shd w:val="clear" w:color="auto" w:fill="auto"/>
          </w:tcPr>
          <w:p w14:paraId="043D7B8F" w14:textId="77777777" w:rsidR="001F4DC5" w:rsidRPr="001B2468" w:rsidRDefault="00BE4306" w:rsidP="00575B54">
            <w:pPr>
              <w:pStyle w:val="TableText"/>
            </w:pPr>
            <w:r w:rsidRPr="001B2468">
              <w:t xml:space="preserve">The </w:t>
            </w:r>
            <w:r w:rsidRPr="001B2468">
              <w:t>project involves the development of the Wet Tropics Cultural Landscape Hub, a program that aims to educate and enhance awareness and recognition of the cultural landscape and Indigenous heritage values of the Wet Tropics World Heritage Area. The program wi</w:t>
            </w:r>
            <w:r w:rsidRPr="001B2468">
              <w:t>ll: promote best practice principles for engagement and access to Country, increase the understanding of the custodial responsibilities held by Rainforest Aboriginal Peoples, and improve roles and aspirations in ongoing management and presentation of the A</w:t>
            </w:r>
            <w:r w:rsidRPr="001B2468">
              <w:t xml:space="preserve">rea. The program will be presented from a Rainforest Aboriginal perspective through stakeholder engagement and innovative delivery. This is a joint application Tourism and Events Queensland, </w:t>
            </w:r>
            <w:proofErr w:type="spellStart"/>
            <w:r w:rsidRPr="001B2468">
              <w:t>Dawul</w:t>
            </w:r>
            <w:proofErr w:type="spellEnd"/>
            <w:r w:rsidRPr="001B2468">
              <w:t xml:space="preserve"> </w:t>
            </w:r>
            <w:proofErr w:type="spellStart"/>
            <w:r w:rsidRPr="001B2468">
              <w:t>Wuru</w:t>
            </w:r>
            <w:proofErr w:type="spellEnd"/>
            <w:r w:rsidRPr="001B2468">
              <w:t xml:space="preserve"> Aboriginal Corporation and </w:t>
            </w:r>
            <w:proofErr w:type="spellStart"/>
            <w:r w:rsidRPr="001B2468">
              <w:t>Djabugay</w:t>
            </w:r>
            <w:proofErr w:type="spellEnd"/>
            <w:r w:rsidRPr="001B2468">
              <w:t xml:space="preserve"> Native Title Abori</w:t>
            </w:r>
            <w:r w:rsidRPr="001B2468">
              <w:t>ginal Corporation RNTBC.</w:t>
            </w:r>
          </w:p>
          <w:p w14:paraId="45B9C6E9" w14:textId="77777777" w:rsidR="00442170" w:rsidRPr="001B2468" w:rsidRDefault="00BE4306" w:rsidP="00575B54">
            <w:pPr>
              <w:pStyle w:val="TableText"/>
            </w:pPr>
            <w:r w:rsidRPr="001B2468">
              <w:t>The project duration is 24 months.</w:t>
            </w:r>
          </w:p>
        </w:tc>
        <w:tc>
          <w:tcPr>
            <w:tcW w:w="499" w:type="pct"/>
            <w:shd w:val="clear" w:color="auto" w:fill="auto"/>
          </w:tcPr>
          <w:p w14:paraId="0310A7B3" w14:textId="77777777" w:rsidR="00442170" w:rsidRPr="001B2468" w:rsidRDefault="00BE4306" w:rsidP="00575B54">
            <w:pPr>
              <w:pStyle w:val="TableText"/>
            </w:pPr>
            <w:r w:rsidRPr="001B2468">
              <w:t>Wet Tropics of Queensland</w:t>
            </w:r>
          </w:p>
        </w:tc>
        <w:tc>
          <w:tcPr>
            <w:tcW w:w="292" w:type="pct"/>
            <w:shd w:val="clear" w:color="auto" w:fill="auto"/>
          </w:tcPr>
          <w:p w14:paraId="30FE2358" w14:textId="77777777" w:rsidR="00442170" w:rsidRPr="001B2468" w:rsidRDefault="00BE4306" w:rsidP="00575B54">
            <w:pPr>
              <w:pStyle w:val="TableText"/>
            </w:pPr>
            <w:r w:rsidRPr="001B2468">
              <w:t>QLD</w:t>
            </w:r>
          </w:p>
        </w:tc>
        <w:tc>
          <w:tcPr>
            <w:tcW w:w="625" w:type="pct"/>
            <w:shd w:val="clear" w:color="auto" w:fill="auto"/>
          </w:tcPr>
          <w:p w14:paraId="209EABFB" w14:textId="77777777" w:rsidR="00442170" w:rsidRPr="001B2468" w:rsidRDefault="00BE4306" w:rsidP="00575B54">
            <w:pPr>
              <w:pStyle w:val="TableText"/>
              <w:jc w:val="right"/>
            </w:pPr>
            <w:r w:rsidRPr="001B2468">
              <w:t>395,000</w:t>
            </w:r>
          </w:p>
        </w:tc>
        <w:tc>
          <w:tcPr>
            <w:tcW w:w="411" w:type="pct"/>
            <w:shd w:val="clear" w:color="auto" w:fill="auto"/>
          </w:tcPr>
          <w:p w14:paraId="023891D5" w14:textId="77777777" w:rsidR="00442170" w:rsidRPr="001B2468" w:rsidRDefault="00BE4306" w:rsidP="00575B54">
            <w:pPr>
              <w:pStyle w:val="TableText"/>
              <w:jc w:val="right"/>
            </w:pPr>
            <w:r w:rsidRPr="001B2468">
              <w:t>434,500</w:t>
            </w:r>
          </w:p>
        </w:tc>
      </w:tr>
      <w:tr w:rsidR="008E3DA8" w14:paraId="4A672C2A" w14:textId="77777777" w:rsidTr="00575B54">
        <w:tc>
          <w:tcPr>
            <w:tcW w:w="595" w:type="pct"/>
            <w:shd w:val="clear" w:color="auto" w:fill="auto"/>
          </w:tcPr>
          <w:p w14:paraId="48179BB6" w14:textId="77777777" w:rsidR="00442170" w:rsidRPr="001B2468" w:rsidRDefault="00BE4306" w:rsidP="00575B54">
            <w:pPr>
              <w:pStyle w:val="TableText"/>
            </w:pPr>
            <w:r w:rsidRPr="001B2468">
              <w:t>Central Castlemaine Diggings Conservation, Interpretation &amp; Access</w:t>
            </w:r>
          </w:p>
        </w:tc>
        <w:tc>
          <w:tcPr>
            <w:tcW w:w="511" w:type="pct"/>
            <w:shd w:val="clear" w:color="auto" w:fill="auto"/>
          </w:tcPr>
          <w:p w14:paraId="4CBD655D" w14:textId="77777777" w:rsidR="00442170" w:rsidRPr="001B2468" w:rsidRDefault="00BE4306" w:rsidP="00575B54">
            <w:pPr>
              <w:pStyle w:val="TableText"/>
            </w:pPr>
            <w:r w:rsidRPr="001B2468">
              <w:t>Parks Victoria</w:t>
            </w:r>
          </w:p>
        </w:tc>
        <w:tc>
          <w:tcPr>
            <w:tcW w:w="2068" w:type="pct"/>
            <w:shd w:val="clear" w:color="auto" w:fill="auto"/>
          </w:tcPr>
          <w:p w14:paraId="18E68F3B" w14:textId="77777777" w:rsidR="001F4DC5" w:rsidRPr="001B2468" w:rsidRDefault="00BE4306" w:rsidP="00575B54">
            <w:pPr>
              <w:pStyle w:val="TableText"/>
            </w:pPr>
            <w:r w:rsidRPr="001B2468">
              <w:t xml:space="preserve">This project will implement actions in the Heritage Landscape Management Framework for the Castlemaine Diggings National Heritage Park, focusing on the Central Constellation which comprises six gold mining landscapes. The project will conserve and protect </w:t>
            </w:r>
            <w:r w:rsidRPr="001B2468">
              <w:t xml:space="preserve">the heritage values of the site, improve visitor </w:t>
            </w:r>
            <w:proofErr w:type="gramStart"/>
            <w:r w:rsidRPr="001B2468">
              <w:t>access</w:t>
            </w:r>
            <w:proofErr w:type="gramEnd"/>
            <w:r w:rsidRPr="001B2468">
              <w:t xml:space="preserve"> and increase engagement and awareness of the Castlemaine Goldfield through onsite and digital interpretation and information. This is a joint application with project partner the </w:t>
            </w:r>
            <w:proofErr w:type="spellStart"/>
            <w:r w:rsidRPr="001B2468">
              <w:t>Dja</w:t>
            </w:r>
            <w:proofErr w:type="spellEnd"/>
            <w:r w:rsidRPr="001B2468">
              <w:t xml:space="preserve"> </w:t>
            </w:r>
            <w:proofErr w:type="spellStart"/>
            <w:r w:rsidRPr="001B2468">
              <w:t>Dja</w:t>
            </w:r>
            <w:proofErr w:type="spellEnd"/>
            <w:r w:rsidRPr="001B2468">
              <w:t xml:space="preserve"> Wurrung Clans</w:t>
            </w:r>
            <w:r w:rsidRPr="001B2468">
              <w:t xml:space="preserve"> Aboriginal Corporation, representing the Traditional Owners of the site, the </w:t>
            </w:r>
            <w:proofErr w:type="spellStart"/>
            <w:r w:rsidRPr="001B2468">
              <w:t>Dja</w:t>
            </w:r>
            <w:proofErr w:type="spellEnd"/>
            <w:r w:rsidRPr="001B2468">
              <w:t xml:space="preserve"> </w:t>
            </w:r>
            <w:proofErr w:type="spellStart"/>
            <w:r w:rsidRPr="001B2468">
              <w:t>Dja</w:t>
            </w:r>
            <w:proofErr w:type="spellEnd"/>
            <w:r w:rsidRPr="001B2468">
              <w:t xml:space="preserve"> Wurrung.</w:t>
            </w:r>
          </w:p>
          <w:p w14:paraId="60119A3B" w14:textId="77777777" w:rsidR="00442170" w:rsidRPr="001B2468" w:rsidRDefault="00BE4306" w:rsidP="00575B54">
            <w:pPr>
              <w:pStyle w:val="TableText"/>
            </w:pPr>
            <w:r w:rsidRPr="001B2468">
              <w:t>The project duration is 20 months.</w:t>
            </w:r>
          </w:p>
        </w:tc>
        <w:tc>
          <w:tcPr>
            <w:tcW w:w="499" w:type="pct"/>
            <w:shd w:val="clear" w:color="auto" w:fill="auto"/>
          </w:tcPr>
          <w:p w14:paraId="1E56B46F" w14:textId="77777777" w:rsidR="00442170" w:rsidRPr="001B2468" w:rsidRDefault="00BE4306" w:rsidP="00575B54">
            <w:pPr>
              <w:pStyle w:val="TableText"/>
            </w:pPr>
            <w:r w:rsidRPr="001B2468">
              <w:t>Castlemaine Diggings National Heritage Park</w:t>
            </w:r>
          </w:p>
        </w:tc>
        <w:tc>
          <w:tcPr>
            <w:tcW w:w="292" w:type="pct"/>
            <w:shd w:val="clear" w:color="auto" w:fill="auto"/>
          </w:tcPr>
          <w:p w14:paraId="7F54C87B" w14:textId="77777777" w:rsidR="007C1D6C" w:rsidRPr="007C1D6C" w:rsidRDefault="00BE4306" w:rsidP="00575B54">
            <w:pPr>
              <w:pStyle w:val="TableText"/>
            </w:pPr>
            <w:r w:rsidRPr="001B2468">
              <w:t>V</w:t>
            </w:r>
            <w:r>
              <w:t>ic.</w:t>
            </w:r>
          </w:p>
        </w:tc>
        <w:tc>
          <w:tcPr>
            <w:tcW w:w="625" w:type="pct"/>
            <w:shd w:val="clear" w:color="auto" w:fill="auto"/>
          </w:tcPr>
          <w:p w14:paraId="729C25CB" w14:textId="77777777" w:rsidR="00442170" w:rsidRPr="001B2468" w:rsidRDefault="00BE4306" w:rsidP="00575B54">
            <w:pPr>
              <w:pStyle w:val="TableText"/>
              <w:jc w:val="right"/>
            </w:pPr>
            <w:r w:rsidRPr="001B2468">
              <w:t>400,000</w:t>
            </w:r>
          </w:p>
        </w:tc>
        <w:tc>
          <w:tcPr>
            <w:tcW w:w="411" w:type="pct"/>
            <w:shd w:val="clear" w:color="auto" w:fill="auto"/>
          </w:tcPr>
          <w:p w14:paraId="6B62DA8C" w14:textId="77777777" w:rsidR="00442170" w:rsidRPr="001B2468" w:rsidRDefault="00BE4306" w:rsidP="00575B54">
            <w:pPr>
              <w:pStyle w:val="TableText"/>
              <w:jc w:val="right"/>
            </w:pPr>
            <w:r w:rsidRPr="001B2468">
              <w:t>440,000</w:t>
            </w:r>
          </w:p>
        </w:tc>
      </w:tr>
      <w:tr w:rsidR="008E3DA8" w14:paraId="712C85C2" w14:textId="77777777" w:rsidTr="00575B54">
        <w:tc>
          <w:tcPr>
            <w:tcW w:w="595" w:type="pct"/>
            <w:shd w:val="clear" w:color="auto" w:fill="auto"/>
          </w:tcPr>
          <w:p w14:paraId="7316121C" w14:textId="77777777" w:rsidR="00442170" w:rsidRPr="001B2468" w:rsidRDefault="00BE4306" w:rsidP="00575B54">
            <w:pPr>
              <w:pStyle w:val="TableText"/>
            </w:pPr>
            <w:r w:rsidRPr="001B2468">
              <w:t xml:space="preserve">Review of the </w:t>
            </w:r>
            <w:proofErr w:type="spellStart"/>
            <w:r w:rsidRPr="001B2468">
              <w:t>Walalako</w:t>
            </w:r>
            <w:proofErr w:type="spellEnd"/>
            <w:r w:rsidRPr="001B2468">
              <w:t xml:space="preserve"> Healthy Country Plan</w:t>
            </w:r>
          </w:p>
        </w:tc>
        <w:tc>
          <w:tcPr>
            <w:tcW w:w="511" w:type="pct"/>
            <w:shd w:val="clear" w:color="auto" w:fill="auto"/>
          </w:tcPr>
          <w:p w14:paraId="30C1A79F" w14:textId="77777777" w:rsidR="00442170" w:rsidRPr="001B2468" w:rsidRDefault="00BE4306" w:rsidP="00575B54">
            <w:pPr>
              <w:pStyle w:val="TableText"/>
            </w:pPr>
            <w:proofErr w:type="spellStart"/>
            <w:r w:rsidRPr="001B2468">
              <w:t>Walalakoo</w:t>
            </w:r>
            <w:proofErr w:type="spellEnd"/>
            <w:r w:rsidRPr="001B2468">
              <w:t xml:space="preserve"> Aboriginal Corporation</w:t>
            </w:r>
          </w:p>
        </w:tc>
        <w:tc>
          <w:tcPr>
            <w:tcW w:w="2068" w:type="pct"/>
            <w:shd w:val="clear" w:color="auto" w:fill="auto"/>
          </w:tcPr>
          <w:p w14:paraId="10484486" w14:textId="77777777" w:rsidR="001F4DC5" w:rsidRPr="001B2468" w:rsidRDefault="00BE4306" w:rsidP="00575B54">
            <w:pPr>
              <w:pStyle w:val="TableText"/>
            </w:pPr>
            <w:r w:rsidRPr="001B2468">
              <w:t xml:space="preserve">The project aims to revise the </w:t>
            </w:r>
            <w:proofErr w:type="spellStart"/>
            <w:r w:rsidRPr="001B2468">
              <w:t>Walalakoo</w:t>
            </w:r>
            <w:proofErr w:type="spellEnd"/>
            <w:r w:rsidRPr="001B2468">
              <w:t xml:space="preserve"> Healthy Country Plan so that it reflects the current understanding regarding the viability of values and severity of threats. The activities will involve a series of in-person </w:t>
            </w:r>
            <w:r w:rsidRPr="001B2468">
              <w:lastRenderedPageBreak/>
              <w:t>worksh</w:t>
            </w:r>
            <w:r w:rsidRPr="001B2468">
              <w:t xml:space="preserve">ops and consultations with the </w:t>
            </w:r>
            <w:proofErr w:type="spellStart"/>
            <w:r w:rsidRPr="001B2468">
              <w:t>Nyikina</w:t>
            </w:r>
            <w:proofErr w:type="spellEnd"/>
            <w:r w:rsidRPr="001B2468">
              <w:t xml:space="preserve"> Mangala Rangers, </w:t>
            </w:r>
            <w:proofErr w:type="spellStart"/>
            <w:r w:rsidRPr="001B2468">
              <w:t>Walalakoo</w:t>
            </w:r>
            <w:proofErr w:type="spellEnd"/>
            <w:r w:rsidRPr="001B2468">
              <w:t xml:space="preserve"> Aboriginal Corporation staff, the wider </w:t>
            </w:r>
            <w:proofErr w:type="spellStart"/>
            <w:r w:rsidRPr="001B2468">
              <w:t>Nyikina</w:t>
            </w:r>
            <w:proofErr w:type="spellEnd"/>
            <w:r w:rsidRPr="001B2468">
              <w:t xml:space="preserve"> Mangala Traditional Owner community and trusted scientists to examine whether the current strategies are conserving the national heritage valu</w:t>
            </w:r>
            <w:r w:rsidRPr="001B2468">
              <w:t xml:space="preserve">es of the listed place. Outcomes of the workshops will be reflected in the updated </w:t>
            </w:r>
            <w:proofErr w:type="spellStart"/>
            <w:r w:rsidRPr="001B2468">
              <w:t>Walalakoo</w:t>
            </w:r>
            <w:proofErr w:type="spellEnd"/>
            <w:r w:rsidRPr="001B2468">
              <w:t xml:space="preserve"> Healthy Country Plan. This is a joint application with project partner, </w:t>
            </w:r>
            <w:proofErr w:type="gramStart"/>
            <w:r w:rsidRPr="001B2468">
              <w:t>World Wide</w:t>
            </w:r>
            <w:proofErr w:type="gramEnd"/>
            <w:r w:rsidRPr="001B2468">
              <w:t xml:space="preserve"> Fund for Nature Australia.</w:t>
            </w:r>
          </w:p>
          <w:p w14:paraId="3F798047" w14:textId="77777777" w:rsidR="00442170" w:rsidRPr="001B2468" w:rsidRDefault="00BE4306" w:rsidP="00575B54">
            <w:pPr>
              <w:pStyle w:val="TableText"/>
            </w:pPr>
            <w:r w:rsidRPr="001B2468">
              <w:t>The project duration is 21 months.</w:t>
            </w:r>
          </w:p>
        </w:tc>
        <w:tc>
          <w:tcPr>
            <w:tcW w:w="499" w:type="pct"/>
            <w:shd w:val="clear" w:color="auto" w:fill="auto"/>
          </w:tcPr>
          <w:p w14:paraId="333AF517" w14:textId="77777777" w:rsidR="00442170" w:rsidRPr="001B2468" w:rsidRDefault="00BE4306" w:rsidP="00575B54">
            <w:pPr>
              <w:pStyle w:val="TableText"/>
            </w:pPr>
            <w:r w:rsidRPr="001B2468">
              <w:lastRenderedPageBreak/>
              <w:t xml:space="preserve">The West </w:t>
            </w:r>
            <w:r w:rsidRPr="001B2468">
              <w:t>Kimberley</w:t>
            </w:r>
          </w:p>
        </w:tc>
        <w:tc>
          <w:tcPr>
            <w:tcW w:w="292" w:type="pct"/>
            <w:shd w:val="clear" w:color="auto" w:fill="auto"/>
          </w:tcPr>
          <w:p w14:paraId="77D95043" w14:textId="77777777" w:rsidR="00442170" w:rsidRPr="001B2468" w:rsidRDefault="00BE4306" w:rsidP="00575B54">
            <w:pPr>
              <w:pStyle w:val="TableText"/>
            </w:pPr>
            <w:r w:rsidRPr="001B2468">
              <w:t>WA</w:t>
            </w:r>
          </w:p>
        </w:tc>
        <w:tc>
          <w:tcPr>
            <w:tcW w:w="625" w:type="pct"/>
            <w:shd w:val="clear" w:color="auto" w:fill="auto"/>
          </w:tcPr>
          <w:p w14:paraId="66E92388" w14:textId="77777777" w:rsidR="00442170" w:rsidRPr="001B2468" w:rsidRDefault="00BE4306" w:rsidP="00575B54">
            <w:pPr>
              <w:pStyle w:val="TableText"/>
              <w:jc w:val="right"/>
            </w:pPr>
            <w:r w:rsidRPr="001B2468">
              <w:t>168,575</w:t>
            </w:r>
          </w:p>
        </w:tc>
        <w:tc>
          <w:tcPr>
            <w:tcW w:w="411" w:type="pct"/>
            <w:shd w:val="clear" w:color="auto" w:fill="auto"/>
          </w:tcPr>
          <w:p w14:paraId="190508BA" w14:textId="77777777" w:rsidR="00442170" w:rsidRPr="001B2468" w:rsidRDefault="00BE4306" w:rsidP="00575B54">
            <w:pPr>
              <w:pStyle w:val="TableText"/>
              <w:jc w:val="right"/>
            </w:pPr>
            <w:r w:rsidRPr="001B2468">
              <w:t>185,432</w:t>
            </w:r>
          </w:p>
        </w:tc>
      </w:tr>
      <w:tr w:rsidR="008E3DA8" w14:paraId="5986D855" w14:textId="77777777" w:rsidTr="00575B54">
        <w:tc>
          <w:tcPr>
            <w:tcW w:w="595" w:type="pct"/>
            <w:shd w:val="clear" w:color="auto" w:fill="auto"/>
          </w:tcPr>
          <w:p w14:paraId="54145A89" w14:textId="77777777" w:rsidR="00442170" w:rsidRPr="001B2468" w:rsidRDefault="00BE4306" w:rsidP="00575B54">
            <w:pPr>
              <w:pStyle w:val="TableText"/>
            </w:pPr>
            <w:r w:rsidRPr="001B2468">
              <w:t>Protecting Tasmania’s world heritage values from fallow deer</w:t>
            </w:r>
          </w:p>
        </w:tc>
        <w:tc>
          <w:tcPr>
            <w:tcW w:w="511" w:type="pct"/>
            <w:shd w:val="clear" w:color="auto" w:fill="auto"/>
          </w:tcPr>
          <w:p w14:paraId="2BE22BBD" w14:textId="77777777" w:rsidR="00442170" w:rsidRPr="001B2468" w:rsidRDefault="00BE4306" w:rsidP="00575B54">
            <w:pPr>
              <w:pStyle w:val="TableText"/>
            </w:pPr>
            <w:r w:rsidRPr="001B2468">
              <w:t>Department of Primary Industries Parks Water and Environment</w:t>
            </w:r>
          </w:p>
        </w:tc>
        <w:tc>
          <w:tcPr>
            <w:tcW w:w="2068" w:type="pct"/>
            <w:shd w:val="clear" w:color="auto" w:fill="auto"/>
          </w:tcPr>
          <w:p w14:paraId="1EB4AFB4" w14:textId="77777777" w:rsidR="001F4DC5" w:rsidRPr="001B2468" w:rsidRDefault="00BE4306" w:rsidP="00575B54">
            <w:pPr>
              <w:pStyle w:val="TableText"/>
            </w:pPr>
            <w:r w:rsidRPr="001B2468">
              <w:t>This project will survey and eradicate deer within the Walls of Jerusalem National Park by aerial shooting with thermal assisted imagery. Fallow deer are increasing in number and distribution in Tasmania and are spreading into the Tasmanian Wilderness Worl</w:t>
            </w:r>
            <w:r w:rsidRPr="001B2468">
              <w:t xml:space="preserve">d Heritage Area where they impact natural and cultural values by browsing, </w:t>
            </w:r>
            <w:proofErr w:type="gramStart"/>
            <w:r w:rsidRPr="001B2468">
              <w:t>grazing</w:t>
            </w:r>
            <w:proofErr w:type="gramEnd"/>
            <w:r w:rsidRPr="001B2468">
              <w:t xml:space="preserve"> and trampling. Climate change is predicted to facilitate the further expansion of the deer population into the Tasmanian Wilderness. The project also aims to create a risk m</w:t>
            </w:r>
            <w:r w:rsidRPr="001B2468">
              <w:t>odel of targeted areas to monitor for incursion into the future, beyond the funding. This is a joint project with the Department of Regional NSW.</w:t>
            </w:r>
          </w:p>
          <w:p w14:paraId="14C54F28" w14:textId="77777777" w:rsidR="00442170" w:rsidRPr="001B2468" w:rsidRDefault="00BE4306" w:rsidP="00575B54">
            <w:pPr>
              <w:pStyle w:val="TableText"/>
            </w:pPr>
            <w:r w:rsidRPr="001B2468">
              <w:t>The project duration is 36 months.</w:t>
            </w:r>
          </w:p>
        </w:tc>
        <w:tc>
          <w:tcPr>
            <w:tcW w:w="499" w:type="pct"/>
            <w:shd w:val="clear" w:color="auto" w:fill="auto"/>
          </w:tcPr>
          <w:p w14:paraId="707A5EEF" w14:textId="77777777" w:rsidR="00442170" w:rsidRPr="001B2468" w:rsidRDefault="00BE4306" w:rsidP="00575B54">
            <w:pPr>
              <w:pStyle w:val="TableText"/>
            </w:pPr>
            <w:r w:rsidRPr="001B2468">
              <w:t>Tasmanian Wilderness</w:t>
            </w:r>
          </w:p>
        </w:tc>
        <w:tc>
          <w:tcPr>
            <w:tcW w:w="292" w:type="pct"/>
            <w:shd w:val="clear" w:color="auto" w:fill="auto"/>
          </w:tcPr>
          <w:p w14:paraId="2198F9E0" w14:textId="77777777" w:rsidR="007C1D6C" w:rsidRPr="007C1D6C" w:rsidRDefault="00BE4306" w:rsidP="00575B54">
            <w:pPr>
              <w:pStyle w:val="TableText"/>
            </w:pPr>
            <w:r w:rsidRPr="001B2468">
              <w:t>T</w:t>
            </w:r>
            <w:r w:rsidR="00A3475E">
              <w:t>as</w:t>
            </w:r>
            <w:r>
              <w:t>.</w:t>
            </w:r>
          </w:p>
        </w:tc>
        <w:tc>
          <w:tcPr>
            <w:tcW w:w="625" w:type="pct"/>
            <w:shd w:val="clear" w:color="auto" w:fill="auto"/>
          </w:tcPr>
          <w:p w14:paraId="04B6D461" w14:textId="77777777" w:rsidR="00442170" w:rsidRPr="001B2468" w:rsidRDefault="00BE4306" w:rsidP="00575B54">
            <w:pPr>
              <w:pStyle w:val="TableText"/>
              <w:jc w:val="right"/>
            </w:pPr>
            <w:r w:rsidRPr="001B2468">
              <w:t>400,000</w:t>
            </w:r>
          </w:p>
        </w:tc>
        <w:tc>
          <w:tcPr>
            <w:tcW w:w="411" w:type="pct"/>
            <w:shd w:val="clear" w:color="auto" w:fill="auto"/>
          </w:tcPr>
          <w:p w14:paraId="74FE4415" w14:textId="77777777" w:rsidR="00442170" w:rsidRPr="001B2468" w:rsidRDefault="00BE4306" w:rsidP="00575B54">
            <w:pPr>
              <w:pStyle w:val="TableText"/>
              <w:jc w:val="right"/>
            </w:pPr>
            <w:r w:rsidRPr="001B2468">
              <w:t>440,000</w:t>
            </w:r>
          </w:p>
        </w:tc>
      </w:tr>
      <w:tr w:rsidR="008E3DA8" w14:paraId="6A6515F8" w14:textId="77777777" w:rsidTr="00575B54">
        <w:tc>
          <w:tcPr>
            <w:tcW w:w="595" w:type="pct"/>
            <w:shd w:val="clear" w:color="auto" w:fill="auto"/>
          </w:tcPr>
          <w:p w14:paraId="252614B7" w14:textId="77777777" w:rsidR="00442170" w:rsidRPr="001B2468" w:rsidRDefault="00BE4306" w:rsidP="00575B54">
            <w:pPr>
              <w:pStyle w:val="TableText"/>
            </w:pPr>
            <w:r w:rsidRPr="001B2468">
              <w:t xml:space="preserve">Willandra- Planning for a </w:t>
            </w:r>
            <w:r w:rsidRPr="001B2468">
              <w:t>Shared Future; Stage 1</w:t>
            </w:r>
          </w:p>
        </w:tc>
        <w:tc>
          <w:tcPr>
            <w:tcW w:w="511" w:type="pct"/>
            <w:shd w:val="clear" w:color="auto" w:fill="auto"/>
          </w:tcPr>
          <w:p w14:paraId="40F5702B" w14:textId="77777777" w:rsidR="00442170" w:rsidRPr="001B2468" w:rsidRDefault="00BE4306" w:rsidP="00575B54">
            <w:pPr>
              <w:pStyle w:val="TableText"/>
            </w:pPr>
            <w:r w:rsidRPr="001B2468">
              <w:t>Department of Planning Industry and Environment</w:t>
            </w:r>
          </w:p>
        </w:tc>
        <w:tc>
          <w:tcPr>
            <w:tcW w:w="2068" w:type="pct"/>
            <w:shd w:val="clear" w:color="auto" w:fill="auto"/>
          </w:tcPr>
          <w:p w14:paraId="22DD0A99" w14:textId="77777777" w:rsidR="001F4DC5" w:rsidRPr="001B2468" w:rsidRDefault="00BE4306" w:rsidP="00575B54">
            <w:pPr>
              <w:pStyle w:val="TableText"/>
            </w:pPr>
            <w:r w:rsidRPr="001B2468">
              <w:t xml:space="preserve">This project is stage one of a larger project to inform the development of a new strategic management plan. Through a series of co-designed workshops, the project will </w:t>
            </w:r>
            <w:r w:rsidRPr="001B2468">
              <w:t>investigate and identify the importance of connection and management of Country for both Traditional Owners and landholders. The information from the workshops will be collated into a strategic direction report which will articulate the shared rights and r</w:t>
            </w:r>
            <w:r w:rsidRPr="001B2468">
              <w:t xml:space="preserve">esponsibilities, risks, </w:t>
            </w:r>
            <w:proofErr w:type="gramStart"/>
            <w:r w:rsidRPr="001B2468">
              <w:t>options</w:t>
            </w:r>
            <w:proofErr w:type="gramEnd"/>
            <w:r w:rsidRPr="001B2468">
              <w:t xml:space="preserve"> and key considerations for the future development of the strategic management plan.</w:t>
            </w:r>
          </w:p>
          <w:p w14:paraId="14EC556B" w14:textId="77777777" w:rsidR="00442170" w:rsidRPr="001B2468" w:rsidRDefault="00BE4306" w:rsidP="00575B54">
            <w:pPr>
              <w:pStyle w:val="TableText"/>
            </w:pPr>
            <w:r w:rsidRPr="001B2468">
              <w:t>The project duration is 16 months.</w:t>
            </w:r>
          </w:p>
        </w:tc>
        <w:tc>
          <w:tcPr>
            <w:tcW w:w="499" w:type="pct"/>
            <w:shd w:val="clear" w:color="auto" w:fill="auto"/>
          </w:tcPr>
          <w:p w14:paraId="4995A870" w14:textId="77777777" w:rsidR="00442170" w:rsidRPr="001B2468" w:rsidRDefault="00BE4306" w:rsidP="00575B54">
            <w:pPr>
              <w:pStyle w:val="TableText"/>
            </w:pPr>
            <w:r w:rsidRPr="001B2468">
              <w:t>Willandra Lakes Region</w:t>
            </w:r>
          </w:p>
        </w:tc>
        <w:tc>
          <w:tcPr>
            <w:tcW w:w="292" w:type="pct"/>
            <w:shd w:val="clear" w:color="auto" w:fill="auto"/>
          </w:tcPr>
          <w:p w14:paraId="0D6B9DDE" w14:textId="77777777" w:rsidR="00442170" w:rsidRPr="001B2468" w:rsidRDefault="00BE4306" w:rsidP="00575B54">
            <w:pPr>
              <w:pStyle w:val="TableText"/>
            </w:pPr>
            <w:r w:rsidRPr="001B2468">
              <w:t>NSW</w:t>
            </w:r>
          </w:p>
        </w:tc>
        <w:tc>
          <w:tcPr>
            <w:tcW w:w="625" w:type="pct"/>
            <w:shd w:val="clear" w:color="auto" w:fill="auto"/>
          </w:tcPr>
          <w:p w14:paraId="74940491" w14:textId="77777777" w:rsidR="00442170" w:rsidRPr="001B2468" w:rsidRDefault="00BE4306" w:rsidP="00575B54">
            <w:pPr>
              <w:pStyle w:val="TableText"/>
              <w:jc w:val="right"/>
            </w:pPr>
            <w:r w:rsidRPr="001B2468">
              <w:t>250,000</w:t>
            </w:r>
          </w:p>
        </w:tc>
        <w:tc>
          <w:tcPr>
            <w:tcW w:w="411" w:type="pct"/>
            <w:shd w:val="clear" w:color="auto" w:fill="auto"/>
          </w:tcPr>
          <w:p w14:paraId="6D803458" w14:textId="77777777" w:rsidR="00442170" w:rsidRPr="001B2468" w:rsidRDefault="00BE4306" w:rsidP="00575B54">
            <w:pPr>
              <w:pStyle w:val="TableText"/>
              <w:jc w:val="right"/>
            </w:pPr>
            <w:r w:rsidRPr="001B2468">
              <w:t>275,000</w:t>
            </w:r>
          </w:p>
        </w:tc>
      </w:tr>
      <w:tr w:rsidR="008E3DA8" w14:paraId="654F5F5E" w14:textId="77777777" w:rsidTr="00575B54">
        <w:tc>
          <w:tcPr>
            <w:tcW w:w="595" w:type="pct"/>
            <w:shd w:val="clear" w:color="auto" w:fill="auto"/>
          </w:tcPr>
          <w:p w14:paraId="4308AAA1" w14:textId="77777777" w:rsidR="00442170" w:rsidRPr="001B2468" w:rsidRDefault="00BE4306" w:rsidP="00575B54">
            <w:pPr>
              <w:pStyle w:val="TableText"/>
            </w:pPr>
            <w:r w:rsidRPr="001B2468">
              <w:t xml:space="preserve">First Nation’s Cultural Values Assessment </w:t>
            </w:r>
            <w:r w:rsidRPr="001B2468">
              <w:t>Queensland Gondwana Rainforests</w:t>
            </w:r>
          </w:p>
        </w:tc>
        <w:tc>
          <w:tcPr>
            <w:tcW w:w="511" w:type="pct"/>
            <w:shd w:val="clear" w:color="auto" w:fill="auto"/>
          </w:tcPr>
          <w:p w14:paraId="3E86ACAB" w14:textId="77777777" w:rsidR="00442170" w:rsidRPr="001B2468" w:rsidRDefault="00BE4306" w:rsidP="00575B54">
            <w:pPr>
              <w:pStyle w:val="TableText"/>
            </w:pPr>
            <w:r w:rsidRPr="001B2468">
              <w:t>Department of Environment and Science</w:t>
            </w:r>
          </w:p>
        </w:tc>
        <w:tc>
          <w:tcPr>
            <w:tcW w:w="2068" w:type="pct"/>
            <w:shd w:val="clear" w:color="auto" w:fill="auto"/>
          </w:tcPr>
          <w:p w14:paraId="4F9AEF37" w14:textId="77777777" w:rsidR="001F4DC5" w:rsidRPr="001B2468" w:rsidRDefault="00BE4306" w:rsidP="00575B54">
            <w:pPr>
              <w:pStyle w:val="TableText"/>
            </w:pPr>
            <w:r w:rsidRPr="001B2468">
              <w:t xml:space="preserve">The project will work with First Nations people to inform better management, </w:t>
            </w:r>
            <w:proofErr w:type="gramStart"/>
            <w:r w:rsidRPr="001B2468">
              <w:t>protection</w:t>
            </w:r>
            <w:proofErr w:type="gramEnd"/>
            <w:r w:rsidRPr="001B2468">
              <w:t xml:space="preserve"> and interpretation of their cultural values, and assist them in continuing their cultural practice</w:t>
            </w:r>
            <w:r w:rsidRPr="001B2468">
              <w:t xml:space="preserve">s. The activities will engage experts to undertake a high-level cultural assessment in partnership with First Nations groups with a possible focus on the </w:t>
            </w:r>
            <w:r w:rsidRPr="001B2468">
              <w:lastRenderedPageBreak/>
              <w:t>relationship between the cultural values and the listed values (natural) of Gondwana Rainforests of Au</w:t>
            </w:r>
            <w:r w:rsidRPr="001B2468">
              <w:t>stralia.</w:t>
            </w:r>
          </w:p>
          <w:p w14:paraId="05D7FBAF" w14:textId="77777777" w:rsidR="00442170" w:rsidRPr="001B2468" w:rsidRDefault="00BE4306" w:rsidP="00575B54">
            <w:pPr>
              <w:pStyle w:val="TableText"/>
            </w:pPr>
            <w:r w:rsidRPr="001B2468">
              <w:t>The project duration is 19 months.</w:t>
            </w:r>
          </w:p>
        </w:tc>
        <w:tc>
          <w:tcPr>
            <w:tcW w:w="499" w:type="pct"/>
            <w:shd w:val="clear" w:color="auto" w:fill="auto"/>
          </w:tcPr>
          <w:p w14:paraId="49DF0EDD" w14:textId="77777777" w:rsidR="00442170" w:rsidRPr="001B2468" w:rsidRDefault="00BE4306" w:rsidP="00575B54">
            <w:pPr>
              <w:pStyle w:val="TableText"/>
            </w:pPr>
            <w:r w:rsidRPr="001B2468">
              <w:lastRenderedPageBreak/>
              <w:t>Gondwana Rainforests of Australia</w:t>
            </w:r>
          </w:p>
        </w:tc>
        <w:tc>
          <w:tcPr>
            <w:tcW w:w="292" w:type="pct"/>
            <w:shd w:val="clear" w:color="auto" w:fill="auto"/>
          </w:tcPr>
          <w:p w14:paraId="0D4A0729" w14:textId="77777777" w:rsidR="00442170" w:rsidRPr="001B2468" w:rsidRDefault="00BE4306" w:rsidP="00575B54">
            <w:pPr>
              <w:pStyle w:val="TableText"/>
            </w:pPr>
            <w:r w:rsidRPr="001B2468">
              <w:t>QLD</w:t>
            </w:r>
          </w:p>
        </w:tc>
        <w:tc>
          <w:tcPr>
            <w:tcW w:w="625" w:type="pct"/>
            <w:shd w:val="clear" w:color="auto" w:fill="auto"/>
          </w:tcPr>
          <w:p w14:paraId="6C015F52" w14:textId="77777777" w:rsidR="00442170" w:rsidRPr="001B2468" w:rsidRDefault="00BE4306" w:rsidP="00575B54">
            <w:pPr>
              <w:pStyle w:val="TableText"/>
              <w:jc w:val="right"/>
            </w:pPr>
            <w:r w:rsidRPr="001B2468">
              <w:t>395,000</w:t>
            </w:r>
          </w:p>
        </w:tc>
        <w:tc>
          <w:tcPr>
            <w:tcW w:w="411" w:type="pct"/>
            <w:shd w:val="clear" w:color="auto" w:fill="auto"/>
          </w:tcPr>
          <w:p w14:paraId="0BB2CC2C" w14:textId="77777777" w:rsidR="00442170" w:rsidRPr="001B2468" w:rsidRDefault="00BE4306" w:rsidP="00575B54">
            <w:pPr>
              <w:pStyle w:val="TableText"/>
              <w:jc w:val="right"/>
            </w:pPr>
            <w:r w:rsidRPr="001B2468">
              <w:t>435,500</w:t>
            </w:r>
          </w:p>
        </w:tc>
      </w:tr>
      <w:tr w:rsidR="008E3DA8" w14:paraId="7B29A5F2" w14:textId="77777777" w:rsidTr="00575B54">
        <w:tc>
          <w:tcPr>
            <w:tcW w:w="595" w:type="pct"/>
            <w:shd w:val="clear" w:color="auto" w:fill="auto"/>
          </w:tcPr>
          <w:p w14:paraId="310A7982" w14:textId="77777777" w:rsidR="00442170" w:rsidRPr="001B2468" w:rsidRDefault="00BE4306" w:rsidP="00575B54">
            <w:pPr>
              <w:pStyle w:val="TableText"/>
            </w:pPr>
            <w:r w:rsidRPr="001B2468">
              <w:t>The Adelaide Park Lands and City Layout National Heritage Management Plan</w:t>
            </w:r>
          </w:p>
        </w:tc>
        <w:tc>
          <w:tcPr>
            <w:tcW w:w="511" w:type="pct"/>
            <w:shd w:val="clear" w:color="auto" w:fill="auto"/>
          </w:tcPr>
          <w:p w14:paraId="79E43A54" w14:textId="77777777" w:rsidR="00442170" w:rsidRPr="001B2468" w:rsidRDefault="00BE4306" w:rsidP="00575B54">
            <w:pPr>
              <w:pStyle w:val="TableText"/>
            </w:pPr>
            <w:r w:rsidRPr="001B2468">
              <w:t>The Corporation of the City of Adelaide</w:t>
            </w:r>
          </w:p>
        </w:tc>
        <w:tc>
          <w:tcPr>
            <w:tcW w:w="2068" w:type="pct"/>
            <w:shd w:val="clear" w:color="auto" w:fill="auto"/>
          </w:tcPr>
          <w:p w14:paraId="439E9B02" w14:textId="77777777" w:rsidR="001F4DC5" w:rsidRPr="001B2468" w:rsidRDefault="00BE4306" w:rsidP="00575B54">
            <w:pPr>
              <w:pStyle w:val="TableText"/>
            </w:pPr>
            <w:r w:rsidRPr="001B2468">
              <w:t xml:space="preserve">The project will develop a Heritage </w:t>
            </w:r>
            <w:r w:rsidRPr="001B2468">
              <w:t xml:space="preserve">Management Plan for the Adelaide Park Lands and City Layout to provide clear and detailed objectives, principles, </w:t>
            </w:r>
            <w:proofErr w:type="gramStart"/>
            <w:r w:rsidRPr="001B2468">
              <w:t>policies</w:t>
            </w:r>
            <w:proofErr w:type="gramEnd"/>
            <w:r w:rsidRPr="001B2468">
              <w:t xml:space="preserve"> and processes to maintain, protect and conserve the heritage 'listed values' of the listed place. The Heritage Management Plan will b</w:t>
            </w:r>
            <w:r w:rsidRPr="001B2468">
              <w:t>uild on the findings of the ‘Issues and Opportunity Analysis for the National Listing’ of the Adelaide Park Lands and City Layout and contribute to the delivery of the City of Adelaide 2020-2024 Strategic Plan.</w:t>
            </w:r>
          </w:p>
          <w:p w14:paraId="36AD642F" w14:textId="77777777" w:rsidR="00442170" w:rsidRPr="001B2468" w:rsidRDefault="00BE4306" w:rsidP="00575B54">
            <w:pPr>
              <w:pStyle w:val="TableText"/>
            </w:pPr>
            <w:r w:rsidRPr="001B2468">
              <w:t>The project duration is 11 months.</w:t>
            </w:r>
          </w:p>
        </w:tc>
        <w:tc>
          <w:tcPr>
            <w:tcW w:w="499" w:type="pct"/>
            <w:shd w:val="clear" w:color="auto" w:fill="auto"/>
          </w:tcPr>
          <w:p w14:paraId="34E92B5A" w14:textId="77777777" w:rsidR="00442170" w:rsidRPr="001B2468" w:rsidRDefault="00BE4306" w:rsidP="00575B54">
            <w:pPr>
              <w:pStyle w:val="TableText"/>
            </w:pPr>
            <w:r w:rsidRPr="001B2468">
              <w:t>Adelaide P</w:t>
            </w:r>
            <w:r w:rsidRPr="001B2468">
              <w:t>ark Lands and City Layout</w:t>
            </w:r>
          </w:p>
        </w:tc>
        <w:tc>
          <w:tcPr>
            <w:tcW w:w="292" w:type="pct"/>
            <w:shd w:val="clear" w:color="auto" w:fill="auto"/>
          </w:tcPr>
          <w:p w14:paraId="7030F216" w14:textId="77777777" w:rsidR="00442170" w:rsidRPr="001B2468" w:rsidRDefault="00BE4306" w:rsidP="00575B54">
            <w:pPr>
              <w:pStyle w:val="TableText"/>
            </w:pPr>
            <w:r w:rsidRPr="001B2468">
              <w:t>SA</w:t>
            </w:r>
          </w:p>
        </w:tc>
        <w:tc>
          <w:tcPr>
            <w:tcW w:w="625" w:type="pct"/>
            <w:shd w:val="clear" w:color="auto" w:fill="auto"/>
          </w:tcPr>
          <w:p w14:paraId="20C42065" w14:textId="77777777" w:rsidR="00442170" w:rsidRPr="001B2468" w:rsidRDefault="00BE4306" w:rsidP="00575B54">
            <w:pPr>
              <w:pStyle w:val="TableText"/>
              <w:jc w:val="right"/>
            </w:pPr>
            <w:r w:rsidRPr="001B2468">
              <w:t>95,000</w:t>
            </w:r>
          </w:p>
        </w:tc>
        <w:tc>
          <w:tcPr>
            <w:tcW w:w="411" w:type="pct"/>
            <w:shd w:val="clear" w:color="auto" w:fill="auto"/>
          </w:tcPr>
          <w:p w14:paraId="1F1B7379" w14:textId="77777777" w:rsidR="00442170" w:rsidRPr="001B2468" w:rsidRDefault="00BE4306" w:rsidP="00575B54">
            <w:pPr>
              <w:pStyle w:val="TableText"/>
              <w:jc w:val="right"/>
            </w:pPr>
            <w:r w:rsidRPr="001B2468">
              <w:t>104,500</w:t>
            </w:r>
          </w:p>
        </w:tc>
      </w:tr>
      <w:tr w:rsidR="008E3DA8" w14:paraId="5E70BC2C" w14:textId="77777777" w:rsidTr="00575B54">
        <w:tc>
          <w:tcPr>
            <w:tcW w:w="595" w:type="pct"/>
            <w:shd w:val="clear" w:color="auto" w:fill="auto"/>
          </w:tcPr>
          <w:p w14:paraId="07D02F93" w14:textId="77777777" w:rsidR="00442170" w:rsidRPr="001B2468" w:rsidRDefault="00BE4306" w:rsidP="00575B54">
            <w:pPr>
              <w:pStyle w:val="TableText"/>
            </w:pPr>
            <w:proofErr w:type="spellStart"/>
            <w:r w:rsidRPr="001B2468">
              <w:t>K'gari</w:t>
            </w:r>
            <w:proofErr w:type="spellEnd"/>
            <w:r w:rsidRPr="001B2468">
              <w:t xml:space="preserve"> Groundwater Quality Study to identify Health risks/enviro impact</w:t>
            </w:r>
          </w:p>
        </w:tc>
        <w:tc>
          <w:tcPr>
            <w:tcW w:w="511" w:type="pct"/>
            <w:shd w:val="clear" w:color="auto" w:fill="auto"/>
          </w:tcPr>
          <w:p w14:paraId="58BDDB37" w14:textId="77777777" w:rsidR="00442170" w:rsidRPr="001B2468" w:rsidRDefault="00BE4306" w:rsidP="00575B54">
            <w:pPr>
              <w:pStyle w:val="TableText"/>
            </w:pPr>
            <w:r w:rsidRPr="001B2468">
              <w:t>Fraser Coast Regional Council</w:t>
            </w:r>
          </w:p>
        </w:tc>
        <w:tc>
          <w:tcPr>
            <w:tcW w:w="2068" w:type="pct"/>
            <w:shd w:val="clear" w:color="auto" w:fill="auto"/>
          </w:tcPr>
          <w:p w14:paraId="068FAB65" w14:textId="77777777" w:rsidR="001F4DC5" w:rsidRPr="001B2468" w:rsidRDefault="00BE4306" w:rsidP="00575B54">
            <w:pPr>
              <w:pStyle w:val="TableText"/>
            </w:pPr>
            <w:r w:rsidRPr="001B2468">
              <w:t xml:space="preserve">The project will </w:t>
            </w:r>
            <w:proofErr w:type="gramStart"/>
            <w:r w:rsidRPr="001B2468">
              <w:t>undertake a study of</w:t>
            </w:r>
            <w:proofErr w:type="gramEnd"/>
            <w:r w:rsidRPr="001B2468">
              <w:t xml:space="preserve"> ground water quality on </w:t>
            </w:r>
            <w:proofErr w:type="spellStart"/>
            <w:r w:rsidRPr="001B2468">
              <w:t>K'gari</w:t>
            </w:r>
            <w:proofErr w:type="spellEnd"/>
            <w:r w:rsidRPr="001B2468">
              <w:t xml:space="preserve"> (Fraser Island) to identify Public </w:t>
            </w:r>
            <w:r w:rsidRPr="001B2468">
              <w:t xml:space="preserve">Health risks and potential impacts on environmental values. An unsewered sand island, </w:t>
            </w:r>
            <w:proofErr w:type="spellStart"/>
            <w:r w:rsidRPr="001B2468">
              <w:t>K'gari</w:t>
            </w:r>
            <w:proofErr w:type="spellEnd"/>
            <w:r w:rsidRPr="001B2468">
              <w:t xml:space="preserve"> properties have decentralised wastewater treatment systems with inherent risks of groundwater contamination due to on-site wastewater treatment systems releasing p</w:t>
            </w:r>
            <w:r w:rsidRPr="001B2468">
              <w:t xml:space="preserve">rimary treated effluent into subsoils. This study will assess current and future drinking water supply on </w:t>
            </w:r>
            <w:proofErr w:type="spellStart"/>
            <w:r w:rsidRPr="001B2468">
              <w:t>K'gari</w:t>
            </w:r>
            <w:proofErr w:type="spellEnd"/>
            <w:r w:rsidRPr="001B2468">
              <w:t xml:space="preserve"> and provide recommendations for drinking water supply/treatment - residential/commercial sites and for wastewater treatment systems/location wi</w:t>
            </w:r>
            <w:r w:rsidRPr="001B2468">
              <w:t>th respect to water sources and Council’s obligations undertaking assessments.</w:t>
            </w:r>
          </w:p>
          <w:p w14:paraId="50AEF012" w14:textId="77777777" w:rsidR="00442170" w:rsidRPr="001B2468" w:rsidRDefault="00BE4306" w:rsidP="00575B54">
            <w:pPr>
              <w:pStyle w:val="TableText"/>
            </w:pPr>
            <w:r w:rsidRPr="001B2468">
              <w:t>The project duration is 22 months.</w:t>
            </w:r>
          </w:p>
        </w:tc>
        <w:tc>
          <w:tcPr>
            <w:tcW w:w="499" w:type="pct"/>
            <w:shd w:val="clear" w:color="auto" w:fill="auto"/>
          </w:tcPr>
          <w:p w14:paraId="623CCD16" w14:textId="77777777" w:rsidR="00442170" w:rsidRPr="001B2468" w:rsidRDefault="00BE4306" w:rsidP="00575B54">
            <w:pPr>
              <w:pStyle w:val="TableText"/>
            </w:pPr>
            <w:proofErr w:type="spellStart"/>
            <w:r w:rsidRPr="001B2468">
              <w:t>K'gari</w:t>
            </w:r>
            <w:proofErr w:type="spellEnd"/>
            <w:r w:rsidRPr="001B2468">
              <w:t xml:space="preserve"> (Fraser Island)</w:t>
            </w:r>
          </w:p>
        </w:tc>
        <w:tc>
          <w:tcPr>
            <w:tcW w:w="292" w:type="pct"/>
            <w:shd w:val="clear" w:color="auto" w:fill="auto"/>
          </w:tcPr>
          <w:p w14:paraId="5194AA12" w14:textId="77777777" w:rsidR="00442170" w:rsidRPr="001B2468" w:rsidRDefault="00BE4306" w:rsidP="00575B54">
            <w:pPr>
              <w:pStyle w:val="TableText"/>
            </w:pPr>
            <w:r w:rsidRPr="001B2468">
              <w:t>QLD</w:t>
            </w:r>
          </w:p>
        </w:tc>
        <w:tc>
          <w:tcPr>
            <w:tcW w:w="625" w:type="pct"/>
            <w:shd w:val="clear" w:color="auto" w:fill="auto"/>
          </w:tcPr>
          <w:p w14:paraId="4F4D4FA7" w14:textId="77777777" w:rsidR="00442170" w:rsidRPr="001B2468" w:rsidRDefault="00BE4306" w:rsidP="00575B54">
            <w:pPr>
              <w:pStyle w:val="TableText"/>
              <w:jc w:val="right"/>
            </w:pPr>
            <w:r w:rsidRPr="001B2468">
              <w:t>108,648</w:t>
            </w:r>
          </w:p>
        </w:tc>
        <w:tc>
          <w:tcPr>
            <w:tcW w:w="411" w:type="pct"/>
            <w:shd w:val="clear" w:color="auto" w:fill="auto"/>
          </w:tcPr>
          <w:p w14:paraId="63F58EB6" w14:textId="77777777" w:rsidR="00442170" w:rsidRPr="001B2468" w:rsidRDefault="00BE4306" w:rsidP="00575B54">
            <w:pPr>
              <w:pStyle w:val="TableText"/>
              <w:jc w:val="right"/>
            </w:pPr>
            <w:r w:rsidRPr="001B2468">
              <w:t>119,513</w:t>
            </w:r>
          </w:p>
        </w:tc>
      </w:tr>
      <w:tr w:rsidR="008E3DA8" w14:paraId="6B003E1D" w14:textId="77777777" w:rsidTr="00575B54">
        <w:tc>
          <w:tcPr>
            <w:tcW w:w="595" w:type="pct"/>
            <w:shd w:val="clear" w:color="auto" w:fill="auto"/>
          </w:tcPr>
          <w:p w14:paraId="25EFDEF2" w14:textId="77777777" w:rsidR="00442170" w:rsidRPr="001B2468" w:rsidRDefault="00BE4306" w:rsidP="00575B54">
            <w:pPr>
              <w:pStyle w:val="TableText"/>
            </w:pPr>
            <w:r w:rsidRPr="001B2468">
              <w:t>Digital recording of Aboriginal cultural heritage in the WTACL</w:t>
            </w:r>
          </w:p>
        </w:tc>
        <w:tc>
          <w:tcPr>
            <w:tcW w:w="511" w:type="pct"/>
            <w:shd w:val="clear" w:color="auto" w:fill="auto"/>
          </w:tcPr>
          <w:p w14:paraId="7E48A029" w14:textId="77777777" w:rsidR="00442170" w:rsidRPr="001B2468" w:rsidRDefault="00BE4306" w:rsidP="00575B54">
            <w:pPr>
              <w:pStyle w:val="TableText"/>
            </w:pPr>
            <w:r w:rsidRPr="001B2468">
              <w:t xml:space="preserve">Department of Primary </w:t>
            </w:r>
            <w:r w:rsidRPr="001B2468">
              <w:t>Industries Parks Water and Environment</w:t>
            </w:r>
          </w:p>
        </w:tc>
        <w:tc>
          <w:tcPr>
            <w:tcW w:w="2068" w:type="pct"/>
            <w:shd w:val="clear" w:color="auto" w:fill="auto"/>
          </w:tcPr>
          <w:p w14:paraId="43353237" w14:textId="77777777" w:rsidR="001F4DC5" w:rsidRPr="001B2468" w:rsidRDefault="00BE4306" w:rsidP="00575B54">
            <w:pPr>
              <w:pStyle w:val="TableText"/>
            </w:pPr>
            <w:r w:rsidRPr="001B2468">
              <w:t>This project will generate quality, repeatable, digital datasets of 10 Aboriginal cultural heritage sites and five surrounding landscapes within the Western Tasmania Aboriginal Cultural Landscape. Activities include r</w:t>
            </w:r>
            <w:r w:rsidRPr="001B2468">
              <w:t>ecordings which include laser scanning and photogrammetry of the sites and aerial imagery capture, using an Unmanned Aerial Vehicle, and LiDAR acquisition of the surrounding landscapes. These datasets will be used to determine a baseline understanding of t</w:t>
            </w:r>
            <w:r w:rsidRPr="001B2468">
              <w:t>he conditions and risks of the sites to inform effective management actions for ongoing and future management of the cultural values within the Western Tasmania Aboriginal Cultural Landscape.</w:t>
            </w:r>
          </w:p>
          <w:p w14:paraId="6AD4426B" w14:textId="77777777" w:rsidR="00442170" w:rsidRPr="001B2468" w:rsidRDefault="00BE4306" w:rsidP="00575B54">
            <w:pPr>
              <w:pStyle w:val="TableText"/>
            </w:pPr>
            <w:r w:rsidRPr="001B2468">
              <w:lastRenderedPageBreak/>
              <w:t>The project duration is 18 months.</w:t>
            </w:r>
          </w:p>
        </w:tc>
        <w:tc>
          <w:tcPr>
            <w:tcW w:w="499" w:type="pct"/>
            <w:shd w:val="clear" w:color="auto" w:fill="auto"/>
          </w:tcPr>
          <w:p w14:paraId="6C04E5ED" w14:textId="77777777" w:rsidR="00442170" w:rsidRPr="001B2468" w:rsidRDefault="00BE4306" w:rsidP="00575B54">
            <w:pPr>
              <w:pStyle w:val="TableText"/>
            </w:pPr>
            <w:r w:rsidRPr="001B2468">
              <w:lastRenderedPageBreak/>
              <w:t>Western Tasmania Aboriginal C</w:t>
            </w:r>
            <w:r w:rsidRPr="001B2468">
              <w:t>ultural Landscape</w:t>
            </w:r>
          </w:p>
        </w:tc>
        <w:tc>
          <w:tcPr>
            <w:tcW w:w="292" w:type="pct"/>
            <w:shd w:val="clear" w:color="auto" w:fill="auto"/>
          </w:tcPr>
          <w:p w14:paraId="12F59409" w14:textId="77777777" w:rsidR="00442170" w:rsidRPr="001B2468" w:rsidRDefault="00BE4306" w:rsidP="00575B54">
            <w:pPr>
              <w:pStyle w:val="TableText"/>
            </w:pPr>
            <w:r w:rsidRPr="001B2468">
              <w:t>T</w:t>
            </w:r>
            <w:r w:rsidR="00A3475E">
              <w:t>as</w:t>
            </w:r>
          </w:p>
        </w:tc>
        <w:tc>
          <w:tcPr>
            <w:tcW w:w="625" w:type="pct"/>
            <w:shd w:val="clear" w:color="auto" w:fill="auto"/>
          </w:tcPr>
          <w:p w14:paraId="723CD623" w14:textId="77777777" w:rsidR="00442170" w:rsidRPr="001B2468" w:rsidRDefault="00BE4306" w:rsidP="00575B54">
            <w:pPr>
              <w:pStyle w:val="TableText"/>
              <w:jc w:val="right"/>
            </w:pPr>
            <w:r w:rsidRPr="001B2468">
              <w:t>194,666</w:t>
            </w:r>
          </w:p>
        </w:tc>
        <w:tc>
          <w:tcPr>
            <w:tcW w:w="411" w:type="pct"/>
            <w:shd w:val="clear" w:color="auto" w:fill="auto"/>
          </w:tcPr>
          <w:p w14:paraId="22EFF7C0" w14:textId="77777777" w:rsidR="00442170" w:rsidRPr="001B2468" w:rsidRDefault="00BE4306" w:rsidP="00575B54">
            <w:pPr>
              <w:pStyle w:val="TableText"/>
              <w:jc w:val="right"/>
            </w:pPr>
            <w:r w:rsidRPr="001B2468">
              <w:t>214,133</w:t>
            </w:r>
          </w:p>
        </w:tc>
      </w:tr>
      <w:tr w:rsidR="008E3DA8" w14:paraId="0B1233D2" w14:textId="77777777" w:rsidTr="00575B54">
        <w:tc>
          <w:tcPr>
            <w:tcW w:w="595" w:type="pct"/>
            <w:shd w:val="clear" w:color="auto" w:fill="auto"/>
          </w:tcPr>
          <w:p w14:paraId="035BD5AD" w14:textId="77777777" w:rsidR="00442170" w:rsidRPr="001B2468" w:rsidRDefault="00BE4306" w:rsidP="00575B54">
            <w:pPr>
              <w:pStyle w:val="TableText"/>
            </w:pPr>
            <w:r w:rsidRPr="001B2468">
              <w:t xml:space="preserve">10-year review of the </w:t>
            </w:r>
            <w:proofErr w:type="spellStart"/>
            <w:r w:rsidRPr="001B2468">
              <w:t>Ngurrara</w:t>
            </w:r>
            <w:proofErr w:type="spellEnd"/>
            <w:r w:rsidRPr="001B2468">
              <w:t xml:space="preserve"> Healthy Country Plan</w:t>
            </w:r>
          </w:p>
        </w:tc>
        <w:tc>
          <w:tcPr>
            <w:tcW w:w="511" w:type="pct"/>
            <w:shd w:val="clear" w:color="auto" w:fill="auto"/>
          </w:tcPr>
          <w:p w14:paraId="7520FA21" w14:textId="77777777" w:rsidR="00442170" w:rsidRPr="001B2468" w:rsidRDefault="00BE4306" w:rsidP="00575B54">
            <w:pPr>
              <w:pStyle w:val="TableText"/>
            </w:pPr>
            <w:proofErr w:type="spellStart"/>
            <w:r w:rsidRPr="001B2468">
              <w:t>Yanunijarra</w:t>
            </w:r>
            <w:proofErr w:type="spellEnd"/>
            <w:r w:rsidRPr="001B2468">
              <w:t xml:space="preserve"> Aboriginal Corporation RNTBC</w:t>
            </w:r>
          </w:p>
        </w:tc>
        <w:tc>
          <w:tcPr>
            <w:tcW w:w="2068" w:type="pct"/>
            <w:shd w:val="clear" w:color="auto" w:fill="auto"/>
          </w:tcPr>
          <w:p w14:paraId="0D28AB3E" w14:textId="77777777" w:rsidR="001F4DC5" w:rsidRPr="001B2468" w:rsidRDefault="00BE4306" w:rsidP="00575B54">
            <w:pPr>
              <w:pStyle w:val="TableText"/>
            </w:pPr>
            <w:r w:rsidRPr="001B2468">
              <w:t xml:space="preserve">The project aims to review and revise the </w:t>
            </w:r>
            <w:proofErr w:type="spellStart"/>
            <w:r w:rsidRPr="001B2468">
              <w:t>Ngurrara</w:t>
            </w:r>
            <w:proofErr w:type="spellEnd"/>
            <w:r w:rsidRPr="001B2468">
              <w:t xml:space="preserve"> Healthy Country Plan to maintain and preserve the cultural and </w:t>
            </w:r>
            <w:r w:rsidRPr="001B2468">
              <w:t xml:space="preserve">natural resources of the West Kimberley. Activities will involve face to face workshops to evaluate the past implementation of conservation strategies and adapt the </w:t>
            </w:r>
            <w:proofErr w:type="spellStart"/>
            <w:r w:rsidRPr="001B2468">
              <w:t>Ngurrara</w:t>
            </w:r>
            <w:proofErr w:type="spellEnd"/>
            <w:r w:rsidRPr="001B2468">
              <w:t xml:space="preserve"> Healthy Country Plan to reflect the changed circumstances. The associated Operatio</w:t>
            </w:r>
            <w:r w:rsidRPr="001B2468">
              <w:t>nal Plan and a Monitoring, Evaluation, Reporting, and Improvement (MERI) Plan will also be further developed to ensure future on-ground activities respond to the most urgent threats on the listed values. This is a joint application with The Nature Conserva</w:t>
            </w:r>
            <w:r w:rsidRPr="001B2468">
              <w:t>ncy Limited.</w:t>
            </w:r>
          </w:p>
          <w:p w14:paraId="6C3E28B0" w14:textId="77777777" w:rsidR="00442170" w:rsidRPr="001B2468" w:rsidRDefault="00BE4306" w:rsidP="00575B54">
            <w:pPr>
              <w:pStyle w:val="TableText"/>
            </w:pPr>
            <w:r w:rsidRPr="001B2468">
              <w:t>The project duration is 16 months.</w:t>
            </w:r>
          </w:p>
        </w:tc>
        <w:tc>
          <w:tcPr>
            <w:tcW w:w="499" w:type="pct"/>
            <w:shd w:val="clear" w:color="auto" w:fill="auto"/>
          </w:tcPr>
          <w:p w14:paraId="27ABC680" w14:textId="77777777" w:rsidR="00442170" w:rsidRPr="001B2468" w:rsidRDefault="00BE4306" w:rsidP="00575B54">
            <w:pPr>
              <w:pStyle w:val="TableText"/>
            </w:pPr>
            <w:r w:rsidRPr="001B2468">
              <w:t>The West Kimberley</w:t>
            </w:r>
          </w:p>
        </w:tc>
        <w:tc>
          <w:tcPr>
            <w:tcW w:w="292" w:type="pct"/>
            <w:shd w:val="clear" w:color="auto" w:fill="auto"/>
          </w:tcPr>
          <w:p w14:paraId="03EAD8F9" w14:textId="77777777" w:rsidR="00442170" w:rsidRPr="001B2468" w:rsidRDefault="00BE4306" w:rsidP="00575B54">
            <w:pPr>
              <w:pStyle w:val="TableText"/>
            </w:pPr>
            <w:r w:rsidRPr="001B2468">
              <w:t>WA</w:t>
            </w:r>
          </w:p>
        </w:tc>
        <w:tc>
          <w:tcPr>
            <w:tcW w:w="625" w:type="pct"/>
            <w:shd w:val="clear" w:color="auto" w:fill="auto"/>
          </w:tcPr>
          <w:p w14:paraId="63926BF9" w14:textId="77777777" w:rsidR="00442170" w:rsidRPr="001B2468" w:rsidRDefault="00BE4306" w:rsidP="00575B54">
            <w:pPr>
              <w:pStyle w:val="TableText"/>
              <w:jc w:val="right"/>
            </w:pPr>
            <w:r w:rsidRPr="001B2468">
              <w:t>71,999</w:t>
            </w:r>
          </w:p>
        </w:tc>
        <w:tc>
          <w:tcPr>
            <w:tcW w:w="411" w:type="pct"/>
            <w:shd w:val="clear" w:color="auto" w:fill="auto"/>
          </w:tcPr>
          <w:p w14:paraId="03450D0C" w14:textId="77777777" w:rsidR="00442170" w:rsidRPr="001B2468" w:rsidRDefault="00BE4306" w:rsidP="00575B54">
            <w:pPr>
              <w:pStyle w:val="TableText"/>
              <w:jc w:val="right"/>
            </w:pPr>
            <w:r w:rsidRPr="001B2468">
              <w:t>79,199</w:t>
            </w:r>
          </w:p>
        </w:tc>
      </w:tr>
      <w:tr w:rsidR="008E3DA8" w14:paraId="4777ACED" w14:textId="77777777" w:rsidTr="00575B54">
        <w:tc>
          <w:tcPr>
            <w:tcW w:w="595" w:type="pct"/>
            <w:shd w:val="clear" w:color="auto" w:fill="auto"/>
          </w:tcPr>
          <w:p w14:paraId="545AA415" w14:textId="77777777" w:rsidR="00442170" w:rsidRPr="001B2468" w:rsidRDefault="00BE4306" w:rsidP="00575B54">
            <w:pPr>
              <w:pStyle w:val="TableText"/>
            </w:pPr>
            <w:r w:rsidRPr="001B2468">
              <w:t>Story, Song, Sound - Illumination Projection and Mixed Media, Cooper Creek.</w:t>
            </w:r>
          </w:p>
        </w:tc>
        <w:tc>
          <w:tcPr>
            <w:tcW w:w="511" w:type="pct"/>
            <w:shd w:val="clear" w:color="auto" w:fill="auto"/>
          </w:tcPr>
          <w:p w14:paraId="34558B38" w14:textId="77777777" w:rsidR="00442170" w:rsidRPr="001B2468" w:rsidRDefault="00BE4306" w:rsidP="00575B54">
            <w:pPr>
              <w:pStyle w:val="TableText"/>
            </w:pPr>
            <w:r w:rsidRPr="001B2468">
              <w:t>South Australian Native Title Services Ltd</w:t>
            </w:r>
          </w:p>
        </w:tc>
        <w:tc>
          <w:tcPr>
            <w:tcW w:w="2068" w:type="pct"/>
            <w:shd w:val="clear" w:color="auto" w:fill="auto"/>
          </w:tcPr>
          <w:p w14:paraId="50CAA67B" w14:textId="77777777" w:rsidR="001F4DC5" w:rsidRPr="001B2468" w:rsidRDefault="00BE4306" w:rsidP="00575B54">
            <w:pPr>
              <w:pStyle w:val="TableText"/>
            </w:pPr>
            <w:r w:rsidRPr="001B2468">
              <w:t xml:space="preserve">The project is anticipated to improve </w:t>
            </w:r>
            <w:r w:rsidRPr="001B2468">
              <w:t xml:space="preserve">engagement and awareness for visitors along </w:t>
            </w:r>
            <w:proofErr w:type="spellStart"/>
            <w:r w:rsidRPr="001B2468">
              <w:t>Kinipapa</w:t>
            </w:r>
            <w:proofErr w:type="spellEnd"/>
            <w:r w:rsidRPr="001B2468">
              <w:t xml:space="preserve"> (Cooper Creek) Innamincka Regional Reserve by upgrading existing interpretive material and creating an immersive cultural experience exhibiting </w:t>
            </w:r>
            <w:proofErr w:type="spellStart"/>
            <w:r w:rsidRPr="001B2468">
              <w:t>Yandruwandha</w:t>
            </w:r>
            <w:proofErr w:type="spellEnd"/>
            <w:r w:rsidRPr="001B2468">
              <w:t xml:space="preserve"> </w:t>
            </w:r>
            <w:proofErr w:type="spellStart"/>
            <w:r w:rsidRPr="001B2468">
              <w:t>Yawarrawarrka</w:t>
            </w:r>
            <w:proofErr w:type="spellEnd"/>
            <w:r w:rsidRPr="001B2468">
              <w:t xml:space="preserve"> Traditional Owner stories and pe</w:t>
            </w:r>
            <w:r w:rsidRPr="001B2468">
              <w:t xml:space="preserve">rspectives of the Burke and Wills Expedition. Activities will be </w:t>
            </w:r>
            <w:proofErr w:type="spellStart"/>
            <w:r w:rsidRPr="001B2468">
              <w:t>nighttime</w:t>
            </w:r>
            <w:proofErr w:type="spellEnd"/>
            <w:r w:rsidRPr="001B2468">
              <w:t xml:space="preserve"> illumination at the township of Innamincka, and daytime mixed media displays at the 5 heritage-listed Burke and Wills Expedition Sites. This is a joint application with project part</w:t>
            </w:r>
            <w:r w:rsidRPr="001B2468">
              <w:t xml:space="preserve">ner </w:t>
            </w:r>
            <w:proofErr w:type="spellStart"/>
            <w:r w:rsidRPr="001B2468">
              <w:t>Yandruwandha</w:t>
            </w:r>
            <w:proofErr w:type="spellEnd"/>
            <w:r w:rsidRPr="001B2468">
              <w:t xml:space="preserve"> </w:t>
            </w:r>
            <w:proofErr w:type="spellStart"/>
            <w:r w:rsidRPr="001B2468">
              <w:t>Yawarrawarrka</w:t>
            </w:r>
            <w:proofErr w:type="spellEnd"/>
            <w:r w:rsidRPr="001B2468">
              <w:t xml:space="preserve"> Traditional </w:t>
            </w:r>
            <w:proofErr w:type="gramStart"/>
            <w:r w:rsidRPr="001B2468">
              <w:t>Land Owners</w:t>
            </w:r>
            <w:proofErr w:type="gramEnd"/>
            <w:r w:rsidRPr="001B2468">
              <w:t xml:space="preserve"> (Aboriginal Corporation) RNTBC.</w:t>
            </w:r>
          </w:p>
          <w:p w14:paraId="09618CEF" w14:textId="77777777" w:rsidR="00442170" w:rsidRPr="001B2468" w:rsidRDefault="00BE4306" w:rsidP="00575B54">
            <w:pPr>
              <w:pStyle w:val="TableText"/>
            </w:pPr>
            <w:r w:rsidRPr="001B2468">
              <w:t>The project duration is 6 months.</w:t>
            </w:r>
          </w:p>
        </w:tc>
        <w:tc>
          <w:tcPr>
            <w:tcW w:w="499" w:type="pct"/>
            <w:shd w:val="clear" w:color="auto" w:fill="auto"/>
          </w:tcPr>
          <w:p w14:paraId="7E6874E7" w14:textId="77777777" w:rsidR="00442170" w:rsidRPr="001B2468" w:rsidRDefault="00BE4306" w:rsidP="00575B54">
            <w:pPr>
              <w:pStyle w:val="TableText"/>
            </w:pPr>
            <w:r w:rsidRPr="001B2468">
              <w:t xml:space="preserve">The Burke, Wills, King and </w:t>
            </w:r>
            <w:proofErr w:type="spellStart"/>
            <w:r w:rsidRPr="001B2468">
              <w:t>Yandruwandha</w:t>
            </w:r>
            <w:proofErr w:type="spellEnd"/>
            <w:r w:rsidRPr="001B2468">
              <w:t xml:space="preserve"> National Heritage Place</w:t>
            </w:r>
          </w:p>
        </w:tc>
        <w:tc>
          <w:tcPr>
            <w:tcW w:w="292" w:type="pct"/>
            <w:shd w:val="clear" w:color="auto" w:fill="auto"/>
          </w:tcPr>
          <w:p w14:paraId="0859B815" w14:textId="77777777" w:rsidR="00442170" w:rsidRPr="001B2468" w:rsidRDefault="00BE4306" w:rsidP="00575B54">
            <w:pPr>
              <w:pStyle w:val="TableText"/>
            </w:pPr>
            <w:r w:rsidRPr="001B2468">
              <w:t>SA</w:t>
            </w:r>
          </w:p>
        </w:tc>
        <w:tc>
          <w:tcPr>
            <w:tcW w:w="625" w:type="pct"/>
            <w:shd w:val="clear" w:color="auto" w:fill="auto"/>
          </w:tcPr>
          <w:p w14:paraId="74F7C256" w14:textId="77777777" w:rsidR="00442170" w:rsidRPr="001B2468" w:rsidRDefault="00BE4306" w:rsidP="00575B54">
            <w:pPr>
              <w:pStyle w:val="TableText"/>
              <w:jc w:val="right"/>
            </w:pPr>
            <w:r w:rsidRPr="001B2468">
              <w:t>316,000</w:t>
            </w:r>
          </w:p>
        </w:tc>
        <w:tc>
          <w:tcPr>
            <w:tcW w:w="411" w:type="pct"/>
            <w:shd w:val="clear" w:color="auto" w:fill="auto"/>
          </w:tcPr>
          <w:p w14:paraId="5FE74CBC" w14:textId="77777777" w:rsidR="00442170" w:rsidRPr="001B2468" w:rsidRDefault="00BE4306" w:rsidP="00575B54">
            <w:pPr>
              <w:pStyle w:val="TableText"/>
              <w:jc w:val="right"/>
            </w:pPr>
            <w:r w:rsidRPr="001B2468">
              <w:t>347,600</w:t>
            </w:r>
          </w:p>
        </w:tc>
      </w:tr>
      <w:tr w:rsidR="008E3DA8" w14:paraId="2AC9ECA2" w14:textId="77777777" w:rsidTr="00575B54">
        <w:tc>
          <w:tcPr>
            <w:tcW w:w="595" w:type="pct"/>
            <w:shd w:val="clear" w:color="auto" w:fill="auto"/>
          </w:tcPr>
          <w:p w14:paraId="5531D7C3" w14:textId="77777777" w:rsidR="00442170" w:rsidRPr="001B2468" w:rsidRDefault="00BE4306" w:rsidP="00575B54">
            <w:pPr>
              <w:pStyle w:val="TableText"/>
            </w:pPr>
            <w:r w:rsidRPr="001B2468">
              <w:t xml:space="preserve">Lord Howe Island- Improving access to the </w:t>
            </w:r>
            <w:r w:rsidRPr="001B2468">
              <w:t>world’s most southern coral reefs</w:t>
            </w:r>
          </w:p>
        </w:tc>
        <w:tc>
          <w:tcPr>
            <w:tcW w:w="511" w:type="pct"/>
            <w:shd w:val="clear" w:color="auto" w:fill="auto"/>
          </w:tcPr>
          <w:p w14:paraId="742F419B" w14:textId="77777777" w:rsidR="00442170" w:rsidRPr="001B2468" w:rsidRDefault="00BE4306" w:rsidP="00575B54">
            <w:pPr>
              <w:pStyle w:val="TableText"/>
            </w:pPr>
            <w:r w:rsidRPr="001B2468">
              <w:t>Lord Howe Island Board</w:t>
            </w:r>
          </w:p>
        </w:tc>
        <w:tc>
          <w:tcPr>
            <w:tcW w:w="2068" w:type="pct"/>
            <w:shd w:val="clear" w:color="auto" w:fill="auto"/>
          </w:tcPr>
          <w:p w14:paraId="53F4DB7B" w14:textId="77777777" w:rsidR="001F4DC5" w:rsidRPr="001B2468" w:rsidRDefault="00BE4306" w:rsidP="00575B54">
            <w:pPr>
              <w:pStyle w:val="TableText"/>
            </w:pPr>
            <w:r w:rsidRPr="001B2468">
              <w:t xml:space="preserve">This project aims to improve visitor access to Lord Howe Island World Heritage area by undertaking maintenance and repairs of tracks and stairs at Middle Beach. This will enable the </w:t>
            </w:r>
            <w:r w:rsidRPr="001B2468">
              <w:t>reopening of two highly utilised walking tracks (north and south Middle Beach tracks) that currently only have restricted access due to damage caused by successive significant weather events resulting in land slip and coastal erosion. The project will also</w:t>
            </w:r>
            <w:r w:rsidRPr="001B2468">
              <w:t xml:space="preserve"> enhance interpretation of the island's World Heritage values along its popular track network by showcasing and promoting the protection of the island’s environmental values.</w:t>
            </w:r>
          </w:p>
          <w:p w14:paraId="7394E768" w14:textId="77777777" w:rsidR="00442170" w:rsidRPr="001B2468" w:rsidRDefault="00BE4306" w:rsidP="00575B54">
            <w:pPr>
              <w:pStyle w:val="TableText"/>
            </w:pPr>
            <w:r w:rsidRPr="001B2468">
              <w:t>The project duration is 18 months.</w:t>
            </w:r>
          </w:p>
        </w:tc>
        <w:tc>
          <w:tcPr>
            <w:tcW w:w="499" w:type="pct"/>
            <w:shd w:val="clear" w:color="auto" w:fill="auto"/>
          </w:tcPr>
          <w:p w14:paraId="327E65F0" w14:textId="77777777" w:rsidR="00442170" w:rsidRPr="001B2468" w:rsidRDefault="00BE4306" w:rsidP="00575B54">
            <w:pPr>
              <w:pStyle w:val="TableText"/>
            </w:pPr>
            <w:r w:rsidRPr="001B2468">
              <w:t>Lord Howe Island Group</w:t>
            </w:r>
          </w:p>
        </w:tc>
        <w:tc>
          <w:tcPr>
            <w:tcW w:w="292" w:type="pct"/>
            <w:shd w:val="clear" w:color="auto" w:fill="auto"/>
          </w:tcPr>
          <w:p w14:paraId="3619640E" w14:textId="77777777" w:rsidR="00442170" w:rsidRPr="001B2468" w:rsidRDefault="00BE4306" w:rsidP="00575B54">
            <w:pPr>
              <w:pStyle w:val="TableText"/>
            </w:pPr>
            <w:r w:rsidRPr="001B2468">
              <w:t>NSW</w:t>
            </w:r>
          </w:p>
        </w:tc>
        <w:tc>
          <w:tcPr>
            <w:tcW w:w="625" w:type="pct"/>
            <w:shd w:val="clear" w:color="auto" w:fill="auto"/>
          </w:tcPr>
          <w:p w14:paraId="07204BF3" w14:textId="77777777" w:rsidR="00442170" w:rsidRPr="001B2468" w:rsidRDefault="00BE4306" w:rsidP="00575B54">
            <w:pPr>
              <w:pStyle w:val="TableText"/>
              <w:jc w:val="right"/>
            </w:pPr>
            <w:r w:rsidRPr="001B2468">
              <w:t>320,000</w:t>
            </w:r>
          </w:p>
        </w:tc>
        <w:tc>
          <w:tcPr>
            <w:tcW w:w="411" w:type="pct"/>
            <w:shd w:val="clear" w:color="auto" w:fill="auto"/>
          </w:tcPr>
          <w:p w14:paraId="7D0E5B1A" w14:textId="77777777" w:rsidR="00442170" w:rsidRPr="001B2468" w:rsidRDefault="00BE4306" w:rsidP="00575B54">
            <w:pPr>
              <w:pStyle w:val="TableText"/>
              <w:jc w:val="right"/>
            </w:pPr>
            <w:r w:rsidRPr="001B2468">
              <w:t>352,000</w:t>
            </w:r>
          </w:p>
        </w:tc>
      </w:tr>
      <w:tr w:rsidR="008E3DA8" w14:paraId="21784930" w14:textId="77777777" w:rsidTr="00575B54">
        <w:tc>
          <w:tcPr>
            <w:tcW w:w="595" w:type="pct"/>
            <w:shd w:val="clear" w:color="auto" w:fill="auto"/>
          </w:tcPr>
          <w:p w14:paraId="1F87C3D1" w14:textId="77777777" w:rsidR="00442170" w:rsidRPr="001B2468" w:rsidRDefault="00BE4306" w:rsidP="00575B54">
            <w:pPr>
              <w:pStyle w:val="TableText"/>
            </w:pPr>
            <w:r w:rsidRPr="001B2468">
              <w:lastRenderedPageBreak/>
              <w:t>Fremantle Prison Murals Conservation</w:t>
            </w:r>
          </w:p>
        </w:tc>
        <w:tc>
          <w:tcPr>
            <w:tcW w:w="511" w:type="pct"/>
            <w:shd w:val="clear" w:color="auto" w:fill="auto"/>
          </w:tcPr>
          <w:p w14:paraId="366FEEE9" w14:textId="77777777" w:rsidR="00442170" w:rsidRPr="001B2468" w:rsidRDefault="00BE4306" w:rsidP="00575B54">
            <w:pPr>
              <w:pStyle w:val="TableText"/>
            </w:pPr>
            <w:r w:rsidRPr="001B2468">
              <w:t>Department of Planning Lands and Heritage</w:t>
            </w:r>
          </w:p>
        </w:tc>
        <w:tc>
          <w:tcPr>
            <w:tcW w:w="2068" w:type="pct"/>
            <w:shd w:val="clear" w:color="auto" w:fill="auto"/>
          </w:tcPr>
          <w:p w14:paraId="7F2D2D25" w14:textId="77777777" w:rsidR="001F4DC5" w:rsidRPr="001B2468" w:rsidRDefault="00BE4306" w:rsidP="00575B54">
            <w:pPr>
              <w:pStyle w:val="TableText"/>
            </w:pPr>
            <w:r w:rsidRPr="001B2468">
              <w:t xml:space="preserve">The project will preserve, </w:t>
            </w:r>
            <w:proofErr w:type="gramStart"/>
            <w:r w:rsidRPr="001B2468">
              <w:t>maintain</w:t>
            </w:r>
            <w:proofErr w:type="gramEnd"/>
            <w:r w:rsidRPr="001B2468">
              <w:t xml:space="preserve"> and improve engagement with Fremantle Prison. Activities to murals will be stabilised, losses infilled with an option for </w:t>
            </w:r>
            <w:r w:rsidRPr="001B2468">
              <w:t>retouching of losses in the composition.  The murals will be lined onto a new support so they can be safely reinstalled into New Division cell E51 without being affected by environmental and/or structural issues. Current conservation and hydraulic works to</w:t>
            </w:r>
            <w:r w:rsidRPr="001B2468">
              <w:t xml:space="preserve"> address the impacts and levels of moisture in the walls of the Main Cell Block will also contribute to the stability and ongoing preservation of these artworks.</w:t>
            </w:r>
          </w:p>
          <w:p w14:paraId="0329CFBE" w14:textId="77777777" w:rsidR="00442170" w:rsidRPr="001B2468" w:rsidRDefault="00BE4306" w:rsidP="00575B54">
            <w:pPr>
              <w:pStyle w:val="TableText"/>
            </w:pPr>
            <w:r w:rsidRPr="001B2468">
              <w:t>The project duration is 12 months.</w:t>
            </w:r>
          </w:p>
        </w:tc>
        <w:tc>
          <w:tcPr>
            <w:tcW w:w="499" w:type="pct"/>
            <w:shd w:val="clear" w:color="auto" w:fill="auto"/>
          </w:tcPr>
          <w:p w14:paraId="761363B1" w14:textId="77777777" w:rsidR="00442170" w:rsidRPr="001B2468" w:rsidRDefault="00BE4306" w:rsidP="00575B54">
            <w:pPr>
              <w:pStyle w:val="TableText"/>
            </w:pPr>
            <w:r w:rsidRPr="001B2468">
              <w:t>Fremantle Prison (former)</w:t>
            </w:r>
          </w:p>
        </w:tc>
        <w:tc>
          <w:tcPr>
            <w:tcW w:w="292" w:type="pct"/>
            <w:shd w:val="clear" w:color="auto" w:fill="auto"/>
          </w:tcPr>
          <w:p w14:paraId="60E47BEE" w14:textId="77777777" w:rsidR="00442170" w:rsidRPr="001B2468" w:rsidRDefault="00BE4306" w:rsidP="00575B54">
            <w:pPr>
              <w:pStyle w:val="TableText"/>
            </w:pPr>
            <w:r w:rsidRPr="001B2468">
              <w:t>WA</w:t>
            </w:r>
          </w:p>
        </w:tc>
        <w:tc>
          <w:tcPr>
            <w:tcW w:w="625" w:type="pct"/>
            <w:shd w:val="clear" w:color="auto" w:fill="auto"/>
          </w:tcPr>
          <w:p w14:paraId="38734954" w14:textId="77777777" w:rsidR="00442170" w:rsidRPr="001B2468" w:rsidRDefault="00BE4306" w:rsidP="00575B54">
            <w:pPr>
              <w:pStyle w:val="TableText"/>
              <w:jc w:val="right"/>
            </w:pPr>
            <w:r w:rsidRPr="001B2468">
              <w:t>170,000</w:t>
            </w:r>
          </w:p>
        </w:tc>
        <w:tc>
          <w:tcPr>
            <w:tcW w:w="411" w:type="pct"/>
            <w:shd w:val="clear" w:color="auto" w:fill="auto"/>
          </w:tcPr>
          <w:p w14:paraId="39D0FCA0" w14:textId="77777777" w:rsidR="00442170" w:rsidRPr="001B2468" w:rsidRDefault="00BE4306" w:rsidP="00575B54">
            <w:pPr>
              <w:pStyle w:val="TableText"/>
              <w:jc w:val="right"/>
            </w:pPr>
            <w:r w:rsidRPr="001B2468">
              <w:t>187,000</w:t>
            </w:r>
          </w:p>
        </w:tc>
      </w:tr>
      <w:tr w:rsidR="008E3DA8" w14:paraId="01BA07C3" w14:textId="77777777" w:rsidTr="00575B54">
        <w:tc>
          <w:tcPr>
            <w:tcW w:w="595" w:type="pct"/>
            <w:shd w:val="clear" w:color="auto" w:fill="auto"/>
          </w:tcPr>
          <w:p w14:paraId="1E9C7FB8" w14:textId="77777777" w:rsidR="00442170" w:rsidRPr="001B2468" w:rsidRDefault="00BE4306" w:rsidP="00575B54">
            <w:pPr>
              <w:pStyle w:val="TableText"/>
            </w:pPr>
            <w:r w:rsidRPr="001B2468">
              <w:t>Essential safety, conservation &amp; interpretation of Rippon Lea Mansion Tower</w:t>
            </w:r>
          </w:p>
        </w:tc>
        <w:tc>
          <w:tcPr>
            <w:tcW w:w="511" w:type="pct"/>
            <w:shd w:val="clear" w:color="auto" w:fill="auto"/>
          </w:tcPr>
          <w:p w14:paraId="74DC820B" w14:textId="77777777" w:rsidR="00442170" w:rsidRPr="001B2468" w:rsidRDefault="00BE4306" w:rsidP="00575B54">
            <w:pPr>
              <w:pStyle w:val="TableText"/>
            </w:pPr>
            <w:r w:rsidRPr="001B2468">
              <w:t>National Trust of Australia (Victoria)</w:t>
            </w:r>
          </w:p>
        </w:tc>
        <w:tc>
          <w:tcPr>
            <w:tcW w:w="2068" w:type="pct"/>
            <w:shd w:val="clear" w:color="auto" w:fill="auto"/>
          </w:tcPr>
          <w:p w14:paraId="4A75D5C8" w14:textId="77777777" w:rsidR="001F4DC5" w:rsidRPr="001B2468" w:rsidRDefault="00BE4306" w:rsidP="00575B54">
            <w:pPr>
              <w:pStyle w:val="TableText"/>
            </w:pPr>
            <w:r w:rsidRPr="001B2468">
              <w:t xml:space="preserve">The project will complete essential repairs to the important features of the Rippon Lea mansion tower for conservation purposes, and provide </w:t>
            </w:r>
            <w:r w:rsidRPr="001B2468">
              <w:t>improved safety and access, enable public education and access (including digital) for ongoing conservation, management, and restoration of the listed site. Key project activities include an engineering and safety assessment, implementation of the required</w:t>
            </w:r>
            <w:r w:rsidRPr="001B2468">
              <w:t xml:space="preserve"> make safe works including conservation and repair of the concrete/render and crumbling sections of the balustrade and the design and implementation of interpretation (digital and signage) about the tower, to support public access and education.</w:t>
            </w:r>
          </w:p>
          <w:p w14:paraId="2597482D" w14:textId="77777777" w:rsidR="00442170" w:rsidRPr="001B2468" w:rsidRDefault="00BE4306" w:rsidP="00575B54">
            <w:pPr>
              <w:pStyle w:val="TableText"/>
            </w:pPr>
            <w:r w:rsidRPr="001B2468">
              <w:t>The projec</w:t>
            </w:r>
            <w:r w:rsidRPr="001B2468">
              <w:t>t duration is 12 months.</w:t>
            </w:r>
          </w:p>
        </w:tc>
        <w:tc>
          <w:tcPr>
            <w:tcW w:w="499" w:type="pct"/>
            <w:shd w:val="clear" w:color="auto" w:fill="auto"/>
          </w:tcPr>
          <w:p w14:paraId="37B8BD1E" w14:textId="77777777" w:rsidR="00442170" w:rsidRPr="001B2468" w:rsidRDefault="00BE4306" w:rsidP="00575B54">
            <w:pPr>
              <w:pStyle w:val="TableText"/>
            </w:pPr>
            <w:r w:rsidRPr="001B2468">
              <w:t>Rippon Lea House and Garden</w:t>
            </w:r>
          </w:p>
        </w:tc>
        <w:tc>
          <w:tcPr>
            <w:tcW w:w="292" w:type="pct"/>
            <w:shd w:val="clear" w:color="auto" w:fill="auto"/>
          </w:tcPr>
          <w:p w14:paraId="453BE869" w14:textId="77777777" w:rsidR="007C1D6C" w:rsidRPr="007C1D6C" w:rsidRDefault="00BE4306" w:rsidP="00575B54">
            <w:pPr>
              <w:pStyle w:val="TableText"/>
            </w:pPr>
            <w:r w:rsidRPr="001B2468">
              <w:t>V</w:t>
            </w:r>
            <w:r>
              <w:t>ic.</w:t>
            </w:r>
          </w:p>
        </w:tc>
        <w:tc>
          <w:tcPr>
            <w:tcW w:w="625" w:type="pct"/>
            <w:shd w:val="clear" w:color="auto" w:fill="auto"/>
          </w:tcPr>
          <w:p w14:paraId="264FED0C" w14:textId="77777777" w:rsidR="00442170" w:rsidRPr="001B2468" w:rsidRDefault="00BE4306" w:rsidP="00575B54">
            <w:pPr>
              <w:pStyle w:val="TableText"/>
              <w:jc w:val="right"/>
            </w:pPr>
            <w:r w:rsidRPr="001B2468">
              <w:t>53,350</w:t>
            </w:r>
          </w:p>
        </w:tc>
        <w:tc>
          <w:tcPr>
            <w:tcW w:w="411" w:type="pct"/>
            <w:shd w:val="clear" w:color="auto" w:fill="auto"/>
          </w:tcPr>
          <w:p w14:paraId="6345A439" w14:textId="77777777" w:rsidR="00442170" w:rsidRPr="001B2468" w:rsidRDefault="00BE4306" w:rsidP="00575B54">
            <w:pPr>
              <w:pStyle w:val="TableText"/>
              <w:jc w:val="right"/>
            </w:pPr>
            <w:r w:rsidRPr="001B2468">
              <w:t>58,685</w:t>
            </w:r>
          </w:p>
        </w:tc>
      </w:tr>
      <w:tr w:rsidR="008E3DA8" w14:paraId="597B13E6" w14:textId="77777777" w:rsidTr="00575B54">
        <w:tc>
          <w:tcPr>
            <w:tcW w:w="595" w:type="pct"/>
            <w:shd w:val="clear" w:color="auto" w:fill="auto"/>
          </w:tcPr>
          <w:p w14:paraId="58C86A47" w14:textId="77777777" w:rsidR="00442170" w:rsidRPr="001B2468" w:rsidRDefault="00BE4306" w:rsidP="00575B54">
            <w:pPr>
              <w:pStyle w:val="TableText"/>
            </w:pPr>
            <w:r w:rsidRPr="001B2468">
              <w:t>Conservation works and visitor app update Old Great North Road</w:t>
            </w:r>
          </w:p>
        </w:tc>
        <w:tc>
          <w:tcPr>
            <w:tcW w:w="511" w:type="pct"/>
            <w:shd w:val="clear" w:color="auto" w:fill="auto"/>
          </w:tcPr>
          <w:p w14:paraId="1BA2069B" w14:textId="77777777" w:rsidR="00442170" w:rsidRPr="001B2468" w:rsidRDefault="00BE4306" w:rsidP="00575B54">
            <w:pPr>
              <w:pStyle w:val="TableText"/>
            </w:pPr>
            <w:r w:rsidRPr="001B2468">
              <w:t>Office of Environment and Heritage</w:t>
            </w:r>
          </w:p>
        </w:tc>
        <w:tc>
          <w:tcPr>
            <w:tcW w:w="2068" w:type="pct"/>
            <w:shd w:val="clear" w:color="auto" w:fill="auto"/>
          </w:tcPr>
          <w:p w14:paraId="31E42680" w14:textId="77777777" w:rsidR="001F4DC5" w:rsidRPr="001B2468" w:rsidRDefault="00BE4306" w:rsidP="00575B54">
            <w:pPr>
              <w:pStyle w:val="TableText"/>
            </w:pPr>
            <w:r w:rsidRPr="001B2468">
              <w:t xml:space="preserve">This project involves two main activities - conservation works to be undertaken on the World Heritage section of </w:t>
            </w:r>
            <w:proofErr w:type="spellStart"/>
            <w:r w:rsidRPr="001B2468">
              <w:t>Devines</w:t>
            </w:r>
            <w:proofErr w:type="spellEnd"/>
            <w:r w:rsidRPr="001B2468">
              <w:t xml:space="preserve"> Hill and an update the current Convict Road smartphone app for visitors.  Conservation works include retrieving and replacing fallen bl</w:t>
            </w:r>
            <w:r w:rsidRPr="001B2468">
              <w:t>ocks, realigning the sandstone blocks in the spillways to direct water away from the buttresses and the continuation of the movement monitoring program for the for the wall and buttresses.  This conservation work will maintain the heritage values of the si</w:t>
            </w:r>
            <w:r w:rsidRPr="001B2468">
              <w:t>te by preventing loss of fabric and further damage from water flow.</w:t>
            </w:r>
          </w:p>
          <w:p w14:paraId="18A5CD33" w14:textId="77777777" w:rsidR="001F4DC5" w:rsidRPr="001B2468" w:rsidRDefault="00BE4306" w:rsidP="00575B54">
            <w:pPr>
              <w:pStyle w:val="TableText"/>
            </w:pPr>
            <w:r w:rsidRPr="001B2468">
              <w:t>The Convict Road app which provides a history, modern day and kids tours, needs updating to run on the current smartphone iOS and Android versions. The smartphone app engages visitors to r</w:t>
            </w:r>
            <w:r w:rsidRPr="001B2468">
              <w:t>aise their understanding of the significance of the site.</w:t>
            </w:r>
          </w:p>
          <w:p w14:paraId="2BBDE90E" w14:textId="77777777" w:rsidR="00442170" w:rsidRPr="001B2468" w:rsidRDefault="00BE4306" w:rsidP="00575B54">
            <w:pPr>
              <w:pStyle w:val="TableText"/>
            </w:pPr>
            <w:r w:rsidRPr="001B2468">
              <w:lastRenderedPageBreak/>
              <w:t>The project duration is 12 months.</w:t>
            </w:r>
          </w:p>
        </w:tc>
        <w:tc>
          <w:tcPr>
            <w:tcW w:w="499" w:type="pct"/>
            <w:shd w:val="clear" w:color="auto" w:fill="auto"/>
          </w:tcPr>
          <w:p w14:paraId="2FA29B86" w14:textId="77777777" w:rsidR="00442170" w:rsidRPr="001B2468" w:rsidRDefault="00BE4306" w:rsidP="00575B54">
            <w:pPr>
              <w:pStyle w:val="TableText"/>
            </w:pPr>
            <w:r w:rsidRPr="001B2468">
              <w:lastRenderedPageBreak/>
              <w:t>Old Great North Road</w:t>
            </w:r>
          </w:p>
        </w:tc>
        <w:tc>
          <w:tcPr>
            <w:tcW w:w="292" w:type="pct"/>
            <w:shd w:val="clear" w:color="auto" w:fill="auto"/>
          </w:tcPr>
          <w:p w14:paraId="0C352A91" w14:textId="77777777" w:rsidR="00442170" w:rsidRPr="001B2468" w:rsidRDefault="00BE4306" w:rsidP="00575B54">
            <w:pPr>
              <w:pStyle w:val="TableText"/>
            </w:pPr>
            <w:r w:rsidRPr="001B2468">
              <w:t>NSW</w:t>
            </w:r>
          </w:p>
        </w:tc>
        <w:tc>
          <w:tcPr>
            <w:tcW w:w="625" w:type="pct"/>
            <w:shd w:val="clear" w:color="auto" w:fill="auto"/>
          </w:tcPr>
          <w:p w14:paraId="6EAEA9B5" w14:textId="77777777" w:rsidR="00442170" w:rsidRPr="001B2468" w:rsidRDefault="00BE4306" w:rsidP="00575B54">
            <w:pPr>
              <w:pStyle w:val="TableText"/>
              <w:jc w:val="right"/>
            </w:pPr>
            <w:r w:rsidRPr="001B2468">
              <w:t>64,000</w:t>
            </w:r>
          </w:p>
        </w:tc>
        <w:tc>
          <w:tcPr>
            <w:tcW w:w="411" w:type="pct"/>
            <w:shd w:val="clear" w:color="auto" w:fill="auto"/>
          </w:tcPr>
          <w:p w14:paraId="3DB164F6" w14:textId="77777777" w:rsidR="00442170" w:rsidRPr="001B2468" w:rsidRDefault="00BE4306" w:rsidP="00575B54">
            <w:pPr>
              <w:pStyle w:val="TableText"/>
              <w:jc w:val="right"/>
            </w:pPr>
            <w:r w:rsidRPr="001B2468">
              <w:t>70,400</w:t>
            </w:r>
          </w:p>
        </w:tc>
      </w:tr>
      <w:tr w:rsidR="008E3DA8" w14:paraId="6809303C" w14:textId="77777777" w:rsidTr="00575B54">
        <w:tc>
          <w:tcPr>
            <w:tcW w:w="595" w:type="pct"/>
            <w:shd w:val="clear" w:color="auto" w:fill="auto"/>
          </w:tcPr>
          <w:p w14:paraId="61B732EC" w14:textId="77777777" w:rsidR="00442170" w:rsidRPr="001B2468" w:rsidRDefault="00BE4306" w:rsidP="00575B54">
            <w:pPr>
              <w:pStyle w:val="TableText"/>
            </w:pPr>
            <w:r w:rsidRPr="001B2468">
              <w:t>Heritage Interpretation for Children and Families</w:t>
            </w:r>
          </w:p>
        </w:tc>
        <w:tc>
          <w:tcPr>
            <w:tcW w:w="511" w:type="pct"/>
            <w:shd w:val="clear" w:color="auto" w:fill="auto"/>
          </w:tcPr>
          <w:p w14:paraId="4C2975CE" w14:textId="77777777" w:rsidR="00442170" w:rsidRPr="001B2468" w:rsidRDefault="00BE4306" w:rsidP="00575B54">
            <w:pPr>
              <w:pStyle w:val="TableText"/>
            </w:pPr>
            <w:r w:rsidRPr="001B2468">
              <w:t>Abbotsford Convent Foundation</w:t>
            </w:r>
          </w:p>
        </w:tc>
        <w:tc>
          <w:tcPr>
            <w:tcW w:w="2068" w:type="pct"/>
            <w:shd w:val="clear" w:color="auto" w:fill="auto"/>
          </w:tcPr>
          <w:p w14:paraId="6D993327" w14:textId="77777777" w:rsidR="00442170" w:rsidRPr="001B2468" w:rsidRDefault="00BE4306" w:rsidP="00575B54">
            <w:pPr>
              <w:pStyle w:val="TableText"/>
            </w:pPr>
            <w:r w:rsidRPr="001B2468">
              <w:t>Abbotsford Convent with lead artist Jessica Wilson and creative collaborators will present a 6-month season of self-guided, on-demand digital heritage interpretation activations through 2 participatory family projects: 'Child Nation' and '</w:t>
            </w:r>
            <w:proofErr w:type="spellStart"/>
            <w:r w:rsidRPr="001B2468">
              <w:t>Wayfinders</w:t>
            </w:r>
            <w:proofErr w:type="spellEnd"/>
            <w:r w:rsidRPr="001B2468">
              <w:t xml:space="preserve">'. The </w:t>
            </w:r>
            <w:r w:rsidRPr="001B2468">
              <w:t>project involves immersive storytelling, participative art, and audio tours.</w:t>
            </w:r>
          </w:p>
          <w:p w14:paraId="294C5EC6" w14:textId="77777777" w:rsidR="00442170" w:rsidRPr="001B2468" w:rsidRDefault="00BE4306" w:rsidP="00575B54">
            <w:pPr>
              <w:pStyle w:val="TableText"/>
            </w:pPr>
            <w:r w:rsidRPr="001B2468">
              <w:t>This project will:</w:t>
            </w:r>
          </w:p>
          <w:p w14:paraId="71DC924A" w14:textId="77777777" w:rsidR="00442170" w:rsidRPr="00C5052D" w:rsidRDefault="00BE4306" w:rsidP="00575B54">
            <w:pPr>
              <w:pStyle w:val="TableBullet1"/>
            </w:pPr>
            <w:r w:rsidRPr="00C5052D">
              <w:t>increase hands-on engagement by current and new Convent family visitors by facilitating engagement between children and our heritage listed place building deep and lasting connection to place</w:t>
            </w:r>
          </w:p>
          <w:p w14:paraId="35E52236" w14:textId="77777777" w:rsidR="00442170" w:rsidRPr="001B2468" w:rsidRDefault="00BE4306" w:rsidP="00575B54">
            <w:pPr>
              <w:pStyle w:val="TableBullet1"/>
            </w:pPr>
            <w:r w:rsidRPr="00C5052D">
              <w:t xml:space="preserve">provide accessibility for linguistically diverse </w:t>
            </w:r>
            <w:r w:rsidRPr="00C5052D">
              <w:t>children/families by providing interpretation activities in Mandarin, Vietnamese, Punjabi, Spanish, French and Arabic.</w:t>
            </w:r>
          </w:p>
          <w:p w14:paraId="325E38E0" w14:textId="77777777" w:rsidR="001F4DC5" w:rsidRPr="001B2468" w:rsidRDefault="00BE4306" w:rsidP="00575B54">
            <w:pPr>
              <w:pStyle w:val="TableText"/>
            </w:pPr>
            <w:r w:rsidRPr="001B2468">
              <w:t>This is a joint application with Jessica Wilson Pty Ltd.</w:t>
            </w:r>
          </w:p>
          <w:p w14:paraId="63B8B93F" w14:textId="77777777" w:rsidR="00442170" w:rsidRPr="001B2468" w:rsidRDefault="00BE4306" w:rsidP="00575B54">
            <w:pPr>
              <w:pStyle w:val="TableText"/>
            </w:pPr>
            <w:r w:rsidRPr="001B2468">
              <w:t>The project duration is 14 months.</w:t>
            </w:r>
          </w:p>
        </w:tc>
        <w:tc>
          <w:tcPr>
            <w:tcW w:w="499" w:type="pct"/>
            <w:shd w:val="clear" w:color="auto" w:fill="auto"/>
          </w:tcPr>
          <w:p w14:paraId="40A797DA" w14:textId="77777777" w:rsidR="00442170" w:rsidRPr="001B2468" w:rsidRDefault="00BE4306" w:rsidP="00575B54">
            <w:pPr>
              <w:pStyle w:val="TableText"/>
            </w:pPr>
            <w:r w:rsidRPr="001B2468">
              <w:t>Abbotsford Convent</w:t>
            </w:r>
          </w:p>
        </w:tc>
        <w:tc>
          <w:tcPr>
            <w:tcW w:w="292" w:type="pct"/>
            <w:shd w:val="clear" w:color="auto" w:fill="auto"/>
          </w:tcPr>
          <w:p w14:paraId="78796A99" w14:textId="77777777" w:rsidR="007C1D6C" w:rsidRPr="007C1D6C" w:rsidRDefault="00BE4306" w:rsidP="00575B54">
            <w:pPr>
              <w:pStyle w:val="TableText"/>
            </w:pPr>
            <w:r w:rsidRPr="001B2468">
              <w:t>V</w:t>
            </w:r>
            <w:r>
              <w:t>ic</w:t>
            </w:r>
          </w:p>
        </w:tc>
        <w:tc>
          <w:tcPr>
            <w:tcW w:w="625" w:type="pct"/>
            <w:shd w:val="clear" w:color="auto" w:fill="auto"/>
          </w:tcPr>
          <w:p w14:paraId="64FB58B4" w14:textId="77777777" w:rsidR="00442170" w:rsidRPr="001B2468" w:rsidRDefault="00BE4306" w:rsidP="00575B54">
            <w:pPr>
              <w:pStyle w:val="TableText"/>
              <w:jc w:val="right"/>
            </w:pPr>
            <w:r w:rsidRPr="001B2468">
              <w:t>42,900</w:t>
            </w:r>
          </w:p>
        </w:tc>
        <w:tc>
          <w:tcPr>
            <w:tcW w:w="411" w:type="pct"/>
            <w:shd w:val="clear" w:color="auto" w:fill="auto"/>
          </w:tcPr>
          <w:p w14:paraId="1986EB9A" w14:textId="77777777" w:rsidR="00442170" w:rsidRPr="001B2468" w:rsidRDefault="00BE4306" w:rsidP="00575B54">
            <w:pPr>
              <w:pStyle w:val="TableText"/>
              <w:jc w:val="right"/>
            </w:pPr>
            <w:r w:rsidRPr="001B2468">
              <w:t>47,190</w:t>
            </w:r>
          </w:p>
        </w:tc>
      </w:tr>
      <w:tr w:rsidR="008E3DA8" w14:paraId="7217C7BE" w14:textId="77777777" w:rsidTr="00575B54">
        <w:tc>
          <w:tcPr>
            <w:tcW w:w="595" w:type="pct"/>
            <w:shd w:val="clear" w:color="auto" w:fill="auto"/>
          </w:tcPr>
          <w:p w14:paraId="438C5DF7" w14:textId="77777777" w:rsidR="00442170" w:rsidRPr="001B2468" w:rsidRDefault="00BE4306" w:rsidP="00575B54">
            <w:pPr>
              <w:pStyle w:val="TableText"/>
            </w:pPr>
            <w:r w:rsidRPr="001B2468">
              <w:t>Burra Heritage Passport Signage Revitalisation project</w:t>
            </w:r>
          </w:p>
        </w:tc>
        <w:tc>
          <w:tcPr>
            <w:tcW w:w="511" w:type="pct"/>
            <w:shd w:val="clear" w:color="auto" w:fill="auto"/>
          </w:tcPr>
          <w:p w14:paraId="7AFDA358" w14:textId="77777777" w:rsidR="00442170" w:rsidRPr="001B2468" w:rsidRDefault="00BE4306" w:rsidP="00575B54">
            <w:pPr>
              <w:pStyle w:val="TableText"/>
            </w:pPr>
            <w:r w:rsidRPr="001B2468">
              <w:t>Regional Council of Goyder</w:t>
            </w:r>
          </w:p>
        </w:tc>
        <w:tc>
          <w:tcPr>
            <w:tcW w:w="2068" w:type="pct"/>
            <w:shd w:val="clear" w:color="auto" w:fill="auto"/>
          </w:tcPr>
          <w:p w14:paraId="6F706645" w14:textId="77777777" w:rsidR="001F4DC5" w:rsidRPr="001B2468" w:rsidRDefault="00BE4306" w:rsidP="00575B54">
            <w:pPr>
              <w:pStyle w:val="TableText"/>
            </w:pPr>
            <w:r w:rsidRPr="001B2468">
              <w:t xml:space="preserve">The project will protect, </w:t>
            </w:r>
            <w:proofErr w:type="gramStart"/>
            <w:r w:rsidRPr="001B2468">
              <w:t>conserve</w:t>
            </w:r>
            <w:proofErr w:type="gramEnd"/>
            <w:r w:rsidRPr="001B2468">
              <w:t xml:space="preserve"> and transmit the National Heritage Values of the Australian Cornish Mining Sites: Burra, encourage regional tourism, build resilience and s</w:t>
            </w:r>
            <w:r w:rsidRPr="001B2468">
              <w:t>upport local economic development. The project will remove and replace all signage infrastructure and interpretation boards at each of the Burra Heritage Passport sites and introduce technology such as QR codes to increase engagement. This is a joint proje</w:t>
            </w:r>
            <w:r w:rsidRPr="001B2468">
              <w:t>ct with Burra Community Management Committee Incorporated, Department for Energy and Mining, Department for Environment and Water, Meredith Satchell, Regional Development Australia Yorke and Mid North Incorporated and the Department of Parliamentary Servic</w:t>
            </w:r>
            <w:r w:rsidRPr="001B2468">
              <w:t>es.</w:t>
            </w:r>
          </w:p>
          <w:p w14:paraId="46105648" w14:textId="77777777" w:rsidR="00442170" w:rsidRPr="001B2468" w:rsidRDefault="00BE4306" w:rsidP="00575B54">
            <w:pPr>
              <w:pStyle w:val="TableText"/>
            </w:pPr>
            <w:r w:rsidRPr="001B2468">
              <w:t>The project duration is 22 months.</w:t>
            </w:r>
          </w:p>
        </w:tc>
        <w:tc>
          <w:tcPr>
            <w:tcW w:w="499" w:type="pct"/>
            <w:shd w:val="clear" w:color="auto" w:fill="auto"/>
          </w:tcPr>
          <w:p w14:paraId="7BCAF3AD" w14:textId="77777777" w:rsidR="00442170" w:rsidRPr="001B2468" w:rsidRDefault="00BE4306" w:rsidP="00575B54">
            <w:pPr>
              <w:pStyle w:val="TableText"/>
            </w:pPr>
            <w:r w:rsidRPr="001B2468">
              <w:t>Australian Cornish Mining Sites (Burra)</w:t>
            </w:r>
          </w:p>
        </w:tc>
        <w:tc>
          <w:tcPr>
            <w:tcW w:w="292" w:type="pct"/>
            <w:shd w:val="clear" w:color="auto" w:fill="auto"/>
          </w:tcPr>
          <w:p w14:paraId="33F326CA" w14:textId="77777777" w:rsidR="00442170" w:rsidRPr="001B2468" w:rsidRDefault="00BE4306" w:rsidP="00575B54">
            <w:pPr>
              <w:pStyle w:val="TableText"/>
            </w:pPr>
            <w:r w:rsidRPr="001B2468">
              <w:t>SA</w:t>
            </w:r>
          </w:p>
        </w:tc>
        <w:tc>
          <w:tcPr>
            <w:tcW w:w="625" w:type="pct"/>
            <w:shd w:val="clear" w:color="auto" w:fill="auto"/>
          </w:tcPr>
          <w:p w14:paraId="1223DF70" w14:textId="77777777" w:rsidR="00442170" w:rsidRPr="001B2468" w:rsidRDefault="00BE4306" w:rsidP="00575B54">
            <w:pPr>
              <w:pStyle w:val="TableText"/>
              <w:jc w:val="right"/>
            </w:pPr>
            <w:r w:rsidRPr="001B2468">
              <w:t>270,000</w:t>
            </w:r>
          </w:p>
        </w:tc>
        <w:tc>
          <w:tcPr>
            <w:tcW w:w="411" w:type="pct"/>
            <w:shd w:val="clear" w:color="auto" w:fill="auto"/>
          </w:tcPr>
          <w:p w14:paraId="053F8D2E" w14:textId="77777777" w:rsidR="00442170" w:rsidRPr="001B2468" w:rsidRDefault="00BE4306" w:rsidP="00575B54">
            <w:pPr>
              <w:pStyle w:val="TableText"/>
              <w:jc w:val="right"/>
            </w:pPr>
            <w:r w:rsidRPr="001B2468">
              <w:t>297,000</w:t>
            </w:r>
          </w:p>
        </w:tc>
      </w:tr>
      <w:tr w:rsidR="008E3DA8" w14:paraId="7D32D8BF" w14:textId="77777777" w:rsidTr="00575B54">
        <w:tc>
          <w:tcPr>
            <w:tcW w:w="595" w:type="pct"/>
            <w:shd w:val="clear" w:color="auto" w:fill="auto"/>
          </w:tcPr>
          <w:p w14:paraId="1556C068" w14:textId="77777777" w:rsidR="00442170" w:rsidRPr="001B2468" w:rsidRDefault="00BE4306" w:rsidP="00575B54">
            <w:pPr>
              <w:pStyle w:val="TableText"/>
            </w:pPr>
            <w:r w:rsidRPr="001B2468">
              <w:t>Recovering Darlington Probation Station’s hidden convict landscapes</w:t>
            </w:r>
          </w:p>
        </w:tc>
        <w:tc>
          <w:tcPr>
            <w:tcW w:w="511" w:type="pct"/>
            <w:shd w:val="clear" w:color="auto" w:fill="auto"/>
          </w:tcPr>
          <w:p w14:paraId="3C201D57" w14:textId="77777777" w:rsidR="00442170" w:rsidRPr="001B2468" w:rsidRDefault="00BE4306" w:rsidP="00575B54">
            <w:pPr>
              <w:pStyle w:val="TableText"/>
            </w:pPr>
            <w:r w:rsidRPr="001B2468">
              <w:t>The University of New England</w:t>
            </w:r>
          </w:p>
        </w:tc>
        <w:tc>
          <w:tcPr>
            <w:tcW w:w="2068" w:type="pct"/>
            <w:shd w:val="clear" w:color="auto" w:fill="auto"/>
          </w:tcPr>
          <w:p w14:paraId="371257FD" w14:textId="77777777" w:rsidR="001F4DC5" w:rsidRPr="001B2468" w:rsidRDefault="00BE4306" w:rsidP="00575B54">
            <w:pPr>
              <w:pStyle w:val="TableText"/>
            </w:pPr>
            <w:r w:rsidRPr="001B2468">
              <w:t xml:space="preserve">The project aims to research and understand the </w:t>
            </w:r>
            <w:r w:rsidRPr="001B2468">
              <w:t xml:space="preserve">impact of the first wave of convict settlement on Maria Island (1825-1832). The project activities </w:t>
            </w:r>
            <w:proofErr w:type="gramStart"/>
            <w:r w:rsidRPr="001B2468">
              <w:t>include:</w:t>
            </w:r>
            <w:proofErr w:type="gramEnd"/>
            <w:r w:rsidRPr="001B2468">
              <w:t xml:space="preserve"> Light Detection and Ranging (LiDAR) acquisition and processing of the area around Darlington; archaeological fieldwork to further analyse sites of s</w:t>
            </w:r>
            <w:r w:rsidRPr="001B2468">
              <w:t xml:space="preserve">ignificance; data refinement and reporting; research and Geographic Information System database compilation; and </w:t>
            </w:r>
            <w:r w:rsidRPr="001B2468">
              <w:lastRenderedPageBreak/>
              <w:t>the output of the captured data in a web map product to be used to inform the management framework going forward.</w:t>
            </w:r>
          </w:p>
          <w:p w14:paraId="55C66664" w14:textId="77777777" w:rsidR="001F4DC5" w:rsidRPr="001B2468" w:rsidRDefault="00BE4306" w:rsidP="00575B54">
            <w:pPr>
              <w:pStyle w:val="TableText"/>
            </w:pPr>
            <w:r w:rsidRPr="001B2468">
              <w:t xml:space="preserve">This is a joint project with </w:t>
            </w:r>
            <w:r w:rsidRPr="001B2468">
              <w:t>Tasmanian Parks and Wildlife Service.</w:t>
            </w:r>
          </w:p>
          <w:p w14:paraId="3752F03B" w14:textId="77777777" w:rsidR="00442170" w:rsidRPr="001B2468" w:rsidRDefault="00BE4306" w:rsidP="00575B54">
            <w:pPr>
              <w:pStyle w:val="TableText"/>
            </w:pPr>
            <w:r w:rsidRPr="001B2468">
              <w:t>The project duration is 19 months.</w:t>
            </w:r>
          </w:p>
        </w:tc>
        <w:tc>
          <w:tcPr>
            <w:tcW w:w="499" w:type="pct"/>
            <w:shd w:val="clear" w:color="auto" w:fill="auto"/>
          </w:tcPr>
          <w:p w14:paraId="03D6E27A" w14:textId="77777777" w:rsidR="00442170" w:rsidRPr="001B2468" w:rsidRDefault="00BE4306" w:rsidP="00575B54">
            <w:pPr>
              <w:pStyle w:val="TableText"/>
            </w:pPr>
            <w:r w:rsidRPr="001B2468">
              <w:lastRenderedPageBreak/>
              <w:t>Darlington Probation Station</w:t>
            </w:r>
          </w:p>
        </w:tc>
        <w:tc>
          <w:tcPr>
            <w:tcW w:w="292" w:type="pct"/>
            <w:shd w:val="clear" w:color="auto" w:fill="auto"/>
          </w:tcPr>
          <w:p w14:paraId="65BB0A08" w14:textId="77777777" w:rsidR="00442170" w:rsidRPr="001B2468" w:rsidRDefault="00BE4306" w:rsidP="00575B54">
            <w:pPr>
              <w:pStyle w:val="TableText"/>
            </w:pPr>
            <w:r w:rsidRPr="001B2468">
              <w:t>NSW</w:t>
            </w:r>
          </w:p>
        </w:tc>
        <w:tc>
          <w:tcPr>
            <w:tcW w:w="625" w:type="pct"/>
            <w:shd w:val="clear" w:color="auto" w:fill="auto"/>
          </w:tcPr>
          <w:p w14:paraId="537CB916" w14:textId="77777777" w:rsidR="00442170" w:rsidRPr="001B2468" w:rsidRDefault="00BE4306" w:rsidP="00575B54">
            <w:pPr>
              <w:pStyle w:val="TableText"/>
              <w:jc w:val="right"/>
            </w:pPr>
            <w:r w:rsidRPr="001B2468">
              <w:t>130,949</w:t>
            </w:r>
          </w:p>
        </w:tc>
        <w:tc>
          <w:tcPr>
            <w:tcW w:w="411" w:type="pct"/>
            <w:shd w:val="clear" w:color="auto" w:fill="auto"/>
          </w:tcPr>
          <w:p w14:paraId="72D55535" w14:textId="77777777" w:rsidR="00442170" w:rsidRPr="001B2468" w:rsidRDefault="00BE4306" w:rsidP="00575B54">
            <w:pPr>
              <w:pStyle w:val="TableText"/>
              <w:jc w:val="right"/>
            </w:pPr>
            <w:r w:rsidRPr="001B2468">
              <w:t>144,044</w:t>
            </w:r>
          </w:p>
        </w:tc>
      </w:tr>
      <w:tr w:rsidR="008E3DA8" w14:paraId="1ADAF1B4" w14:textId="77777777" w:rsidTr="00575B54">
        <w:tc>
          <w:tcPr>
            <w:tcW w:w="595" w:type="pct"/>
            <w:shd w:val="clear" w:color="auto" w:fill="auto"/>
          </w:tcPr>
          <w:p w14:paraId="22B21964" w14:textId="77777777" w:rsidR="00442170" w:rsidRPr="001B2468" w:rsidRDefault="00BE4306" w:rsidP="00575B54">
            <w:pPr>
              <w:pStyle w:val="TableText"/>
            </w:pPr>
            <w:r w:rsidRPr="001B2468">
              <w:t xml:space="preserve">Mt </w:t>
            </w:r>
            <w:proofErr w:type="spellStart"/>
            <w:r w:rsidRPr="001B2468">
              <w:t>Toolbrunup</w:t>
            </w:r>
            <w:proofErr w:type="spellEnd"/>
            <w:r w:rsidRPr="001B2468">
              <w:t xml:space="preserve"> </w:t>
            </w:r>
            <w:proofErr w:type="spellStart"/>
            <w:r w:rsidRPr="001B2468">
              <w:t>walktrail</w:t>
            </w:r>
            <w:proofErr w:type="spellEnd"/>
            <w:r w:rsidRPr="001B2468">
              <w:t xml:space="preserve"> maintenance</w:t>
            </w:r>
          </w:p>
        </w:tc>
        <w:tc>
          <w:tcPr>
            <w:tcW w:w="511" w:type="pct"/>
            <w:shd w:val="clear" w:color="auto" w:fill="auto"/>
          </w:tcPr>
          <w:p w14:paraId="2584CA80" w14:textId="77777777" w:rsidR="00442170" w:rsidRPr="001B2468" w:rsidRDefault="00BE4306" w:rsidP="00575B54">
            <w:pPr>
              <w:pStyle w:val="TableText"/>
            </w:pPr>
            <w:r w:rsidRPr="001B2468">
              <w:t>Department of Biodiversity, Conservation and Attractions</w:t>
            </w:r>
          </w:p>
        </w:tc>
        <w:tc>
          <w:tcPr>
            <w:tcW w:w="2068" w:type="pct"/>
            <w:shd w:val="clear" w:color="auto" w:fill="auto"/>
          </w:tcPr>
          <w:p w14:paraId="72595AAD" w14:textId="77777777" w:rsidR="001F4DC5" w:rsidRPr="001B2468" w:rsidRDefault="00BE4306" w:rsidP="00575B54">
            <w:pPr>
              <w:pStyle w:val="TableText"/>
            </w:pPr>
            <w:r w:rsidRPr="001B2468">
              <w:t xml:space="preserve">The project will upgrade </w:t>
            </w:r>
            <w:r w:rsidRPr="001B2468">
              <w:t xml:space="preserve">sections of the </w:t>
            </w:r>
            <w:proofErr w:type="spellStart"/>
            <w:r w:rsidRPr="001B2468">
              <w:t>Toolbrunup</w:t>
            </w:r>
            <w:proofErr w:type="spellEnd"/>
            <w:r w:rsidRPr="001B2468">
              <w:t xml:space="preserve"> walking trail within Stirling Range National Park. Activities include repairing erosion, improving the trail tread through construction of stone steps, improving drainage, improving trail markers and visitor information to encour</w:t>
            </w:r>
            <w:r w:rsidRPr="001B2468">
              <w:t>age visitors to stay on the trail. The upgrade works are intended to minimise interactions and impacts from visitors to the site on threatened flora, reducing the potential of trail braiding and risk of degradation to the habitat of the short-range endemic</w:t>
            </w:r>
            <w:r w:rsidRPr="001B2468">
              <w:t xml:space="preserve"> invertebrates.</w:t>
            </w:r>
          </w:p>
          <w:p w14:paraId="68F8984E" w14:textId="77777777" w:rsidR="00442170" w:rsidRPr="001B2468" w:rsidRDefault="00BE4306" w:rsidP="00575B54">
            <w:pPr>
              <w:pStyle w:val="TableText"/>
            </w:pPr>
            <w:r w:rsidRPr="001B2468">
              <w:t>The project duration is 5 months.</w:t>
            </w:r>
          </w:p>
        </w:tc>
        <w:tc>
          <w:tcPr>
            <w:tcW w:w="499" w:type="pct"/>
            <w:shd w:val="clear" w:color="auto" w:fill="auto"/>
          </w:tcPr>
          <w:p w14:paraId="23F7D31C" w14:textId="77777777" w:rsidR="00442170" w:rsidRPr="001B2468" w:rsidRDefault="00BE4306" w:rsidP="00575B54">
            <w:pPr>
              <w:pStyle w:val="TableText"/>
            </w:pPr>
            <w:r w:rsidRPr="001B2468">
              <w:t>Stirling Range National Park</w:t>
            </w:r>
          </w:p>
        </w:tc>
        <w:tc>
          <w:tcPr>
            <w:tcW w:w="292" w:type="pct"/>
            <w:shd w:val="clear" w:color="auto" w:fill="auto"/>
          </w:tcPr>
          <w:p w14:paraId="756AACCA" w14:textId="77777777" w:rsidR="00442170" w:rsidRPr="001B2468" w:rsidRDefault="00BE4306" w:rsidP="00575B54">
            <w:pPr>
              <w:pStyle w:val="TableText"/>
            </w:pPr>
            <w:r w:rsidRPr="001B2468">
              <w:t>WA</w:t>
            </w:r>
          </w:p>
        </w:tc>
        <w:tc>
          <w:tcPr>
            <w:tcW w:w="625" w:type="pct"/>
            <w:shd w:val="clear" w:color="auto" w:fill="auto"/>
          </w:tcPr>
          <w:p w14:paraId="1873B680" w14:textId="77777777" w:rsidR="00442170" w:rsidRPr="001B2468" w:rsidRDefault="00BE4306" w:rsidP="00575B54">
            <w:pPr>
              <w:pStyle w:val="TableText"/>
              <w:jc w:val="right"/>
            </w:pPr>
            <w:r w:rsidRPr="001B2468">
              <w:t>50,672</w:t>
            </w:r>
          </w:p>
        </w:tc>
        <w:tc>
          <w:tcPr>
            <w:tcW w:w="411" w:type="pct"/>
            <w:shd w:val="clear" w:color="auto" w:fill="auto"/>
          </w:tcPr>
          <w:p w14:paraId="2A2CFC61" w14:textId="77777777" w:rsidR="00442170" w:rsidRPr="001B2468" w:rsidRDefault="00BE4306" w:rsidP="00575B54">
            <w:pPr>
              <w:pStyle w:val="TableText"/>
              <w:jc w:val="right"/>
            </w:pPr>
            <w:r w:rsidRPr="001B2468">
              <w:t>55,739</w:t>
            </w:r>
          </w:p>
        </w:tc>
      </w:tr>
      <w:tr w:rsidR="008E3DA8" w14:paraId="075AADE6" w14:textId="77777777" w:rsidTr="00575B54">
        <w:tc>
          <w:tcPr>
            <w:tcW w:w="595" w:type="pct"/>
            <w:shd w:val="clear" w:color="auto" w:fill="auto"/>
          </w:tcPr>
          <w:p w14:paraId="5C773F69" w14:textId="77777777" w:rsidR="00442170" w:rsidRPr="001B2468" w:rsidRDefault="00BE4306" w:rsidP="00575B54">
            <w:pPr>
              <w:pStyle w:val="TableText"/>
            </w:pPr>
            <w:r w:rsidRPr="001B2468">
              <w:t>Abbotsford Convent Master Plan: Investment Logic Map and Business Case</w:t>
            </w:r>
          </w:p>
        </w:tc>
        <w:tc>
          <w:tcPr>
            <w:tcW w:w="511" w:type="pct"/>
            <w:shd w:val="clear" w:color="auto" w:fill="auto"/>
          </w:tcPr>
          <w:p w14:paraId="65C881C0" w14:textId="77777777" w:rsidR="00442170" w:rsidRPr="001B2468" w:rsidRDefault="00BE4306" w:rsidP="00575B54">
            <w:pPr>
              <w:pStyle w:val="TableText"/>
            </w:pPr>
            <w:r w:rsidRPr="001B2468">
              <w:t>Abbotsford Convent Foundation</w:t>
            </w:r>
          </w:p>
        </w:tc>
        <w:tc>
          <w:tcPr>
            <w:tcW w:w="2068" w:type="pct"/>
            <w:shd w:val="clear" w:color="auto" w:fill="auto"/>
          </w:tcPr>
          <w:p w14:paraId="58267E16" w14:textId="77777777" w:rsidR="00442170" w:rsidRPr="001B2468" w:rsidRDefault="00BE4306" w:rsidP="00575B54">
            <w:pPr>
              <w:pStyle w:val="TableText"/>
            </w:pPr>
            <w:r w:rsidRPr="001B2468">
              <w:t xml:space="preserve">This project will develop and produce an </w:t>
            </w:r>
            <w:r w:rsidRPr="001B2468">
              <w:t>Investment Logic Map and Business Case to support the realisation of the new Master Plan. This project will enable the Convent to deeply understand the Master Plan costs in terms of time, money and opportunities and provide the context for partnership cult</w:t>
            </w:r>
            <w:r w:rsidRPr="001B2468">
              <w:t>ivation.  The project will deliver three key outcomes:</w:t>
            </w:r>
          </w:p>
          <w:p w14:paraId="57BFFBF1" w14:textId="77777777" w:rsidR="00442170" w:rsidRPr="00C5052D" w:rsidRDefault="00BE4306" w:rsidP="00575B54">
            <w:pPr>
              <w:pStyle w:val="TableBullet1"/>
            </w:pPr>
            <w:r w:rsidRPr="00C5052D">
              <w:t>Investment Logic Map</w:t>
            </w:r>
          </w:p>
          <w:p w14:paraId="7B31203E" w14:textId="77777777" w:rsidR="00442170" w:rsidRPr="001B2468" w:rsidRDefault="00BE4306" w:rsidP="00575B54">
            <w:pPr>
              <w:pStyle w:val="TableBullet1"/>
            </w:pPr>
            <w:r w:rsidRPr="00C5052D">
              <w:t>Short form business case</w:t>
            </w:r>
          </w:p>
          <w:p w14:paraId="26AEE69B" w14:textId="77777777" w:rsidR="00442170" w:rsidRPr="001B2468" w:rsidRDefault="00BE4306" w:rsidP="00575B54">
            <w:pPr>
              <w:pStyle w:val="TableBullet1"/>
            </w:pPr>
            <w:r w:rsidRPr="001B2468">
              <w:t xml:space="preserve">Glossy </w:t>
            </w:r>
            <w:proofErr w:type="gramStart"/>
            <w:r w:rsidRPr="001B2468">
              <w:t>5-6 page</w:t>
            </w:r>
            <w:proofErr w:type="gramEnd"/>
            <w:r w:rsidRPr="001B2468">
              <w:t xml:space="preserve"> summary document</w:t>
            </w:r>
          </w:p>
          <w:p w14:paraId="1ED19A5C" w14:textId="77777777" w:rsidR="001F4DC5" w:rsidRPr="001B2468" w:rsidRDefault="00BE4306" w:rsidP="00575B54">
            <w:pPr>
              <w:pStyle w:val="TableText"/>
            </w:pPr>
            <w:r w:rsidRPr="001B2468">
              <w:t>This is a joint application with project partner, Ernest &amp; Young.</w:t>
            </w:r>
          </w:p>
          <w:p w14:paraId="6A1B6AED" w14:textId="77777777" w:rsidR="00442170" w:rsidRPr="001B2468" w:rsidRDefault="00BE4306" w:rsidP="00575B54">
            <w:pPr>
              <w:pStyle w:val="TableText"/>
            </w:pPr>
            <w:r w:rsidRPr="001B2468">
              <w:t>The project duration is 4 months.</w:t>
            </w:r>
          </w:p>
        </w:tc>
        <w:tc>
          <w:tcPr>
            <w:tcW w:w="499" w:type="pct"/>
            <w:shd w:val="clear" w:color="auto" w:fill="auto"/>
          </w:tcPr>
          <w:p w14:paraId="38E1E615" w14:textId="77777777" w:rsidR="00442170" w:rsidRPr="001B2468" w:rsidRDefault="00BE4306" w:rsidP="00575B54">
            <w:pPr>
              <w:pStyle w:val="TableText"/>
            </w:pPr>
            <w:r w:rsidRPr="001B2468">
              <w:t xml:space="preserve">Abbotsford </w:t>
            </w:r>
            <w:r w:rsidRPr="001B2468">
              <w:t>Convent</w:t>
            </w:r>
          </w:p>
        </w:tc>
        <w:tc>
          <w:tcPr>
            <w:tcW w:w="292" w:type="pct"/>
            <w:shd w:val="clear" w:color="auto" w:fill="auto"/>
          </w:tcPr>
          <w:p w14:paraId="4D448141" w14:textId="77777777" w:rsidR="007C1D6C" w:rsidRPr="007C1D6C" w:rsidRDefault="00BE4306" w:rsidP="00575B54">
            <w:pPr>
              <w:pStyle w:val="TableText"/>
            </w:pPr>
            <w:r w:rsidRPr="001B2468">
              <w:t>V</w:t>
            </w:r>
            <w:r>
              <w:t>ic.</w:t>
            </w:r>
          </w:p>
        </w:tc>
        <w:tc>
          <w:tcPr>
            <w:tcW w:w="625" w:type="pct"/>
            <w:shd w:val="clear" w:color="auto" w:fill="auto"/>
          </w:tcPr>
          <w:p w14:paraId="581F7B58" w14:textId="77777777" w:rsidR="00442170" w:rsidRPr="001B2468" w:rsidRDefault="00BE4306" w:rsidP="00575B54">
            <w:pPr>
              <w:pStyle w:val="TableText"/>
              <w:jc w:val="right"/>
            </w:pPr>
            <w:r w:rsidRPr="001B2468">
              <w:t>83,682</w:t>
            </w:r>
          </w:p>
        </w:tc>
        <w:tc>
          <w:tcPr>
            <w:tcW w:w="411" w:type="pct"/>
            <w:shd w:val="clear" w:color="auto" w:fill="auto"/>
          </w:tcPr>
          <w:p w14:paraId="4ACBCBEA" w14:textId="77777777" w:rsidR="00442170" w:rsidRPr="001B2468" w:rsidRDefault="00BE4306" w:rsidP="00575B54">
            <w:pPr>
              <w:pStyle w:val="TableText"/>
              <w:jc w:val="right"/>
            </w:pPr>
            <w:r w:rsidRPr="001B2468">
              <w:t>92,050</w:t>
            </w:r>
          </w:p>
        </w:tc>
      </w:tr>
    </w:tbl>
    <w:p w14:paraId="3CCDF485" w14:textId="77777777" w:rsidR="008D1B48" w:rsidRDefault="00BE4306" w:rsidP="00C5052D">
      <w:pPr>
        <w:pStyle w:val="Normalsmall"/>
        <w:spacing w:before="120"/>
      </w:pPr>
      <w:r>
        <w:rPr>
          <w:rStyle w:val="Strong"/>
        </w:rPr>
        <w:br w:type="textWrapping" w:clear="all"/>
      </w:r>
      <w:r>
        <w:rPr>
          <w:rStyle w:val="Strong"/>
        </w:rPr>
        <w:t>Acknowledgement of Country</w:t>
      </w:r>
    </w:p>
    <w:p w14:paraId="442A7359" w14:textId="77777777" w:rsidR="008D1B48" w:rsidRDefault="00BE4306" w:rsidP="008D1B48">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w:t>
      </w:r>
      <w:r>
        <w:t>ast and present.</w:t>
      </w:r>
    </w:p>
    <w:p w14:paraId="2B97FFCA" w14:textId="77777777" w:rsidR="00262394" w:rsidRDefault="00BE4306" w:rsidP="00262394">
      <w:pPr>
        <w:pStyle w:val="Normalsmall"/>
        <w:spacing w:before="360"/>
      </w:pPr>
      <w:r>
        <w:t>© Commonwealth of Australia 202</w:t>
      </w:r>
      <w:r w:rsidR="00183612">
        <w:t>2</w:t>
      </w:r>
    </w:p>
    <w:p w14:paraId="013CB5CA" w14:textId="77777777" w:rsidR="00262394" w:rsidRDefault="00BE4306" w:rsidP="00262394">
      <w:pPr>
        <w:pStyle w:val="Normalsmall"/>
      </w:pPr>
      <w:r>
        <w:t>Unless otherwise noted, copyright (and any other intellectual property rights) in this publication is owned by the Commonwealth of Australia (referred to as the Commonwealth).</w:t>
      </w:r>
    </w:p>
    <w:p w14:paraId="1116ABDA" w14:textId="77777777" w:rsidR="00262394" w:rsidRDefault="00BE4306" w:rsidP="00262394">
      <w:pPr>
        <w:pStyle w:val="Normalsmall"/>
      </w:pPr>
      <w:r>
        <w:lastRenderedPageBreak/>
        <w:t>All material in this publicati</w:t>
      </w:r>
      <w:r>
        <w:t xml:space="preserve">on is licensed under a Creative Commons Attribution 4.0 International Licence except content supplied by third parties, </w:t>
      </w:r>
      <w:proofErr w:type="gramStart"/>
      <w:r>
        <w:t>logos</w:t>
      </w:r>
      <w:proofErr w:type="gramEnd"/>
      <w:r>
        <w:t xml:space="preserve"> and the Commonwealth Coat of Arms.</w:t>
      </w:r>
    </w:p>
    <w:p w14:paraId="2DCB76C8" w14:textId="77777777" w:rsidR="00262394" w:rsidRDefault="00BE4306" w:rsidP="00262394">
      <w:pPr>
        <w:pStyle w:val="Normalsmall"/>
      </w:pPr>
      <w:r>
        <w:t>The Australian Government acting through the Department of Agriculture, Water and the Environme</w:t>
      </w:r>
      <w:r>
        <w:t>nt has exercised due care and skill in preparing and compiling the information and data in this publication. Notwithstanding, the Department of Agriculture, Water and the Environment, its employees and advisers disclaim all liability, including liability f</w:t>
      </w:r>
      <w:r>
        <w:t xml:space="preserve">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262394" w:rsidSect="00A00229">
      <w:headerReference w:type="default" r:id="rId11"/>
      <w:footerReference w:type="default" r:id="rId12"/>
      <w:headerReference w:type="first" r:id="rId13"/>
      <w:footerReference w:type="first" r:id="rId14"/>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53D2" w14:textId="77777777" w:rsidR="00000000" w:rsidRDefault="00BE4306">
      <w:pPr>
        <w:spacing w:after="0" w:line="240" w:lineRule="auto"/>
      </w:pPr>
      <w:r>
        <w:separator/>
      </w:r>
    </w:p>
  </w:endnote>
  <w:endnote w:type="continuationSeparator" w:id="0">
    <w:p w14:paraId="26A9E65B" w14:textId="77777777" w:rsidR="00000000" w:rsidRDefault="00BE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FF2A" w14:textId="77777777" w:rsidR="002A193C" w:rsidRDefault="00BE4306">
    <w:pPr>
      <w:pStyle w:val="Footer"/>
    </w:pPr>
    <w:r>
      <w:t xml:space="preserve">Department of Agriculture, </w:t>
    </w:r>
    <w:proofErr w:type="gramStart"/>
    <w:r>
      <w:t>Water</w:t>
    </w:r>
    <w:proofErr w:type="gramEnd"/>
    <w:r>
      <w:t xml:space="preserve"> and the Environment</w:t>
    </w:r>
  </w:p>
  <w:p w14:paraId="562EA88D" w14:textId="77777777" w:rsidR="002A193C" w:rsidRDefault="00BE4306">
    <w:pPr>
      <w:pStyle w:val="Footer"/>
    </w:pPr>
    <w:r>
      <w:fldChar w:fldCharType="begin"/>
    </w:r>
    <w:r>
      <w:instrText xml:space="preserve"> PAGE   \* MERGEFORMAT </w:instrText>
    </w:r>
    <w:r>
      <w:fldChar w:fldCharType="separate"/>
    </w:r>
    <w:r>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8BD6" w14:textId="77777777" w:rsidR="002A193C" w:rsidRDefault="00BE4306">
    <w:pPr>
      <w:pStyle w:val="Footer"/>
    </w:pPr>
    <w:r>
      <w:t xml:space="preserve">Department of Agriculture, </w:t>
    </w:r>
    <w:proofErr w:type="gramStart"/>
    <w:r>
      <w:t>Water</w:t>
    </w:r>
    <w:proofErr w:type="gramEnd"/>
    <w:r>
      <w:t xml:space="preserve"> and the Environment</w:t>
    </w:r>
  </w:p>
  <w:p w14:paraId="4B726868" w14:textId="77777777" w:rsidR="002A193C" w:rsidRDefault="00BE430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988E" w14:textId="77777777" w:rsidR="00000000" w:rsidRDefault="00BE4306">
      <w:pPr>
        <w:spacing w:after="0" w:line="240" w:lineRule="auto"/>
      </w:pPr>
      <w:r>
        <w:separator/>
      </w:r>
    </w:p>
  </w:footnote>
  <w:footnote w:type="continuationSeparator" w:id="0">
    <w:p w14:paraId="49E4BBA2" w14:textId="77777777" w:rsidR="00000000" w:rsidRDefault="00BE4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401F" w14:textId="77777777" w:rsidR="002A193C" w:rsidRDefault="00BE4306">
    <w:pPr>
      <w:pStyle w:val="Header"/>
    </w:pPr>
    <w:r w:rsidRPr="00A3475E">
      <w:t xml:space="preserve">Australian Heritage Grants Round 4 (2021–22): </w:t>
    </w:r>
    <w:r>
      <w:t>Successful</w:t>
    </w:r>
    <w:r w:rsidRPr="00A3475E">
      <w:t xml:space="preserve"> 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F988" w14:textId="77777777" w:rsidR="002A193C" w:rsidRDefault="00BE4306">
    <w:pPr>
      <w:pStyle w:val="Header"/>
      <w:jc w:val="left"/>
    </w:pPr>
    <w:r>
      <w:rPr>
        <w:noProof/>
        <w:lang w:eastAsia="en-AU"/>
      </w:rPr>
      <w:drawing>
        <wp:inline distT="0" distB="0" distL="0" distR="0" wp14:anchorId="27D7A2A2" wp14:editId="1686DFB8">
          <wp:extent cx="2123264" cy="637247"/>
          <wp:effectExtent l="0" t="0" r="0" b="0"/>
          <wp:docPr id="2" name="Picture 2" descr="Department of Agriculture, Water and the Enviro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845836" name="Picture 2" descr="Department of Agriculture, Water and the Environment">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B6F45074">
      <w:start w:val="1"/>
      <w:numFmt w:val="bullet"/>
      <w:pStyle w:val="TableBullet2"/>
      <w:lvlText w:val=""/>
      <w:lvlJc w:val="left"/>
      <w:pPr>
        <w:ind w:left="1004" w:hanging="360"/>
      </w:pPr>
      <w:rPr>
        <w:rFonts w:ascii="Symbol" w:hAnsi="Symbol" w:hint="default"/>
      </w:rPr>
    </w:lvl>
    <w:lvl w:ilvl="1" w:tplc="0B7E3066" w:tentative="1">
      <w:start w:val="1"/>
      <w:numFmt w:val="bullet"/>
      <w:lvlText w:val="o"/>
      <w:lvlJc w:val="left"/>
      <w:pPr>
        <w:ind w:left="1724" w:hanging="360"/>
      </w:pPr>
      <w:rPr>
        <w:rFonts w:ascii="Courier New" w:hAnsi="Courier New" w:cs="Courier New" w:hint="default"/>
      </w:rPr>
    </w:lvl>
    <w:lvl w:ilvl="2" w:tplc="31D62ACC" w:tentative="1">
      <w:start w:val="1"/>
      <w:numFmt w:val="bullet"/>
      <w:lvlText w:val=""/>
      <w:lvlJc w:val="left"/>
      <w:pPr>
        <w:ind w:left="2444" w:hanging="360"/>
      </w:pPr>
      <w:rPr>
        <w:rFonts w:ascii="Wingdings" w:hAnsi="Wingdings" w:hint="default"/>
      </w:rPr>
    </w:lvl>
    <w:lvl w:ilvl="3" w:tplc="26E6AF1A" w:tentative="1">
      <w:start w:val="1"/>
      <w:numFmt w:val="bullet"/>
      <w:lvlText w:val=""/>
      <w:lvlJc w:val="left"/>
      <w:pPr>
        <w:ind w:left="3164" w:hanging="360"/>
      </w:pPr>
      <w:rPr>
        <w:rFonts w:ascii="Symbol" w:hAnsi="Symbol" w:hint="default"/>
      </w:rPr>
    </w:lvl>
    <w:lvl w:ilvl="4" w:tplc="F9642DAE" w:tentative="1">
      <w:start w:val="1"/>
      <w:numFmt w:val="bullet"/>
      <w:lvlText w:val="o"/>
      <w:lvlJc w:val="left"/>
      <w:pPr>
        <w:ind w:left="3884" w:hanging="360"/>
      </w:pPr>
      <w:rPr>
        <w:rFonts w:ascii="Courier New" w:hAnsi="Courier New" w:cs="Courier New" w:hint="default"/>
      </w:rPr>
    </w:lvl>
    <w:lvl w:ilvl="5" w:tplc="D6AE61F4" w:tentative="1">
      <w:start w:val="1"/>
      <w:numFmt w:val="bullet"/>
      <w:lvlText w:val=""/>
      <w:lvlJc w:val="left"/>
      <w:pPr>
        <w:ind w:left="4604" w:hanging="360"/>
      </w:pPr>
      <w:rPr>
        <w:rFonts w:ascii="Wingdings" w:hAnsi="Wingdings" w:hint="default"/>
      </w:rPr>
    </w:lvl>
    <w:lvl w:ilvl="6" w:tplc="4EB4E984" w:tentative="1">
      <w:start w:val="1"/>
      <w:numFmt w:val="bullet"/>
      <w:lvlText w:val=""/>
      <w:lvlJc w:val="left"/>
      <w:pPr>
        <w:ind w:left="5324" w:hanging="360"/>
      </w:pPr>
      <w:rPr>
        <w:rFonts w:ascii="Symbol" w:hAnsi="Symbol" w:hint="default"/>
      </w:rPr>
    </w:lvl>
    <w:lvl w:ilvl="7" w:tplc="EAFC57D6" w:tentative="1">
      <w:start w:val="1"/>
      <w:numFmt w:val="bullet"/>
      <w:lvlText w:val="o"/>
      <w:lvlJc w:val="left"/>
      <w:pPr>
        <w:ind w:left="6044" w:hanging="360"/>
      </w:pPr>
      <w:rPr>
        <w:rFonts w:ascii="Courier New" w:hAnsi="Courier New" w:cs="Courier New" w:hint="default"/>
      </w:rPr>
    </w:lvl>
    <w:lvl w:ilvl="8" w:tplc="0D12D4EA"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E1F06B42">
      <w:start w:val="1"/>
      <w:numFmt w:val="bullet"/>
      <w:pStyle w:val="TableBullet1"/>
      <w:lvlText w:val=""/>
      <w:lvlJc w:val="left"/>
      <w:pPr>
        <w:ind w:left="720" w:hanging="360"/>
      </w:pPr>
      <w:rPr>
        <w:rFonts w:ascii="Symbol" w:hAnsi="Symbol" w:hint="default"/>
      </w:rPr>
    </w:lvl>
    <w:lvl w:ilvl="1" w:tplc="2F2C30E4" w:tentative="1">
      <w:start w:val="1"/>
      <w:numFmt w:val="bullet"/>
      <w:lvlText w:val="o"/>
      <w:lvlJc w:val="left"/>
      <w:pPr>
        <w:ind w:left="1440" w:hanging="360"/>
      </w:pPr>
      <w:rPr>
        <w:rFonts w:ascii="Courier New" w:hAnsi="Courier New" w:cs="Courier New" w:hint="default"/>
      </w:rPr>
    </w:lvl>
    <w:lvl w:ilvl="2" w:tplc="F946B1B4" w:tentative="1">
      <w:start w:val="1"/>
      <w:numFmt w:val="bullet"/>
      <w:lvlText w:val=""/>
      <w:lvlJc w:val="left"/>
      <w:pPr>
        <w:ind w:left="2160" w:hanging="360"/>
      </w:pPr>
      <w:rPr>
        <w:rFonts w:ascii="Wingdings" w:hAnsi="Wingdings" w:hint="default"/>
      </w:rPr>
    </w:lvl>
    <w:lvl w:ilvl="3" w:tplc="B50C1EBC" w:tentative="1">
      <w:start w:val="1"/>
      <w:numFmt w:val="bullet"/>
      <w:lvlText w:val=""/>
      <w:lvlJc w:val="left"/>
      <w:pPr>
        <w:ind w:left="2880" w:hanging="360"/>
      </w:pPr>
      <w:rPr>
        <w:rFonts w:ascii="Symbol" w:hAnsi="Symbol" w:hint="default"/>
      </w:rPr>
    </w:lvl>
    <w:lvl w:ilvl="4" w:tplc="9B34C892" w:tentative="1">
      <w:start w:val="1"/>
      <w:numFmt w:val="bullet"/>
      <w:lvlText w:val="o"/>
      <w:lvlJc w:val="left"/>
      <w:pPr>
        <w:ind w:left="3600" w:hanging="360"/>
      </w:pPr>
      <w:rPr>
        <w:rFonts w:ascii="Courier New" w:hAnsi="Courier New" w:cs="Courier New" w:hint="default"/>
      </w:rPr>
    </w:lvl>
    <w:lvl w:ilvl="5" w:tplc="FE802192" w:tentative="1">
      <w:start w:val="1"/>
      <w:numFmt w:val="bullet"/>
      <w:lvlText w:val=""/>
      <w:lvlJc w:val="left"/>
      <w:pPr>
        <w:ind w:left="4320" w:hanging="360"/>
      </w:pPr>
      <w:rPr>
        <w:rFonts w:ascii="Wingdings" w:hAnsi="Wingdings" w:hint="default"/>
      </w:rPr>
    </w:lvl>
    <w:lvl w:ilvl="6" w:tplc="4348B4F2" w:tentative="1">
      <w:start w:val="1"/>
      <w:numFmt w:val="bullet"/>
      <w:lvlText w:val=""/>
      <w:lvlJc w:val="left"/>
      <w:pPr>
        <w:ind w:left="5040" w:hanging="360"/>
      </w:pPr>
      <w:rPr>
        <w:rFonts w:ascii="Symbol" w:hAnsi="Symbol" w:hint="default"/>
      </w:rPr>
    </w:lvl>
    <w:lvl w:ilvl="7" w:tplc="1F30DB52" w:tentative="1">
      <w:start w:val="1"/>
      <w:numFmt w:val="bullet"/>
      <w:lvlText w:val="o"/>
      <w:lvlJc w:val="left"/>
      <w:pPr>
        <w:ind w:left="5760" w:hanging="360"/>
      </w:pPr>
      <w:rPr>
        <w:rFonts w:ascii="Courier New" w:hAnsi="Courier New" w:cs="Courier New" w:hint="default"/>
      </w:rPr>
    </w:lvl>
    <w:lvl w:ilvl="8" w:tplc="5C908CC6"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69D0B5DE">
      <w:start w:val="1"/>
      <w:numFmt w:val="bullet"/>
      <w:lvlText w:val=""/>
      <w:lvlJc w:val="left"/>
      <w:pPr>
        <w:ind w:left="360" w:hanging="360"/>
      </w:pPr>
      <w:rPr>
        <w:rFonts w:ascii="Symbol" w:hAnsi="Symbol" w:hint="default"/>
        <w:color w:val="FF7900"/>
      </w:rPr>
    </w:lvl>
    <w:lvl w:ilvl="1" w:tplc="A3A8FEC0">
      <w:start w:val="1"/>
      <w:numFmt w:val="bullet"/>
      <w:lvlText w:val="o"/>
      <w:lvlJc w:val="left"/>
      <w:pPr>
        <w:ind w:left="1440" w:hanging="360"/>
      </w:pPr>
      <w:rPr>
        <w:rFonts w:ascii="Courier New" w:hAnsi="Courier New" w:cs="Courier New" w:hint="default"/>
      </w:rPr>
    </w:lvl>
    <w:lvl w:ilvl="2" w:tplc="C712BB9A" w:tentative="1">
      <w:start w:val="1"/>
      <w:numFmt w:val="bullet"/>
      <w:lvlText w:val=""/>
      <w:lvlJc w:val="left"/>
      <w:pPr>
        <w:ind w:left="2160" w:hanging="360"/>
      </w:pPr>
      <w:rPr>
        <w:rFonts w:ascii="Wingdings" w:hAnsi="Wingdings" w:hint="default"/>
      </w:rPr>
    </w:lvl>
    <w:lvl w:ilvl="3" w:tplc="73225390" w:tentative="1">
      <w:start w:val="1"/>
      <w:numFmt w:val="bullet"/>
      <w:lvlText w:val=""/>
      <w:lvlJc w:val="left"/>
      <w:pPr>
        <w:ind w:left="2880" w:hanging="360"/>
      </w:pPr>
      <w:rPr>
        <w:rFonts w:ascii="Symbol" w:hAnsi="Symbol" w:hint="default"/>
      </w:rPr>
    </w:lvl>
    <w:lvl w:ilvl="4" w:tplc="432680FC" w:tentative="1">
      <w:start w:val="1"/>
      <w:numFmt w:val="bullet"/>
      <w:lvlText w:val="o"/>
      <w:lvlJc w:val="left"/>
      <w:pPr>
        <w:ind w:left="3600" w:hanging="360"/>
      </w:pPr>
      <w:rPr>
        <w:rFonts w:ascii="Courier New" w:hAnsi="Courier New" w:cs="Courier New" w:hint="default"/>
      </w:rPr>
    </w:lvl>
    <w:lvl w:ilvl="5" w:tplc="D0F87114" w:tentative="1">
      <w:start w:val="1"/>
      <w:numFmt w:val="bullet"/>
      <w:lvlText w:val=""/>
      <w:lvlJc w:val="left"/>
      <w:pPr>
        <w:ind w:left="4320" w:hanging="360"/>
      </w:pPr>
      <w:rPr>
        <w:rFonts w:ascii="Wingdings" w:hAnsi="Wingdings" w:hint="default"/>
      </w:rPr>
    </w:lvl>
    <w:lvl w:ilvl="6" w:tplc="ACEAFA70" w:tentative="1">
      <w:start w:val="1"/>
      <w:numFmt w:val="bullet"/>
      <w:lvlText w:val=""/>
      <w:lvlJc w:val="left"/>
      <w:pPr>
        <w:ind w:left="5040" w:hanging="360"/>
      </w:pPr>
      <w:rPr>
        <w:rFonts w:ascii="Symbol" w:hAnsi="Symbol" w:hint="default"/>
      </w:rPr>
    </w:lvl>
    <w:lvl w:ilvl="7" w:tplc="26A4A5B2" w:tentative="1">
      <w:start w:val="1"/>
      <w:numFmt w:val="bullet"/>
      <w:lvlText w:val="o"/>
      <w:lvlJc w:val="left"/>
      <w:pPr>
        <w:ind w:left="5760" w:hanging="360"/>
      </w:pPr>
      <w:rPr>
        <w:rFonts w:ascii="Courier New" w:hAnsi="Courier New" w:cs="Courier New" w:hint="default"/>
      </w:rPr>
    </w:lvl>
    <w:lvl w:ilvl="8" w:tplc="1D746F74"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90DCEE58">
      <w:start w:val="1"/>
      <w:numFmt w:val="bullet"/>
      <w:pStyle w:val="BoxTextBullet"/>
      <w:lvlText w:val=""/>
      <w:lvlJc w:val="left"/>
      <w:pPr>
        <w:ind w:left="720" w:hanging="360"/>
      </w:pPr>
      <w:rPr>
        <w:rFonts w:ascii="Symbol" w:hAnsi="Symbol" w:hint="default"/>
      </w:rPr>
    </w:lvl>
    <w:lvl w:ilvl="1" w:tplc="38601962" w:tentative="1">
      <w:start w:val="1"/>
      <w:numFmt w:val="bullet"/>
      <w:lvlText w:val="o"/>
      <w:lvlJc w:val="left"/>
      <w:pPr>
        <w:ind w:left="1440" w:hanging="360"/>
      </w:pPr>
      <w:rPr>
        <w:rFonts w:ascii="Courier New" w:hAnsi="Courier New" w:cs="Courier New" w:hint="default"/>
      </w:rPr>
    </w:lvl>
    <w:lvl w:ilvl="2" w:tplc="3992FA3A" w:tentative="1">
      <w:start w:val="1"/>
      <w:numFmt w:val="bullet"/>
      <w:lvlText w:val=""/>
      <w:lvlJc w:val="left"/>
      <w:pPr>
        <w:ind w:left="2160" w:hanging="360"/>
      </w:pPr>
      <w:rPr>
        <w:rFonts w:ascii="Wingdings" w:hAnsi="Wingdings" w:hint="default"/>
      </w:rPr>
    </w:lvl>
    <w:lvl w:ilvl="3" w:tplc="2206A4E6" w:tentative="1">
      <w:start w:val="1"/>
      <w:numFmt w:val="bullet"/>
      <w:lvlText w:val=""/>
      <w:lvlJc w:val="left"/>
      <w:pPr>
        <w:ind w:left="2880" w:hanging="360"/>
      </w:pPr>
      <w:rPr>
        <w:rFonts w:ascii="Symbol" w:hAnsi="Symbol" w:hint="default"/>
      </w:rPr>
    </w:lvl>
    <w:lvl w:ilvl="4" w:tplc="BCE65F68" w:tentative="1">
      <w:start w:val="1"/>
      <w:numFmt w:val="bullet"/>
      <w:lvlText w:val="o"/>
      <w:lvlJc w:val="left"/>
      <w:pPr>
        <w:ind w:left="3600" w:hanging="360"/>
      </w:pPr>
      <w:rPr>
        <w:rFonts w:ascii="Courier New" w:hAnsi="Courier New" w:cs="Courier New" w:hint="default"/>
      </w:rPr>
    </w:lvl>
    <w:lvl w:ilvl="5" w:tplc="91D64112" w:tentative="1">
      <w:start w:val="1"/>
      <w:numFmt w:val="bullet"/>
      <w:lvlText w:val=""/>
      <w:lvlJc w:val="left"/>
      <w:pPr>
        <w:ind w:left="4320" w:hanging="360"/>
      </w:pPr>
      <w:rPr>
        <w:rFonts w:ascii="Wingdings" w:hAnsi="Wingdings" w:hint="default"/>
      </w:rPr>
    </w:lvl>
    <w:lvl w:ilvl="6" w:tplc="D1D450A6" w:tentative="1">
      <w:start w:val="1"/>
      <w:numFmt w:val="bullet"/>
      <w:lvlText w:val=""/>
      <w:lvlJc w:val="left"/>
      <w:pPr>
        <w:ind w:left="5040" w:hanging="360"/>
      </w:pPr>
      <w:rPr>
        <w:rFonts w:ascii="Symbol" w:hAnsi="Symbol" w:hint="default"/>
      </w:rPr>
    </w:lvl>
    <w:lvl w:ilvl="7" w:tplc="7196FF20" w:tentative="1">
      <w:start w:val="1"/>
      <w:numFmt w:val="bullet"/>
      <w:lvlText w:val="o"/>
      <w:lvlJc w:val="left"/>
      <w:pPr>
        <w:ind w:left="5760" w:hanging="360"/>
      </w:pPr>
      <w:rPr>
        <w:rFonts w:ascii="Courier New" w:hAnsi="Courier New" w:cs="Courier New" w:hint="default"/>
      </w:rPr>
    </w:lvl>
    <w:lvl w:ilvl="8" w:tplc="057232A4"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F5"/>
    <w:rsid w:val="00014034"/>
    <w:rsid w:val="0003668E"/>
    <w:rsid w:val="00112B86"/>
    <w:rsid w:val="001567E9"/>
    <w:rsid w:val="00183612"/>
    <w:rsid w:val="001A1F79"/>
    <w:rsid w:val="001B2468"/>
    <w:rsid w:val="001D77BC"/>
    <w:rsid w:val="001E7B34"/>
    <w:rsid w:val="001F4DC5"/>
    <w:rsid w:val="00262394"/>
    <w:rsid w:val="002A193C"/>
    <w:rsid w:val="00357095"/>
    <w:rsid w:val="00396339"/>
    <w:rsid w:val="003A4B4A"/>
    <w:rsid w:val="003C2245"/>
    <w:rsid w:val="003D44DC"/>
    <w:rsid w:val="00442170"/>
    <w:rsid w:val="00460918"/>
    <w:rsid w:val="00462013"/>
    <w:rsid w:val="0048569E"/>
    <w:rsid w:val="00486C20"/>
    <w:rsid w:val="005748D2"/>
    <w:rsid w:val="00575B54"/>
    <w:rsid w:val="005F0E4D"/>
    <w:rsid w:val="007405CB"/>
    <w:rsid w:val="007C1D6C"/>
    <w:rsid w:val="007C5B94"/>
    <w:rsid w:val="0082249A"/>
    <w:rsid w:val="00833933"/>
    <w:rsid w:val="008A1656"/>
    <w:rsid w:val="008A3190"/>
    <w:rsid w:val="008D1B48"/>
    <w:rsid w:val="008E11FA"/>
    <w:rsid w:val="008E3DA8"/>
    <w:rsid w:val="009E34F5"/>
    <w:rsid w:val="00A00229"/>
    <w:rsid w:val="00A3475E"/>
    <w:rsid w:val="00AA70E3"/>
    <w:rsid w:val="00AB0FBE"/>
    <w:rsid w:val="00AF5211"/>
    <w:rsid w:val="00B01FB8"/>
    <w:rsid w:val="00B67E52"/>
    <w:rsid w:val="00B842BF"/>
    <w:rsid w:val="00B92E79"/>
    <w:rsid w:val="00BE4306"/>
    <w:rsid w:val="00BF0BDD"/>
    <w:rsid w:val="00C00AAC"/>
    <w:rsid w:val="00C30213"/>
    <w:rsid w:val="00C5052D"/>
    <w:rsid w:val="00D06356"/>
    <w:rsid w:val="00D241DC"/>
    <w:rsid w:val="00D45274"/>
    <w:rsid w:val="00D45E0E"/>
    <w:rsid w:val="00D666DC"/>
    <w:rsid w:val="00D912A7"/>
    <w:rsid w:val="00DD18FE"/>
    <w:rsid w:val="00E362EF"/>
    <w:rsid w:val="00E732BE"/>
    <w:rsid w:val="00F0340A"/>
    <w:rsid w:val="00F45369"/>
    <w:rsid w:val="00F568F3"/>
    <w:rsid w:val="00FA5B14"/>
    <w:rsid w:val="00FB088E"/>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2636"/>
  <w15:docId w15:val="{A3DBC648-0D1F-455D-8589-17DAB27B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013"/>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3703</Words>
  <Characters>21112</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Australian Heritage Grants Round 4 (2021–22): Successful projects</vt:lpstr>
    </vt:vector>
  </TitlesOfParts>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Heritage Grants Round 4 (2021–22): Successful projects</dc:title>
  <dc:creator>Department of Agriculture, Water and the Environment</dc:creator>
  <cp:lastModifiedBy>Bec Durack</cp:lastModifiedBy>
  <cp:revision>2</cp:revision>
  <cp:lastPrinted>1899-12-31T13:00:00Z</cp:lastPrinted>
  <dcterms:created xsi:type="dcterms:W3CDTF">2022-04-04T05:50:00Z</dcterms:created>
  <dcterms:modified xsi:type="dcterms:W3CDTF">2022-04-04T05:50:00Z</dcterms:modified>
</cp:coreProperties>
</file>