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0B4DE" w14:textId="15DBFC99" w:rsidR="001A467B" w:rsidRPr="001A467B" w:rsidRDefault="00B857C2" w:rsidP="001A467B">
      <w:pPr>
        <w:pStyle w:val="Date"/>
      </w:pPr>
      <w:r>
        <w:t>November</w:t>
      </w:r>
      <w:r w:rsidR="001A467B" w:rsidRPr="001A467B">
        <w:t xml:space="preserve"> 2025</w:t>
      </w:r>
      <w:r w:rsidR="001A467B" w:rsidRPr="001A467B">
        <w:tab/>
      </w:r>
    </w:p>
    <w:p w14:paraId="1F975A54" w14:textId="6C9CFD8C" w:rsidR="001A467B" w:rsidRPr="001A467B" w:rsidRDefault="001A467B" w:rsidP="001A467B">
      <w:pPr>
        <w:pStyle w:val="Series"/>
      </w:pPr>
      <w:r w:rsidRPr="001A467B">
        <w:t xml:space="preserve">Final </w:t>
      </w:r>
      <w:r w:rsidR="00071F71">
        <w:t>a</w:t>
      </w:r>
      <w:r w:rsidRPr="001A467B">
        <w:t xml:space="preserve">pproach </w:t>
      </w:r>
      <w:r w:rsidR="00071F71">
        <w:t>s</w:t>
      </w:r>
      <w:r w:rsidRPr="001A467B">
        <w:t>eries</w:t>
      </w:r>
    </w:p>
    <w:p w14:paraId="0C710C67" w14:textId="3891960E" w:rsidR="001A467B" w:rsidRPr="001A467B" w:rsidRDefault="001A467B" w:rsidP="001A467B">
      <w:pPr>
        <w:pStyle w:val="Heading1"/>
      </w:pPr>
      <w:r w:rsidRPr="001A467B">
        <w:t xml:space="preserve">Aircraft </w:t>
      </w:r>
      <w:r w:rsidR="00D46849">
        <w:t>d</w:t>
      </w:r>
      <w:r w:rsidRPr="001A467B">
        <w:t>isinsection</w:t>
      </w:r>
    </w:p>
    <w:p w14:paraId="67F5949F" w14:textId="7BE2C946" w:rsidR="001A467B" w:rsidRPr="001A467B" w:rsidRDefault="001A467B" w:rsidP="001A467B">
      <w:r w:rsidRPr="001A467B">
        <w:t xml:space="preserve">Aircraft disinsection is the treatment of international aircraft arriving in Australian territory to prevent the entry of exotic mosquitoes. It is a mandatory requirement under the </w:t>
      </w:r>
      <w:r w:rsidRPr="00A74F83">
        <w:rPr>
          <w:rStyle w:val="Emphasis"/>
        </w:rPr>
        <w:t>Biosecurity Act 2015</w:t>
      </w:r>
      <w:r w:rsidR="00071F71">
        <w:rPr>
          <w:rStyle w:val="Emphasis"/>
        </w:rPr>
        <w:t xml:space="preserve"> </w:t>
      </w:r>
      <w:r w:rsidR="00071F71">
        <w:rPr>
          <w:rStyle w:val="Emphasis"/>
          <w:i w:val="0"/>
          <w:iCs w:val="0"/>
        </w:rPr>
        <w:t>(the Act)</w:t>
      </w:r>
      <w:r w:rsidRPr="00A74F83">
        <w:rPr>
          <w:rStyle w:val="Emphasis"/>
        </w:rPr>
        <w:t>,</w:t>
      </w:r>
      <w:r w:rsidRPr="001A467B">
        <w:t xml:space="preserve"> aligned with World Health Organisation (WHO) international standards.</w:t>
      </w:r>
    </w:p>
    <w:p w14:paraId="5353835C" w14:textId="77777777" w:rsidR="001A467B" w:rsidRPr="001A467B" w:rsidRDefault="001A467B" w:rsidP="00773FA3">
      <w:pPr>
        <w:pStyle w:val="Heading4"/>
        <w:spacing w:after="120"/>
      </w:pPr>
      <w:r w:rsidRPr="001A467B">
        <w:t>When disinsection is required</w:t>
      </w:r>
    </w:p>
    <w:p w14:paraId="45E333F8" w14:textId="72FB5548" w:rsidR="001A467B" w:rsidRPr="001A467B" w:rsidRDefault="001A467B" w:rsidP="001A467B">
      <w:r w:rsidRPr="001A467B">
        <w:t>Disinsection must be completed for all international aircraft before arrival</w:t>
      </w:r>
      <w:r w:rsidR="00DF4A71">
        <w:t>, or on arrival,</w:t>
      </w:r>
      <w:r w:rsidRPr="001A467B">
        <w:t xml:space="preserve"> in</w:t>
      </w:r>
      <w:r w:rsidR="0017251A">
        <w:t>to the</w:t>
      </w:r>
      <w:r w:rsidRPr="001A467B">
        <w:t xml:space="preserve"> Australian territory. Treatment must be in accordance with the requirements as set down in </w:t>
      </w:r>
      <w:r>
        <w:rPr>
          <w:rStyle w:val="Emphasis"/>
        </w:rPr>
        <w:t>T</w:t>
      </w:r>
      <w:r w:rsidRPr="001A467B">
        <w:rPr>
          <w:rStyle w:val="Emphasis"/>
        </w:rPr>
        <w:t xml:space="preserve">he Schedule of Aircraft Disinsection Procedures for Flights into Australia and New Zealand v5.3 </w:t>
      </w:r>
      <w:r w:rsidRPr="001A467B">
        <w:t>(the Schedule).</w:t>
      </w:r>
    </w:p>
    <w:p w14:paraId="384D78E0" w14:textId="77777777" w:rsidR="001A467B" w:rsidRPr="001A467B" w:rsidRDefault="001A467B" w:rsidP="001A467B">
      <w:pPr>
        <w:pStyle w:val="Heading4"/>
      </w:pPr>
      <w:r w:rsidRPr="001A467B">
        <w:t>Importance of disinsection</w:t>
      </w:r>
    </w:p>
    <w:p w14:paraId="0F2303AB" w14:textId="46508781" w:rsidR="001A467B" w:rsidRPr="001A467B" w:rsidRDefault="000E10A0" w:rsidP="001A467B">
      <w:pPr>
        <w:pStyle w:val="ListBullet"/>
      </w:pPr>
      <w:r>
        <w:t>P</w:t>
      </w:r>
      <w:r w:rsidR="001A467B" w:rsidRPr="001A467B">
        <w:t>rotects Australia’s public health by preventing the introduction of exotic mosquitoes and the spread of vector-borne diseases (e.g. dengue fever, Zika virus and chikungunya)</w:t>
      </w:r>
      <w:r w:rsidR="00880FA7">
        <w:t>.</w:t>
      </w:r>
    </w:p>
    <w:p w14:paraId="4D5065E0" w14:textId="19191190" w:rsidR="001A467B" w:rsidRPr="001A467B" w:rsidRDefault="00880FA7" w:rsidP="001A467B">
      <w:pPr>
        <w:pStyle w:val="ListBullet"/>
      </w:pPr>
      <w:r>
        <w:t>E</w:t>
      </w:r>
      <w:r w:rsidR="001A467B" w:rsidRPr="001A467B">
        <w:t xml:space="preserve">nsures </w:t>
      </w:r>
      <w:r>
        <w:t xml:space="preserve">Australia’s </w:t>
      </w:r>
      <w:r w:rsidR="001A467B" w:rsidRPr="001A467B">
        <w:t>compliance with international obligations and standards as a signatory to the WHO</w:t>
      </w:r>
    </w:p>
    <w:p w14:paraId="20612967" w14:textId="1D3A85BA" w:rsidR="001A467B" w:rsidRDefault="00880FA7" w:rsidP="001A467B">
      <w:pPr>
        <w:pStyle w:val="ListBullet"/>
      </w:pPr>
      <w:r>
        <w:t>M</w:t>
      </w:r>
      <w:r w:rsidR="001A467B" w:rsidRPr="001A467B">
        <w:t>aintains trade and travel confidence</w:t>
      </w:r>
      <w:r w:rsidR="00071F71">
        <w:t>.</w:t>
      </w:r>
      <w:r w:rsidR="001A467B" w:rsidRPr="001A467B">
        <w:t xml:space="preserve"> </w:t>
      </w:r>
    </w:p>
    <w:p w14:paraId="7DD5ECDD" w14:textId="36F6AFAE" w:rsidR="001A467B" w:rsidRDefault="001A467B" w:rsidP="001A467B">
      <w:pPr>
        <w:pStyle w:val="Caption"/>
      </w:pPr>
      <w:r>
        <w:t xml:space="preserve">Table </w:t>
      </w:r>
      <w:r>
        <w:fldChar w:fldCharType="begin"/>
      </w:r>
      <w:r>
        <w:instrText xml:space="preserve"> SEQ Table \* ARABIC </w:instrText>
      </w:r>
      <w:r>
        <w:fldChar w:fldCharType="separate"/>
      </w:r>
      <w:r w:rsidR="00F60AF7">
        <w:rPr>
          <w:noProof/>
        </w:rPr>
        <w:t>1</w:t>
      </w:r>
      <w:r>
        <w:fldChar w:fldCharType="end"/>
      </w:r>
      <w:r>
        <w:t xml:space="preserve"> </w:t>
      </w:r>
      <w:r w:rsidRPr="00B540BD">
        <w:t>Approved disinsection methods and their validity</w:t>
      </w:r>
    </w:p>
    <w:tbl>
      <w:tblPr>
        <w:tblStyle w:val="LightShading1"/>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675"/>
        <w:gridCol w:w="4855"/>
        <w:gridCol w:w="2882"/>
      </w:tblGrid>
      <w:tr w:rsidR="001A467B" w:rsidRPr="00D76150" w14:paraId="70D317A7" w14:textId="77777777" w:rsidTr="00B5709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90" w:type="pct"/>
            <w:tcBorders>
              <w:top w:val="none" w:sz="0" w:space="0" w:color="auto"/>
              <w:left w:val="none" w:sz="0" w:space="0" w:color="auto"/>
              <w:bottom w:val="none" w:sz="0" w:space="0" w:color="auto"/>
              <w:right w:val="none" w:sz="0" w:space="0" w:color="auto"/>
            </w:tcBorders>
            <w:hideMark/>
          </w:tcPr>
          <w:p w14:paraId="1F145DF6" w14:textId="77777777" w:rsidR="001A467B" w:rsidRPr="00EA2DAA" w:rsidRDefault="001A467B" w:rsidP="00B57098">
            <w:pPr>
              <w:pStyle w:val="TableHeading"/>
              <w:rPr>
                <w:b/>
                <w:bCs w:val="0"/>
              </w:rPr>
            </w:pPr>
            <w:bookmarkStart w:id="0" w:name="Title_1"/>
            <w:bookmarkEnd w:id="0"/>
            <w:r w:rsidRPr="00EA2DAA">
              <w:rPr>
                <w:b/>
                <w:bCs w:val="0"/>
              </w:rPr>
              <w:t>Method</w:t>
            </w:r>
          </w:p>
        </w:tc>
        <w:tc>
          <w:tcPr>
            <w:tcW w:w="2579" w:type="pct"/>
            <w:tcBorders>
              <w:top w:val="none" w:sz="0" w:space="0" w:color="auto"/>
              <w:left w:val="none" w:sz="0" w:space="0" w:color="auto"/>
              <w:bottom w:val="none" w:sz="0" w:space="0" w:color="auto"/>
              <w:right w:val="none" w:sz="0" w:space="0" w:color="auto"/>
            </w:tcBorders>
            <w:hideMark/>
          </w:tcPr>
          <w:p w14:paraId="6B65635B" w14:textId="77777777" w:rsidR="001A467B" w:rsidRPr="00EA2DAA" w:rsidRDefault="001A467B" w:rsidP="00B57098">
            <w:pPr>
              <w:pStyle w:val="TableHeading"/>
              <w:cnfStyle w:val="100000000000" w:firstRow="1" w:lastRow="0" w:firstColumn="0" w:lastColumn="0" w:oddVBand="0" w:evenVBand="0" w:oddHBand="0" w:evenHBand="0" w:firstRowFirstColumn="0" w:firstRowLastColumn="0" w:lastRowFirstColumn="0" w:lastRowLastColumn="0"/>
              <w:rPr>
                <w:b/>
                <w:bCs w:val="0"/>
              </w:rPr>
            </w:pPr>
            <w:r w:rsidRPr="00EA2DAA">
              <w:rPr>
                <w:b/>
                <w:bCs w:val="0"/>
              </w:rPr>
              <w:t xml:space="preserve">When </w:t>
            </w:r>
            <w:r>
              <w:rPr>
                <w:b/>
                <w:bCs w:val="0"/>
              </w:rPr>
              <w:t>i</w:t>
            </w:r>
            <w:r w:rsidRPr="00EA2DAA">
              <w:rPr>
                <w:b/>
                <w:bCs w:val="0"/>
              </w:rPr>
              <w:t xml:space="preserve">t’s </w:t>
            </w:r>
            <w:r>
              <w:rPr>
                <w:b/>
                <w:bCs w:val="0"/>
              </w:rPr>
              <w:t>d</w:t>
            </w:r>
            <w:r w:rsidRPr="00EA2DAA">
              <w:rPr>
                <w:b/>
                <w:bCs w:val="0"/>
              </w:rPr>
              <w:t>one</w:t>
            </w:r>
          </w:p>
        </w:tc>
        <w:tc>
          <w:tcPr>
            <w:tcW w:w="1531" w:type="pct"/>
            <w:tcBorders>
              <w:top w:val="none" w:sz="0" w:space="0" w:color="auto"/>
              <w:left w:val="none" w:sz="0" w:space="0" w:color="auto"/>
              <w:bottom w:val="none" w:sz="0" w:space="0" w:color="auto"/>
              <w:right w:val="none" w:sz="0" w:space="0" w:color="auto"/>
            </w:tcBorders>
            <w:hideMark/>
          </w:tcPr>
          <w:p w14:paraId="2BA194B8" w14:textId="77777777" w:rsidR="001A467B" w:rsidRPr="00EA2DAA" w:rsidRDefault="001A467B" w:rsidP="00B57098">
            <w:pPr>
              <w:pStyle w:val="TableHeading"/>
              <w:cnfStyle w:val="100000000000" w:firstRow="1" w:lastRow="0" w:firstColumn="0" w:lastColumn="0" w:oddVBand="0" w:evenVBand="0" w:oddHBand="0" w:evenHBand="0" w:firstRowFirstColumn="0" w:firstRowLastColumn="0" w:lastRowFirstColumn="0" w:lastRowLastColumn="0"/>
              <w:rPr>
                <w:b/>
                <w:bCs w:val="0"/>
              </w:rPr>
            </w:pPr>
            <w:r w:rsidRPr="00EA2DAA">
              <w:rPr>
                <w:b/>
                <w:bCs w:val="0"/>
              </w:rPr>
              <w:t>Validity</w:t>
            </w:r>
          </w:p>
        </w:tc>
      </w:tr>
      <w:tr w:rsidR="001A467B" w:rsidRPr="00D76150" w14:paraId="64DF5931" w14:textId="77777777" w:rsidTr="00B57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 w:type="pct"/>
            <w:tcBorders>
              <w:left w:val="none" w:sz="0" w:space="0" w:color="auto"/>
              <w:right w:val="none" w:sz="0" w:space="0" w:color="auto"/>
            </w:tcBorders>
            <w:shd w:val="clear" w:color="auto" w:fill="auto"/>
            <w:hideMark/>
          </w:tcPr>
          <w:p w14:paraId="6D3F6670" w14:textId="77777777" w:rsidR="001A467B" w:rsidRPr="00EA2DAA" w:rsidRDefault="001A467B" w:rsidP="00B57098">
            <w:pPr>
              <w:pStyle w:val="TableText"/>
              <w:rPr>
                <w:b w:val="0"/>
                <w:bCs w:val="0"/>
              </w:rPr>
            </w:pPr>
            <w:r w:rsidRPr="00EA2DAA">
              <w:rPr>
                <w:b w:val="0"/>
                <w:bCs w:val="0"/>
              </w:rPr>
              <w:t>Residual</w:t>
            </w:r>
          </w:p>
        </w:tc>
        <w:tc>
          <w:tcPr>
            <w:tcW w:w="2579" w:type="pct"/>
            <w:tcBorders>
              <w:left w:val="none" w:sz="0" w:space="0" w:color="auto"/>
              <w:right w:val="none" w:sz="0" w:space="0" w:color="auto"/>
            </w:tcBorders>
            <w:shd w:val="clear" w:color="auto" w:fill="auto"/>
            <w:hideMark/>
          </w:tcPr>
          <w:p w14:paraId="3449D1CC" w14:textId="77777777" w:rsidR="001A467B" w:rsidRPr="00D76150" w:rsidRDefault="001A467B" w:rsidP="00B57098">
            <w:pPr>
              <w:pStyle w:val="TableText"/>
              <w:cnfStyle w:val="000000100000" w:firstRow="0" w:lastRow="0" w:firstColumn="0" w:lastColumn="0" w:oddVBand="0" w:evenVBand="0" w:oddHBand="1" w:evenHBand="0" w:firstRowFirstColumn="0" w:firstRowLastColumn="0" w:lastRowFirstColumn="0" w:lastRowLastColumn="0"/>
            </w:pPr>
            <w:r w:rsidRPr="00D76150">
              <w:t>No passengers onboard; entire aircraft treated</w:t>
            </w:r>
          </w:p>
        </w:tc>
        <w:tc>
          <w:tcPr>
            <w:tcW w:w="1531" w:type="pct"/>
            <w:tcBorders>
              <w:left w:val="none" w:sz="0" w:space="0" w:color="auto"/>
              <w:right w:val="none" w:sz="0" w:space="0" w:color="auto"/>
            </w:tcBorders>
            <w:shd w:val="clear" w:color="auto" w:fill="auto"/>
            <w:hideMark/>
          </w:tcPr>
          <w:p w14:paraId="0F02435F" w14:textId="77777777" w:rsidR="001A467B" w:rsidRPr="00D76150" w:rsidRDefault="001A467B" w:rsidP="00B57098">
            <w:pPr>
              <w:pStyle w:val="TableText"/>
              <w:cnfStyle w:val="000000100000" w:firstRow="0" w:lastRow="0" w:firstColumn="0" w:lastColumn="0" w:oddVBand="0" w:evenVBand="0" w:oddHBand="1" w:evenHBand="0" w:firstRowFirstColumn="0" w:firstRowLastColumn="0" w:lastRowFirstColumn="0" w:lastRowLastColumn="0"/>
            </w:pPr>
            <w:r>
              <w:t>U</w:t>
            </w:r>
            <w:r w:rsidRPr="00D76150">
              <w:t>p to 8 weeks</w:t>
            </w:r>
          </w:p>
        </w:tc>
      </w:tr>
      <w:tr w:rsidR="001A467B" w:rsidRPr="00D76150" w14:paraId="30F97CFE" w14:textId="77777777" w:rsidTr="00B57098">
        <w:tc>
          <w:tcPr>
            <w:cnfStyle w:val="001000000000" w:firstRow="0" w:lastRow="0" w:firstColumn="1" w:lastColumn="0" w:oddVBand="0" w:evenVBand="0" w:oddHBand="0" w:evenHBand="0" w:firstRowFirstColumn="0" w:firstRowLastColumn="0" w:lastRowFirstColumn="0" w:lastRowLastColumn="0"/>
            <w:tcW w:w="890" w:type="pct"/>
            <w:hideMark/>
          </w:tcPr>
          <w:p w14:paraId="676DAA27" w14:textId="77777777" w:rsidR="001A467B" w:rsidRPr="00EA2DAA" w:rsidRDefault="001A467B" w:rsidP="00B57098">
            <w:pPr>
              <w:pStyle w:val="TableText"/>
              <w:rPr>
                <w:b w:val="0"/>
                <w:bCs w:val="0"/>
              </w:rPr>
            </w:pPr>
            <w:r w:rsidRPr="00EA2DAA">
              <w:rPr>
                <w:b w:val="0"/>
                <w:bCs w:val="0"/>
              </w:rPr>
              <w:t>Pre-embarkation</w:t>
            </w:r>
          </w:p>
        </w:tc>
        <w:tc>
          <w:tcPr>
            <w:tcW w:w="2579" w:type="pct"/>
            <w:hideMark/>
          </w:tcPr>
          <w:p w14:paraId="752595F2" w14:textId="77777777" w:rsidR="001A467B" w:rsidRPr="00D76150" w:rsidRDefault="001A467B" w:rsidP="00B57098">
            <w:pPr>
              <w:pStyle w:val="TableText"/>
              <w:cnfStyle w:val="000000000000" w:firstRow="0" w:lastRow="0" w:firstColumn="0" w:lastColumn="0" w:oddVBand="0" w:evenVBand="0" w:oddHBand="0" w:evenHBand="0" w:firstRowFirstColumn="0" w:firstRowLastColumn="0" w:lastRowFirstColumn="0" w:lastRowLastColumn="0"/>
            </w:pPr>
            <w:r w:rsidRPr="00D76150">
              <w:t xml:space="preserve">Before passenger </w:t>
            </w:r>
            <w:proofErr w:type="gramStart"/>
            <w:r w:rsidRPr="00D76150">
              <w:t>boarding</w:t>
            </w:r>
            <w:r>
              <w:t>;</w:t>
            </w:r>
            <w:proofErr w:type="gramEnd"/>
            <w:r w:rsidRPr="00D76150">
              <w:t xml:space="preserve"> after catering loaded</w:t>
            </w:r>
          </w:p>
        </w:tc>
        <w:tc>
          <w:tcPr>
            <w:tcW w:w="1531" w:type="pct"/>
            <w:hideMark/>
          </w:tcPr>
          <w:p w14:paraId="3DF667D0" w14:textId="77777777" w:rsidR="001A467B" w:rsidRPr="00D76150" w:rsidRDefault="001A467B" w:rsidP="00B57098">
            <w:pPr>
              <w:pStyle w:val="TableText"/>
              <w:cnfStyle w:val="000000000000" w:firstRow="0" w:lastRow="0" w:firstColumn="0" w:lastColumn="0" w:oddVBand="0" w:evenVBand="0" w:oddHBand="0" w:evenHBand="0" w:firstRowFirstColumn="0" w:firstRowLastColumn="0" w:lastRowFirstColumn="0" w:lastRowLastColumn="0"/>
            </w:pPr>
            <w:r w:rsidRPr="00D76150">
              <w:t>Single flight sector</w:t>
            </w:r>
          </w:p>
        </w:tc>
      </w:tr>
      <w:tr w:rsidR="001A467B" w:rsidRPr="00D76150" w14:paraId="3A22B9A6" w14:textId="77777777" w:rsidTr="00B57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 w:type="pct"/>
            <w:tcBorders>
              <w:left w:val="none" w:sz="0" w:space="0" w:color="auto"/>
              <w:right w:val="none" w:sz="0" w:space="0" w:color="auto"/>
            </w:tcBorders>
            <w:shd w:val="clear" w:color="auto" w:fill="auto"/>
            <w:hideMark/>
          </w:tcPr>
          <w:p w14:paraId="6E3CDB5C" w14:textId="77777777" w:rsidR="001A467B" w:rsidRPr="00EA2DAA" w:rsidRDefault="001A467B" w:rsidP="00B57098">
            <w:pPr>
              <w:pStyle w:val="TableText"/>
              <w:rPr>
                <w:b w:val="0"/>
                <w:bCs w:val="0"/>
              </w:rPr>
            </w:pPr>
            <w:r w:rsidRPr="00EA2DAA">
              <w:rPr>
                <w:b w:val="0"/>
                <w:bCs w:val="0"/>
              </w:rPr>
              <w:t>Pre-departure</w:t>
            </w:r>
          </w:p>
        </w:tc>
        <w:tc>
          <w:tcPr>
            <w:tcW w:w="2579" w:type="pct"/>
            <w:tcBorders>
              <w:left w:val="none" w:sz="0" w:space="0" w:color="auto"/>
              <w:right w:val="none" w:sz="0" w:space="0" w:color="auto"/>
            </w:tcBorders>
            <w:shd w:val="clear" w:color="auto" w:fill="auto"/>
            <w:hideMark/>
          </w:tcPr>
          <w:p w14:paraId="2FB85661" w14:textId="77777777" w:rsidR="001A467B" w:rsidRPr="00D76150" w:rsidRDefault="001A467B" w:rsidP="00B57098">
            <w:pPr>
              <w:pStyle w:val="TableText"/>
              <w:cnfStyle w:val="000000100000" w:firstRow="0" w:lastRow="0" w:firstColumn="0" w:lastColumn="0" w:oddVBand="0" w:evenVBand="0" w:oddHBand="1" w:evenHBand="0" w:firstRowFirstColumn="0" w:firstRowLastColumn="0" w:lastRowFirstColumn="0" w:lastRowLastColumn="0"/>
            </w:pPr>
            <w:r w:rsidRPr="00D76150">
              <w:t>After</w:t>
            </w:r>
            <w:r>
              <w:t xml:space="preserve"> passenger</w:t>
            </w:r>
            <w:r w:rsidRPr="00D76150">
              <w:t xml:space="preserve"> boarding; before take-off</w:t>
            </w:r>
          </w:p>
        </w:tc>
        <w:tc>
          <w:tcPr>
            <w:tcW w:w="1531" w:type="pct"/>
            <w:tcBorders>
              <w:left w:val="none" w:sz="0" w:space="0" w:color="auto"/>
              <w:right w:val="none" w:sz="0" w:space="0" w:color="auto"/>
            </w:tcBorders>
            <w:shd w:val="clear" w:color="auto" w:fill="auto"/>
            <w:hideMark/>
          </w:tcPr>
          <w:p w14:paraId="4DD687C0" w14:textId="77777777" w:rsidR="001A467B" w:rsidRPr="00D76150" w:rsidRDefault="001A467B" w:rsidP="00B57098">
            <w:pPr>
              <w:pStyle w:val="TableText"/>
              <w:cnfStyle w:val="000000100000" w:firstRow="0" w:lastRow="0" w:firstColumn="0" w:lastColumn="0" w:oddVBand="0" w:evenVBand="0" w:oddHBand="1" w:evenHBand="0" w:firstRowFirstColumn="0" w:firstRowLastColumn="0" w:lastRowFirstColumn="0" w:lastRowLastColumn="0"/>
            </w:pPr>
            <w:r w:rsidRPr="00D76150">
              <w:t>Single flight sector</w:t>
            </w:r>
          </w:p>
        </w:tc>
      </w:tr>
      <w:tr w:rsidR="001A467B" w:rsidRPr="00D76150" w14:paraId="03ED6E26" w14:textId="77777777" w:rsidTr="00B57098">
        <w:tc>
          <w:tcPr>
            <w:cnfStyle w:val="001000000000" w:firstRow="0" w:lastRow="0" w:firstColumn="1" w:lastColumn="0" w:oddVBand="0" w:evenVBand="0" w:oddHBand="0" w:evenHBand="0" w:firstRowFirstColumn="0" w:firstRowLastColumn="0" w:lastRowFirstColumn="0" w:lastRowLastColumn="0"/>
            <w:tcW w:w="890" w:type="pct"/>
            <w:hideMark/>
          </w:tcPr>
          <w:p w14:paraId="6138FA88" w14:textId="77777777" w:rsidR="001A467B" w:rsidRPr="00EA2DAA" w:rsidRDefault="001A467B" w:rsidP="00B57098">
            <w:pPr>
              <w:pStyle w:val="TableText"/>
              <w:rPr>
                <w:b w:val="0"/>
                <w:bCs w:val="0"/>
              </w:rPr>
            </w:pPr>
            <w:r w:rsidRPr="00EA2DAA">
              <w:rPr>
                <w:b w:val="0"/>
                <w:bCs w:val="0"/>
              </w:rPr>
              <w:t>On-arrival</w:t>
            </w:r>
          </w:p>
        </w:tc>
        <w:tc>
          <w:tcPr>
            <w:tcW w:w="2579" w:type="pct"/>
            <w:hideMark/>
          </w:tcPr>
          <w:p w14:paraId="61F01C74" w14:textId="77777777" w:rsidR="001A467B" w:rsidRPr="00D76150" w:rsidRDefault="001A467B" w:rsidP="00B57098">
            <w:pPr>
              <w:pStyle w:val="TableText"/>
              <w:cnfStyle w:val="000000000000" w:firstRow="0" w:lastRow="0" w:firstColumn="0" w:lastColumn="0" w:oddVBand="0" w:evenVBand="0" w:oddHBand="0" w:evenHBand="0" w:firstRowFirstColumn="0" w:firstRowLastColumn="0" w:lastRowFirstColumn="0" w:lastRowLastColumn="0"/>
            </w:pPr>
            <w:r w:rsidRPr="00D76150">
              <w:t>After landing; before disembarkation or cargo unload</w:t>
            </w:r>
          </w:p>
        </w:tc>
        <w:tc>
          <w:tcPr>
            <w:tcW w:w="1531" w:type="pct"/>
            <w:hideMark/>
          </w:tcPr>
          <w:p w14:paraId="5380814E" w14:textId="77777777" w:rsidR="001A467B" w:rsidRPr="00D76150" w:rsidRDefault="001A467B" w:rsidP="00B57098">
            <w:pPr>
              <w:pStyle w:val="TableText"/>
              <w:cnfStyle w:val="000000000000" w:firstRow="0" w:lastRow="0" w:firstColumn="0" w:lastColumn="0" w:oddVBand="0" w:evenVBand="0" w:oddHBand="0" w:evenHBand="0" w:firstRowFirstColumn="0" w:firstRowLastColumn="0" w:lastRowFirstColumn="0" w:lastRowLastColumn="0"/>
            </w:pPr>
            <w:r w:rsidRPr="00D76150">
              <w:t>Supervised by biosecurity officers</w:t>
            </w:r>
          </w:p>
        </w:tc>
      </w:tr>
    </w:tbl>
    <w:p w14:paraId="6D2CA325" w14:textId="650EBC95" w:rsidR="001A467B" w:rsidRPr="001A467B" w:rsidRDefault="001A467B" w:rsidP="001A467B">
      <w:pPr>
        <w:spacing w:before="240"/>
      </w:pPr>
      <w:r w:rsidRPr="001A467B">
        <w:t>For information on insecticide application methods and equipment, physical requirements of aerosol and residual sprays, and revised calculation tables for aerosol spray amounts required for each aircraft type</w:t>
      </w:r>
      <w:r w:rsidR="00071F71">
        <w:t>,</w:t>
      </w:r>
      <w:r w:rsidRPr="001A467B">
        <w:t xml:space="preserve"> </w:t>
      </w:r>
      <w:r w:rsidR="00975BA5">
        <w:t xml:space="preserve">you should </w:t>
      </w:r>
      <w:r w:rsidRPr="001A467B">
        <w:t xml:space="preserve">refer to the </w:t>
      </w:r>
      <w:r w:rsidRPr="00A74F83">
        <w:rPr>
          <w:rStyle w:val="Emphasis"/>
        </w:rPr>
        <w:t>WHO aircraft disinsection methods and procedures, 2nd edition.</w:t>
      </w:r>
    </w:p>
    <w:p w14:paraId="647BA186" w14:textId="77777777" w:rsidR="001A467B" w:rsidRPr="001A467B" w:rsidRDefault="001A467B" w:rsidP="00773FA3">
      <w:pPr>
        <w:pStyle w:val="Heading4"/>
        <w:spacing w:after="120"/>
      </w:pPr>
      <w:r w:rsidRPr="001A467B">
        <w:t>Exceptions to aircraft disinsection requirements</w:t>
      </w:r>
    </w:p>
    <w:p w14:paraId="75F07ED9" w14:textId="77777777" w:rsidR="001A467B" w:rsidRPr="001A467B" w:rsidRDefault="001A467B" w:rsidP="001A467B">
      <w:r w:rsidRPr="001A467B">
        <w:t>An incoming aircraft may be exempt from disinsection requirements in 2 situations:</w:t>
      </w:r>
    </w:p>
    <w:p w14:paraId="263F3DA0" w14:textId="4704D4D0" w:rsidR="001A467B" w:rsidRPr="001A467B" w:rsidRDefault="001A467B" w:rsidP="001A467B">
      <w:pPr>
        <w:pStyle w:val="ListBullet"/>
      </w:pPr>
      <w:r w:rsidRPr="001A467B">
        <w:t xml:space="preserve">excepted under the </w:t>
      </w:r>
      <w:r w:rsidRPr="001A467B">
        <w:rPr>
          <w:rStyle w:val="Emphasis"/>
        </w:rPr>
        <w:t>Biosecurity (Movements between Parts of Australian Territory) Declaration 2016</w:t>
      </w:r>
      <w:r w:rsidRPr="001A467B">
        <w:t xml:space="preserve"> (items 7–11)</w:t>
      </w:r>
      <w:r w:rsidR="00071F71">
        <w:t>, or</w:t>
      </w:r>
    </w:p>
    <w:p w14:paraId="01C95551" w14:textId="419D0B4A" w:rsidR="001A467B" w:rsidRDefault="001A467B" w:rsidP="001A467B">
      <w:pPr>
        <w:pStyle w:val="ListBullet"/>
      </w:pPr>
      <w:r w:rsidRPr="001A467B">
        <w:lastRenderedPageBreak/>
        <w:t xml:space="preserve">a Human Biosecurity Officer (HBO) from the </w:t>
      </w:r>
      <w:r w:rsidR="004A506A">
        <w:t xml:space="preserve">Commonwealth </w:t>
      </w:r>
      <w:r w:rsidRPr="001A467B">
        <w:t>Department of Health</w:t>
      </w:r>
      <w:r w:rsidR="003D1FA5">
        <w:t xml:space="preserve">, Disability and Ageing </w:t>
      </w:r>
      <w:r w:rsidR="000531E5" w:rsidRPr="001A467B">
        <w:t>assess</w:t>
      </w:r>
      <w:r w:rsidRPr="001A467B">
        <w:t xml:space="preserve"> the aircraft</w:t>
      </w:r>
      <w:r w:rsidR="005F700E">
        <w:t xml:space="preserve"> on arrival</w:t>
      </w:r>
      <w:r w:rsidRPr="001A467B">
        <w:t xml:space="preserve"> and the operator is officially notified of the exemption</w:t>
      </w:r>
      <w:r w:rsidR="00071F71">
        <w:t>.</w:t>
      </w:r>
    </w:p>
    <w:p w14:paraId="64C43376" w14:textId="23DAB402" w:rsidR="00B82095" w:rsidRPr="001A467B" w:rsidRDefault="000913B5" w:rsidP="00773FA3">
      <w:pPr>
        <w:pStyle w:val="Heading3"/>
        <w:spacing w:after="120"/>
      </w:pPr>
      <w:r w:rsidRPr="001A467B">
        <w:t>More</w:t>
      </w:r>
      <w:r w:rsidR="00B82095" w:rsidRPr="001A467B">
        <w:t xml:space="preserve"> information</w:t>
      </w:r>
    </w:p>
    <w:p w14:paraId="4D28FCF1" w14:textId="77777777" w:rsidR="003C1B0A" w:rsidRDefault="001A467B" w:rsidP="00071F71">
      <w:pPr>
        <w:rPr>
          <w:lang w:eastAsia="ja-JP"/>
        </w:rPr>
      </w:pPr>
      <w:r w:rsidRPr="00F03451">
        <w:rPr>
          <w:lang w:eastAsia="ja-JP"/>
        </w:rPr>
        <w:t>Learn more about</w:t>
      </w:r>
      <w:r w:rsidR="00071F71">
        <w:rPr>
          <w:lang w:eastAsia="ja-JP"/>
        </w:rPr>
        <w:t xml:space="preserve"> </w:t>
      </w:r>
    </w:p>
    <w:p w14:paraId="42147E9F" w14:textId="32AFD496" w:rsidR="001A467B" w:rsidRPr="003C1B0A" w:rsidRDefault="003C1B0A" w:rsidP="003C1B0A">
      <w:pPr>
        <w:pStyle w:val="ListBullet"/>
        <w:rPr>
          <w:rStyle w:val="Hyperlink"/>
        </w:rPr>
      </w:pPr>
      <w:hyperlink r:id="rId11" w:history="1">
        <w:r>
          <w:rPr>
            <w:rStyle w:val="Hyperlink"/>
          </w:rPr>
          <w:t>A</w:t>
        </w:r>
        <w:r w:rsidR="001A467B" w:rsidRPr="003C1B0A">
          <w:rPr>
            <w:rStyle w:val="Hyperlink"/>
          </w:rPr>
          <w:t xml:space="preserve">ircraft </w:t>
        </w:r>
        <w:r>
          <w:rPr>
            <w:rStyle w:val="Hyperlink"/>
          </w:rPr>
          <w:t>D</w:t>
        </w:r>
        <w:r w:rsidR="001A467B" w:rsidRPr="003C1B0A">
          <w:rPr>
            <w:rStyle w:val="Hyperlink"/>
          </w:rPr>
          <w:t>isinsection</w:t>
        </w:r>
      </w:hyperlink>
    </w:p>
    <w:p w14:paraId="274A81C4" w14:textId="77777777" w:rsidR="001A467B" w:rsidRPr="003C1B0A" w:rsidRDefault="001A467B" w:rsidP="001A467B">
      <w:pPr>
        <w:pStyle w:val="ListBullet"/>
        <w:ind w:left="425" w:hanging="425"/>
        <w:rPr>
          <w:rStyle w:val="Hyperlink"/>
        </w:rPr>
      </w:pPr>
      <w:hyperlink r:id="rId12" w:history="1">
        <w:r w:rsidRPr="003C1B0A">
          <w:rPr>
            <w:rStyle w:val="Hyperlink"/>
          </w:rPr>
          <w:t>World Health Organisation (WHO) aircraft disinsection methods and procedures, 2nd Edition</w:t>
        </w:r>
      </w:hyperlink>
    </w:p>
    <w:p w14:paraId="7060F42C" w14:textId="77777777" w:rsidR="001A467B" w:rsidRPr="003C1B0A" w:rsidRDefault="001A467B" w:rsidP="001A467B">
      <w:pPr>
        <w:pStyle w:val="ListBullet"/>
        <w:ind w:left="425" w:hanging="425"/>
        <w:rPr>
          <w:rStyle w:val="Hyperlink"/>
        </w:rPr>
      </w:pPr>
      <w:r w:rsidRPr="003C1B0A">
        <w:rPr>
          <w:rStyle w:val="Hyperlink"/>
        </w:rPr>
        <w:fldChar w:fldCharType="begin"/>
      </w:r>
      <w:r w:rsidRPr="003C1B0A">
        <w:rPr>
          <w:rStyle w:val="Hyperlink"/>
        </w:rPr>
        <w:instrText>HYPERLINK "https://www.agriculture.gov.au/sites/default/files/documents/schedule-of-aircraft-disinsection-procedures-for-flights-into-aus-nz-v5.3.pdf"</w:instrText>
      </w:r>
      <w:r w:rsidRPr="003C1B0A">
        <w:rPr>
          <w:rStyle w:val="Hyperlink"/>
        </w:rPr>
      </w:r>
      <w:r w:rsidRPr="003C1B0A">
        <w:rPr>
          <w:rStyle w:val="Hyperlink"/>
        </w:rPr>
        <w:fldChar w:fldCharType="separate"/>
      </w:r>
      <w:r w:rsidRPr="003C1B0A">
        <w:rPr>
          <w:rStyle w:val="Hyperlink"/>
        </w:rPr>
        <w:t xml:space="preserve">Schedule of Aircraft </w:t>
      </w:r>
      <w:proofErr w:type="spellStart"/>
      <w:r w:rsidRPr="003C1B0A">
        <w:rPr>
          <w:rStyle w:val="Hyperlink"/>
        </w:rPr>
        <w:t>Disinsection</w:t>
      </w:r>
      <w:proofErr w:type="spellEnd"/>
      <w:r w:rsidRPr="003C1B0A">
        <w:rPr>
          <w:rStyle w:val="Hyperlink"/>
        </w:rPr>
        <w:t xml:space="preserve"> Procedures for Flights into Australia and New Zealand</w:t>
      </w:r>
    </w:p>
    <w:p w14:paraId="5284301F" w14:textId="0EA2D741" w:rsidR="001A467B" w:rsidRPr="00F03451" w:rsidRDefault="001A467B" w:rsidP="001A467B">
      <w:pPr>
        <w:spacing w:after="360"/>
        <w:rPr>
          <w:lang w:eastAsia="ja-JP"/>
        </w:rPr>
      </w:pPr>
      <w:r w:rsidRPr="003C1B0A">
        <w:rPr>
          <w:rStyle w:val="Hyperlink"/>
        </w:rPr>
        <w:fldChar w:fldCharType="end"/>
      </w:r>
      <w:r w:rsidRPr="00F03451">
        <w:rPr>
          <w:rStyle w:val="Strong"/>
        </w:rPr>
        <w:t>Email</w:t>
      </w:r>
      <w:r w:rsidRPr="00F03451">
        <w:rPr>
          <w:lang w:eastAsia="ja-JP"/>
        </w:rPr>
        <w:t xml:space="preserve"> </w:t>
      </w:r>
      <w:hyperlink r:id="rId13" w:history="1">
        <w:r w:rsidRPr="003C1B0A">
          <w:rPr>
            <w:rStyle w:val="Hyperlink"/>
          </w:rPr>
          <w:t>conveyance.aircraft@aff.gov.au</w:t>
        </w:r>
      </w:hyperlink>
      <w:r>
        <w:rPr>
          <w:lang w:eastAsia="ja-JP"/>
        </w:rPr>
        <w:t xml:space="preserve">  </w:t>
      </w:r>
    </w:p>
    <w:p w14:paraId="30DBEC8D" w14:textId="77777777" w:rsidR="000A5BA0" w:rsidRDefault="000A5BA0" w:rsidP="000A5BA0">
      <w:pPr>
        <w:pStyle w:val="Normalsmall"/>
      </w:pPr>
      <w:r>
        <w:rPr>
          <w:rStyle w:val="Strong"/>
        </w:rPr>
        <w:t>Acknowledgement of Country</w:t>
      </w:r>
    </w:p>
    <w:p w14:paraId="000EB4E5"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4F3E563C" w14:textId="77777777" w:rsidR="00E9781D" w:rsidRDefault="00E9781D" w:rsidP="00E9781D">
      <w:pPr>
        <w:pStyle w:val="Normalsmall"/>
        <w:spacing w:before="360"/>
      </w:pPr>
      <w:r>
        <w:t>© Commonwealth of Australia 202</w:t>
      </w:r>
      <w:r w:rsidR="004A46C2">
        <w:t>5</w:t>
      </w:r>
    </w:p>
    <w:p w14:paraId="257F199C"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180646AC" w14:textId="77777777" w:rsidR="00E9781D" w:rsidRDefault="00E9781D" w:rsidP="00E9781D">
      <w:pPr>
        <w:pStyle w:val="Normalsmall"/>
      </w:pPr>
      <w:r>
        <w:t xml:space="preserve">All material in this publication is licensed under a </w:t>
      </w:r>
      <w:hyperlink r:id="rId14" w:history="1">
        <w:r>
          <w:rPr>
            <w:rStyle w:val="Hyperlink"/>
          </w:rPr>
          <w:t>Creative Commons Attribution 4.0 International Licence</w:t>
        </w:r>
      </w:hyperlink>
      <w:r>
        <w:t xml:space="preserve"> except content supplied by third parties, logos and the Commonwealth Coat of Arms.</w:t>
      </w:r>
    </w:p>
    <w:p w14:paraId="43D1F586"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5B656B" w:rsidSect="00160DC0">
      <w:headerReference w:type="even" r:id="rId15"/>
      <w:headerReference w:type="default" r:id="rId16"/>
      <w:footerReference w:type="even" r:id="rId17"/>
      <w:footerReference w:type="default" r:id="rId18"/>
      <w:headerReference w:type="first" r:id="rId19"/>
      <w:footerReference w:type="first" r:id="rId20"/>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7B81A" w14:textId="77777777" w:rsidR="00D74ECD" w:rsidRDefault="00D74ECD">
      <w:r>
        <w:separator/>
      </w:r>
    </w:p>
    <w:p w14:paraId="247E9962" w14:textId="77777777" w:rsidR="00D74ECD" w:rsidRDefault="00D74ECD"/>
    <w:p w14:paraId="27CF1992" w14:textId="77777777" w:rsidR="00D74ECD" w:rsidRDefault="00D74ECD"/>
  </w:endnote>
  <w:endnote w:type="continuationSeparator" w:id="0">
    <w:p w14:paraId="6C5AFDB3" w14:textId="77777777" w:rsidR="00D74ECD" w:rsidRDefault="00D74ECD">
      <w:r>
        <w:continuationSeparator/>
      </w:r>
    </w:p>
    <w:p w14:paraId="79C3BEA0" w14:textId="77777777" w:rsidR="00D74ECD" w:rsidRDefault="00D74ECD"/>
    <w:p w14:paraId="6574F10A" w14:textId="77777777" w:rsidR="00D74ECD" w:rsidRDefault="00D74ECD"/>
  </w:endnote>
  <w:endnote w:type="continuationNotice" w:id="1">
    <w:p w14:paraId="62825100" w14:textId="77777777" w:rsidR="00D74ECD" w:rsidRDefault="00D74ECD">
      <w:pPr>
        <w:pStyle w:val="Footer"/>
      </w:pPr>
    </w:p>
    <w:p w14:paraId="3C6A5DC5" w14:textId="77777777" w:rsidR="00D74ECD" w:rsidRDefault="00D74ECD"/>
    <w:p w14:paraId="579C1034" w14:textId="77777777" w:rsidR="00D74ECD" w:rsidRDefault="00D74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70EE8" w14:textId="77777777" w:rsidR="00F637B6" w:rsidRDefault="005A3361">
    <w:pPr>
      <w:pStyle w:val="Footer"/>
    </w:pPr>
    <w:r>
      <w:rPr>
        <w:noProof/>
      </w:rPr>
      <mc:AlternateContent>
        <mc:Choice Requires="wps">
          <w:drawing>
            <wp:anchor distT="0" distB="0" distL="0" distR="0" simplePos="0" relativeHeight="251657216" behindDoc="0" locked="0" layoutInCell="1" allowOverlap="1" wp14:anchorId="2FAD8EC9" wp14:editId="304B85CB">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44E3184"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AD8EC9"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444E3184"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BBC9" w14:textId="6DEBAC5D" w:rsidR="000542B4" w:rsidRDefault="00863E83" w:rsidP="00BC3323">
    <w:pPr>
      <w:pStyle w:val="Footer"/>
    </w:pPr>
    <w:r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C178C" w14:textId="74497E9D" w:rsidR="00577F29" w:rsidRDefault="00296F50" w:rsidP="00296F50">
    <w:pPr>
      <w:pStyle w:val="Footer"/>
    </w:pPr>
    <w:r>
      <w:t>D</w:t>
    </w:r>
    <w:sdt>
      <w:sdtPr>
        <w:id w:val="-858040093"/>
        <w:docPartObj>
          <w:docPartGallery w:val="Page Numbers (Bottom of Page)"/>
          <w:docPartUnique/>
        </w:docPartObj>
      </w:sdtPr>
      <w:sdtEndPr>
        <w:rPr>
          <w:noProof/>
        </w:rPr>
      </w:sdtEndPr>
      <w:sdtContent>
        <w:r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1A750" w14:textId="77777777" w:rsidR="00D74ECD" w:rsidRDefault="00D74ECD">
      <w:r>
        <w:separator/>
      </w:r>
    </w:p>
    <w:p w14:paraId="0E7C7671" w14:textId="77777777" w:rsidR="00D74ECD" w:rsidRDefault="00D74ECD"/>
    <w:p w14:paraId="57D88060" w14:textId="77777777" w:rsidR="00D74ECD" w:rsidRDefault="00D74ECD"/>
  </w:footnote>
  <w:footnote w:type="continuationSeparator" w:id="0">
    <w:p w14:paraId="50E14E16" w14:textId="77777777" w:rsidR="00D74ECD" w:rsidRDefault="00D74ECD">
      <w:r>
        <w:continuationSeparator/>
      </w:r>
    </w:p>
    <w:p w14:paraId="6E7D95D4" w14:textId="77777777" w:rsidR="00D74ECD" w:rsidRDefault="00D74ECD"/>
    <w:p w14:paraId="62E9DF2C" w14:textId="77777777" w:rsidR="00D74ECD" w:rsidRDefault="00D74ECD"/>
  </w:footnote>
  <w:footnote w:type="continuationNotice" w:id="1">
    <w:p w14:paraId="0C61A4FF" w14:textId="77777777" w:rsidR="00D74ECD" w:rsidRDefault="00D74ECD">
      <w:pPr>
        <w:pStyle w:val="Footer"/>
      </w:pPr>
    </w:p>
    <w:p w14:paraId="19037187" w14:textId="77777777" w:rsidR="00D74ECD" w:rsidRDefault="00D74ECD"/>
    <w:p w14:paraId="342705EF" w14:textId="77777777" w:rsidR="00D74ECD" w:rsidRDefault="00D74E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0F3E" w14:textId="77777777" w:rsidR="00F637B6" w:rsidRDefault="005A3361">
    <w:pPr>
      <w:pStyle w:val="Header"/>
    </w:pPr>
    <w:r>
      <w:rPr>
        <w:noProof/>
      </w:rPr>
      <mc:AlternateContent>
        <mc:Choice Requires="wps">
          <w:drawing>
            <wp:anchor distT="0" distB="0" distL="0" distR="0" simplePos="0" relativeHeight="251656192" behindDoc="0" locked="0" layoutInCell="1" allowOverlap="1" wp14:anchorId="25D0837A" wp14:editId="4B50A66D">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166109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D0837A"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7166109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210F" w14:textId="7ECA4DD2" w:rsidR="000542B4" w:rsidRDefault="00033AF9" w:rsidP="006A791F">
    <w:pPr>
      <w:pStyle w:val="Header"/>
    </w:pPr>
    <w:r>
      <w:t xml:space="preserve">Final Approach: </w:t>
    </w:r>
    <w:r w:rsidR="006A791F">
      <w:t>A</w:t>
    </w:r>
    <w:r>
      <w:t xml:space="preserve">ircraft </w:t>
    </w:r>
    <w:proofErr w:type="spellStart"/>
    <w:r w:rsidR="006A791F">
      <w:t>D</w:t>
    </w:r>
    <w:r>
      <w:t>isinsection</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D64B3" w14:textId="30BC764E" w:rsidR="000E455C" w:rsidRDefault="00905013" w:rsidP="00A8157A">
    <w:pPr>
      <w:pStyle w:val="Footer"/>
      <w:spacing w:after="0"/>
      <w:jc w:val="left"/>
    </w:pPr>
    <w:r>
      <w:rPr>
        <w:noProof/>
      </w:rPr>
      <w:drawing>
        <wp:anchor distT="0" distB="0" distL="114300" distR="114300" simplePos="0" relativeHeight="251658240" behindDoc="1" locked="0" layoutInCell="1" allowOverlap="1" wp14:anchorId="05770B7C" wp14:editId="4BEE0DCB">
          <wp:simplePos x="0" y="0"/>
          <wp:positionH relativeFrom="page">
            <wp:align>right</wp:align>
          </wp:positionH>
          <wp:positionV relativeFrom="paragraph">
            <wp:posOffset>-343535</wp:posOffset>
          </wp:positionV>
          <wp:extent cx="7543800" cy="1286510"/>
          <wp:effectExtent l="0" t="0" r="0" b="8890"/>
          <wp:wrapNone/>
          <wp:docPr id="1492241952" name="Picture 149224195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a:ext>
                    </a:extLst>
                  </a:blip>
                  <a:stretch>
                    <a:fillRect/>
                  </a:stretch>
                </pic:blipFill>
                <pic:spPr>
                  <a:xfrm>
                    <a:off x="0" y="0"/>
                    <a:ext cx="7543800" cy="12865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3"/>
  </w:num>
  <w:num w:numId="2" w16cid:durableId="1209954464">
    <w:abstractNumId w:val="2"/>
  </w:num>
  <w:num w:numId="3" w16cid:durableId="211696695">
    <w:abstractNumId w:val="6"/>
  </w:num>
  <w:num w:numId="4" w16cid:durableId="1550148830">
    <w:abstractNumId w:val="7"/>
  </w:num>
  <w:num w:numId="5" w16cid:durableId="1460108156">
    <w:abstractNumId w:val="0"/>
  </w:num>
  <w:num w:numId="6" w16cid:durableId="1934704985">
    <w:abstractNumId w:val="4"/>
  </w:num>
  <w:num w:numId="7" w16cid:durableId="1013073201">
    <w:abstractNumId w:val="5"/>
  </w:num>
  <w:num w:numId="8" w16cid:durableId="524289160">
    <w:abstractNumId w:val="1"/>
  </w:num>
  <w:num w:numId="9" w16cid:durableId="94401862">
    <w:abstractNumId w:val="9"/>
  </w:num>
  <w:num w:numId="10" w16cid:durableId="1262253482">
    <w:abstractNumId w:val="9"/>
  </w:num>
  <w:num w:numId="11" w16cid:durableId="1504468562">
    <w:abstractNumId w:val="9"/>
  </w:num>
  <w:num w:numId="12" w16cid:durableId="1296328144">
    <w:abstractNumId w:val="9"/>
  </w:num>
  <w:num w:numId="13" w16cid:durableId="1361395064">
    <w:abstractNumId w:val="8"/>
  </w:num>
  <w:num w:numId="14" w16cid:durableId="108063502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67B"/>
    <w:rsid w:val="0000059E"/>
    <w:rsid w:val="0000066F"/>
    <w:rsid w:val="00001B53"/>
    <w:rsid w:val="00017ACB"/>
    <w:rsid w:val="00021590"/>
    <w:rsid w:val="00025D1B"/>
    <w:rsid w:val="000266C4"/>
    <w:rsid w:val="00033AF9"/>
    <w:rsid w:val="0003648C"/>
    <w:rsid w:val="0005308A"/>
    <w:rsid w:val="000531E5"/>
    <w:rsid w:val="000542B4"/>
    <w:rsid w:val="000618F3"/>
    <w:rsid w:val="00066D0B"/>
    <w:rsid w:val="000717D2"/>
    <w:rsid w:val="00071927"/>
    <w:rsid w:val="00071F71"/>
    <w:rsid w:val="000721C3"/>
    <w:rsid w:val="00074A56"/>
    <w:rsid w:val="00080827"/>
    <w:rsid w:val="000815F1"/>
    <w:rsid w:val="0008277A"/>
    <w:rsid w:val="00084605"/>
    <w:rsid w:val="000904C1"/>
    <w:rsid w:val="000913B5"/>
    <w:rsid w:val="000A5BA0"/>
    <w:rsid w:val="000B3924"/>
    <w:rsid w:val="000B3C44"/>
    <w:rsid w:val="000C0412"/>
    <w:rsid w:val="000C4558"/>
    <w:rsid w:val="000E10A0"/>
    <w:rsid w:val="000E455C"/>
    <w:rsid w:val="000E4D74"/>
    <w:rsid w:val="000E7803"/>
    <w:rsid w:val="000F0491"/>
    <w:rsid w:val="00122B7D"/>
    <w:rsid w:val="001233A8"/>
    <w:rsid w:val="00127B9F"/>
    <w:rsid w:val="0013173D"/>
    <w:rsid w:val="0013774E"/>
    <w:rsid w:val="00143A7B"/>
    <w:rsid w:val="00144601"/>
    <w:rsid w:val="00144E18"/>
    <w:rsid w:val="00160DC0"/>
    <w:rsid w:val="0016133F"/>
    <w:rsid w:val="0017251A"/>
    <w:rsid w:val="00190D7E"/>
    <w:rsid w:val="001929D2"/>
    <w:rsid w:val="001A467B"/>
    <w:rsid w:val="001A6968"/>
    <w:rsid w:val="001C45E1"/>
    <w:rsid w:val="001D0550"/>
    <w:rsid w:val="001D0EF3"/>
    <w:rsid w:val="0020140C"/>
    <w:rsid w:val="00201BFB"/>
    <w:rsid w:val="00203DE1"/>
    <w:rsid w:val="00220618"/>
    <w:rsid w:val="00237A69"/>
    <w:rsid w:val="0027555A"/>
    <w:rsid w:val="00275B58"/>
    <w:rsid w:val="00284B53"/>
    <w:rsid w:val="00296F50"/>
    <w:rsid w:val="002B1FAF"/>
    <w:rsid w:val="002D5A25"/>
    <w:rsid w:val="002E3FD4"/>
    <w:rsid w:val="002F4595"/>
    <w:rsid w:val="00300AFD"/>
    <w:rsid w:val="003032C0"/>
    <w:rsid w:val="00336B60"/>
    <w:rsid w:val="0035108D"/>
    <w:rsid w:val="003569F9"/>
    <w:rsid w:val="00366721"/>
    <w:rsid w:val="00370990"/>
    <w:rsid w:val="0037698A"/>
    <w:rsid w:val="00392124"/>
    <w:rsid w:val="003937B8"/>
    <w:rsid w:val="003C1B0A"/>
    <w:rsid w:val="003D1FA5"/>
    <w:rsid w:val="003E769E"/>
    <w:rsid w:val="003F73D7"/>
    <w:rsid w:val="00411260"/>
    <w:rsid w:val="004365E8"/>
    <w:rsid w:val="00442630"/>
    <w:rsid w:val="0044304D"/>
    <w:rsid w:val="00446CB3"/>
    <w:rsid w:val="00463C18"/>
    <w:rsid w:val="00474BB1"/>
    <w:rsid w:val="00477888"/>
    <w:rsid w:val="00495068"/>
    <w:rsid w:val="004A46C2"/>
    <w:rsid w:val="004A506A"/>
    <w:rsid w:val="004A7380"/>
    <w:rsid w:val="004B07EC"/>
    <w:rsid w:val="004C2DA2"/>
    <w:rsid w:val="004D0888"/>
    <w:rsid w:val="004E6316"/>
    <w:rsid w:val="005019C1"/>
    <w:rsid w:val="005070C8"/>
    <w:rsid w:val="00514CEE"/>
    <w:rsid w:val="00515287"/>
    <w:rsid w:val="005157CF"/>
    <w:rsid w:val="00531B5A"/>
    <w:rsid w:val="00553E9D"/>
    <w:rsid w:val="0055447F"/>
    <w:rsid w:val="00561FFD"/>
    <w:rsid w:val="00567DFC"/>
    <w:rsid w:val="00577F29"/>
    <w:rsid w:val="0058432F"/>
    <w:rsid w:val="00592A61"/>
    <w:rsid w:val="005A3361"/>
    <w:rsid w:val="005A48A6"/>
    <w:rsid w:val="005B5784"/>
    <w:rsid w:val="005B613F"/>
    <w:rsid w:val="005B656B"/>
    <w:rsid w:val="005C2BFD"/>
    <w:rsid w:val="005F11AC"/>
    <w:rsid w:val="005F700E"/>
    <w:rsid w:val="00607A21"/>
    <w:rsid w:val="00607A36"/>
    <w:rsid w:val="006156DF"/>
    <w:rsid w:val="00625D8D"/>
    <w:rsid w:val="006360F9"/>
    <w:rsid w:val="00642F36"/>
    <w:rsid w:val="00646917"/>
    <w:rsid w:val="00656587"/>
    <w:rsid w:val="00696682"/>
    <w:rsid w:val="006A791F"/>
    <w:rsid w:val="006B0030"/>
    <w:rsid w:val="006B49DE"/>
    <w:rsid w:val="006D413F"/>
    <w:rsid w:val="006E353E"/>
    <w:rsid w:val="006F6FE8"/>
    <w:rsid w:val="00700A80"/>
    <w:rsid w:val="0070464B"/>
    <w:rsid w:val="00721291"/>
    <w:rsid w:val="007258B1"/>
    <w:rsid w:val="00725C8B"/>
    <w:rsid w:val="00754CA3"/>
    <w:rsid w:val="0076549B"/>
    <w:rsid w:val="00773FA3"/>
    <w:rsid w:val="00785F85"/>
    <w:rsid w:val="00793E18"/>
    <w:rsid w:val="007B4C63"/>
    <w:rsid w:val="007C0010"/>
    <w:rsid w:val="007E69AF"/>
    <w:rsid w:val="007F4986"/>
    <w:rsid w:val="0080517C"/>
    <w:rsid w:val="00807AEF"/>
    <w:rsid w:val="00825467"/>
    <w:rsid w:val="00832638"/>
    <w:rsid w:val="00863E83"/>
    <w:rsid w:val="00864D72"/>
    <w:rsid w:val="00865130"/>
    <w:rsid w:val="00880FA7"/>
    <w:rsid w:val="00892F53"/>
    <w:rsid w:val="00895341"/>
    <w:rsid w:val="008D2681"/>
    <w:rsid w:val="008E3B54"/>
    <w:rsid w:val="008F1712"/>
    <w:rsid w:val="008F382A"/>
    <w:rsid w:val="008F6FFE"/>
    <w:rsid w:val="00902E92"/>
    <w:rsid w:val="00905013"/>
    <w:rsid w:val="0090743D"/>
    <w:rsid w:val="00911F4A"/>
    <w:rsid w:val="00913D62"/>
    <w:rsid w:val="00916FC3"/>
    <w:rsid w:val="00930D38"/>
    <w:rsid w:val="009351C8"/>
    <w:rsid w:val="00943779"/>
    <w:rsid w:val="009668EB"/>
    <w:rsid w:val="00974CD6"/>
    <w:rsid w:val="00975BA5"/>
    <w:rsid w:val="009844EA"/>
    <w:rsid w:val="009A2BCD"/>
    <w:rsid w:val="009C206F"/>
    <w:rsid w:val="009C37F9"/>
    <w:rsid w:val="009C3FA3"/>
    <w:rsid w:val="009C5CE4"/>
    <w:rsid w:val="009D2AAA"/>
    <w:rsid w:val="009D7044"/>
    <w:rsid w:val="009F4C7C"/>
    <w:rsid w:val="00A0018B"/>
    <w:rsid w:val="00A04AFD"/>
    <w:rsid w:val="00A130F7"/>
    <w:rsid w:val="00A138B6"/>
    <w:rsid w:val="00A219D1"/>
    <w:rsid w:val="00A32860"/>
    <w:rsid w:val="00A473C3"/>
    <w:rsid w:val="00A62CD6"/>
    <w:rsid w:val="00A62F99"/>
    <w:rsid w:val="00A65D84"/>
    <w:rsid w:val="00A74F83"/>
    <w:rsid w:val="00A77E8E"/>
    <w:rsid w:val="00A8157A"/>
    <w:rsid w:val="00A91872"/>
    <w:rsid w:val="00A92CD3"/>
    <w:rsid w:val="00A94214"/>
    <w:rsid w:val="00AA1D89"/>
    <w:rsid w:val="00AB665C"/>
    <w:rsid w:val="00AE1E6E"/>
    <w:rsid w:val="00AE40DE"/>
    <w:rsid w:val="00AE4763"/>
    <w:rsid w:val="00AF0EAA"/>
    <w:rsid w:val="00B0121B"/>
    <w:rsid w:val="00B0455B"/>
    <w:rsid w:val="00B11E02"/>
    <w:rsid w:val="00B21CFE"/>
    <w:rsid w:val="00B260CF"/>
    <w:rsid w:val="00B3476F"/>
    <w:rsid w:val="00B404AB"/>
    <w:rsid w:val="00B43568"/>
    <w:rsid w:val="00B60018"/>
    <w:rsid w:val="00B82095"/>
    <w:rsid w:val="00B857C2"/>
    <w:rsid w:val="00B90975"/>
    <w:rsid w:val="00B93571"/>
    <w:rsid w:val="00B94CBD"/>
    <w:rsid w:val="00BA2806"/>
    <w:rsid w:val="00BC321A"/>
    <w:rsid w:val="00BC3323"/>
    <w:rsid w:val="00BD4F8E"/>
    <w:rsid w:val="00BE345B"/>
    <w:rsid w:val="00BF6B40"/>
    <w:rsid w:val="00C262AE"/>
    <w:rsid w:val="00C4418E"/>
    <w:rsid w:val="00C50F71"/>
    <w:rsid w:val="00C6128D"/>
    <w:rsid w:val="00C73278"/>
    <w:rsid w:val="00C765C8"/>
    <w:rsid w:val="00C82029"/>
    <w:rsid w:val="00C83350"/>
    <w:rsid w:val="00C9283A"/>
    <w:rsid w:val="00C95039"/>
    <w:rsid w:val="00CA4615"/>
    <w:rsid w:val="00CA7C6F"/>
    <w:rsid w:val="00CB4E93"/>
    <w:rsid w:val="00CD3A6F"/>
    <w:rsid w:val="00CD6263"/>
    <w:rsid w:val="00CE06A0"/>
    <w:rsid w:val="00CE7F36"/>
    <w:rsid w:val="00CF7D08"/>
    <w:rsid w:val="00D04A3C"/>
    <w:rsid w:val="00D06C32"/>
    <w:rsid w:val="00D22097"/>
    <w:rsid w:val="00D36C41"/>
    <w:rsid w:val="00D4039B"/>
    <w:rsid w:val="00D46849"/>
    <w:rsid w:val="00D55A85"/>
    <w:rsid w:val="00D74ECD"/>
    <w:rsid w:val="00D750D0"/>
    <w:rsid w:val="00D77B56"/>
    <w:rsid w:val="00D87480"/>
    <w:rsid w:val="00DB0F8E"/>
    <w:rsid w:val="00DB71FD"/>
    <w:rsid w:val="00DC453F"/>
    <w:rsid w:val="00DC57F0"/>
    <w:rsid w:val="00DE546F"/>
    <w:rsid w:val="00DF241E"/>
    <w:rsid w:val="00DF4A71"/>
    <w:rsid w:val="00DF754D"/>
    <w:rsid w:val="00E07639"/>
    <w:rsid w:val="00E223F4"/>
    <w:rsid w:val="00E25A07"/>
    <w:rsid w:val="00E333DF"/>
    <w:rsid w:val="00E44E91"/>
    <w:rsid w:val="00E51BDB"/>
    <w:rsid w:val="00E83C41"/>
    <w:rsid w:val="00E87842"/>
    <w:rsid w:val="00E9781D"/>
    <w:rsid w:val="00EA5D76"/>
    <w:rsid w:val="00EC2925"/>
    <w:rsid w:val="00EC5579"/>
    <w:rsid w:val="00EC5C40"/>
    <w:rsid w:val="00ED774B"/>
    <w:rsid w:val="00EE0118"/>
    <w:rsid w:val="00EE11D6"/>
    <w:rsid w:val="00EE49CE"/>
    <w:rsid w:val="00EE5F32"/>
    <w:rsid w:val="00EE7C8D"/>
    <w:rsid w:val="00EF24B1"/>
    <w:rsid w:val="00EF3918"/>
    <w:rsid w:val="00F01D00"/>
    <w:rsid w:val="00F23AF2"/>
    <w:rsid w:val="00F30857"/>
    <w:rsid w:val="00F330C3"/>
    <w:rsid w:val="00F3602D"/>
    <w:rsid w:val="00F60AF7"/>
    <w:rsid w:val="00F637B6"/>
    <w:rsid w:val="00F67822"/>
    <w:rsid w:val="00F75F33"/>
    <w:rsid w:val="00F84236"/>
    <w:rsid w:val="00FB689D"/>
    <w:rsid w:val="00FC2CE4"/>
    <w:rsid w:val="00FC379E"/>
    <w:rsid w:val="00FD337C"/>
    <w:rsid w:val="00FD3BAE"/>
    <w:rsid w:val="00FD5236"/>
    <w:rsid w:val="00FD7D5B"/>
    <w:rsid w:val="00FE0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D7049"/>
  <w15:docId w15:val="{A288F0E0-90C1-420B-93F0-0B4F93C6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veyance.aircraft@aff.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who.int/publications/i/item/978924008031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biosecurity-trade/aircraft-vessels-military/aircraft/disinsec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legalcode"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5ab392c7a5806ba5623cf975181d763a">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75acfa4c1058d42c593a4e6e42168991"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3.xml><?xml version="1.0" encoding="utf-8"?>
<ds:datastoreItem xmlns:ds="http://schemas.openxmlformats.org/officeDocument/2006/customXml" ds:itemID="{9D1CAD33-3B39-4665-A5E6-666D035120E9}">
  <ds:schemaRefs>
    <ds:schemaRef ds:uri="http://schemas.microsoft.com/office/2006/documentManagement/types"/>
    <ds:schemaRef ds:uri="http://purl.org/dc/dcmitype/"/>
    <ds:schemaRef ds:uri="81c01dc6-2c49-4730-b140-874c95cac377"/>
    <ds:schemaRef ds:uri="http://schemas.openxmlformats.org/package/2006/metadata/core-properties"/>
    <ds:schemaRef ds:uri="http://purl.org/dc/elements/1.1/"/>
    <ds:schemaRef ds:uri="c95b51c2-b2ac-4224-a5b5-069909057829"/>
    <ds:schemaRef ds:uri="http://schemas.microsoft.com/office/infopath/2007/PartnerControls"/>
    <ds:schemaRef ds:uri="http://www.w3.org/XML/1998/namespace"/>
    <ds:schemaRef ds:uri="2b53c995-2120-4bc0-8922-c25044d37f65"/>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D6A55C2B-C3E6-47BA-9DE5-71EB9A91A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Fact_sheet_template</Template>
  <TotalTime>20</TotalTime>
  <Pages>2</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Final approach series - Aircraft disinsection</vt:lpstr>
    </vt:vector>
  </TitlesOfParts>
  <Company/>
  <LinksUpToDate>false</LinksUpToDate>
  <CharactersWithSpaces>4320</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approach series - Aircraft disinsection</dc:title>
  <dc:creator>Department of Agriculture, Fisheries and Forestry</dc:creator>
  <cp:revision>31</cp:revision>
  <cp:lastPrinted>2025-11-11T20:12:00Z</cp:lastPrinted>
  <dcterms:created xsi:type="dcterms:W3CDTF">2025-11-07T03:05:00Z</dcterms:created>
  <dcterms:modified xsi:type="dcterms:W3CDTF">2025-11-13T01:55:00Z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ies>
</file>