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2B504" w14:textId="77777777" w:rsidR="00A008D3" w:rsidRPr="00235C8F" w:rsidRDefault="00A008D3" w:rsidP="00A008D3">
      <w:pPr>
        <w:pStyle w:val="Heading1"/>
      </w:pPr>
      <w:r w:rsidRPr="00235C8F">
        <w:t>Alternative Minimum Pen Space Allocation Policy</w:t>
      </w:r>
    </w:p>
    <w:p w14:paraId="4B6209B4" w14:textId="77777777" w:rsidR="00A008D3" w:rsidRPr="00235C8F" w:rsidRDefault="00A008D3" w:rsidP="00A008D3">
      <w:pPr>
        <w:pStyle w:val="Subtitle"/>
      </w:pPr>
      <w:r w:rsidRPr="00235C8F">
        <w:t xml:space="preserve">Process to access alternative minimum pen space allocation in accordance with ASEL </w:t>
      </w:r>
    </w:p>
    <w:p w14:paraId="532B0DB7" w14:textId="1E9F3FA8" w:rsidR="00B5453F" w:rsidRPr="00B5453F" w:rsidRDefault="00A008D3" w:rsidP="00B5453F">
      <w:pPr>
        <w:pStyle w:val="Author"/>
      </w:pPr>
      <w:r>
        <w:t>Live Animal Export Branch</w:t>
      </w:r>
    </w:p>
    <w:p w14:paraId="1775B03B" w14:textId="77777777" w:rsidR="00A008D3" w:rsidRPr="00BE3F01" w:rsidRDefault="00A008D3" w:rsidP="0092112D">
      <w:pPr>
        <w:pStyle w:val="Heading2"/>
      </w:pPr>
      <w:bookmarkStart w:id="0" w:name="_Appendix_A:_Statistical"/>
      <w:bookmarkStart w:id="1" w:name="_Toc430782160"/>
      <w:bookmarkStart w:id="2" w:name="_Toc511376528"/>
      <w:bookmarkEnd w:id="0"/>
      <w:r w:rsidRPr="00BE3F01">
        <w:t>Purpose</w:t>
      </w:r>
    </w:p>
    <w:p w14:paraId="18F68B2C" w14:textId="0CBC9E25" w:rsidR="00A008D3" w:rsidRPr="00235C8F" w:rsidRDefault="00A008D3" w:rsidP="007024DE">
      <w:pPr>
        <w:pStyle w:val="ListBullet"/>
      </w:pPr>
      <w:r w:rsidRPr="00235C8F">
        <w:t xml:space="preserve">This policy outlines the criteria that exporters must meet to access the alternative minimum pen space allocation, as provided for </w:t>
      </w:r>
      <w:r>
        <w:t>under Tables 10a, 10b, 11b and 12b of the</w:t>
      </w:r>
      <w:r w:rsidRPr="00235C8F">
        <w:t xml:space="preserve"> </w:t>
      </w:r>
      <w:hyperlink r:id="rId11" w:history="1">
        <w:r w:rsidR="00225B54" w:rsidRPr="00225B54">
          <w:rPr>
            <w:rStyle w:val="Hyperlink"/>
          </w:rPr>
          <w:t>Australian Standards for the Export of Livestock (ASEL)</w:t>
        </w:r>
      </w:hyperlink>
      <w:r w:rsidR="008E5288">
        <w:t xml:space="preserve"> </w:t>
      </w:r>
      <w:r w:rsidR="00225B54">
        <w:t xml:space="preserve">and as provided for under the heavy cattle or buffalo management plan guideline in the </w:t>
      </w:r>
      <w:hyperlink r:id="rId12" w:history="1">
        <w:r w:rsidR="00225B54" w:rsidRPr="00225B54">
          <w:rPr>
            <w:rStyle w:val="Hyperlink"/>
          </w:rPr>
          <w:t xml:space="preserve">Approved Arrangement Guidelines. </w:t>
        </w:r>
      </w:hyperlink>
      <w:r w:rsidRPr="00235C8F">
        <w:t xml:space="preserve"> </w:t>
      </w:r>
    </w:p>
    <w:p w14:paraId="4545D241" w14:textId="77777777" w:rsidR="00A008D3" w:rsidRPr="00BE3F01" w:rsidRDefault="00A008D3" w:rsidP="0092112D">
      <w:pPr>
        <w:pStyle w:val="Heading2"/>
      </w:pPr>
      <w:r w:rsidRPr="00BE3F01">
        <w:t>Scope</w:t>
      </w:r>
    </w:p>
    <w:p w14:paraId="229FD517" w14:textId="77777777" w:rsidR="00A008D3" w:rsidRPr="00235C8F" w:rsidRDefault="00A008D3" w:rsidP="007024DE">
      <w:pPr>
        <w:pStyle w:val="ListBullet"/>
      </w:pPr>
      <w:r w:rsidRPr="00235C8F">
        <w:t xml:space="preserve">This policy applies to exporters seeking to access the </w:t>
      </w:r>
      <w:r>
        <w:t>alternative minimum pen space allocation as provided for under ASEL (s5.3.3 Tables 10a and 10b, s5.3.4 Table 11b and s5.3.5 Table 12b) and as provided for under the heavy cattle or buffalo management plan guideline in the Approved Arrangement Guidelines</w:t>
      </w:r>
      <w:r w:rsidRPr="00235C8F">
        <w:t>.</w:t>
      </w:r>
    </w:p>
    <w:p w14:paraId="68BEA626" w14:textId="77777777" w:rsidR="00A008D3" w:rsidRPr="00235C8F" w:rsidRDefault="00A008D3" w:rsidP="007024DE">
      <w:pPr>
        <w:pStyle w:val="ListBullet"/>
      </w:pPr>
      <w:r w:rsidRPr="00235C8F">
        <w:t xml:space="preserve">This policy sets out the criteria against which exporters must assess their own eligibility for access to the alternative minimum pen space allocation on a </w:t>
      </w:r>
      <w:proofErr w:type="gramStart"/>
      <w:r w:rsidRPr="00235C8F">
        <w:t>consignment by consignment</w:t>
      </w:r>
      <w:proofErr w:type="gramEnd"/>
      <w:r w:rsidRPr="00235C8F">
        <w:t xml:space="preserve"> basis. </w:t>
      </w:r>
    </w:p>
    <w:p w14:paraId="74F8F4FD" w14:textId="77777777" w:rsidR="00A008D3" w:rsidRPr="00235C8F" w:rsidRDefault="00A008D3" w:rsidP="007024DE">
      <w:pPr>
        <w:pStyle w:val="ListBullet"/>
      </w:pPr>
      <w:r w:rsidRPr="00235C8F">
        <w:t xml:space="preserve">This policy outlines instructions exporters must follow in order to gain and retain access to the alternative minimum pen space </w:t>
      </w:r>
      <w:proofErr w:type="gramStart"/>
      <w:r w:rsidRPr="00235C8F">
        <w:t>allocation, and</w:t>
      </w:r>
      <w:proofErr w:type="gramEnd"/>
      <w:r w:rsidRPr="00235C8F">
        <w:t xml:space="preserve"> includes record keeping requirements.</w:t>
      </w:r>
    </w:p>
    <w:p w14:paraId="0DDB916A" w14:textId="77777777" w:rsidR="00A008D3" w:rsidRPr="00235C8F" w:rsidRDefault="00A008D3" w:rsidP="007024DE">
      <w:pPr>
        <w:pStyle w:val="ListBullet"/>
      </w:pPr>
      <w:r w:rsidRPr="00235C8F">
        <w:t xml:space="preserve">This document should be read in conjunction with relevant export legislation and standards listed under </w:t>
      </w:r>
      <w:hyperlink w:anchor="_Related_material" w:history="1">
        <w:r w:rsidRPr="00235C8F">
          <w:rPr>
            <w:rStyle w:val="Hyperlink"/>
          </w:rPr>
          <w:t>Related material</w:t>
        </w:r>
      </w:hyperlink>
      <w:r w:rsidRPr="00235C8F">
        <w:t>.</w:t>
      </w:r>
    </w:p>
    <w:p w14:paraId="3B663A98" w14:textId="77777777" w:rsidR="00A008D3" w:rsidRPr="00BE3F01" w:rsidRDefault="00A008D3" w:rsidP="0092112D">
      <w:pPr>
        <w:pStyle w:val="Heading2"/>
      </w:pPr>
      <w:bookmarkStart w:id="3" w:name="_Access_criteria"/>
      <w:bookmarkEnd w:id="3"/>
      <w:r w:rsidRPr="00BE3F01">
        <w:t>Access criteria</w:t>
      </w:r>
    </w:p>
    <w:p w14:paraId="5BE29DB4" w14:textId="77777777" w:rsidR="00A008D3" w:rsidRPr="00235C8F" w:rsidRDefault="00A008D3" w:rsidP="007024DE">
      <w:pPr>
        <w:pStyle w:val="ListBullet"/>
      </w:pPr>
      <w:r w:rsidRPr="00235C8F">
        <w:t xml:space="preserve">Eligibility is to be self-assessed at the time of </w:t>
      </w:r>
      <w:r w:rsidRPr="00235C8F">
        <w:rPr>
          <w:lang w:eastAsia="ja-JP"/>
        </w:rPr>
        <w:t>submission of a Notice of Intent (NOI), and be re-assessed at 10 working days prior to departure,</w:t>
      </w:r>
      <w:r w:rsidRPr="00235C8F">
        <w:t xml:space="preserve"> on a consignment by consignment and market basis. To be eligible to access the alternative minimum pen space allocation, the exporter must meet all the following criteria. Exporters must: </w:t>
      </w:r>
    </w:p>
    <w:p w14:paraId="1FC8DCFB" w14:textId="77777777" w:rsidR="00A008D3" w:rsidRPr="00235C8F" w:rsidRDefault="00A008D3" w:rsidP="007024DE">
      <w:pPr>
        <w:pStyle w:val="ListBullet2"/>
      </w:pPr>
      <w:r w:rsidRPr="00235C8F">
        <w:rPr>
          <w:b/>
          <w:bCs/>
        </w:rPr>
        <w:t xml:space="preserve">Criterion 1 </w:t>
      </w:r>
      <w:r w:rsidRPr="00235C8F">
        <w:t xml:space="preserve">have an </w:t>
      </w:r>
      <w:r>
        <w:t>approved arrangement</w:t>
      </w:r>
      <w:r w:rsidRPr="00235C8F">
        <w:t xml:space="preserve"> that includes a clause stating the exporter’s intention to use alternative minimum pen space allocation for eligible consignments</w:t>
      </w:r>
      <w:r>
        <w:t>.</w:t>
      </w:r>
    </w:p>
    <w:p w14:paraId="771E0BD8" w14:textId="2F26CF3C" w:rsidR="00A008D3" w:rsidRPr="00235C8F" w:rsidRDefault="00A008D3" w:rsidP="007024DE">
      <w:pPr>
        <w:pStyle w:val="ListBullet2"/>
      </w:pPr>
      <w:r w:rsidRPr="00235C8F">
        <w:rPr>
          <w:b/>
          <w:bCs/>
        </w:rPr>
        <w:t xml:space="preserve">Criterion </w:t>
      </w:r>
      <w:r w:rsidR="003245B8">
        <w:rPr>
          <w:b/>
          <w:bCs/>
        </w:rPr>
        <w:t>2</w:t>
      </w:r>
      <w:r w:rsidRPr="00235C8F">
        <w:t xml:space="preserve"> have exported at least 10,000 </w:t>
      </w:r>
      <w:r w:rsidRPr="003E6AC0">
        <w:t>cattle or at</w:t>
      </w:r>
      <w:r w:rsidRPr="00235C8F">
        <w:t xml:space="preserve"> least </w:t>
      </w:r>
      <w:r>
        <w:t>3</w:t>
      </w:r>
      <w:r w:rsidRPr="00235C8F">
        <w:t xml:space="preserve"> consignments during the previous </w:t>
      </w:r>
      <w:proofErr w:type="gramStart"/>
      <w:r w:rsidRPr="00235C8F">
        <w:t>24 month</w:t>
      </w:r>
      <w:proofErr w:type="gramEnd"/>
      <w:r w:rsidRPr="00235C8F">
        <w:t xml:space="preserve"> period prior at the time of self-assessment to the market for which they are intending to use the alternative minimum pen space allocation.</w:t>
      </w:r>
    </w:p>
    <w:p w14:paraId="56B94A6A" w14:textId="2D0BD685" w:rsidR="00A008D3" w:rsidRPr="00235C8F" w:rsidRDefault="00A008D3" w:rsidP="007024DE">
      <w:pPr>
        <w:pStyle w:val="ListBullet2"/>
      </w:pPr>
      <w:r w:rsidRPr="00235C8F">
        <w:rPr>
          <w:b/>
          <w:bCs/>
        </w:rPr>
        <w:t xml:space="preserve">Criterion </w:t>
      </w:r>
      <w:r w:rsidR="003245B8">
        <w:rPr>
          <w:b/>
          <w:bCs/>
        </w:rPr>
        <w:t>3</w:t>
      </w:r>
      <w:r w:rsidRPr="00235C8F">
        <w:t xml:space="preserve"> have an overall average voyage mortality rate of 0.10% or less for the most recent </w:t>
      </w:r>
      <w:proofErr w:type="gramStart"/>
      <w:r w:rsidRPr="00235C8F">
        <w:t>12 month</w:t>
      </w:r>
      <w:proofErr w:type="gramEnd"/>
      <w:r w:rsidRPr="00235C8F">
        <w:t xml:space="preserve"> period (based on total load/unload counts) for </w:t>
      </w:r>
      <w:r>
        <w:t xml:space="preserve">cattle </w:t>
      </w:r>
      <w:r w:rsidRPr="00235C8F">
        <w:t xml:space="preserve">voyages to the </w:t>
      </w:r>
      <w:r w:rsidRPr="00235C8F">
        <w:lastRenderedPageBreak/>
        <w:t>market for which the exporter intends to use the alternative minimum pen space allocation.</w:t>
      </w:r>
    </w:p>
    <w:p w14:paraId="1D68A28C" w14:textId="77777777" w:rsidR="00A008D3" w:rsidRPr="0092112D" w:rsidRDefault="00A008D3" w:rsidP="0092112D">
      <w:pPr>
        <w:pStyle w:val="Heading2"/>
      </w:pPr>
      <w:bookmarkStart w:id="4" w:name="_Loss_of_access"/>
      <w:bookmarkEnd w:id="4"/>
      <w:r w:rsidRPr="0092112D">
        <w:t>Loss of access</w:t>
      </w:r>
    </w:p>
    <w:p w14:paraId="523086C3" w14:textId="77777777" w:rsidR="00A008D3" w:rsidRPr="00235C8F" w:rsidRDefault="00A008D3" w:rsidP="007024DE">
      <w:pPr>
        <w:pStyle w:val="ListBullet"/>
        <w:rPr>
          <w:lang w:eastAsia="ja-JP"/>
        </w:rPr>
      </w:pPr>
      <w:r w:rsidRPr="00235C8F">
        <w:rPr>
          <w:lang w:eastAsia="ja-JP"/>
        </w:rPr>
        <w:t>An exporter accessing the alternative minimum pen space allocation will no longer be eligible if the exporter:</w:t>
      </w:r>
    </w:p>
    <w:p w14:paraId="2AAEBFA2" w14:textId="77777777" w:rsidR="00A008D3" w:rsidRPr="00235C8F" w:rsidRDefault="00A008D3" w:rsidP="007024DE">
      <w:pPr>
        <w:pStyle w:val="ListBullet2"/>
        <w:rPr>
          <w:lang w:eastAsia="ja-JP"/>
        </w:rPr>
      </w:pPr>
      <w:r w:rsidRPr="00235C8F">
        <w:rPr>
          <w:lang w:eastAsia="ja-JP"/>
        </w:rPr>
        <w:t xml:space="preserve">is identified to have used the alternative minimum pen space allocation when they did not meet the access </w:t>
      </w:r>
      <w:proofErr w:type="gramStart"/>
      <w:r w:rsidRPr="00235C8F">
        <w:rPr>
          <w:lang w:eastAsia="ja-JP"/>
        </w:rPr>
        <w:t>criteria</w:t>
      </w:r>
      <w:proofErr w:type="gramEnd"/>
    </w:p>
    <w:p w14:paraId="7B5C8C28" w14:textId="77777777" w:rsidR="00A008D3" w:rsidRPr="00235C8F" w:rsidRDefault="00A008D3" w:rsidP="007024DE">
      <w:pPr>
        <w:pStyle w:val="ListBullet2"/>
        <w:rPr>
          <w:lang w:eastAsia="ja-JP"/>
        </w:rPr>
      </w:pPr>
      <w:r w:rsidRPr="00235C8F">
        <w:rPr>
          <w:lang w:eastAsia="ja-JP"/>
        </w:rPr>
        <w:t>has had a notifiable voyage mortality incident in a</w:t>
      </w:r>
      <w:r>
        <w:rPr>
          <w:lang w:eastAsia="ja-JP"/>
        </w:rPr>
        <w:t xml:space="preserve"> cattle</w:t>
      </w:r>
      <w:r w:rsidRPr="00235C8F">
        <w:rPr>
          <w:lang w:eastAsia="ja-JP"/>
        </w:rPr>
        <w:t xml:space="preserve"> consignment to a market in which they access the alternative minimum pen space </w:t>
      </w:r>
      <w:proofErr w:type="gramStart"/>
      <w:r w:rsidRPr="00235C8F">
        <w:rPr>
          <w:lang w:eastAsia="ja-JP"/>
        </w:rPr>
        <w:t>allocation</w:t>
      </w:r>
      <w:proofErr w:type="gramEnd"/>
    </w:p>
    <w:p w14:paraId="2879D7BD" w14:textId="77777777" w:rsidR="00A008D3" w:rsidRPr="007024DE" w:rsidRDefault="00A008D3" w:rsidP="007024DE">
      <w:pPr>
        <w:pStyle w:val="ListBullet3"/>
      </w:pPr>
      <w:r w:rsidRPr="007024DE">
        <w:t xml:space="preserve">they will immediately lose access to the alternative minimum pen space allocation for that market for 3 </w:t>
      </w:r>
      <w:proofErr w:type="gramStart"/>
      <w:r w:rsidRPr="007024DE">
        <w:t>months</w:t>
      </w:r>
      <w:proofErr w:type="gramEnd"/>
    </w:p>
    <w:p w14:paraId="65563537" w14:textId="2C8A917A" w:rsidR="00A008D3" w:rsidRDefault="00A008D3" w:rsidP="007024DE">
      <w:pPr>
        <w:pStyle w:val="ListBullet3"/>
      </w:pPr>
      <w:r w:rsidRPr="007024DE">
        <w:t xml:space="preserve">any further access to the alternative minimum pen space allocation will be dependent on the outcomes of the notifiable mortality </w:t>
      </w:r>
      <w:proofErr w:type="gramStart"/>
      <w:r w:rsidRPr="007024DE">
        <w:t>investigation</w:t>
      </w:r>
      <w:proofErr w:type="gramEnd"/>
    </w:p>
    <w:p w14:paraId="0BF78EA9" w14:textId="18D27466" w:rsidR="005C3735" w:rsidRDefault="009A0352" w:rsidP="005C3735">
      <w:pPr>
        <w:pStyle w:val="ListBullet2"/>
      </w:pPr>
      <w:r>
        <w:t>is notified by the department of a loss of access</w:t>
      </w:r>
      <w:r w:rsidR="00A93318">
        <w:t xml:space="preserve">, for example in response to </w:t>
      </w:r>
      <w:r w:rsidR="00510375">
        <w:t>relevant</w:t>
      </w:r>
      <w:r w:rsidR="00A93318">
        <w:t xml:space="preserve"> issues identified </w:t>
      </w:r>
      <w:r w:rsidR="00510375">
        <w:t>by the regional veterinary officer</w:t>
      </w:r>
      <w:r w:rsidR="00FD02E2">
        <w:t xml:space="preserve">, independent observer reports, audits, voyage reporting </w:t>
      </w:r>
      <w:r w:rsidR="006B6A21">
        <w:t xml:space="preserve">or other regulatory </w:t>
      </w:r>
      <w:proofErr w:type="gramStart"/>
      <w:r w:rsidR="00AA2393">
        <w:t>mechanisms</w:t>
      </w:r>
      <w:proofErr w:type="gramEnd"/>
    </w:p>
    <w:p w14:paraId="0DBF5021" w14:textId="24B5B8F7" w:rsidR="006F64C2" w:rsidRDefault="006F64C2" w:rsidP="00A813C8">
      <w:pPr>
        <w:pStyle w:val="ListBullet3"/>
      </w:pPr>
      <w:r>
        <w:t xml:space="preserve">relevant issues include non-compliances or </w:t>
      </w:r>
      <w:r w:rsidR="00D5662D">
        <w:t>issues</w:t>
      </w:r>
      <w:r>
        <w:t xml:space="preserve"> noted that</w:t>
      </w:r>
      <w:r w:rsidR="00D35668">
        <w:t xml:space="preserve"> raise concerns about </w:t>
      </w:r>
      <w:r w:rsidR="00076D02">
        <w:t xml:space="preserve">compliance or </w:t>
      </w:r>
      <w:r w:rsidR="00D35668">
        <w:t xml:space="preserve">welfare </w:t>
      </w:r>
      <w:r w:rsidR="00076D02">
        <w:t>outcomes</w:t>
      </w:r>
      <w:r w:rsidR="00D35668">
        <w:t xml:space="preserve"> during the </w:t>
      </w:r>
      <w:proofErr w:type="gramStart"/>
      <w:r w:rsidR="00D35668">
        <w:t>voyage</w:t>
      </w:r>
      <w:proofErr w:type="gramEnd"/>
    </w:p>
    <w:p w14:paraId="095191B7" w14:textId="5174ED45" w:rsidR="00A813C8" w:rsidRPr="007024DE" w:rsidRDefault="00A813C8" w:rsidP="00A813C8">
      <w:pPr>
        <w:pStyle w:val="ListBullet3"/>
      </w:pPr>
      <w:r>
        <w:t xml:space="preserve">access will be lost for a period of time or number of consignments as determined by the department on a case-by-case </w:t>
      </w:r>
      <w:proofErr w:type="gramStart"/>
      <w:r>
        <w:t>basis</w:t>
      </w:r>
      <w:proofErr w:type="gramEnd"/>
    </w:p>
    <w:p w14:paraId="37446ABA" w14:textId="7A6D9B11" w:rsidR="00A008D3" w:rsidRPr="00235C8F" w:rsidRDefault="00A008D3" w:rsidP="007024DE">
      <w:pPr>
        <w:pStyle w:val="ListBullet"/>
        <w:rPr>
          <w:lang w:eastAsia="ja-JP"/>
        </w:rPr>
      </w:pPr>
      <w:r w:rsidRPr="00235C8F">
        <w:rPr>
          <w:lang w:eastAsia="ja-JP"/>
        </w:rPr>
        <w:t xml:space="preserve">In the cases listed </w:t>
      </w:r>
      <w:r w:rsidR="003245B8">
        <w:rPr>
          <w:lang w:eastAsia="ja-JP"/>
        </w:rPr>
        <w:t>above</w:t>
      </w:r>
      <w:r w:rsidRPr="00235C8F">
        <w:rPr>
          <w:lang w:eastAsia="ja-JP"/>
        </w:rPr>
        <w:t>, if an exporter:</w:t>
      </w:r>
    </w:p>
    <w:p w14:paraId="56BF430D" w14:textId="77777777" w:rsidR="00A008D3" w:rsidRPr="00235C8F" w:rsidRDefault="00A008D3" w:rsidP="007024DE">
      <w:pPr>
        <w:pStyle w:val="ListBullet2"/>
        <w:rPr>
          <w:lang w:eastAsia="ja-JP"/>
        </w:rPr>
      </w:pPr>
      <w:r w:rsidRPr="00235C8F">
        <w:rPr>
          <w:lang w:eastAsia="ja-JP"/>
        </w:rPr>
        <w:t xml:space="preserve">loses access to alternative minimum pen space allocation for a market 10 working days or less prior to the departure of a consignment to the same </w:t>
      </w:r>
      <w:proofErr w:type="gramStart"/>
      <w:r w:rsidRPr="00235C8F">
        <w:rPr>
          <w:lang w:eastAsia="ja-JP"/>
        </w:rPr>
        <w:t>market</w:t>
      </w:r>
      <w:proofErr w:type="gramEnd"/>
    </w:p>
    <w:p w14:paraId="027C2FA1" w14:textId="77777777" w:rsidR="00A008D3" w:rsidRPr="00235C8F" w:rsidRDefault="00A008D3" w:rsidP="007024DE">
      <w:pPr>
        <w:pStyle w:val="ListBullet3"/>
        <w:rPr>
          <w:lang w:eastAsia="ja-JP"/>
        </w:rPr>
      </w:pPr>
      <w:r w:rsidRPr="00235C8F">
        <w:rPr>
          <w:lang w:eastAsia="ja-JP"/>
        </w:rPr>
        <w:t>the consignment will be able to proceed with access to the alternative minimum pen space allocation, unless otherwise advised by the department.</w:t>
      </w:r>
    </w:p>
    <w:p w14:paraId="713BE829" w14:textId="77777777" w:rsidR="00A008D3" w:rsidRPr="0092112D" w:rsidRDefault="00A008D3" w:rsidP="0092112D">
      <w:pPr>
        <w:pStyle w:val="Heading2"/>
      </w:pPr>
      <w:r w:rsidRPr="0092112D">
        <w:t>Instructions</w:t>
      </w:r>
    </w:p>
    <w:p w14:paraId="22466156" w14:textId="77777777" w:rsidR="00A008D3" w:rsidRPr="00235C8F" w:rsidRDefault="00A008D3" w:rsidP="004E2076">
      <w:pPr>
        <w:pStyle w:val="ListBullet"/>
        <w:rPr>
          <w:lang w:eastAsia="ja-JP"/>
        </w:rPr>
      </w:pPr>
      <w:r w:rsidRPr="00235C8F">
        <w:rPr>
          <w:lang w:eastAsia="ja-JP"/>
        </w:rPr>
        <w:t>Exporters must include their intent</w:t>
      </w:r>
      <w:r>
        <w:rPr>
          <w:lang w:eastAsia="ja-JP"/>
        </w:rPr>
        <w:t>ion</w:t>
      </w:r>
      <w:r w:rsidRPr="00235C8F">
        <w:rPr>
          <w:lang w:eastAsia="ja-JP"/>
        </w:rPr>
        <w:t xml:space="preserve"> to use the alternative minimum pen space allocation in their </w:t>
      </w:r>
      <w:r>
        <w:rPr>
          <w:lang w:eastAsia="ja-JP"/>
        </w:rPr>
        <w:t>approved arrangement</w:t>
      </w:r>
      <w:r w:rsidRPr="00235C8F">
        <w:rPr>
          <w:lang w:eastAsia="ja-JP"/>
        </w:rPr>
        <w:t xml:space="preserve">, and the arrangement must be approved by the department in order to access it. </w:t>
      </w:r>
    </w:p>
    <w:p w14:paraId="0110F524" w14:textId="77777777" w:rsidR="00A008D3" w:rsidRPr="00235C8F" w:rsidRDefault="00A008D3" w:rsidP="004E2076">
      <w:pPr>
        <w:pStyle w:val="ListBullet"/>
        <w:rPr>
          <w:lang w:eastAsia="ja-JP"/>
        </w:rPr>
      </w:pPr>
      <w:r w:rsidRPr="00235C8F">
        <w:rPr>
          <w:lang w:eastAsia="ja-JP"/>
        </w:rPr>
        <w:t>The exporter must have procedures in place to ensure they meet the access criteria in the alternative minimum pen space allocation policy before accessing alternative minimum pen space.</w:t>
      </w:r>
    </w:p>
    <w:p w14:paraId="029911D7" w14:textId="138C2A22" w:rsidR="00A008D3" w:rsidRPr="00235C8F" w:rsidRDefault="00A008D3" w:rsidP="004E2076">
      <w:pPr>
        <w:pStyle w:val="ListBullet"/>
        <w:rPr>
          <w:lang w:eastAsia="ja-JP"/>
        </w:rPr>
      </w:pPr>
      <w:r w:rsidRPr="00235C8F">
        <w:rPr>
          <w:lang w:eastAsia="ja-JP"/>
        </w:rPr>
        <w:t xml:space="preserve">Exporters must self-assess their eligibility against the </w:t>
      </w:r>
      <w:hyperlink w:anchor="_Access_criteria" w:history="1">
        <w:r w:rsidRPr="00EC49B8">
          <w:rPr>
            <w:rStyle w:val="Hyperlink"/>
            <w:lang w:eastAsia="ja-JP"/>
          </w:rPr>
          <w:t>access criteria</w:t>
        </w:r>
      </w:hyperlink>
      <w:r w:rsidRPr="00235C8F">
        <w:rPr>
          <w:lang w:eastAsia="ja-JP"/>
        </w:rPr>
        <w:t xml:space="preserve"> on a </w:t>
      </w:r>
      <w:proofErr w:type="gramStart"/>
      <w:r w:rsidRPr="00235C8F">
        <w:rPr>
          <w:lang w:eastAsia="ja-JP"/>
        </w:rPr>
        <w:t>consignment by consignment</w:t>
      </w:r>
      <w:proofErr w:type="gramEnd"/>
      <w:r w:rsidRPr="00235C8F">
        <w:rPr>
          <w:lang w:eastAsia="ja-JP"/>
        </w:rPr>
        <w:t xml:space="preserve"> basis, and for each market that they are accessing the alternative minimum space allocation. </w:t>
      </w:r>
    </w:p>
    <w:p w14:paraId="454E1B94" w14:textId="77777777" w:rsidR="00A008D3" w:rsidRPr="00A008D3" w:rsidRDefault="00A008D3" w:rsidP="004E2076">
      <w:pPr>
        <w:pStyle w:val="ListBullet2"/>
      </w:pPr>
      <w:r w:rsidRPr="00A008D3">
        <w:t xml:space="preserve">Exporters may access the alternative minimum pen space allocation based upon this self-assessment. </w:t>
      </w:r>
    </w:p>
    <w:p w14:paraId="6084E420" w14:textId="77777777" w:rsidR="00A008D3" w:rsidRPr="00235C8F" w:rsidRDefault="00A008D3" w:rsidP="004E2076">
      <w:pPr>
        <w:pStyle w:val="ListBullet"/>
        <w:rPr>
          <w:lang w:eastAsia="ja-JP"/>
        </w:rPr>
      </w:pPr>
      <w:r w:rsidRPr="00235C8F">
        <w:rPr>
          <w:lang w:eastAsia="ja-JP"/>
        </w:rPr>
        <w:lastRenderedPageBreak/>
        <w:t xml:space="preserve">If eligible, the exporter must assess their eligibility with the access criteria at the time of submission of the </w:t>
      </w:r>
      <w:proofErr w:type="gramStart"/>
      <w:r w:rsidRPr="00235C8F">
        <w:rPr>
          <w:lang w:eastAsia="ja-JP"/>
        </w:rPr>
        <w:t>NOI, and</w:t>
      </w:r>
      <w:proofErr w:type="gramEnd"/>
      <w:r w:rsidRPr="00235C8F">
        <w:rPr>
          <w:lang w:eastAsia="ja-JP"/>
        </w:rPr>
        <w:t xml:space="preserve"> re-assess 10 working days prior to departure.  The NOI must clearly indicate the exporter’s intention to access the alternative minimum pen space allocation for that consignment and specify the market.  </w:t>
      </w:r>
    </w:p>
    <w:p w14:paraId="65308BAB" w14:textId="77777777" w:rsidR="00A008D3" w:rsidRPr="00235C8F" w:rsidRDefault="00A008D3" w:rsidP="004E2076">
      <w:pPr>
        <w:pStyle w:val="ListBullet"/>
        <w:rPr>
          <w:lang w:eastAsia="ja-JP"/>
        </w:rPr>
      </w:pPr>
      <w:r w:rsidRPr="00235C8F">
        <w:rPr>
          <w:lang w:eastAsia="ja-JP"/>
        </w:rPr>
        <w:t xml:space="preserve">Exporters must keep records to demonstrate eligibility for the access criteria on a consignment by consignment, and market basis. Records will be retained by the exporter in accordance with consignment record keeping procedures in the </w:t>
      </w:r>
      <w:r>
        <w:rPr>
          <w:lang w:eastAsia="ja-JP"/>
        </w:rPr>
        <w:t>approved arrangement</w:t>
      </w:r>
      <w:r w:rsidRPr="00235C8F">
        <w:rPr>
          <w:lang w:eastAsia="ja-JP"/>
        </w:rPr>
        <w:t xml:space="preserve">.  Some examples of relevant supporting documents include but are not limited to: </w:t>
      </w:r>
    </w:p>
    <w:p w14:paraId="126B1C7B" w14:textId="77777777" w:rsidR="00A008D3" w:rsidRPr="00235C8F" w:rsidRDefault="00A008D3" w:rsidP="004E2076">
      <w:pPr>
        <w:pStyle w:val="ListBullet2"/>
        <w:rPr>
          <w:lang w:eastAsia="ja-JP"/>
        </w:rPr>
      </w:pPr>
      <w:r w:rsidRPr="00235C8F">
        <w:rPr>
          <w:lang w:eastAsia="ja-JP"/>
        </w:rPr>
        <w:t xml:space="preserve">consignment records for each LNC that utilised the alternative minimum pen space </w:t>
      </w:r>
      <w:proofErr w:type="gramStart"/>
      <w:r w:rsidRPr="00235C8F">
        <w:rPr>
          <w:lang w:eastAsia="ja-JP"/>
        </w:rPr>
        <w:t>allocation</w:t>
      </w:r>
      <w:proofErr w:type="gramEnd"/>
    </w:p>
    <w:p w14:paraId="0189B433" w14:textId="77777777" w:rsidR="00A008D3" w:rsidRPr="00235C8F" w:rsidRDefault="00A008D3" w:rsidP="004E2076">
      <w:pPr>
        <w:pStyle w:val="ListBullet2"/>
        <w:rPr>
          <w:lang w:eastAsia="ja-JP"/>
        </w:rPr>
      </w:pPr>
      <w:r w:rsidRPr="00235C8F">
        <w:rPr>
          <w:lang w:eastAsia="ja-JP"/>
        </w:rPr>
        <w:t>records</w:t>
      </w:r>
      <w:r w:rsidRPr="00235C8F">
        <w:t xml:space="preserve"> demonstrating the number of cattle from consignments exported during the previous </w:t>
      </w:r>
      <w:proofErr w:type="gramStart"/>
      <w:r w:rsidRPr="00235C8F">
        <w:t>24 month</w:t>
      </w:r>
      <w:proofErr w:type="gramEnd"/>
      <w:r w:rsidRPr="00235C8F">
        <w:t xml:space="preserve"> period to the market for which they used the alternative minimum pen space</w:t>
      </w:r>
    </w:p>
    <w:p w14:paraId="1AD2C885" w14:textId="77777777" w:rsidR="00A008D3" w:rsidRPr="00235C8F" w:rsidRDefault="00A008D3" w:rsidP="004E2076">
      <w:pPr>
        <w:pStyle w:val="ListBullet2"/>
        <w:rPr>
          <w:lang w:eastAsia="ja-JP"/>
        </w:rPr>
      </w:pPr>
      <w:r w:rsidRPr="00235C8F">
        <w:rPr>
          <w:lang w:eastAsia="ja-JP"/>
        </w:rPr>
        <w:t xml:space="preserve">evidence to support calculations of an overall average voyage mortality </w:t>
      </w:r>
      <w:proofErr w:type="gramStart"/>
      <w:r w:rsidRPr="00235C8F">
        <w:rPr>
          <w:lang w:eastAsia="ja-JP"/>
        </w:rPr>
        <w:t>rate</w:t>
      </w:r>
      <w:proofErr w:type="gramEnd"/>
    </w:p>
    <w:p w14:paraId="23634E71" w14:textId="7DE85E6D" w:rsidR="00A008D3" w:rsidRPr="004E2076" w:rsidRDefault="00A008D3" w:rsidP="004E2076">
      <w:pPr>
        <w:pStyle w:val="ListBullet3"/>
      </w:pPr>
      <w:r w:rsidRPr="004E2076">
        <w:t xml:space="preserve">Between 1 May 2021 and 31 October 2021, to meet Criterion </w:t>
      </w:r>
      <w:r w:rsidR="00E4158E" w:rsidRPr="004E2076">
        <w:t>3</w:t>
      </w:r>
      <w:r w:rsidRPr="004E2076">
        <w:t>, existing exporters must have an overall average voyage mortality rate of 0.10% or less since 1 November 2020</w:t>
      </w:r>
    </w:p>
    <w:p w14:paraId="33C505E7" w14:textId="77777777" w:rsidR="00A008D3" w:rsidRDefault="00A008D3" w:rsidP="004E2076">
      <w:pPr>
        <w:pStyle w:val="ListBullet3"/>
        <w:rPr>
          <w:lang w:eastAsia="ja-JP"/>
        </w:rPr>
      </w:pPr>
      <w:r w:rsidRPr="004E2076">
        <w:t xml:space="preserve">From 1 November 2021, exporters must have an overall voyage mortality rate of 0.10% or less for the most recent </w:t>
      </w:r>
      <w:proofErr w:type="gramStart"/>
      <w:r w:rsidRPr="004E2076">
        <w:t>12 month</w:t>
      </w:r>
      <w:proofErr w:type="gramEnd"/>
      <w:r w:rsidRPr="004E2076">
        <w:t xml:space="preserve"> period (based on total load/unload counts) for cattle voyages to the market for which the exporter intends to use the alternative minimum pen space allocation</w:t>
      </w:r>
    </w:p>
    <w:p w14:paraId="28803DA2" w14:textId="77777777" w:rsidR="00A008D3" w:rsidRPr="00235C8F" w:rsidRDefault="00A008D3" w:rsidP="004E2076">
      <w:pPr>
        <w:pStyle w:val="ListBullet3"/>
        <w:rPr>
          <w:lang w:eastAsia="ja-JP"/>
        </w:rPr>
      </w:pPr>
      <w:r w:rsidRPr="00235C8F">
        <w:rPr>
          <w:lang w:eastAsia="ja-JP"/>
        </w:rPr>
        <w:t>The average mortality rate is calculated as the sum of each voyage mortality rate (%) from all</w:t>
      </w:r>
      <w:r>
        <w:rPr>
          <w:lang w:eastAsia="ja-JP"/>
        </w:rPr>
        <w:t xml:space="preserve"> cattle</w:t>
      </w:r>
      <w:r w:rsidRPr="00235C8F">
        <w:rPr>
          <w:lang w:eastAsia="ja-JP"/>
        </w:rPr>
        <w:t xml:space="preserve"> consignments to that market in the previous 12 months, divided by the total number of voyages.</w:t>
      </w:r>
    </w:p>
    <w:p w14:paraId="5AC92F5A" w14:textId="77777777" w:rsidR="00A008D3" w:rsidRPr="00235C8F" w:rsidRDefault="00A008D3" w:rsidP="004E2076">
      <w:pPr>
        <w:pStyle w:val="ListBullet3"/>
        <w:rPr>
          <w:lang w:eastAsia="ja-JP"/>
        </w:rPr>
      </w:pPr>
      <w:r w:rsidRPr="00235C8F">
        <w:rPr>
          <w:lang w:eastAsia="ja-JP"/>
        </w:rPr>
        <w:t xml:space="preserve">This includes all </w:t>
      </w:r>
      <w:r>
        <w:rPr>
          <w:lang w:eastAsia="ja-JP"/>
        </w:rPr>
        <w:t xml:space="preserve">cattle </w:t>
      </w:r>
      <w:r w:rsidRPr="00235C8F">
        <w:rPr>
          <w:lang w:eastAsia="ja-JP"/>
        </w:rPr>
        <w:t>voyages to that market and is not limited to those consignments that accessed the alternative minimum pen space allocation.</w:t>
      </w:r>
    </w:p>
    <w:p w14:paraId="732A7A6E" w14:textId="77777777" w:rsidR="00A008D3" w:rsidRPr="00235C8F" w:rsidRDefault="00A008D3" w:rsidP="00FB67A8">
      <w:pPr>
        <w:pStyle w:val="ListBullet3"/>
        <w:rPr>
          <w:lang w:eastAsia="ja-JP"/>
        </w:rPr>
      </w:pPr>
      <w:r w:rsidRPr="00235C8F">
        <w:rPr>
          <w:lang w:eastAsia="ja-JP"/>
        </w:rPr>
        <w:t xml:space="preserve">evidence to support that no notifiable voyage mortality incidents </w:t>
      </w:r>
      <w:r>
        <w:rPr>
          <w:lang w:eastAsia="ja-JP"/>
        </w:rPr>
        <w:t xml:space="preserve">for cattle </w:t>
      </w:r>
      <w:r w:rsidRPr="00235C8F">
        <w:rPr>
          <w:lang w:eastAsia="ja-JP"/>
        </w:rPr>
        <w:t xml:space="preserve">to the market accessed had occurred in the </w:t>
      </w:r>
      <w:r>
        <w:rPr>
          <w:lang w:eastAsia="ja-JP"/>
        </w:rPr>
        <w:t>3</w:t>
      </w:r>
      <w:r w:rsidRPr="00235C8F">
        <w:rPr>
          <w:lang w:eastAsia="ja-JP"/>
        </w:rPr>
        <w:t xml:space="preserve"> months prior to submission of the relevant NOI, and at 10 working days prior to departure.</w:t>
      </w:r>
    </w:p>
    <w:p w14:paraId="1F4A44DF" w14:textId="67BE7569" w:rsidR="00A008D3" w:rsidRPr="00235C8F" w:rsidRDefault="00A008D3" w:rsidP="004E2076">
      <w:pPr>
        <w:pStyle w:val="ListBullet2"/>
        <w:rPr>
          <w:lang w:eastAsia="ja-JP"/>
        </w:rPr>
      </w:pPr>
      <w:r w:rsidRPr="00791371">
        <w:t>Documents</w:t>
      </w:r>
      <w:r w:rsidRPr="00235C8F">
        <w:rPr>
          <w:lang w:eastAsia="ja-JP"/>
        </w:rPr>
        <w:t xml:space="preserve"> must be available at audit and may be requested at other times.</w:t>
      </w:r>
    </w:p>
    <w:p w14:paraId="7F40EDAF" w14:textId="77777777" w:rsidR="00A008D3" w:rsidRPr="0092112D" w:rsidRDefault="00A008D3" w:rsidP="0092112D">
      <w:pPr>
        <w:pStyle w:val="Heading2"/>
      </w:pPr>
      <w:r w:rsidRPr="0092112D">
        <w:t>Non-compliances</w:t>
      </w:r>
    </w:p>
    <w:p w14:paraId="78EB4822" w14:textId="77777777" w:rsidR="00A008D3" w:rsidRPr="00791371" w:rsidRDefault="00A008D3" w:rsidP="00791371">
      <w:pPr>
        <w:pStyle w:val="ListBullet"/>
      </w:pPr>
      <w:r w:rsidRPr="00791371">
        <w:t xml:space="preserve">Accessing alternative minimum pen space allocation without meeting the access criteria is a breach of ASEL. </w:t>
      </w:r>
    </w:p>
    <w:p w14:paraId="753B4067" w14:textId="23425E1A" w:rsidR="00A008D3" w:rsidRPr="008745BE" w:rsidRDefault="00A008D3" w:rsidP="00791371">
      <w:pPr>
        <w:pStyle w:val="ListBullet"/>
      </w:pPr>
      <w:r w:rsidRPr="00791371">
        <w:t>If an exporter self-identifies that they have used the alternative minimum pen space allocation when they did not meet the access criteria, the exporter must immediately advise the department in writing.</w:t>
      </w:r>
    </w:p>
    <w:p w14:paraId="7D229997" w14:textId="4DAB86CF" w:rsidR="00A008D3" w:rsidRPr="00791371" w:rsidRDefault="00A008D3" w:rsidP="00791371">
      <w:pPr>
        <w:pStyle w:val="ListBullet"/>
      </w:pPr>
      <w:r w:rsidRPr="008745BE">
        <w:t xml:space="preserve">If an exporter accesses the alternative minimum pen space allocation when they did not meet the access criteria and fails to notify the department immediately, the department may consider further regulatory action, </w:t>
      </w:r>
      <w:proofErr w:type="gramStart"/>
      <w:r w:rsidRPr="008745BE">
        <w:t>taking into account</w:t>
      </w:r>
      <w:proofErr w:type="gramEnd"/>
      <w:r w:rsidRPr="008745BE">
        <w:t xml:space="preserve"> the extent of the non-compliance. </w:t>
      </w:r>
    </w:p>
    <w:p w14:paraId="2F0E3CDC" w14:textId="27A70CC0" w:rsidR="00065884" w:rsidRPr="00065884" w:rsidRDefault="00A008D3" w:rsidP="0092112D">
      <w:pPr>
        <w:rPr>
          <w:lang w:eastAsia="ja-JP"/>
        </w:rPr>
      </w:pPr>
      <w:r w:rsidRPr="00235C8F">
        <w:lastRenderedPageBreak/>
        <w:t>If the exporter is non-compliant over numerous</w:t>
      </w:r>
      <w:r w:rsidR="00065884">
        <w:t xml:space="preserve"> </w:t>
      </w:r>
      <w:r w:rsidRPr="00235C8F">
        <w:t>consignments prior to self-identification, this will be a relevant consideration in any regulatory action.</w:t>
      </w:r>
      <w:bookmarkStart w:id="5" w:name="_Transitional_arrangement_access"/>
      <w:bookmarkStart w:id="6" w:name="_Loss_of_access_1"/>
      <w:bookmarkEnd w:id="5"/>
      <w:bookmarkEnd w:id="6"/>
    </w:p>
    <w:p w14:paraId="39C10FDB" w14:textId="77777777" w:rsidR="00A008D3" w:rsidRPr="0092112D" w:rsidRDefault="00A008D3" w:rsidP="0092112D">
      <w:pPr>
        <w:pStyle w:val="Heading2"/>
      </w:pPr>
      <w:r w:rsidRPr="0092112D">
        <w:t>Acronyms and definitions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2"/>
        <w:gridCol w:w="6988"/>
      </w:tblGrid>
      <w:tr w:rsidR="00A008D3" w14:paraId="79B4CBA2" w14:textId="77777777">
        <w:trPr>
          <w:cantSplit/>
          <w:tblHeader/>
        </w:trPr>
        <w:tc>
          <w:tcPr>
            <w:tcW w:w="1148" w:type="pct"/>
            <w:tcBorders>
              <w:bottom w:val="single" w:sz="4" w:space="0" w:color="auto"/>
            </w:tcBorders>
          </w:tcPr>
          <w:p w14:paraId="3E8A0C1E" w14:textId="77777777" w:rsidR="00A008D3" w:rsidRPr="00A008D3" w:rsidRDefault="00A008D3" w:rsidP="00A008D3">
            <w:pPr>
              <w:pStyle w:val="TableHeading"/>
            </w:pPr>
            <w:bookmarkStart w:id="7" w:name="_Related_material"/>
            <w:bookmarkEnd w:id="7"/>
            <w:r w:rsidRPr="00A008D3">
              <w:t>Term</w:t>
            </w:r>
          </w:p>
        </w:tc>
        <w:tc>
          <w:tcPr>
            <w:tcW w:w="3852" w:type="pct"/>
            <w:tcBorders>
              <w:bottom w:val="single" w:sz="4" w:space="0" w:color="auto"/>
            </w:tcBorders>
          </w:tcPr>
          <w:p w14:paraId="50FFA048" w14:textId="77777777" w:rsidR="00A008D3" w:rsidRPr="00A008D3" w:rsidRDefault="00A008D3" w:rsidP="00A008D3">
            <w:pPr>
              <w:pStyle w:val="TableHeading"/>
            </w:pPr>
            <w:r w:rsidRPr="00A008D3">
              <w:t>Definition</w:t>
            </w:r>
          </w:p>
        </w:tc>
      </w:tr>
      <w:tr w:rsidR="00A008D3" w14:paraId="3F693C43" w14:textId="77777777">
        <w:tc>
          <w:tcPr>
            <w:tcW w:w="1148" w:type="pct"/>
            <w:tcBorders>
              <w:top w:val="single" w:sz="4" w:space="0" w:color="auto"/>
              <w:bottom w:val="nil"/>
            </w:tcBorders>
          </w:tcPr>
          <w:p w14:paraId="27F5121E" w14:textId="77777777" w:rsidR="00A008D3" w:rsidRPr="00A008D3" w:rsidRDefault="00A008D3" w:rsidP="00A008D3">
            <w:pPr>
              <w:pStyle w:val="TableText"/>
            </w:pPr>
            <w:r w:rsidRPr="00A008D3">
              <w:t>approved arrangement</w:t>
            </w:r>
          </w:p>
        </w:tc>
        <w:tc>
          <w:tcPr>
            <w:tcW w:w="3852" w:type="pct"/>
            <w:tcBorders>
              <w:top w:val="single" w:sz="4" w:space="0" w:color="auto"/>
              <w:bottom w:val="nil"/>
            </w:tcBorders>
          </w:tcPr>
          <w:p w14:paraId="7FC4E3EF" w14:textId="77777777" w:rsidR="00A008D3" w:rsidRPr="00A008D3" w:rsidRDefault="00A008D3" w:rsidP="00A008D3">
            <w:pPr>
              <w:pStyle w:val="TableText"/>
            </w:pPr>
            <w:r w:rsidRPr="00A008D3">
              <w:t xml:space="preserve"> The approved arrangement for the export of livestock. A legal arrangement that prescribes the processes and practices that will be undertaken by the exporter to meet the Australian Standards for the Export of Livestock (ASEL), importing country requirements and relevant Australian Government legislation and other requirements for the export of livestock.</w:t>
            </w:r>
          </w:p>
        </w:tc>
      </w:tr>
      <w:tr w:rsidR="00A008D3" w14:paraId="5C05BFAF" w14:textId="77777777">
        <w:tc>
          <w:tcPr>
            <w:tcW w:w="1148" w:type="pct"/>
            <w:tcBorders>
              <w:top w:val="single" w:sz="4" w:space="0" w:color="auto"/>
              <w:bottom w:val="nil"/>
            </w:tcBorders>
          </w:tcPr>
          <w:p w14:paraId="4339BAAB" w14:textId="77777777" w:rsidR="00A008D3" w:rsidRPr="00A008D3" w:rsidRDefault="00A008D3" w:rsidP="00A008D3">
            <w:pPr>
              <w:pStyle w:val="TableText"/>
            </w:pPr>
            <w:r w:rsidRPr="00A008D3">
              <w:t>LNC</w:t>
            </w:r>
          </w:p>
        </w:tc>
        <w:tc>
          <w:tcPr>
            <w:tcW w:w="3852" w:type="pct"/>
            <w:tcBorders>
              <w:top w:val="single" w:sz="4" w:space="0" w:color="auto"/>
              <w:bottom w:val="nil"/>
            </w:tcBorders>
          </w:tcPr>
          <w:p w14:paraId="18BB1448" w14:textId="77777777" w:rsidR="00A008D3" w:rsidRPr="00A008D3" w:rsidDel="006D7729" w:rsidRDefault="00A008D3" w:rsidP="00A008D3">
            <w:pPr>
              <w:pStyle w:val="TableText"/>
            </w:pPr>
            <w:r w:rsidRPr="00A008D3">
              <w:t>LNC is the prefix for all livestock export consignments. Livestock NOI CRMP</w:t>
            </w:r>
          </w:p>
        </w:tc>
      </w:tr>
      <w:tr w:rsidR="00A008D3" w14:paraId="7C566E7D" w14:textId="77777777">
        <w:tc>
          <w:tcPr>
            <w:tcW w:w="1148" w:type="pct"/>
            <w:tcBorders>
              <w:top w:val="single" w:sz="4" w:space="0" w:color="auto"/>
              <w:bottom w:val="nil"/>
            </w:tcBorders>
          </w:tcPr>
          <w:p w14:paraId="639778E2" w14:textId="4A394EB7" w:rsidR="00A008D3" w:rsidRPr="00A008D3" w:rsidRDefault="00710805" w:rsidP="00A008D3">
            <w:pPr>
              <w:pStyle w:val="TableText"/>
            </w:pPr>
            <w:r>
              <w:t>m</w:t>
            </w:r>
            <w:r w:rsidR="00A008D3" w:rsidRPr="00A008D3">
              <w:t>arket</w:t>
            </w:r>
          </w:p>
        </w:tc>
        <w:tc>
          <w:tcPr>
            <w:tcW w:w="3852" w:type="pct"/>
            <w:tcBorders>
              <w:top w:val="single" w:sz="4" w:space="0" w:color="auto"/>
              <w:bottom w:val="nil"/>
            </w:tcBorders>
          </w:tcPr>
          <w:p w14:paraId="45056DE9" w14:textId="77777777" w:rsidR="00A008D3" w:rsidRPr="00A008D3" w:rsidRDefault="00A008D3" w:rsidP="00A008D3">
            <w:pPr>
              <w:pStyle w:val="TableText"/>
            </w:pPr>
            <w:r w:rsidRPr="00A008D3">
              <w:rPr>
                <w:rStyle w:val="Strong"/>
                <w:b w:val="0"/>
                <w:bCs w:val="0"/>
              </w:rPr>
              <w:t xml:space="preserve">For the purposes of this policy, market means a country. </w:t>
            </w:r>
          </w:p>
        </w:tc>
      </w:tr>
      <w:tr w:rsidR="00A008D3" w14:paraId="06C7ECED" w14:textId="77777777">
        <w:tc>
          <w:tcPr>
            <w:tcW w:w="1148" w:type="pct"/>
            <w:tcBorders>
              <w:top w:val="single" w:sz="4" w:space="0" w:color="auto"/>
              <w:bottom w:val="single" w:sz="4" w:space="0" w:color="auto"/>
            </w:tcBorders>
          </w:tcPr>
          <w:p w14:paraId="1AD9B25D" w14:textId="77777777" w:rsidR="00A008D3" w:rsidRPr="00A008D3" w:rsidRDefault="00A008D3" w:rsidP="00A008D3">
            <w:pPr>
              <w:pStyle w:val="TableText"/>
            </w:pPr>
            <w:r w:rsidRPr="00A008D3">
              <w:t>NOI</w:t>
            </w:r>
          </w:p>
        </w:tc>
        <w:tc>
          <w:tcPr>
            <w:tcW w:w="3852" w:type="pct"/>
            <w:tcBorders>
              <w:top w:val="single" w:sz="4" w:space="0" w:color="auto"/>
              <w:bottom w:val="single" w:sz="4" w:space="0" w:color="auto"/>
            </w:tcBorders>
          </w:tcPr>
          <w:p w14:paraId="2C9C647D" w14:textId="77777777" w:rsidR="00A008D3" w:rsidRPr="00A008D3" w:rsidRDefault="00A008D3" w:rsidP="00A008D3">
            <w:pPr>
              <w:pStyle w:val="TableText"/>
            </w:pPr>
            <w:r w:rsidRPr="00A008D3">
              <w:t>Notice of Intention: the notice of intention to export livestock, received by the department from an exporter</w:t>
            </w:r>
          </w:p>
        </w:tc>
      </w:tr>
      <w:tr w:rsidR="00A008D3" w14:paraId="07AA23CA" w14:textId="77777777">
        <w:tc>
          <w:tcPr>
            <w:tcW w:w="1148" w:type="pct"/>
            <w:tcBorders>
              <w:top w:val="single" w:sz="4" w:space="0" w:color="auto"/>
              <w:bottom w:val="single" w:sz="4" w:space="0" w:color="auto"/>
            </w:tcBorders>
          </w:tcPr>
          <w:p w14:paraId="3ED8E796" w14:textId="61BF1738" w:rsidR="00A008D3" w:rsidRPr="00A008D3" w:rsidRDefault="00710805" w:rsidP="00A008D3">
            <w:pPr>
              <w:pStyle w:val="TableText"/>
            </w:pPr>
            <w:r>
              <w:t>n</w:t>
            </w:r>
            <w:r w:rsidR="00A008D3" w:rsidRPr="00A008D3">
              <w:t>otifiable voyage mortality</w:t>
            </w:r>
          </w:p>
        </w:tc>
        <w:tc>
          <w:tcPr>
            <w:tcW w:w="3852" w:type="pct"/>
            <w:tcBorders>
              <w:top w:val="single" w:sz="4" w:space="0" w:color="auto"/>
              <w:bottom w:val="single" w:sz="4" w:space="0" w:color="auto"/>
            </w:tcBorders>
          </w:tcPr>
          <w:p w14:paraId="223934C5" w14:textId="77777777" w:rsidR="00A008D3" w:rsidRPr="00A008D3" w:rsidRDefault="00A008D3" w:rsidP="00A008D3">
            <w:pPr>
              <w:pStyle w:val="TableText"/>
            </w:pPr>
            <w:r w:rsidRPr="00A008D3">
              <w:t xml:space="preserve">Refers to the mortality rate per voyage of a species (refer table 22 in ASEL 3.0). For the purposes of this policy, it does not include circumstances where only the average daily mortality rate has met or exceeded a notifiable mortality level. </w:t>
            </w:r>
          </w:p>
        </w:tc>
      </w:tr>
    </w:tbl>
    <w:p w14:paraId="5F9A71C5" w14:textId="419AD1C4" w:rsidR="00A008D3" w:rsidRPr="00F22DE1" w:rsidRDefault="00A008D3" w:rsidP="008745BE">
      <w:pPr>
        <w:pStyle w:val="Heading2"/>
        <w:spacing w:before="240"/>
      </w:pPr>
      <w:r w:rsidRPr="00F22DE1">
        <w:t>Related material</w:t>
      </w:r>
    </w:p>
    <w:p w14:paraId="430B69DC" w14:textId="172C1D93" w:rsidR="00A008D3" w:rsidRPr="003245B8" w:rsidRDefault="003245B8" w:rsidP="001B169C">
      <w:pPr>
        <w:pStyle w:val="ListBullet"/>
        <w:rPr>
          <w:rStyle w:val="Hyperlink"/>
        </w:rPr>
      </w:pPr>
      <w:r>
        <w:fldChar w:fldCharType="begin"/>
      </w:r>
      <w:r>
        <w:instrText>HYPERLINK "https://www.agriculture.gov.au/export/controlled-goods/live-animals/livestock/information-exporters-industry/approved-arrangements"</w:instrText>
      </w:r>
      <w:r>
        <w:fldChar w:fldCharType="separate"/>
      </w:r>
      <w:r w:rsidR="00A008D3" w:rsidRPr="00065884">
        <w:rPr>
          <w:rStyle w:val="Hyperlink"/>
        </w:rPr>
        <w:t>Approved arrangements guidelines</w:t>
      </w:r>
    </w:p>
    <w:p w14:paraId="27E8E7DA" w14:textId="386D00C6" w:rsidR="00A008D3" w:rsidRPr="003245B8" w:rsidDel="003245B8" w:rsidRDefault="003245B8" w:rsidP="004E1807">
      <w:pPr>
        <w:pStyle w:val="ListBullet"/>
        <w:rPr>
          <w:rStyle w:val="Hyperlink"/>
        </w:rPr>
      </w:pPr>
      <w:r>
        <w:fldChar w:fldCharType="end"/>
      </w:r>
      <w:hyperlink r:id="rId13" w:history="1">
        <w:r w:rsidRPr="003245B8">
          <w:rPr>
            <w:rStyle w:val="Hyperlink"/>
          </w:rPr>
          <w:t>Regulating live animal exports</w:t>
        </w:r>
      </w:hyperlink>
      <w:r>
        <w:rPr>
          <w:rStyle w:val="Emphasis"/>
          <w:i w:val="0"/>
          <w:iCs w:val="0"/>
        </w:rPr>
        <w:fldChar w:fldCharType="begin"/>
      </w:r>
      <w:r>
        <w:rPr>
          <w:rStyle w:val="Emphasis"/>
          <w:i w:val="0"/>
          <w:iCs w:val="0"/>
        </w:rPr>
        <w:instrText>HYPERLINK "https://www.agriculture.gov.au/biosecurity-trade/export/controlled-goods/live-animals/livestock/australian-standards-livestock"</w:instrText>
      </w:r>
      <w:r>
        <w:rPr>
          <w:rStyle w:val="Emphasis"/>
          <w:i w:val="0"/>
          <w:iCs w:val="0"/>
        </w:rPr>
      </w:r>
      <w:r>
        <w:rPr>
          <w:rStyle w:val="Emphasis"/>
          <w:i w:val="0"/>
          <w:iCs w:val="0"/>
        </w:rPr>
        <w:fldChar w:fldCharType="separate"/>
      </w:r>
    </w:p>
    <w:p w14:paraId="2AD8C32D" w14:textId="2F51B1F0" w:rsidR="00262394" w:rsidRDefault="00A008D3" w:rsidP="001B169C">
      <w:pPr>
        <w:pStyle w:val="ListBullet"/>
        <w:rPr>
          <w:rStyle w:val="Emphasis"/>
          <w:i w:val="0"/>
          <w:iCs w:val="0"/>
        </w:rPr>
      </w:pPr>
      <w:r w:rsidRPr="003245B8">
        <w:rPr>
          <w:rStyle w:val="Hyperlink"/>
        </w:rPr>
        <w:t>Australian Standards for the Export of Livestock (ASEL)</w:t>
      </w:r>
      <w:bookmarkEnd w:id="1"/>
      <w:bookmarkEnd w:id="2"/>
      <w:r w:rsidR="003245B8">
        <w:rPr>
          <w:rStyle w:val="Emphasis"/>
          <w:i w:val="0"/>
          <w:iCs w:val="0"/>
        </w:rPr>
        <w:fldChar w:fldCharType="end"/>
      </w:r>
    </w:p>
    <w:p w14:paraId="5D8C741E" w14:textId="359AD87B" w:rsidR="00262394" w:rsidRPr="00F22DE1" w:rsidRDefault="00D577AD" w:rsidP="008745BE">
      <w:pPr>
        <w:pStyle w:val="Heading2"/>
        <w:spacing w:before="240"/>
      </w:pPr>
      <w:r w:rsidRPr="00F22DE1">
        <w:t>Version control</w:t>
      </w:r>
    </w:p>
    <w:tbl>
      <w:tblPr>
        <w:tblStyle w:val="TableGrid"/>
        <w:tblW w:w="0" w:type="auto"/>
        <w:tblLook w:val="04A0" w:firstRow="1" w:lastRow="0" w:firstColumn="1" w:lastColumn="0" w:noHBand="0" w:noVBand="1"/>
      </w:tblPr>
      <w:tblGrid>
        <w:gridCol w:w="1134"/>
        <w:gridCol w:w="1843"/>
        <w:gridCol w:w="2977"/>
        <w:gridCol w:w="3106"/>
      </w:tblGrid>
      <w:tr w:rsidR="00864FF6" w:rsidRPr="00D809F4" w14:paraId="5AEE56C6" w14:textId="77777777">
        <w:tc>
          <w:tcPr>
            <w:tcW w:w="1134" w:type="dxa"/>
            <w:tcBorders>
              <w:left w:val="nil"/>
              <w:bottom w:val="single" w:sz="4" w:space="0" w:color="auto"/>
              <w:right w:val="nil"/>
            </w:tcBorders>
          </w:tcPr>
          <w:p w14:paraId="10EAD8E8" w14:textId="77777777" w:rsidR="00864FF6" w:rsidRPr="00D809F4" w:rsidRDefault="00864FF6">
            <w:pPr>
              <w:pStyle w:val="TableHeading"/>
              <w:rPr>
                <w:lang w:eastAsia="ja-JP"/>
              </w:rPr>
            </w:pPr>
            <w:r w:rsidRPr="00D809F4">
              <w:rPr>
                <w:lang w:eastAsia="ja-JP"/>
              </w:rPr>
              <w:t>Version</w:t>
            </w:r>
          </w:p>
        </w:tc>
        <w:tc>
          <w:tcPr>
            <w:tcW w:w="1843" w:type="dxa"/>
            <w:tcBorders>
              <w:left w:val="nil"/>
              <w:bottom w:val="single" w:sz="4" w:space="0" w:color="auto"/>
              <w:right w:val="nil"/>
            </w:tcBorders>
          </w:tcPr>
          <w:p w14:paraId="1C8FFA40" w14:textId="77777777" w:rsidR="00864FF6" w:rsidRPr="00D809F4" w:rsidRDefault="00864FF6">
            <w:pPr>
              <w:pStyle w:val="TableHeading"/>
              <w:rPr>
                <w:lang w:eastAsia="ja-JP"/>
              </w:rPr>
            </w:pPr>
            <w:r w:rsidRPr="00D809F4">
              <w:rPr>
                <w:lang w:eastAsia="ja-JP"/>
              </w:rPr>
              <w:t>Date of issue</w:t>
            </w:r>
          </w:p>
        </w:tc>
        <w:tc>
          <w:tcPr>
            <w:tcW w:w="2977" w:type="dxa"/>
            <w:tcBorders>
              <w:left w:val="nil"/>
              <w:bottom w:val="single" w:sz="4" w:space="0" w:color="auto"/>
              <w:right w:val="nil"/>
            </w:tcBorders>
          </w:tcPr>
          <w:p w14:paraId="5A80250B" w14:textId="77777777" w:rsidR="00864FF6" w:rsidRPr="00D809F4" w:rsidRDefault="00864FF6">
            <w:pPr>
              <w:pStyle w:val="TableHeading"/>
              <w:rPr>
                <w:lang w:eastAsia="ja-JP"/>
              </w:rPr>
            </w:pPr>
            <w:r w:rsidRPr="00D809F4">
              <w:rPr>
                <w:lang w:eastAsia="ja-JP"/>
              </w:rPr>
              <w:t>Author</w:t>
            </w:r>
          </w:p>
        </w:tc>
        <w:tc>
          <w:tcPr>
            <w:tcW w:w="3106" w:type="dxa"/>
            <w:tcBorders>
              <w:left w:val="nil"/>
              <w:bottom w:val="single" w:sz="4" w:space="0" w:color="auto"/>
              <w:right w:val="nil"/>
            </w:tcBorders>
          </w:tcPr>
          <w:p w14:paraId="0119EEE4" w14:textId="77777777" w:rsidR="00864FF6" w:rsidRPr="00D809F4" w:rsidRDefault="00864FF6">
            <w:pPr>
              <w:pStyle w:val="TableHeading"/>
              <w:rPr>
                <w:lang w:eastAsia="ja-JP"/>
              </w:rPr>
            </w:pPr>
            <w:r w:rsidRPr="00D809F4">
              <w:rPr>
                <w:lang w:eastAsia="ja-JP"/>
              </w:rPr>
              <w:t>Reason for change</w:t>
            </w:r>
          </w:p>
        </w:tc>
      </w:tr>
      <w:tr w:rsidR="00864FF6" w:rsidRPr="00D809F4" w14:paraId="7AB7D826" w14:textId="77777777">
        <w:tc>
          <w:tcPr>
            <w:tcW w:w="1134" w:type="dxa"/>
            <w:tcBorders>
              <w:left w:val="nil"/>
              <w:right w:val="nil"/>
            </w:tcBorders>
          </w:tcPr>
          <w:p w14:paraId="0483E1BF" w14:textId="77777777" w:rsidR="00864FF6" w:rsidRDefault="00864FF6">
            <w:pPr>
              <w:pStyle w:val="TableText"/>
              <w:rPr>
                <w:lang w:eastAsia="ja-JP"/>
              </w:rPr>
            </w:pPr>
            <w:r>
              <w:rPr>
                <w:lang w:eastAsia="ja-JP"/>
              </w:rPr>
              <w:t>1.0</w:t>
            </w:r>
          </w:p>
        </w:tc>
        <w:tc>
          <w:tcPr>
            <w:tcW w:w="1843" w:type="dxa"/>
            <w:tcBorders>
              <w:left w:val="nil"/>
              <w:right w:val="nil"/>
            </w:tcBorders>
          </w:tcPr>
          <w:p w14:paraId="527805F9" w14:textId="070F3AF4" w:rsidR="00864FF6" w:rsidRDefault="00DC7F2D">
            <w:pPr>
              <w:pStyle w:val="TableText"/>
              <w:rPr>
                <w:lang w:eastAsia="ja-JP"/>
              </w:rPr>
            </w:pPr>
            <w:r>
              <w:rPr>
                <w:lang w:eastAsia="ja-JP"/>
              </w:rPr>
              <w:t>October 2020</w:t>
            </w:r>
          </w:p>
        </w:tc>
        <w:tc>
          <w:tcPr>
            <w:tcW w:w="2977" w:type="dxa"/>
            <w:tcBorders>
              <w:left w:val="nil"/>
              <w:right w:val="nil"/>
            </w:tcBorders>
          </w:tcPr>
          <w:p w14:paraId="6189F407" w14:textId="77777777" w:rsidR="00864FF6" w:rsidRPr="00D809F4" w:rsidRDefault="00864FF6">
            <w:pPr>
              <w:pStyle w:val="TableText"/>
              <w:rPr>
                <w:lang w:eastAsia="ja-JP"/>
              </w:rPr>
            </w:pPr>
            <w:r>
              <w:rPr>
                <w:lang w:eastAsia="ja-JP"/>
              </w:rPr>
              <w:t>Live Animal Export Branch</w:t>
            </w:r>
          </w:p>
        </w:tc>
        <w:tc>
          <w:tcPr>
            <w:tcW w:w="3106" w:type="dxa"/>
            <w:tcBorders>
              <w:left w:val="nil"/>
              <w:right w:val="nil"/>
            </w:tcBorders>
          </w:tcPr>
          <w:p w14:paraId="046390D4" w14:textId="77777777" w:rsidR="00864FF6" w:rsidRPr="00D809F4" w:rsidRDefault="00864FF6">
            <w:pPr>
              <w:pStyle w:val="TableText"/>
              <w:rPr>
                <w:lang w:eastAsia="ja-JP"/>
              </w:rPr>
            </w:pPr>
            <w:r>
              <w:rPr>
                <w:lang w:eastAsia="ja-JP"/>
              </w:rPr>
              <w:t>First release.</w:t>
            </w:r>
          </w:p>
        </w:tc>
      </w:tr>
      <w:tr w:rsidR="00864FF6" w:rsidRPr="00D809F4" w14:paraId="00466E4C" w14:textId="77777777">
        <w:tc>
          <w:tcPr>
            <w:tcW w:w="1134" w:type="dxa"/>
            <w:tcBorders>
              <w:left w:val="nil"/>
              <w:right w:val="nil"/>
            </w:tcBorders>
          </w:tcPr>
          <w:p w14:paraId="79EC206A" w14:textId="77777777" w:rsidR="00864FF6" w:rsidRPr="00D809F4" w:rsidRDefault="00864FF6">
            <w:pPr>
              <w:pStyle w:val="TableText"/>
              <w:rPr>
                <w:lang w:eastAsia="ja-JP"/>
              </w:rPr>
            </w:pPr>
            <w:r>
              <w:rPr>
                <w:lang w:eastAsia="ja-JP"/>
              </w:rPr>
              <w:t>2</w:t>
            </w:r>
            <w:r w:rsidRPr="00D809F4">
              <w:rPr>
                <w:lang w:eastAsia="ja-JP"/>
              </w:rPr>
              <w:t>.0</w:t>
            </w:r>
          </w:p>
        </w:tc>
        <w:tc>
          <w:tcPr>
            <w:tcW w:w="1843" w:type="dxa"/>
            <w:tcBorders>
              <w:left w:val="nil"/>
              <w:right w:val="nil"/>
            </w:tcBorders>
          </w:tcPr>
          <w:p w14:paraId="72A47106" w14:textId="2F837ECC" w:rsidR="00864FF6" w:rsidRPr="00D809F4" w:rsidRDefault="000D0EBA">
            <w:pPr>
              <w:pStyle w:val="TableText"/>
              <w:rPr>
                <w:lang w:eastAsia="ja-JP"/>
              </w:rPr>
            </w:pPr>
            <w:r>
              <w:rPr>
                <w:lang w:eastAsia="ja-JP"/>
              </w:rPr>
              <w:t>September</w:t>
            </w:r>
            <w:r w:rsidR="00864FF6" w:rsidRPr="00D809F4">
              <w:rPr>
                <w:lang w:eastAsia="ja-JP"/>
              </w:rPr>
              <w:t xml:space="preserve"> 2023</w:t>
            </w:r>
          </w:p>
        </w:tc>
        <w:tc>
          <w:tcPr>
            <w:tcW w:w="2977" w:type="dxa"/>
            <w:tcBorders>
              <w:left w:val="nil"/>
              <w:right w:val="nil"/>
            </w:tcBorders>
          </w:tcPr>
          <w:p w14:paraId="2990F063" w14:textId="77777777" w:rsidR="00864FF6" w:rsidRPr="00D809F4" w:rsidRDefault="00864FF6">
            <w:pPr>
              <w:pStyle w:val="TableText"/>
              <w:rPr>
                <w:lang w:eastAsia="ja-JP"/>
              </w:rPr>
            </w:pPr>
            <w:r w:rsidRPr="00D809F4">
              <w:rPr>
                <w:lang w:eastAsia="ja-JP"/>
              </w:rPr>
              <w:t>Live Animal Export Branch</w:t>
            </w:r>
          </w:p>
        </w:tc>
        <w:tc>
          <w:tcPr>
            <w:tcW w:w="3106" w:type="dxa"/>
            <w:tcBorders>
              <w:left w:val="nil"/>
              <w:right w:val="nil"/>
            </w:tcBorders>
          </w:tcPr>
          <w:p w14:paraId="027827DA" w14:textId="77777777" w:rsidR="00864FF6" w:rsidRDefault="002B5890">
            <w:pPr>
              <w:pStyle w:val="TableText"/>
              <w:rPr>
                <w:lang w:eastAsia="ja-JP"/>
              </w:rPr>
            </w:pPr>
            <w:r>
              <w:rPr>
                <w:lang w:eastAsia="ja-JP"/>
              </w:rPr>
              <w:t>Update</w:t>
            </w:r>
            <w:r w:rsidR="000E27E1">
              <w:rPr>
                <w:lang w:eastAsia="ja-JP"/>
              </w:rPr>
              <w:t>s to department branding and document formatting in line with publishing requirements.</w:t>
            </w:r>
          </w:p>
          <w:p w14:paraId="41735310" w14:textId="713F2146" w:rsidR="00F07C4F" w:rsidRPr="00D809F4" w:rsidDel="00CF341D" w:rsidRDefault="00514819">
            <w:pPr>
              <w:pStyle w:val="TableText"/>
              <w:rPr>
                <w:lang w:eastAsia="ja-JP"/>
              </w:rPr>
            </w:pPr>
            <w:r>
              <w:rPr>
                <w:lang w:eastAsia="ja-JP"/>
              </w:rPr>
              <w:t>Removal of references to an exporter</w:t>
            </w:r>
            <w:r w:rsidR="008745BE">
              <w:rPr>
                <w:lang w:eastAsia="ja-JP"/>
              </w:rPr>
              <w:t>’</w:t>
            </w:r>
            <w:r>
              <w:rPr>
                <w:lang w:eastAsia="ja-JP"/>
              </w:rPr>
              <w:t>s performance level</w:t>
            </w:r>
            <w:r w:rsidR="78AA4D2F" w:rsidRPr="03392F82">
              <w:rPr>
                <w:lang w:eastAsia="ja-JP"/>
              </w:rPr>
              <w:t xml:space="preserve"> </w:t>
            </w:r>
            <w:r w:rsidR="78AA4D2F" w:rsidRPr="6C34F109">
              <w:rPr>
                <w:lang w:eastAsia="ja-JP"/>
              </w:rPr>
              <w:t xml:space="preserve">as an interim </w:t>
            </w:r>
            <w:r w:rsidR="78AA4D2F" w:rsidRPr="247F79F0">
              <w:rPr>
                <w:lang w:eastAsia="ja-JP"/>
              </w:rPr>
              <w:t>amendment whilst</w:t>
            </w:r>
            <w:r w:rsidR="78AA4D2F" w:rsidRPr="761F03D6">
              <w:rPr>
                <w:lang w:eastAsia="ja-JP"/>
              </w:rPr>
              <w:t xml:space="preserve"> a </w:t>
            </w:r>
            <w:r w:rsidR="78AA4D2F" w:rsidRPr="46F239A1">
              <w:rPr>
                <w:lang w:eastAsia="ja-JP"/>
              </w:rPr>
              <w:t xml:space="preserve">broader </w:t>
            </w:r>
            <w:r w:rsidR="78AA4D2F" w:rsidRPr="38B65162">
              <w:rPr>
                <w:lang w:eastAsia="ja-JP"/>
              </w:rPr>
              <w:t>review to this policy is</w:t>
            </w:r>
            <w:r w:rsidR="78AA4D2F" w:rsidRPr="70F9E9DC">
              <w:rPr>
                <w:lang w:eastAsia="ja-JP"/>
              </w:rPr>
              <w:t xml:space="preserve"> on-going</w:t>
            </w:r>
            <w:r w:rsidR="00052502">
              <w:rPr>
                <w:lang w:eastAsia="ja-JP"/>
              </w:rPr>
              <w:t xml:space="preserve">. </w:t>
            </w:r>
            <w:r w:rsidR="00966E1A">
              <w:rPr>
                <w:lang w:eastAsia="ja-JP"/>
              </w:rPr>
              <w:t xml:space="preserve">Addition of </w:t>
            </w:r>
            <w:r w:rsidR="00F07C4F">
              <w:rPr>
                <w:lang w:eastAsia="ja-JP"/>
              </w:rPr>
              <w:t xml:space="preserve">loss of access </w:t>
            </w:r>
            <w:r w:rsidR="00966E1A">
              <w:rPr>
                <w:lang w:eastAsia="ja-JP"/>
              </w:rPr>
              <w:t>criteria</w:t>
            </w:r>
            <w:r w:rsidR="00F07C4F">
              <w:rPr>
                <w:lang w:eastAsia="ja-JP"/>
              </w:rPr>
              <w:t xml:space="preserve"> </w:t>
            </w:r>
            <w:r w:rsidR="00CA2973">
              <w:rPr>
                <w:lang w:eastAsia="ja-JP"/>
              </w:rPr>
              <w:t xml:space="preserve">to include </w:t>
            </w:r>
            <w:r w:rsidR="00D23CDC">
              <w:rPr>
                <w:lang w:eastAsia="ja-JP"/>
              </w:rPr>
              <w:t>situations where the department will inform the exporter their access is lost</w:t>
            </w:r>
            <w:r w:rsidR="008745BE">
              <w:rPr>
                <w:lang w:eastAsia="ja-JP"/>
              </w:rPr>
              <w:t>.</w:t>
            </w:r>
          </w:p>
        </w:tc>
      </w:tr>
    </w:tbl>
    <w:p w14:paraId="7EEBFD50" w14:textId="77777777" w:rsidR="00864FF6" w:rsidRPr="00791371" w:rsidRDefault="00864FF6" w:rsidP="00791371">
      <w:pPr>
        <w:rPr>
          <w:lang w:eastAsia="ja-JP"/>
        </w:rPr>
      </w:pPr>
    </w:p>
    <w:sectPr w:rsidR="00864FF6" w:rsidRPr="00791371">
      <w:headerReference w:type="even" r:id="rId14"/>
      <w:headerReference w:type="default" r:id="rId15"/>
      <w:footerReference w:type="default" r:id="rId16"/>
      <w:headerReference w:type="first" r:id="rId17"/>
      <w:footerReference w:type="first" r:id="rId18"/>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E63A5" w14:textId="77777777" w:rsidR="007214EE" w:rsidRDefault="007214EE">
      <w:r>
        <w:separator/>
      </w:r>
    </w:p>
    <w:p w14:paraId="52F16C0F" w14:textId="77777777" w:rsidR="007214EE" w:rsidRDefault="007214EE"/>
    <w:p w14:paraId="12CB615B" w14:textId="77777777" w:rsidR="007214EE" w:rsidRDefault="007214EE"/>
  </w:endnote>
  <w:endnote w:type="continuationSeparator" w:id="0">
    <w:p w14:paraId="23F0BE60" w14:textId="77777777" w:rsidR="007214EE" w:rsidRDefault="007214EE">
      <w:r>
        <w:continuationSeparator/>
      </w:r>
    </w:p>
    <w:p w14:paraId="65C426B0" w14:textId="77777777" w:rsidR="007214EE" w:rsidRDefault="007214EE"/>
    <w:p w14:paraId="310D2885" w14:textId="77777777" w:rsidR="007214EE" w:rsidRDefault="007214EE"/>
  </w:endnote>
  <w:endnote w:type="continuationNotice" w:id="1">
    <w:p w14:paraId="66795556" w14:textId="77777777" w:rsidR="007214EE" w:rsidRDefault="007214EE">
      <w:pPr>
        <w:pStyle w:val="Footer"/>
      </w:pPr>
    </w:p>
    <w:p w14:paraId="57CBC318" w14:textId="77777777" w:rsidR="007214EE" w:rsidRDefault="007214EE"/>
    <w:p w14:paraId="3F085D6A" w14:textId="77777777" w:rsidR="007214EE" w:rsidRDefault="007214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CEDC" w14:textId="77777777" w:rsidR="002A193C" w:rsidRDefault="007B1F92">
    <w:pPr>
      <w:pStyle w:val="Footer"/>
    </w:pPr>
    <w:r w:rsidRPr="007B1F92">
      <w:t>Department of Agriculture, Fisheries and Forestry</w:t>
    </w:r>
  </w:p>
  <w:p w14:paraId="12DEAF1B"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2C0F" w14:textId="77777777" w:rsidR="002A193C" w:rsidRDefault="002A193C">
    <w:pPr>
      <w:pStyle w:val="Footer"/>
    </w:pPr>
    <w:r>
      <w:t xml:space="preserve">Department of Agriculture, </w:t>
    </w:r>
    <w:r w:rsidR="00A9002C">
      <w:t>Fisheries and Forestry</w:t>
    </w:r>
  </w:p>
  <w:p w14:paraId="1960155E"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F9815" w14:textId="77777777" w:rsidR="007214EE" w:rsidRDefault="007214EE">
      <w:r>
        <w:separator/>
      </w:r>
    </w:p>
    <w:p w14:paraId="455A275C" w14:textId="77777777" w:rsidR="007214EE" w:rsidRDefault="007214EE"/>
    <w:p w14:paraId="2EA4C412" w14:textId="77777777" w:rsidR="007214EE" w:rsidRDefault="007214EE"/>
  </w:footnote>
  <w:footnote w:type="continuationSeparator" w:id="0">
    <w:p w14:paraId="3F16B559" w14:textId="77777777" w:rsidR="007214EE" w:rsidRDefault="007214EE">
      <w:r>
        <w:continuationSeparator/>
      </w:r>
    </w:p>
    <w:p w14:paraId="6537FF55" w14:textId="77777777" w:rsidR="007214EE" w:rsidRDefault="007214EE"/>
    <w:p w14:paraId="304B5538" w14:textId="77777777" w:rsidR="007214EE" w:rsidRDefault="007214EE"/>
  </w:footnote>
  <w:footnote w:type="continuationNotice" w:id="1">
    <w:p w14:paraId="09BB8438" w14:textId="77777777" w:rsidR="007214EE" w:rsidRDefault="007214EE">
      <w:pPr>
        <w:pStyle w:val="Footer"/>
      </w:pPr>
    </w:p>
    <w:p w14:paraId="79CC169B" w14:textId="77777777" w:rsidR="007214EE" w:rsidRDefault="007214EE"/>
    <w:p w14:paraId="258C3657" w14:textId="77777777" w:rsidR="007214EE" w:rsidRDefault="007214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EBB4D" w14:textId="77777777" w:rsidR="002A193C" w:rsidRDefault="00DE4ED9">
    <w:pPr>
      <w:pStyle w:val="Header"/>
    </w:pPr>
    <w:r>
      <w:rPr>
        <w:noProof/>
        <w:lang w:val="en-US"/>
      </w:rPr>
      <w:pict w14:anchorId="6CF9C6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1" o:spid="_x0000_s1026" type="#_x0000_t136" style="position:absolute;left:0;text-align:left;margin-left:0;margin-top:0;width:548.05pt;height:91.3pt;rotation:315;z-index:-251658752;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4DF5" w14:textId="6B671361" w:rsidR="002A193C" w:rsidRDefault="00A008D3">
    <w:pPr>
      <w:pStyle w:val="Header"/>
    </w:pPr>
    <w:r>
      <w:t>Alternative Minimum Pen Space Allocation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C544" w14:textId="092A353B" w:rsidR="002A193C" w:rsidRDefault="00D36729">
    <w:pPr>
      <w:pStyle w:val="Header"/>
      <w:jc w:val="left"/>
    </w:pPr>
    <w:r>
      <w:rPr>
        <w:noProof/>
        <w:lang w:eastAsia="en-AU"/>
      </w:rPr>
      <w:drawing>
        <wp:inline distT="0" distB="0" distL="0" distR="0" wp14:anchorId="75A7255D" wp14:editId="28514664">
          <wp:extent cx="2542599" cy="738943"/>
          <wp:effectExtent l="0" t="0" r="0" b="4445"/>
          <wp:docPr id="1" name="Picture 1"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E111DB8"/>
    <w:multiLevelType w:val="multilevel"/>
    <w:tmpl w:val="B95457A8"/>
    <w:numStyleLink w:val="Headinglist"/>
  </w:abstractNum>
  <w:abstractNum w:abstractNumId="2"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2037268471">
    <w:abstractNumId w:val="7"/>
  </w:num>
  <w:num w:numId="2" w16cid:durableId="1355770275">
    <w:abstractNumId w:val="8"/>
  </w:num>
  <w:num w:numId="3" w16cid:durableId="1882862685">
    <w:abstractNumId w:val="2"/>
  </w:num>
  <w:num w:numId="4" w16cid:durableId="286162399">
    <w:abstractNumId w:val="4"/>
  </w:num>
  <w:num w:numId="5" w16cid:durableId="1314989398">
    <w:abstractNumId w:val="6"/>
  </w:num>
  <w:num w:numId="6" w16cid:durableId="951480071">
    <w:abstractNumId w:val="3"/>
  </w:num>
  <w:num w:numId="7" w16cid:durableId="844629787">
    <w:abstractNumId w:val="2"/>
    <w:lvlOverride w:ilvl="0">
      <w:lvl w:ilvl="0">
        <w:start w:val="1"/>
        <w:numFmt w:val="decimal"/>
        <w:pStyle w:val="Heading2"/>
        <w:lvlText w:val="%1"/>
        <w:lvlJc w:val="left"/>
        <w:pPr>
          <w:ind w:left="720" w:hanging="720"/>
        </w:pPr>
      </w:lvl>
    </w:lvlOverride>
  </w:num>
  <w:num w:numId="8" w16cid:durableId="1698308952">
    <w:abstractNumId w:val="7"/>
  </w:num>
  <w:num w:numId="9" w16cid:durableId="547035718">
    <w:abstractNumId w:val="8"/>
  </w:num>
  <w:num w:numId="10" w16cid:durableId="1145393031">
    <w:abstractNumId w:val="0"/>
  </w:num>
  <w:num w:numId="11" w16cid:durableId="919363984">
    <w:abstractNumId w:val="5"/>
  </w:num>
  <w:num w:numId="12" w16cid:durableId="830946243">
    <w:abstractNumId w:val="1"/>
    <w:lvlOverride w:ilvl="0">
      <w:lvl w:ilvl="0">
        <w:start w:val="1"/>
        <w:numFmt w:val="decimal"/>
        <w:pStyle w:val="Heading2"/>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3" w16cid:durableId="18888338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74315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3278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17173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843116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92818713">
    <w:abstractNumId w:val="1"/>
  </w:num>
  <w:num w:numId="19" w16cid:durableId="1643193676">
    <w:abstractNumId w:val="8"/>
    <w:lvlOverride w:ilvl="0">
      <w:startOverride w:val="1"/>
      <w:lvl w:ilvl="0">
        <w:start w:val="1"/>
        <w:numFmt w:val="decimal"/>
        <w:pStyle w:val="ListNumber"/>
        <w:lvlText w:val="%1)"/>
        <w:lvlJc w:val="left"/>
        <w:pPr>
          <w:ind w:left="425" w:hanging="425"/>
        </w:pPr>
        <w:rPr>
          <w:rFonts w:hint="default"/>
          <w:color w:val="auto"/>
        </w:rPr>
      </w:lvl>
    </w:lvlOverride>
    <w:lvlOverride w:ilvl="1">
      <w:startOverride w:val="1"/>
      <w:lvl w:ilvl="1">
        <w:start w:val="1"/>
        <w:numFmt w:val="lowerLetter"/>
        <w:pStyle w:val="ListNumber2"/>
        <w:lvlText w:val="%2)"/>
        <w:lvlJc w:val="left"/>
        <w:pPr>
          <w:ind w:left="851" w:hanging="426"/>
        </w:pPr>
        <w:rPr>
          <w:rFonts w:hint="default"/>
        </w:rPr>
      </w:lvl>
    </w:lvlOverride>
    <w:lvlOverride w:ilvl="2">
      <w:startOverride w:val="1"/>
      <w:lvl w:ilvl="2">
        <w:start w:val="1"/>
        <w:numFmt w:val="lowerRoman"/>
        <w:pStyle w:val="ListNumber3"/>
        <w:lvlText w:val="%3)"/>
        <w:lvlJc w:val="left"/>
        <w:pPr>
          <w:ind w:left="1191" w:hanging="340"/>
        </w:pPr>
        <w:rPr>
          <w:rFonts w:hint="default"/>
        </w:rPr>
      </w:lvl>
    </w:lvlOverride>
    <w:lvlOverride w:ilvl="3">
      <w:startOverride w:val="1"/>
      <w:lvl w:ilvl="3">
        <w:start w:val="1"/>
        <w:numFmt w:val="decimal"/>
        <w:lvlText w:val="%4."/>
        <w:lvlJc w:val="left"/>
        <w:pPr>
          <w:ind w:left="1276" w:hanging="1276"/>
        </w:pPr>
        <w:rPr>
          <w:rFonts w:hint="default"/>
        </w:rPr>
      </w:lvl>
    </w:lvlOverride>
    <w:lvlOverride w:ilvl="4">
      <w:startOverride w:val="1"/>
      <w:lvl w:ilvl="4">
        <w:start w:val="1"/>
        <w:numFmt w:val="lowerLetter"/>
        <w:lvlText w:val="%5."/>
        <w:lvlJc w:val="left"/>
        <w:pPr>
          <w:ind w:left="567" w:hanging="567"/>
        </w:pPr>
        <w:rPr>
          <w:rFonts w:hint="default"/>
        </w:rPr>
      </w:lvl>
    </w:lvlOverride>
    <w:lvlOverride w:ilvl="5">
      <w:startOverride w:val="1"/>
      <w:lvl w:ilvl="5">
        <w:start w:val="1"/>
        <w:numFmt w:val="lowerRoman"/>
        <w:lvlText w:val="%6."/>
        <w:lvlJc w:val="righ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lowerLetter"/>
        <w:lvlText w:val="%8."/>
        <w:lvlJc w:val="left"/>
        <w:pPr>
          <w:ind w:left="567" w:hanging="567"/>
        </w:pPr>
        <w:rPr>
          <w:rFonts w:hint="default"/>
        </w:rPr>
      </w:lvl>
    </w:lvlOverride>
    <w:lvlOverride w:ilvl="8">
      <w:startOverride w:val="1"/>
      <w:lvl w:ilvl="8">
        <w:start w:val="1"/>
        <w:numFmt w:val="lowerRoman"/>
        <w:lvlText w:val="%9."/>
        <w:lvlJc w:val="right"/>
        <w:pPr>
          <w:ind w:left="567" w:hanging="567"/>
        </w:pPr>
        <w:rPr>
          <w:rFonts w:hint="default"/>
        </w:rPr>
      </w:lvl>
    </w:lvlOverride>
  </w:num>
  <w:num w:numId="20" w16cid:durableId="1607885319">
    <w:abstractNumId w:val="8"/>
    <w:lvlOverride w:ilvl="0">
      <w:startOverride w:val="1"/>
      <w:lvl w:ilvl="0">
        <w:start w:val="1"/>
        <w:numFmt w:val="decimal"/>
        <w:pStyle w:val="ListNumber"/>
        <w:lvlText w:val="%1)"/>
        <w:lvlJc w:val="left"/>
        <w:pPr>
          <w:ind w:left="425" w:hanging="425"/>
        </w:pPr>
        <w:rPr>
          <w:rFonts w:hint="default"/>
          <w:color w:val="auto"/>
        </w:rPr>
      </w:lvl>
    </w:lvlOverride>
    <w:lvlOverride w:ilvl="1">
      <w:startOverride w:val="1"/>
      <w:lvl w:ilvl="1">
        <w:start w:val="1"/>
        <w:numFmt w:val="lowerLetter"/>
        <w:pStyle w:val="ListNumber2"/>
        <w:lvlText w:val="%2)"/>
        <w:lvlJc w:val="left"/>
        <w:pPr>
          <w:ind w:left="851" w:hanging="426"/>
        </w:pPr>
        <w:rPr>
          <w:rFonts w:hint="default"/>
        </w:rPr>
      </w:lvl>
    </w:lvlOverride>
    <w:lvlOverride w:ilvl="2">
      <w:startOverride w:val="1"/>
      <w:lvl w:ilvl="2">
        <w:start w:val="1"/>
        <w:numFmt w:val="lowerRoman"/>
        <w:pStyle w:val="ListNumber3"/>
        <w:lvlText w:val="%3)"/>
        <w:lvlJc w:val="left"/>
        <w:pPr>
          <w:ind w:left="1191" w:hanging="340"/>
        </w:pPr>
        <w:rPr>
          <w:rFonts w:hint="default"/>
        </w:rPr>
      </w:lvl>
    </w:lvlOverride>
    <w:lvlOverride w:ilvl="3">
      <w:startOverride w:val="1"/>
      <w:lvl w:ilvl="3">
        <w:start w:val="1"/>
        <w:numFmt w:val="decimal"/>
        <w:lvlText w:val="%4."/>
        <w:lvlJc w:val="left"/>
        <w:pPr>
          <w:ind w:left="1276" w:hanging="1276"/>
        </w:pPr>
        <w:rPr>
          <w:rFonts w:hint="default"/>
        </w:rPr>
      </w:lvl>
    </w:lvlOverride>
    <w:lvlOverride w:ilvl="4">
      <w:startOverride w:val="1"/>
      <w:lvl w:ilvl="4">
        <w:start w:val="1"/>
        <w:numFmt w:val="lowerLetter"/>
        <w:lvlText w:val="%5."/>
        <w:lvlJc w:val="left"/>
        <w:pPr>
          <w:ind w:left="567" w:hanging="567"/>
        </w:pPr>
        <w:rPr>
          <w:rFonts w:hint="default"/>
        </w:rPr>
      </w:lvl>
    </w:lvlOverride>
    <w:lvlOverride w:ilvl="5">
      <w:startOverride w:val="1"/>
      <w:lvl w:ilvl="5">
        <w:start w:val="1"/>
        <w:numFmt w:val="lowerRoman"/>
        <w:lvlText w:val="%6."/>
        <w:lvlJc w:val="righ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lowerLetter"/>
        <w:lvlText w:val="%8."/>
        <w:lvlJc w:val="left"/>
        <w:pPr>
          <w:ind w:left="567" w:hanging="567"/>
        </w:pPr>
        <w:rPr>
          <w:rFonts w:hint="default"/>
        </w:rPr>
      </w:lvl>
    </w:lvlOverride>
    <w:lvlOverride w:ilvl="8">
      <w:startOverride w:val="1"/>
      <w:lvl w:ilvl="8">
        <w:start w:val="1"/>
        <w:numFmt w:val="lowerRoman"/>
        <w:lvlText w:val="%9."/>
        <w:lvlJc w:val="right"/>
        <w:pPr>
          <w:ind w:left="567" w:hanging="567"/>
        </w:pPr>
        <w:rPr>
          <w:rFonts w:hint="default"/>
        </w:rPr>
      </w:lvl>
    </w:lvlOverride>
  </w:num>
  <w:num w:numId="21" w16cid:durableId="1528525996">
    <w:abstractNumId w:val="8"/>
    <w:lvlOverride w:ilvl="0">
      <w:startOverride w:val="1"/>
      <w:lvl w:ilvl="0">
        <w:start w:val="1"/>
        <w:numFmt w:val="decimal"/>
        <w:pStyle w:val="ListNumber"/>
        <w:lvlText w:val="%1)"/>
        <w:lvlJc w:val="left"/>
        <w:pPr>
          <w:ind w:left="425" w:hanging="425"/>
        </w:pPr>
        <w:rPr>
          <w:rFonts w:hint="default"/>
          <w:color w:val="auto"/>
        </w:rPr>
      </w:lvl>
    </w:lvlOverride>
    <w:lvlOverride w:ilvl="1">
      <w:startOverride w:val="1"/>
      <w:lvl w:ilvl="1">
        <w:start w:val="1"/>
        <w:numFmt w:val="lowerLetter"/>
        <w:pStyle w:val="ListNumber2"/>
        <w:lvlText w:val="%2)"/>
        <w:lvlJc w:val="left"/>
        <w:pPr>
          <w:ind w:left="851" w:hanging="426"/>
        </w:pPr>
        <w:rPr>
          <w:rFonts w:hint="default"/>
        </w:rPr>
      </w:lvl>
    </w:lvlOverride>
    <w:lvlOverride w:ilvl="2">
      <w:startOverride w:val="1"/>
      <w:lvl w:ilvl="2">
        <w:start w:val="1"/>
        <w:numFmt w:val="lowerRoman"/>
        <w:pStyle w:val="ListNumber3"/>
        <w:lvlText w:val="%3)"/>
        <w:lvlJc w:val="left"/>
        <w:pPr>
          <w:ind w:left="1191" w:hanging="340"/>
        </w:pPr>
        <w:rPr>
          <w:rFonts w:hint="default"/>
        </w:rPr>
      </w:lvl>
    </w:lvlOverride>
    <w:lvlOverride w:ilvl="3">
      <w:startOverride w:val="1"/>
      <w:lvl w:ilvl="3">
        <w:start w:val="1"/>
        <w:numFmt w:val="decimal"/>
        <w:lvlText w:val="%4."/>
        <w:lvlJc w:val="left"/>
        <w:pPr>
          <w:ind w:left="1276" w:hanging="1276"/>
        </w:pPr>
        <w:rPr>
          <w:rFonts w:hint="default"/>
        </w:rPr>
      </w:lvl>
    </w:lvlOverride>
    <w:lvlOverride w:ilvl="4">
      <w:startOverride w:val="1"/>
      <w:lvl w:ilvl="4">
        <w:start w:val="1"/>
        <w:numFmt w:val="lowerLetter"/>
        <w:lvlText w:val="%5."/>
        <w:lvlJc w:val="left"/>
        <w:pPr>
          <w:ind w:left="567" w:hanging="567"/>
        </w:pPr>
        <w:rPr>
          <w:rFonts w:hint="default"/>
        </w:rPr>
      </w:lvl>
    </w:lvlOverride>
    <w:lvlOverride w:ilvl="5">
      <w:startOverride w:val="1"/>
      <w:lvl w:ilvl="5">
        <w:start w:val="1"/>
        <w:numFmt w:val="lowerRoman"/>
        <w:lvlText w:val="%6."/>
        <w:lvlJc w:val="righ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lowerLetter"/>
        <w:lvlText w:val="%8."/>
        <w:lvlJc w:val="left"/>
        <w:pPr>
          <w:ind w:left="567" w:hanging="567"/>
        </w:pPr>
        <w:rPr>
          <w:rFonts w:hint="default"/>
        </w:rPr>
      </w:lvl>
    </w:lvlOverride>
    <w:lvlOverride w:ilvl="8">
      <w:startOverride w:val="1"/>
      <w:lvl w:ilvl="8">
        <w:start w:val="1"/>
        <w:numFmt w:val="lowerRoman"/>
        <w:lvlText w:val="%9."/>
        <w:lvlJc w:val="right"/>
        <w:pPr>
          <w:ind w:left="567" w:hanging="567"/>
        </w:pPr>
        <w:rPr>
          <w:rFonts w:hint="default"/>
        </w:rPr>
      </w:lvl>
    </w:lvlOverride>
  </w:num>
  <w:num w:numId="22" w16cid:durableId="1595360786">
    <w:abstractNumId w:val="8"/>
    <w:lvlOverride w:ilvl="0">
      <w:startOverride w:val="1"/>
      <w:lvl w:ilvl="0">
        <w:start w:val="1"/>
        <w:numFmt w:val="decimal"/>
        <w:pStyle w:val="ListNumber"/>
        <w:lvlText w:val="%1)"/>
        <w:lvlJc w:val="left"/>
        <w:pPr>
          <w:ind w:left="425" w:hanging="425"/>
        </w:pPr>
        <w:rPr>
          <w:rFonts w:hint="default"/>
          <w:color w:val="auto"/>
        </w:rPr>
      </w:lvl>
    </w:lvlOverride>
    <w:lvlOverride w:ilvl="1">
      <w:startOverride w:val="1"/>
      <w:lvl w:ilvl="1">
        <w:start w:val="1"/>
        <w:numFmt w:val="lowerLetter"/>
        <w:pStyle w:val="ListNumber2"/>
        <w:lvlText w:val="%2)"/>
        <w:lvlJc w:val="left"/>
        <w:pPr>
          <w:ind w:left="851" w:hanging="426"/>
        </w:pPr>
        <w:rPr>
          <w:rFonts w:hint="default"/>
        </w:rPr>
      </w:lvl>
    </w:lvlOverride>
    <w:lvlOverride w:ilvl="2">
      <w:startOverride w:val="1"/>
      <w:lvl w:ilvl="2">
        <w:start w:val="1"/>
        <w:numFmt w:val="lowerRoman"/>
        <w:pStyle w:val="ListNumber3"/>
        <w:lvlText w:val="%3)"/>
        <w:lvlJc w:val="left"/>
        <w:pPr>
          <w:ind w:left="1191" w:hanging="340"/>
        </w:pPr>
        <w:rPr>
          <w:rFonts w:hint="default"/>
        </w:rPr>
      </w:lvl>
    </w:lvlOverride>
    <w:lvlOverride w:ilvl="3">
      <w:startOverride w:val="1"/>
      <w:lvl w:ilvl="3">
        <w:start w:val="1"/>
        <w:numFmt w:val="decimal"/>
        <w:lvlText w:val="%4."/>
        <w:lvlJc w:val="left"/>
        <w:pPr>
          <w:ind w:left="1276" w:hanging="1276"/>
        </w:pPr>
        <w:rPr>
          <w:rFonts w:hint="default"/>
        </w:rPr>
      </w:lvl>
    </w:lvlOverride>
    <w:lvlOverride w:ilvl="4">
      <w:startOverride w:val="1"/>
      <w:lvl w:ilvl="4">
        <w:start w:val="1"/>
        <w:numFmt w:val="lowerLetter"/>
        <w:lvlText w:val="%5."/>
        <w:lvlJc w:val="left"/>
        <w:pPr>
          <w:ind w:left="567" w:hanging="567"/>
        </w:pPr>
        <w:rPr>
          <w:rFonts w:hint="default"/>
        </w:rPr>
      </w:lvl>
    </w:lvlOverride>
    <w:lvlOverride w:ilvl="5">
      <w:startOverride w:val="1"/>
      <w:lvl w:ilvl="5">
        <w:start w:val="1"/>
        <w:numFmt w:val="lowerRoman"/>
        <w:lvlText w:val="%6."/>
        <w:lvlJc w:val="righ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lowerLetter"/>
        <w:lvlText w:val="%8."/>
        <w:lvlJc w:val="left"/>
        <w:pPr>
          <w:ind w:left="567" w:hanging="567"/>
        </w:pPr>
        <w:rPr>
          <w:rFonts w:hint="default"/>
        </w:rPr>
      </w:lvl>
    </w:lvlOverride>
    <w:lvlOverride w:ilvl="8">
      <w:startOverride w:val="1"/>
      <w:lvl w:ilvl="8">
        <w:start w:val="1"/>
        <w:numFmt w:val="lowerRoman"/>
        <w:lvlText w:val="%9."/>
        <w:lvlJc w:val="right"/>
        <w:pPr>
          <w:ind w:left="567" w:hanging="567"/>
        </w:pPr>
        <w:rPr>
          <w:rFonts w:hint="default"/>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8D3"/>
    <w:rsid w:val="00002232"/>
    <w:rsid w:val="0000774A"/>
    <w:rsid w:val="00045669"/>
    <w:rsid w:val="00045FBB"/>
    <w:rsid w:val="000516EF"/>
    <w:rsid w:val="00051F1B"/>
    <w:rsid w:val="00052502"/>
    <w:rsid w:val="0006523B"/>
    <w:rsid w:val="00065884"/>
    <w:rsid w:val="00076D02"/>
    <w:rsid w:val="00084104"/>
    <w:rsid w:val="000D0EBA"/>
    <w:rsid w:val="000D6DD8"/>
    <w:rsid w:val="000E27E1"/>
    <w:rsid w:val="000F44D4"/>
    <w:rsid w:val="001009E9"/>
    <w:rsid w:val="00107110"/>
    <w:rsid w:val="00112B86"/>
    <w:rsid w:val="00141C6B"/>
    <w:rsid w:val="001567E9"/>
    <w:rsid w:val="00166FD0"/>
    <w:rsid w:val="00167E90"/>
    <w:rsid w:val="00183612"/>
    <w:rsid w:val="001A1F79"/>
    <w:rsid w:val="001A5121"/>
    <w:rsid w:val="001B1009"/>
    <w:rsid w:val="001B169C"/>
    <w:rsid w:val="001C3583"/>
    <w:rsid w:val="001D0673"/>
    <w:rsid w:val="001D0C61"/>
    <w:rsid w:val="001D65A6"/>
    <w:rsid w:val="001D77BC"/>
    <w:rsid w:val="001E1C4C"/>
    <w:rsid w:val="001F191E"/>
    <w:rsid w:val="00201500"/>
    <w:rsid w:val="00225163"/>
    <w:rsid w:val="00225B54"/>
    <w:rsid w:val="00244E3F"/>
    <w:rsid w:val="00262394"/>
    <w:rsid w:val="002729B9"/>
    <w:rsid w:val="00274CA9"/>
    <w:rsid w:val="00283D8E"/>
    <w:rsid w:val="00284D83"/>
    <w:rsid w:val="002A193C"/>
    <w:rsid w:val="002B5890"/>
    <w:rsid w:val="00302DC1"/>
    <w:rsid w:val="00305911"/>
    <w:rsid w:val="003245B8"/>
    <w:rsid w:val="00340820"/>
    <w:rsid w:val="00350A60"/>
    <w:rsid w:val="00352C95"/>
    <w:rsid w:val="00357095"/>
    <w:rsid w:val="00362353"/>
    <w:rsid w:val="00381D23"/>
    <w:rsid w:val="00382F57"/>
    <w:rsid w:val="00393078"/>
    <w:rsid w:val="00396339"/>
    <w:rsid w:val="003A4B4A"/>
    <w:rsid w:val="003B0BE2"/>
    <w:rsid w:val="003B0F61"/>
    <w:rsid w:val="003B3EA2"/>
    <w:rsid w:val="003C193F"/>
    <w:rsid w:val="003D3CE1"/>
    <w:rsid w:val="003D44DC"/>
    <w:rsid w:val="003E6C71"/>
    <w:rsid w:val="003F5644"/>
    <w:rsid w:val="00402404"/>
    <w:rsid w:val="00405FF6"/>
    <w:rsid w:val="00406AC2"/>
    <w:rsid w:val="004101A0"/>
    <w:rsid w:val="00460750"/>
    <w:rsid w:val="004705F2"/>
    <w:rsid w:val="00473964"/>
    <w:rsid w:val="004837B1"/>
    <w:rsid w:val="0048569E"/>
    <w:rsid w:val="00486C20"/>
    <w:rsid w:val="00490E7F"/>
    <w:rsid w:val="0049445D"/>
    <w:rsid w:val="004A37E7"/>
    <w:rsid w:val="004B4AE8"/>
    <w:rsid w:val="004C3E8B"/>
    <w:rsid w:val="004C6362"/>
    <w:rsid w:val="004C6C47"/>
    <w:rsid w:val="004E1807"/>
    <w:rsid w:val="004E2076"/>
    <w:rsid w:val="004E7453"/>
    <w:rsid w:val="004F508D"/>
    <w:rsid w:val="00510375"/>
    <w:rsid w:val="00514819"/>
    <w:rsid w:val="00516152"/>
    <w:rsid w:val="00517F58"/>
    <w:rsid w:val="0053013E"/>
    <w:rsid w:val="0057635F"/>
    <w:rsid w:val="00581AFC"/>
    <w:rsid w:val="005C3735"/>
    <w:rsid w:val="005D0A13"/>
    <w:rsid w:val="005D24A5"/>
    <w:rsid w:val="005D349C"/>
    <w:rsid w:val="005E1469"/>
    <w:rsid w:val="005F0E4D"/>
    <w:rsid w:val="005F1CAE"/>
    <w:rsid w:val="00611DA7"/>
    <w:rsid w:val="00624823"/>
    <w:rsid w:val="006336BA"/>
    <w:rsid w:val="006416D4"/>
    <w:rsid w:val="006438AB"/>
    <w:rsid w:val="006714C7"/>
    <w:rsid w:val="0068625A"/>
    <w:rsid w:val="00693F77"/>
    <w:rsid w:val="006A3EA1"/>
    <w:rsid w:val="006B2BEF"/>
    <w:rsid w:val="006B4DEA"/>
    <w:rsid w:val="006B6A21"/>
    <w:rsid w:val="006B6D94"/>
    <w:rsid w:val="006F01BC"/>
    <w:rsid w:val="006F64C2"/>
    <w:rsid w:val="006F6FAF"/>
    <w:rsid w:val="007024DE"/>
    <w:rsid w:val="00710805"/>
    <w:rsid w:val="007214EE"/>
    <w:rsid w:val="007235DE"/>
    <w:rsid w:val="007405CB"/>
    <w:rsid w:val="00740A18"/>
    <w:rsid w:val="007417AF"/>
    <w:rsid w:val="00750758"/>
    <w:rsid w:val="0078030E"/>
    <w:rsid w:val="00791371"/>
    <w:rsid w:val="007A2933"/>
    <w:rsid w:val="007B1F92"/>
    <w:rsid w:val="007C56DE"/>
    <w:rsid w:val="007C5B94"/>
    <w:rsid w:val="007D4379"/>
    <w:rsid w:val="007E6823"/>
    <w:rsid w:val="007F19D1"/>
    <w:rsid w:val="00800877"/>
    <w:rsid w:val="0080647A"/>
    <w:rsid w:val="008153FE"/>
    <w:rsid w:val="0082249A"/>
    <w:rsid w:val="00833933"/>
    <w:rsid w:val="008612C9"/>
    <w:rsid w:val="00864FF6"/>
    <w:rsid w:val="008745BE"/>
    <w:rsid w:val="00881B6E"/>
    <w:rsid w:val="008A3190"/>
    <w:rsid w:val="008A535A"/>
    <w:rsid w:val="008B0192"/>
    <w:rsid w:val="008B71BF"/>
    <w:rsid w:val="008D00DB"/>
    <w:rsid w:val="008D1B48"/>
    <w:rsid w:val="008D35D2"/>
    <w:rsid w:val="008E5288"/>
    <w:rsid w:val="009059AE"/>
    <w:rsid w:val="00906AFB"/>
    <w:rsid w:val="0090774C"/>
    <w:rsid w:val="0092112D"/>
    <w:rsid w:val="00930ED7"/>
    <w:rsid w:val="009315C8"/>
    <w:rsid w:val="009503CB"/>
    <w:rsid w:val="009669C6"/>
    <w:rsid w:val="00966E1A"/>
    <w:rsid w:val="009679F4"/>
    <w:rsid w:val="00974E1B"/>
    <w:rsid w:val="00991227"/>
    <w:rsid w:val="009A0352"/>
    <w:rsid w:val="00A008D3"/>
    <w:rsid w:val="00A256A6"/>
    <w:rsid w:val="00A26D23"/>
    <w:rsid w:val="00A42038"/>
    <w:rsid w:val="00A813C8"/>
    <w:rsid w:val="00A9002C"/>
    <w:rsid w:val="00A90B18"/>
    <w:rsid w:val="00A93318"/>
    <w:rsid w:val="00AA2393"/>
    <w:rsid w:val="00AA70E3"/>
    <w:rsid w:val="00AB0FBE"/>
    <w:rsid w:val="00AE0617"/>
    <w:rsid w:val="00AF1EB9"/>
    <w:rsid w:val="00AF5211"/>
    <w:rsid w:val="00B01FB8"/>
    <w:rsid w:val="00B25BCD"/>
    <w:rsid w:val="00B35721"/>
    <w:rsid w:val="00B4109C"/>
    <w:rsid w:val="00B43A41"/>
    <w:rsid w:val="00B43A5F"/>
    <w:rsid w:val="00B5453F"/>
    <w:rsid w:val="00B86B38"/>
    <w:rsid w:val="00BA0AFF"/>
    <w:rsid w:val="00BA6470"/>
    <w:rsid w:val="00BB6ACE"/>
    <w:rsid w:val="00BC023F"/>
    <w:rsid w:val="00BC367C"/>
    <w:rsid w:val="00BC48AC"/>
    <w:rsid w:val="00BC683C"/>
    <w:rsid w:val="00BC6BA3"/>
    <w:rsid w:val="00BD2275"/>
    <w:rsid w:val="00BD5DB0"/>
    <w:rsid w:val="00BE3F01"/>
    <w:rsid w:val="00C0060B"/>
    <w:rsid w:val="00C00AAC"/>
    <w:rsid w:val="00C05EA8"/>
    <w:rsid w:val="00C06619"/>
    <w:rsid w:val="00C1014D"/>
    <w:rsid w:val="00C25CAC"/>
    <w:rsid w:val="00C408B2"/>
    <w:rsid w:val="00C47DE5"/>
    <w:rsid w:val="00C51E35"/>
    <w:rsid w:val="00C55AEC"/>
    <w:rsid w:val="00C759F8"/>
    <w:rsid w:val="00C9087B"/>
    <w:rsid w:val="00CA2973"/>
    <w:rsid w:val="00CA2985"/>
    <w:rsid w:val="00CD1D43"/>
    <w:rsid w:val="00CE1D0F"/>
    <w:rsid w:val="00D06356"/>
    <w:rsid w:val="00D15F53"/>
    <w:rsid w:val="00D17BA6"/>
    <w:rsid w:val="00D23CDC"/>
    <w:rsid w:val="00D269A8"/>
    <w:rsid w:val="00D35668"/>
    <w:rsid w:val="00D36729"/>
    <w:rsid w:val="00D45274"/>
    <w:rsid w:val="00D45E0E"/>
    <w:rsid w:val="00D5662D"/>
    <w:rsid w:val="00D5711A"/>
    <w:rsid w:val="00D577AD"/>
    <w:rsid w:val="00D666DC"/>
    <w:rsid w:val="00D912A7"/>
    <w:rsid w:val="00DB75A3"/>
    <w:rsid w:val="00DB78AB"/>
    <w:rsid w:val="00DC4E40"/>
    <w:rsid w:val="00DC7F2D"/>
    <w:rsid w:val="00DE4ED9"/>
    <w:rsid w:val="00E05D92"/>
    <w:rsid w:val="00E362EF"/>
    <w:rsid w:val="00E4158E"/>
    <w:rsid w:val="00E451CF"/>
    <w:rsid w:val="00E644A2"/>
    <w:rsid w:val="00E732BE"/>
    <w:rsid w:val="00E737E2"/>
    <w:rsid w:val="00E74B1E"/>
    <w:rsid w:val="00E96E54"/>
    <w:rsid w:val="00EA1E92"/>
    <w:rsid w:val="00EA33E4"/>
    <w:rsid w:val="00EB57C7"/>
    <w:rsid w:val="00EC2D80"/>
    <w:rsid w:val="00EC3402"/>
    <w:rsid w:val="00EC49B8"/>
    <w:rsid w:val="00ED5807"/>
    <w:rsid w:val="00EE009C"/>
    <w:rsid w:val="00EF448B"/>
    <w:rsid w:val="00F07C4F"/>
    <w:rsid w:val="00F22DE1"/>
    <w:rsid w:val="00F35EE8"/>
    <w:rsid w:val="00F54C4E"/>
    <w:rsid w:val="00F65DFD"/>
    <w:rsid w:val="00F74521"/>
    <w:rsid w:val="00F90D42"/>
    <w:rsid w:val="00FA6881"/>
    <w:rsid w:val="00FB088E"/>
    <w:rsid w:val="00FB6115"/>
    <w:rsid w:val="00FB6230"/>
    <w:rsid w:val="00FB67A8"/>
    <w:rsid w:val="00FD02E2"/>
    <w:rsid w:val="00FD117D"/>
    <w:rsid w:val="00FF75F6"/>
    <w:rsid w:val="03392F82"/>
    <w:rsid w:val="247F79F0"/>
    <w:rsid w:val="2552BE78"/>
    <w:rsid w:val="38B65162"/>
    <w:rsid w:val="3E0C287F"/>
    <w:rsid w:val="46F239A1"/>
    <w:rsid w:val="60918CD5"/>
    <w:rsid w:val="6C34F109"/>
    <w:rsid w:val="70F9E9DC"/>
    <w:rsid w:val="72F86C15"/>
    <w:rsid w:val="761F03D6"/>
    <w:rsid w:val="78AA4D2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D908F"/>
  <w15:docId w15:val="{3A6A661F-E39C-43B3-B9EC-8E0D66B6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18"/>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18"/>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18"/>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8"/>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8"/>
      </w:numPr>
      <w:spacing w:before="120" w:after="120"/>
      <w:contextualSpacing/>
    </w:pPr>
  </w:style>
  <w:style w:type="paragraph" w:styleId="ListNumber">
    <w:name w:val="List Number"/>
    <w:basedOn w:val="Normal"/>
    <w:uiPriority w:val="9"/>
    <w:qFormat/>
    <w:rsid w:val="00BB6ACE"/>
    <w:pPr>
      <w:numPr>
        <w:numId w:val="2"/>
      </w:numPr>
      <w:tabs>
        <w:tab w:val="left" w:pos="142"/>
      </w:tabs>
      <w:spacing w:before="120" w:after="120"/>
    </w:pPr>
  </w:style>
  <w:style w:type="paragraph" w:styleId="ListNumber2">
    <w:name w:val="List Number 2"/>
    <w:uiPriority w:val="10"/>
    <w:qFormat/>
    <w:rsid w:val="00BB6ACE"/>
    <w:pPr>
      <w:numPr>
        <w:ilvl w:val="1"/>
        <w:numId w:val="9"/>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BB6ACE"/>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99"/>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6"/>
      </w:numPr>
      <w:ind w:left="357" w:hanging="357"/>
    </w:pPr>
  </w:style>
  <w:style w:type="paragraph" w:customStyle="1" w:styleId="TableBullet1">
    <w:name w:val="Table Bullet 1"/>
    <w:basedOn w:val="TableText"/>
    <w:uiPriority w:val="15"/>
    <w:qFormat/>
    <w:rsid w:val="003D3CE1"/>
    <w:pPr>
      <w:numPr>
        <w:numId w:val="5"/>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8"/>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E1C4C"/>
    <w:pPr>
      <w:numPr>
        <w:numId w:val="11"/>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10"/>
      </w:numPr>
      <w:tabs>
        <w:tab w:val="num" w:pos="462"/>
      </w:tabs>
      <w:ind w:left="604" w:hanging="445"/>
    </w:pPr>
  </w:style>
  <w:style w:type="numbering" w:customStyle="1" w:styleId="TableBulletlist">
    <w:name w:val="Table Bullet list"/>
    <w:uiPriority w:val="99"/>
    <w:rsid w:val="00BB6ACE"/>
    <w:pPr>
      <w:numPr>
        <w:numId w:val="4"/>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table" w:styleId="TableGrid">
    <w:name w:val="Table Grid"/>
    <w:basedOn w:val="TableNormal"/>
    <w:uiPriority w:val="59"/>
    <w:rsid w:val="00A008D3"/>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45B8"/>
    <w:rPr>
      <w:rFonts w:asciiTheme="minorHAnsi" w:eastAsiaTheme="minorHAnsi" w:hAnsiTheme="minorHAnsi" w:cstheme="minorBidi"/>
      <w:sz w:val="22"/>
      <w:szCs w:val="22"/>
      <w:lang w:eastAsia="en-US"/>
    </w:rPr>
  </w:style>
  <w:style w:type="character" w:styleId="Mention">
    <w:name w:val="Mention"/>
    <w:basedOn w:val="DefaultParagraphFont"/>
    <w:uiPriority w:val="99"/>
    <w:unhideWhenUsed/>
    <w:rsid w:val="00FA68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export/controlled-goods/live-animals/livestock/regulating-live-animal-export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griculture.gov.au/biosecurity-trade/export/controlled-goods/live-animals/livestock/exporters/approved-arrangemen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export/controlled-goods/live-animals/livestock/australian-standards-livestoc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www.w3.org/XML/1998/namespace"/>
    <ds:schemaRef ds:uri="6183d753-4e0d-4b8c-8e8c-dbc502d82832"/>
    <ds:schemaRef ds:uri="http://schemas.microsoft.com/office/2006/metadata/properties"/>
    <ds:schemaRef ds:uri="http://purl.org/dc/terms/"/>
    <ds:schemaRef ds:uri="http://schemas.openxmlformats.org/package/2006/metadata/core-properties"/>
    <ds:schemaRef ds:uri="http://schemas.microsoft.com/office/2006/documentManagement/types"/>
    <ds:schemaRef ds:uri="0802b75a-89d5-408b-90bd-96b3a6bc3894"/>
    <ds:schemaRef ds:uri="http://purl.org/dc/dcmityp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30D11A29-A011-489D-8A6F-18CB2A26218C}"/>
</file>

<file path=customXml/itemProps4.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0</TotalTime>
  <Pages>4</Pages>
  <Words>1414</Words>
  <Characters>7627</Characters>
  <Application>Microsoft Office Word</Application>
  <DocSecurity>4</DocSecurity>
  <Lines>157</Lines>
  <Paragraphs>79</Paragraphs>
  <ScaleCrop>false</ScaleCrop>
  <HeadingPairs>
    <vt:vector size="2" baseType="variant">
      <vt:variant>
        <vt:lpstr>Title</vt:lpstr>
      </vt:variant>
      <vt:variant>
        <vt:i4>1</vt:i4>
      </vt:variant>
    </vt:vector>
  </HeadingPairs>
  <TitlesOfParts>
    <vt:vector size="1" baseType="lpstr">
      <vt:lpstr>Short document template</vt:lpstr>
    </vt:vector>
  </TitlesOfParts>
  <Company/>
  <LinksUpToDate>false</LinksUpToDate>
  <CharactersWithSpaces>8999</CharactersWithSpaces>
  <SharedDoc>false</SharedDoc>
  <HLinks>
    <vt:vector size="42" baseType="variant">
      <vt:variant>
        <vt:i4>2293878</vt:i4>
      </vt:variant>
      <vt:variant>
        <vt:i4>27</vt:i4>
      </vt:variant>
      <vt:variant>
        <vt:i4>0</vt:i4>
      </vt:variant>
      <vt:variant>
        <vt:i4>5</vt:i4>
      </vt:variant>
      <vt:variant>
        <vt:lpwstr>https://www.agriculture.gov.au/biosecurity-trade/export/controlled-goods/live-animals/livestock/australian-standards-livestock</vt:lpwstr>
      </vt:variant>
      <vt:variant>
        <vt:lpwstr/>
      </vt:variant>
      <vt:variant>
        <vt:i4>7143546</vt:i4>
      </vt:variant>
      <vt:variant>
        <vt:i4>24</vt:i4>
      </vt:variant>
      <vt:variant>
        <vt:i4>0</vt:i4>
      </vt:variant>
      <vt:variant>
        <vt:i4>5</vt:i4>
      </vt:variant>
      <vt:variant>
        <vt:lpwstr>https://www.agriculture.gov.au/biosecurity-trade/export/controlled-goods/live-animals/livestock/regulating-live-animal-exports</vt:lpwstr>
      </vt:variant>
      <vt:variant>
        <vt:lpwstr/>
      </vt:variant>
      <vt:variant>
        <vt:i4>6357028</vt:i4>
      </vt:variant>
      <vt:variant>
        <vt:i4>21</vt:i4>
      </vt:variant>
      <vt:variant>
        <vt:i4>0</vt:i4>
      </vt:variant>
      <vt:variant>
        <vt:i4>5</vt:i4>
      </vt:variant>
      <vt:variant>
        <vt:lpwstr>https://www.agriculture.gov.au/export/controlled-goods/live-animals/livestock/information-exporters-industry/approved-arrangements</vt:lpwstr>
      </vt:variant>
      <vt:variant>
        <vt:lpwstr/>
      </vt:variant>
      <vt:variant>
        <vt:i4>3866668</vt:i4>
      </vt:variant>
      <vt:variant>
        <vt:i4>12</vt:i4>
      </vt:variant>
      <vt:variant>
        <vt:i4>0</vt:i4>
      </vt:variant>
      <vt:variant>
        <vt:i4>5</vt:i4>
      </vt:variant>
      <vt:variant>
        <vt:lpwstr/>
      </vt:variant>
      <vt:variant>
        <vt:lpwstr>_Access_criteria</vt:lpwstr>
      </vt:variant>
      <vt:variant>
        <vt:i4>262156</vt:i4>
      </vt:variant>
      <vt:variant>
        <vt:i4>6</vt:i4>
      </vt:variant>
      <vt:variant>
        <vt:i4>0</vt:i4>
      </vt:variant>
      <vt:variant>
        <vt:i4>5</vt:i4>
      </vt:variant>
      <vt:variant>
        <vt:lpwstr/>
      </vt:variant>
      <vt:variant>
        <vt:lpwstr>_Related_material</vt:lpwstr>
      </vt:variant>
      <vt:variant>
        <vt:i4>7929903</vt:i4>
      </vt:variant>
      <vt:variant>
        <vt:i4>3</vt:i4>
      </vt:variant>
      <vt:variant>
        <vt:i4>0</vt:i4>
      </vt:variant>
      <vt:variant>
        <vt:i4>5</vt:i4>
      </vt:variant>
      <vt:variant>
        <vt:lpwstr>https://www.agriculture.gov.au/biosecurity-trade/export/controlled-goods/live-animals/livestock/exporters/approved-arrangements</vt:lpwstr>
      </vt:variant>
      <vt:variant>
        <vt:lpwstr/>
      </vt:variant>
      <vt:variant>
        <vt:i4>2293878</vt:i4>
      </vt:variant>
      <vt:variant>
        <vt:i4>0</vt:i4>
      </vt:variant>
      <vt:variant>
        <vt:i4>0</vt:i4>
      </vt:variant>
      <vt:variant>
        <vt:i4>5</vt:i4>
      </vt:variant>
      <vt:variant>
        <vt:lpwstr>https://www.agriculture.gov.au/biosecurity-trade/export/controlled-goods/live-animals/livestock/australian-standards-livestock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document template</dc:title>
  <dc:subject/>
  <dc:creator>Department of Agriculture, Fisheries adn Forestry</dc:creator>
  <cp:keywords/>
  <cp:lastModifiedBy>Byrnes, Sonia</cp:lastModifiedBy>
  <cp:revision>2</cp:revision>
  <cp:lastPrinted>2019-02-13T02:42:00Z</cp:lastPrinted>
  <dcterms:created xsi:type="dcterms:W3CDTF">2023-09-18T05:56:00Z</dcterms:created>
  <dcterms:modified xsi:type="dcterms:W3CDTF">2023-09-18T05:56:00Z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0x010100B1C13521109B5C4E813EED5B4CD35FE8</vt:lpwstr>
  </property>
  <property fmtid="{D5CDD505-2E9C-101B-9397-08002B2CF9AE}" pid="3" name="_DocHome">
    <vt:i4>986778056</vt:i4>
  </property>
</Properties>
</file>