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556B" w14:textId="54254274" w:rsidR="00CB4778" w:rsidRPr="007B31C4" w:rsidRDefault="00D9290F" w:rsidP="002D1713">
      <w:pPr>
        <w:pStyle w:val="Title"/>
      </w:pPr>
      <w:r w:rsidRPr="007B31C4">
        <w:t xml:space="preserve">Ammonia </w:t>
      </w:r>
      <w:r w:rsidR="00DC2A5F">
        <w:t>in Surface Water</w:t>
      </w:r>
      <w:r w:rsidR="00F66AF8">
        <w:t xml:space="preserve"> </w:t>
      </w:r>
      <w:r w:rsidR="00262FFF">
        <w:t>—</w:t>
      </w:r>
      <w:r w:rsidR="00F66AF8">
        <w:t xml:space="preserve"> </w:t>
      </w:r>
      <w:r w:rsidR="00BD576E" w:rsidRPr="007B31C4">
        <w:t>R</w:t>
      </w:r>
      <w:r w:rsidR="004911D3" w:rsidRPr="007B31C4">
        <w:t xml:space="preserve">ehabilitation </w:t>
      </w:r>
      <w:r w:rsidR="00BD576E" w:rsidRPr="007B31C4">
        <w:t>S</w:t>
      </w:r>
      <w:r w:rsidR="004911D3" w:rsidRPr="007B31C4">
        <w:t>tandard for the Ranger uranium mine</w:t>
      </w:r>
    </w:p>
    <w:p w14:paraId="5FD8AD4E" w14:textId="68D85392" w:rsidR="00C2584B" w:rsidRPr="007B31C4" w:rsidRDefault="0057031C" w:rsidP="002D1713">
      <w:pPr>
        <w:pStyle w:val="Subtitle"/>
        <w:jc w:val="both"/>
      </w:pPr>
      <w:r w:rsidRPr="002B25EE">
        <w:t>Water and sediment theme</w:t>
      </w:r>
    </w:p>
    <w:p w14:paraId="167D7576" w14:textId="542C1ECC" w:rsidR="001D3EA8" w:rsidRPr="007B31C4" w:rsidRDefault="001D3EA8" w:rsidP="00AF1583">
      <w:pPr>
        <w:pStyle w:val="Heading1"/>
        <w:numPr>
          <w:ilvl w:val="0"/>
          <w:numId w:val="0"/>
        </w:numPr>
        <w:tabs>
          <w:tab w:val="left" w:pos="6256"/>
        </w:tabs>
        <w:jc w:val="both"/>
      </w:pPr>
      <w:r w:rsidRPr="007B31C4">
        <w:t>Preface</w:t>
      </w:r>
    </w:p>
    <w:p w14:paraId="660FE776" w14:textId="5E6E77C1" w:rsidR="00F204C4" w:rsidRPr="007B31C4" w:rsidRDefault="00F204C4" w:rsidP="002D1713">
      <w:pPr>
        <w:jc w:val="both"/>
      </w:pPr>
      <w:bookmarkStart w:id="0" w:name="_Hlk518203840"/>
      <w:r w:rsidRPr="007B31C4">
        <w:t>The Supervising Scientist</w:t>
      </w:r>
      <w:r w:rsidR="006C752E" w:rsidRPr="007B31C4">
        <w:t xml:space="preserve"> </w:t>
      </w:r>
      <w:r w:rsidR="009809E4" w:rsidRPr="007B31C4">
        <w:t xml:space="preserve">developed </w:t>
      </w:r>
      <w:r w:rsidR="009F393B">
        <w:t>this</w:t>
      </w:r>
      <w:r w:rsidR="00BD576E" w:rsidRPr="007B31C4">
        <w:t xml:space="preserve"> </w:t>
      </w:r>
      <w:r w:rsidR="002D1713" w:rsidRPr="007B31C4">
        <w:t>Rehabilitation Standard</w:t>
      </w:r>
      <w:r w:rsidRPr="007B31C4">
        <w:t xml:space="preserve"> to describe the requirements </w:t>
      </w:r>
      <w:r w:rsidR="00DE7221" w:rsidRPr="007B31C4">
        <w:t>to protect</w:t>
      </w:r>
      <w:r w:rsidRPr="007B31C4">
        <w:t xml:space="preserve"> aquatic ecosystems outside of the Ranger Project Area in </w:t>
      </w:r>
      <w:r w:rsidR="00992EAA" w:rsidRPr="007B31C4">
        <w:t xml:space="preserve">the Alligator Rivers Region of </w:t>
      </w:r>
      <w:r w:rsidR="00C74744">
        <w:t>the Northern Territory from the effects of ammonia in surface water.</w:t>
      </w:r>
    </w:p>
    <w:bookmarkEnd w:id="0"/>
    <w:p w14:paraId="0B2F9188" w14:textId="307664BB" w:rsidR="0033128E" w:rsidRDefault="0057031C" w:rsidP="002D1713">
      <w:pPr>
        <w:jc w:val="both"/>
      </w:pPr>
      <w:r w:rsidRPr="007B31C4">
        <w:t>This document is part of a series of Rehabilitation Standards for the Ranger uranium</w:t>
      </w:r>
      <w:r>
        <w:t xml:space="preserve"> </w:t>
      </w:r>
      <w:r w:rsidRPr="007B31C4">
        <w:t xml:space="preserve">mine. </w:t>
      </w:r>
      <w:r w:rsidRPr="002B25EE">
        <w:t>It may be updated as additional relevant knowledge becomes available.</w:t>
      </w:r>
    </w:p>
    <w:p w14:paraId="33E5547E" w14:textId="77777777" w:rsidR="00F10811" w:rsidRDefault="00F10811" w:rsidP="00F10811">
      <w:pPr>
        <w:rPr>
          <w:i/>
          <w:iCs/>
        </w:rPr>
      </w:pPr>
      <w:r w:rsidRPr="00F10811">
        <w:rPr>
          <w:i/>
          <w:iCs/>
        </w:rPr>
        <w:t>This Standard should be cited as follows:</w:t>
      </w:r>
      <w:r>
        <w:rPr>
          <w:i/>
          <w:iCs/>
        </w:rPr>
        <w:t xml:space="preserve"> </w:t>
      </w:r>
    </w:p>
    <w:p w14:paraId="4C921647" w14:textId="7F7A7336" w:rsidR="00F10811" w:rsidRPr="00F10811" w:rsidRDefault="00F10811" w:rsidP="00F10811">
      <w:pPr>
        <w:rPr>
          <w:rFonts w:ascii="Garamond" w:hAnsi="Garamond"/>
          <w:i/>
          <w:iCs/>
        </w:rPr>
      </w:pPr>
      <w:r>
        <w:t>S</w:t>
      </w:r>
      <w:r w:rsidRPr="00F10811">
        <w:t xml:space="preserve">upervising Scientist </w:t>
      </w:r>
      <w:r w:rsidRPr="004409A0">
        <w:t>20</w:t>
      </w:r>
      <w:r w:rsidR="004409A0" w:rsidRPr="004409A0">
        <w:t>21</w:t>
      </w:r>
      <w:r w:rsidRPr="004409A0">
        <w:t xml:space="preserve">. Ammonia in Surface Water — Rehabilitation Standard for the Ranger uranium mine (version </w:t>
      </w:r>
      <w:r w:rsidR="00C44023">
        <w:t>1.1</w:t>
      </w:r>
      <w:r w:rsidRPr="00F10811">
        <w:t xml:space="preserve">). Supervising Scientist Branch, Darwin, NT. </w:t>
      </w:r>
      <w:hyperlink r:id="rId7" w:history="1">
        <w:r w:rsidRPr="00F10811">
          <w:rPr>
            <w:rStyle w:val="Hyperlink"/>
          </w:rPr>
          <w:t>http://www.environment.gov.au/science/supervising-scientist/publications/ss-rehabilitation-standards</w:t>
        </w:r>
      </w:hyperlink>
      <w:r w:rsidRPr="00F10811">
        <w:t>. Cited [Date].</w:t>
      </w:r>
    </w:p>
    <w:p w14:paraId="3AEEC4F4" w14:textId="77777777" w:rsidR="00AB0FD3" w:rsidRPr="007B31C4" w:rsidRDefault="0069271F" w:rsidP="002D1713">
      <w:pPr>
        <w:pStyle w:val="Heading1"/>
        <w:jc w:val="both"/>
      </w:pPr>
      <w:r w:rsidRPr="007B31C4">
        <w:t>General elements</w:t>
      </w:r>
    </w:p>
    <w:p w14:paraId="7506A778" w14:textId="77777777" w:rsidR="007D19D1" w:rsidRPr="007B31C4" w:rsidRDefault="007D19D1" w:rsidP="002D1713">
      <w:pPr>
        <w:pStyle w:val="Heading2"/>
        <w:jc w:val="both"/>
      </w:pPr>
      <w:r w:rsidRPr="007B31C4">
        <w:t>Scope</w:t>
      </w:r>
    </w:p>
    <w:p w14:paraId="1B5396D7" w14:textId="1CCB013B" w:rsidR="007022CE" w:rsidRPr="007B31C4" w:rsidRDefault="007B2AB1" w:rsidP="002D1713">
      <w:pPr>
        <w:jc w:val="both"/>
        <w:rPr>
          <w:iCs/>
          <w:szCs w:val="22"/>
        </w:rPr>
      </w:pPr>
      <w:r w:rsidRPr="007B31C4">
        <w:fldChar w:fldCharType="begin"/>
      </w:r>
      <w:r w:rsidR="009B5A35" w:rsidRPr="007B31C4">
        <w:instrText xml:space="preserve"> STYLEREF 1 \s </w:instrText>
      </w:r>
      <w:r w:rsidRPr="007B31C4">
        <w:fldChar w:fldCharType="separate"/>
      </w:r>
      <w:r w:rsidR="009468E1">
        <w:rPr>
          <w:noProof/>
        </w:rPr>
        <w:t>1</w:t>
      </w:r>
      <w:r w:rsidRPr="007B31C4">
        <w:fldChar w:fldCharType="end"/>
      </w:r>
      <w:r w:rsidR="009B5A35" w:rsidRPr="007B31C4">
        <w:t>.</w:t>
      </w:r>
      <w:r w:rsidRPr="007B31C4">
        <w:fldChar w:fldCharType="begin"/>
      </w:r>
      <w:r w:rsidR="009B5A35" w:rsidRPr="007B31C4">
        <w:instrText xml:space="preserve"> SEQ Clause \* ARABIC \s 1 </w:instrText>
      </w:r>
      <w:r w:rsidRPr="007B31C4">
        <w:fldChar w:fldCharType="separate"/>
      </w:r>
      <w:r w:rsidR="009468E1">
        <w:rPr>
          <w:noProof/>
        </w:rPr>
        <w:t>1</w:t>
      </w:r>
      <w:r w:rsidRPr="007B31C4">
        <w:fldChar w:fldCharType="end"/>
      </w:r>
      <w:r w:rsidR="001D64C0" w:rsidRPr="007B31C4">
        <w:t xml:space="preserve"> </w:t>
      </w:r>
      <w:r w:rsidR="00BD576E" w:rsidRPr="007B31C4">
        <w:rPr>
          <w:szCs w:val="22"/>
        </w:rPr>
        <w:t xml:space="preserve">The Rehabilitation Standards </w:t>
      </w:r>
      <w:r w:rsidR="00A14479" w:rsidRPr="007B31C4">
        <w:rPr>
          <w:szCs w:val="22"/>
        </w:rPr>
        <w:t xml:space="preserve">for </w:t>
      </w:r>
      <w:r w:rsidR="00642304" w:rsidRPr="007B31C4">
        <w:rPr>
          <w:szCs w:val="22"/>
        </w:rPr>
        <w:t xml:space="preserve">the </w:t>
      </w:r>
      <w:r w:rsidR="007A384D" w:rsidRPr="007B31C4">
        <w:rPr>
          <w:szCs w:val="22"/>
        </w:rPr>
        <w:t xml:space="preserve">Ranger uranium mine </w:t>
      </w:r>
      <w:r w:rsidR="00BD576E" w:rsidRPr="007B31C4">
        <w:rPr>
          <w:szCs w:val="22"/>
        </w:rPr>
        <w:t>have been developed</w:t>
      </w:r>
      <w:r w:rsidR="00143C0E" w:rsidRPr="007B31C4">
        <w:rPr>
          <w:szCs w:val="22"/>
        </w:rPr>
        <w:t xml:space="preserve"> </w:t>
      </w:r>
      <w:r w:rsidR="00BD576E" w:rsidRPr="007B31C4">
        <w:rPr>
          <w:szCs w:val="22"/>
        </w:rPr>
        <w:t>in accordance with section</w:t>
      </w:r>
      <w:r w:rsidR="007022CE" w:rsidRPr="007B31C4">
        <w:rPr>
          <w:szCs w:val="22"/>
        </w:rPr>
        <w:t> </w:t>
      </w:r>
      <w:r w:rsidR="00BD576E" w:rsidRPr="007B31C4">
        <w:rPr>
          <w:szCs w:val="22"/>
        </w:rPr>
        <w:t xml:space="preserve">5c of the </w:t>
      </w:r>
      <w:r w:rsidR="00BD576E" w:rsidRPr="007B31C4">
        <w:rPr>
          <w:i/>
          <w:szCs w:val="22"/>
        </w:rPr>
        <w:t xml:space="preserve">Environment Protection (Alligator Rivers Region) Act 1978 </w:t>
      </w:r>
      <w:r w:rsidR="00BD576E" w:rsidRPr="007B31C4">
        <w:rPr>
          <w:szCs w:val="22"/>
        </w:rPr>
        <w:t>and are advisory only.</w:t>
      </w:r>
    </w:p>
    <w:p w14:paraId="70CE6D7A" w14:textId="3CBE7166" w:rsidR="007E5F8F" w:rsidRPr="007B31C4" w:rsidRDefault="007B2AB1" w:rsidP="002D1713">
      <w:pPr>
        <w:jc w:val="both"/>
      </w:pPr>
      <w:r w:rsidRPr="007B31C4">
        <w:fldChar w:fldCharType="begin"/>
      </w:r>
      <w:r w:rsidR="009B5A35" w:rsidRPr="007B31C4">
        <w:instrText xml:space="preserve"> STYLEREF 1 \s </w:instrText>
      </w:r>
      <w:r w:rsidRPr="007B31C4">
        <w:fldChar w:fldCharType="separate"/>
      </w:r>
      <w:r w:rsidR="009468E1">
        <w:rPr>
          <w:noProof/>
        </w:rPr>
        <w:t>1</w:t>
      </w:r>
      <w:r w:rsidRPr="007B31C4">
        <w:fldChar w:fldCharType="end"/>
      </w:r>
      <w:r w:rsidR="009B5A35" w:rsidRPr="007B31C4">
        <w:t>.</w:t>
      </w:r>
      <w:r w:rsidRPr="007B31C4">
        <w:fldChar w:fldCharType="begin"/>
      </w:r>
      <w:r w:rsidR="009B5A35" w:rsidRPr="007B31C4">
        <w:instrText xml:space="preserve"> SEQ Clause \* ARABIC \s 1 </w:instrText>
      </w:r>
      <w:r w:rsidRPr="007B31C4">
        <w:fldChar w:fldCharType="separate"/>
      </w:r>
      <w:r w:rsidR="009468E1">
        <w:rPr>
          <w:noProof/>
        </w:rPr>
        <w:t>2</w:t>
      </w:r>
      <w:r w:rsidRPr="007B31C4">
        <w:fldChar w:fldCharType="end"/>
      </w:r>
      <w:r w:rsidR="009B5A35" w:rsidRPr="007B31C4">
        <w:t xml:space="preserve"> </w:t>
      </w:r>
      <w:r w:rsidR="007022CE" w:rsidRPr="007B31C4">
        <w:t>The</w:t>
      </w:r>
      <w:r w:rsidR="00897FAF" w:rsidRPr="007B31C4">
        <w:t xml:space="preserve"> </w:t>
      </w:r>
      <w:r w:rsidR="00176598" w:rsidRPr="007B31C4">
        <w:rPr>
          <w:rStyle w:val="Emphasis"/>
        </w:rPr>
        <w:t>Environmental r</w:t>
      </w:r>
      <w:r w:rsidR="007022CE" w:rsidRPr="007B31C4">
        <w:rPr>
          <w:rStyle w:val="Emphasis"/>
        </w:rPr>
        <w:t>equirements of the Com</w:t>
      </w:r>
      <w:r w:rsidR="00176598" w:rsidRPr="007B31C4">
        <w:rPr>
          <w:rStyle w:val="Emphasis"/>
        </w:rPr>
        <w:t>monwealth of Australia for the operation of the Ranger uranium m</w:t>
      </w:r>
      <w:r w:rsidR="007022CE" w:rsidRPr="007B31C4">
        <w:rPr>
          <w:rStyle w:val="Emphasis"/>
        </w:rPr>
        <w:t>ine</w:t>
      </w:r>
      <w:r w:rsidR="007022CE" w:rsidRPr="007B31C4">
        <w:t xml:space="preserve"> </w:t>
      </w:r>
      <w:r w:rsidR="00897FAF" w:rsidRPr="007B31C4">
        <w:t>(</w:t>
      </w:r>
      <w:r w:rsidR="007022CE" w:rsidRPr="007B31C4">
        <w:t>Environmental Requirements)</w:t>
      </w:r>
      <w:r w:rsidR="00AC1807" w:rsidRPr="007B31C4">
        <w:t xml:space="preserve"> (Australian Government 1999)</w:t>
      </w:r>
      <w:r w:rsidR="007022CE" w:rsidRPr="007B31C4">
        <w:t xml:space="preserve"> specify the environmental objectives for the rehabilitation</w:t>
      </w:r>
      <w:r w:rsidR="00992EAA" w:rsidRPr="007B31C4">
        <w:t xml:space="preserve"> </w:t>
      </w:r>
      <w:r w:rsidR="007022CE" w:rsidRPr="007B31C4">
        <w:t xml:space="preserve">of </w:t>
      </w:r>
      <w:r w:rsidR="00242E24" w:rsidRPr="007B31C4">
        <w:t xml:space="preserve">the </w:t>
      </w:r>
      <w:r w:rsidR="007022CE" w:rsidRPr="007B31C4">
        <w:t>Ranger uranium mine.</w:t>
      </w:r>
    </w:p>
    <w:p w14:paraId="3A4AC414" w14:textId="6CE3FDD2" w:rsidR="007E5F8F" w:rsidRPr="007B31C4" w:rsidRDefault="007B2AB1" w:rsidP="002D1713">
      <w:pPr>
        <w:jc w:val="both"/>
        <w:rPr>
          <w:iCs/>
          <w:szCs w:val="22"/>
        </w:rPr>
      </w:pPr>
      <w:r w:rsidRPr="007B31C4">
        <w:fldChar w:fldCharType="begin"/>
      </w:r>
      <w:r w:rsidR="009B5A35" w:rsidRPr="007B31C4">
        <w:instrText xml:space="preserve"> STYLEREF 1 \s </w:instrText>
      </w:r>
      <w:r w:rsidRPr="007B31C4">
        <w:fldChar w:fldCharType="separate"/>
      </w:r>
      <w:r w:rsidR="009468E1">
        <w:rPr>
          <w:noProof/>
        </w:rPr>
        <w:t>1</w:t>
      </w:r>
      <w:r w:rsidRPr="007B31C4">
        <w:fldChar w:fldCharType="end"/>
      </w:r>
      <w:r w:rsidR="009B5A35" w:rsidRPr="007B31C4">
        <w:t>.</w:t>
      </w:r>
      <w:r w:rsidRPr="007B31C4">
        <w:fldChar w:fldCharType="begin"/>
      </w:r>
      <w:r w:rsidR="009B5A35" w:rsidRPr="007B31C4">
        <w:instrText xml:space="preserve"> SEQ Clause \* ARABIC \s 1 </w:instrText>
      </w:r>
      <w:r w:rsidRPr="007B31C4">
        <w:fldChar w:fldCharType="separate"/>
      </w:r>
      <w:r w:rsidR="009468E1">
        <w:rPr>
          <w:noProof/>
        </w:rPr>
        <w:t>3</w:t>
      </w:r>
      <w:r w:rsidRPr="007B31C4">
        <w:fldChar w:fldCharType="end"/>
      </w:r>
      <w:r w:rsidR="009B5A35" w:rsidRPr="007B31C4">
        <w:rPr>
          <w:iCs/>
          <w:szCs w:val="22"/>
        </w:rPr>
        <w:t xml:space="preserve"> </w:t>
      </w:r>
      <w:r w:rsidR="00D213F3" w:rsidRPr="009C0D10">
        <w:t>The Supervising Scientist's</w:t>
      </w:r>
      <w:r w:rsidR="00D213F3" w:rsidRPr="009C0D10">
        <w:rPr>
          <w:szCs w:val="22"/>
        </w:rPr>
        <w:t xml:space="preserve"> Rehabilitation Standards quantify the rehabilitation </w:t>
      </w:r>
      <w:r w:rsidR="00D213F3" w:rsidRPr="00D213F3">
        <w:rPr>
          <w:szCs w:val="22"/>
        </w:rPr>
        <w:t xml:space="preserve">objectives </w:t>
      </w:r>
      <w:r w:rsidR="00D213F3" w:rsidRPr="00D213F3">
        <w:rPr>
          <w:noProof/>
        </w:rPr>
        <w:t>and recommend specific values based on the best available science that will ensure a</w:t>
      </w:r>
      <w:r w:rsidR="00D213F3" w:rsidRPr="0013655D">
        <w:rPr>
          <w:noProof/>
        </w:rPr>
        <w:t xml:space="preserve"> high level of environmental protection</w:t>
      </w:r>
      <w:r w:rsidR="00D213F3" w:rsidRPr="009C0D10">
        <w:t xml:space="preserve">. These values can be used to </w:t>
      </w:r>
      <w:r w:rsidR="00D213F3" w:rsidRPr="00AF1583">
        <w:lastRenderedPageBreak/>
        <w:t>assess</w:t>
      </w:r>
      <w:r w:rsidR="00D213F3" w:rsidRPr="00AF1583">
        <w:rPr>
          <w:noProof/>
        </w:rPr>
        <w:t xml:space="preserve"> </w:t>
      </w:r>
      <w:r w:rsidR="00D213F3" w:rsidRPr="00AF1583">
        <w:t>the achievement of, or</w:t>
      </w:r>
      <w:r w:rsidR="00D213F3" w:rsidRPr="00AF1583">
        <w:rPr>
          <w:noProof/>
        </w:rPr>
        <w:t xml:space="preserve"> progress towards, </w:t>
      </w:r>
      <w:r w:rsidR="00D213F3" w:rsidRPr="00AF1583">
        <w:t>the rehabilitation objectives,</w:t>
      </w:r>
      <w:r w:rsidR="00972A3F">
        <w:t xml:space="preserve"> some of </w:t>
      </w:r>
      <w:r w:rsidR="00D213F3" w:rsidRPr="00AF1583">
        <w:t>which may not be reached for a significant period of time.</w:t>
      </w:r>
    </w:p>
    <w:p w14:paraId="6150F653" w14:textId="7554E6A1" w:rsidR="007D19D1" w:rsidRPr="007B31C4" w:rsidRDefault="007B2AB1" w:rsidP="002D1713">
      <w:pPr>
        <w:jc w:val="both"/>
      </w:pPr>
      <w:r w:rsidRPr="007B31C4">
        <w:fldChar w:fldCharType="begin"/>
      </w:r>
      <w:r w:rsidR="009B5A35" w:rsidRPr="007B31C4">
        <w:instrText xml:space="preserve"> STYLEREF 1 \s </w:instrText>
      </w:r>
      <w:r w:rsidRPr="007B31C4">
        <w:fldChar w:fldCharType="separate"/>
      </w:r>
      <w:r w:rsidR="009468E1">
        <w:rPr>
          <w:noProof/>
        </w:rPr>
        <w:t>1</w:t>
      </w:r>
      <w:r w:rsidRPr="007B31C4">
        <w:fldChar w:fldCharType="end"/>
      </w:r>
      <w:r w:rsidR="009B5A35" w:rsidRPr="007B31C4">
        <w:t>.</w:t>
      </w:r>
      <w:r w:rsidRPr="007B31C4">
        <w:fldChar w:fldCharType="begin"/>
      </w:r>
      <w:r w:rsidR="009B5A35" w:rsidRPr="007B31C4">
        <w:instrText xml:space="preserve"> SEQ Clause \* ARABIC \s 1 </w:instrText>
      </w:r>
      <w:r w:rsidRPr="007B31C4">
        <w:fldChar w:fldCharType="separate"/>
      </w:r>
      <w:r w:rsidR="009468E1">
        <w:rPr>
          <w:noProof/>
        </w:rPr>
        <w:t>4</w:t>
      </w:r>
      <w:r w:rsidRPr="007B31C4">
        <w:fldChar w:fldCharType="end"/>
      </w:r>
      <w:r w:rsidR="009B5A35" w:rsidRPr="007B31C4">
        <w:rPr>
          <w:iCs/>
          <w:szCs w:val="22"/>
        </w:rPr>
        <w:t xml:space="preserve"> </w:t>
      </w:r>
      <w:r w:rsidR="007E5F8F" w:rsidRPr="007B31C4">
        <w:rPr>
          <w:szCs w:val="22"/>
        </w:rPr>
        <w:t xml:space="preserve">Until it can be determined that the </w:t>
      </w:r>
      <w:r w:rsidR="000A235F" w:rsidRPr="007B31C4">
        <w:rPr>
          <w:szCs w:val="22"/>
        </w:rPr>
        <w:t>rehabilitation objectives have</w:t>
      </w:r>
      <w:r w:rsidR="007E5F8F" w:rsidRPr="007B31C4">
        <w:rPr>
          <w:szCs w:val="22"/>
        </w:rPr>
        <w:t xml:space="preserve"> or will be reached, there will be an ongoing need to ensure environmental protection </w:t>
      </w:r>
      <w:r w:rsidR="00A14479" w:rsidRPr="007B31C4">
        <w:rPr>
          <w:szCs w:val="22"/>
        </w:rPr>
        <w:t>during</w:t>
      </w:r>
      <w:r w:rsidR="007E5F8F" w:rsidRPr="007B31C4">
        <w:rPr>
          <w:szCs w:val="22"/>
        </w:rPr>
        <w:t xml:space="preserve"> and after rehabilitation, through </w:t>
      </w:r>
      <w:r w:rsidR="00234F6D" w:rsidRPr="007B31C4">
        <w:rPr>
          <w:szCs w:val="22"/>
        </w:rPr>
        <w:t>continued</w:t>
      </w:r>
      <w:r w:rsidR="007E5F8F" w:rsidRPr="007B31C4">
        <w:rPr>
          <w:szCs w:val="22"/>
        </w:rPr>
        <w:t xml:space="preserve"> water quality monitoring, including </w:t>
      </w:r>
      <w:r w:rsidR="008A2099">
        <w:rPr>
          <w:szCs w:val="22"/>
        </w:rPr>
        <w:t xml:space="preserve">the </w:t>
      </w:r>
      <w:r w:rsidR="007E5F8F" w:rsidRPr="007B31C4">
        <w:rPr>
          <w:szCs w:val="22"/>
        </w:rPr>
        <w:t>comparison of water quality data with relevant water quality limits.</w:t>
      </w:r>
    </w:p>
    <w:p w14:paraId="7A06BDCB" w14:textId="26C0F700" w:rsidR="007D19D1" w:rsidRPr="007B31C4" w:rsidRDefault="007D19D1" w:rsidP="002D1713">
      <w:pPr>
        <w:pStyle w:val="Heading2"/>
        <w:jc w:val="both"/>
      </w:pPr>
      <w:r w:rsidRPr="007B31C4">
        <w:t>Objective</w:t>
      </w:r>
    </w:p>
    <w:p w14:paraId="6FAC074F" w14:textId="6C271A12" w:rsidR="007D19D1" w:rsidRPr="007B31C4" w:rsidRDefault="007B2AB1" w:rsidP="002D1713">
      <w:pPr>
        <w:jc w:val="both"/>
      </w:pPr>
      <w:r w:rsidRPr="007B31C4">
        <w:fldChar w:fldCharType="begin"/>
      </w:r>
      <w:r w:rsidR="009B5A35" w:rsidRPr="007B31C4">
        <w:instrText xml:space="preserve"> STYLEREF 1 \s </w:instrText>
      </w:r>
      <w:r w:rsidRPr="007B31C4">
        <w:fldChar w:fldCharType="separate"/>
      </w:r>
      <w:r w:rsidR="009468E1">
        <w:rPr>
          <w:noProof/>
        </w:rPr>
        <w:t>1</w:t>
      </w:r>
      <w:r w:rsidRPr="007B31C4">
        <w:fldChar w:fldCharType="end"/>
      </w:r>
      <w:r w:rsidR="009B5A35" w:rsidRPr="007B31C4">
        <w:t>.</w:t>
      </w:r>
      <w:r w:rsidRPr="007B31C4">
        <w:fldChar w:fldCharType="begin"/>
      </w:r>
      <w:r w:rsidR="009B5A35" w:rsidRPr="007B31C4">
        <w:instrText xml:space="preserve"> SEQ Clause \* ARABIC \s 1 </w:instrText>
      </w:r>
      <w:r w:rsidRPr="007B31C4">
        <w:fldChar w:fldCharType="separate"/>
      </w:r>
      <w:r w:rsidR="009468E1">
        <w:rPr>
          <w:noProof/>
        </w:rPr>
        <w:t>5</w:t>
      </w:r>
      <w:r w:rsidRPr="007B31C4">
        <w:fldChar w:fldCharType="end"/>
      </w:r>
      <w:r w:rsidR="009B5A35" w:rsidRPr="007B31C4">
        <w:t xml:space="preserve"> </w:t>
      </w:r>
      <w:r w:rsidR="00EE56D1" w:rsidRPr="007B31C4">
        <w:t>T</w:t>
      </w:r>
      <w:r w:rsidR="000D2B8F" w:rsidRPr="007B31C4">
        <w:t>here is</w:t>
      </w:r>
      <w:r w:rsidR="00ED598B" w:rsidRPr="007B31C4">
        <w:t xml:space="preserve"> currently</w:t>
      </w:r>
      <w:r w:rsidR="000D2B8F" w:rsidRPr="007B31C4">
        <w:t xml:space="preserve"> no</w:t>
      </w:r>
      <w:r w:rsidR="00D24D78" w:rsidRPr="007B31C4">
        <w:t xml:space="preserve"> agree</w:t>
      </w:r>
      <w:r w:rsidR="000D2B8F" w:rsidRPr="007B31C4">
        <w:t xml:space="preserve">d </w:t>
      </w:r>
      <w:r w:rsidR="00D24D78" w:rsidRPr="007B31C4">
        <w:t xml:space="preserve">acceptable level of </w:t>
      </w:r>
      <w:r w:rsidR="00C37ECF">
        <w:t xml:space="preserve">effect </w:t>
      </w:r>
      <w:r w:rsidR="00EE56D1" w:rsidRPr="007B31C4">
        <w:t xml:space="preserve">to the environment surrounding </w:t>
      </w:r>
      <w:r w:rsidR="00D24D78" w:rsidRPr="007B31C4">
        <w:t>the Ranger Project Area</w:t>
      </w:r>
      <w:r w:rsidR="00EE56D1" w:rsidRPr="007B31C4">
        <w:t xml:space="preserve">. </w:t>
      </w:r>
      <w:r w:rsidR="00A30426" w:rsidRPr="007B31C4">
        <w:t>In the absence of agreement,</w:t>
      </w:r>
      <w:r w:rsidR="00D24D78" w:rsidRPr="007B31C4">
        <w:t xml:space="preserve"> </w:t>
      </w:r>
      <w:r w:rsidR="000D2B8F" w:rsidRPr="007B31C4">
        <w:t xml:space="preserve">the </w:t>
      </w:r>
      <w:r w:rsidR="007022CE" w:rsidRPr="007B31C4">
        <w:t>R</w:t>
      </w:r>
      <w:r w:rsidR="001D3EA8" w:rsidRPr="007B31C4">
        <w:t xml:space="preserve">ehabilitation </w:t>
      </w:r>
      <w:r w:rsidR="007022CE" w:rsidRPr="007B31C4">
        <w:t>S</w:t>
      </w:r>
      <w:r w:rsidR="001D3EA8" w:rsidRPr="007B31C4">
        <w:t xml:space="preserve">tandard for </w:t>
      </w:r>
      <w:r w:rsidR="000F5309" w:rsidRPr="007B31C4">
        <w:t>ammonia</w:t>
      </w:r>
      <w:r w:rsidR="001D3EA8" w:rsidRPr="007B31C4">
        <w:t xml:space="preserve"> </w:t>
      </w:r>
      <w:r w:rsidR="006709F9" w:rsidRPr="007B31C4">
        <w:t xml:space="preserve">in surface water </w:t>
      </w:r>
      <w:r w:rsidR="001D3EA8" w:rsidRPr="007B31C4">
        <w:t xml:space="preserve">aims to </w:t>
      </w:r>
      <w:r w:rsidR="004334EC" w:rsidRPr="007B31C4">
        <w:t xml:space="preserve">protect </w:t>
      </w:r>
      <w:r w:rsidR="001D3EA8" w:rsidRPr="007B31C4">
        <w:t>the biodiversity and health of aquatic ecosystems outside of the Ranger Project Area</w:t>
      </w:r>
      <w:r w:rsidR="00EE56D1" w:rsidRPr="007B31C4">
        <w:t>. This</w:t>
      </w:r>
      <w:r w:rsidR="001D3EA8" w:rsidRPr="007B31C4">
        <w:t xml:space="preserve"> includ</w:t>
      </w:r>
      <w:r w:rsidR="00EE56D1" w:rsidRPr="007B31C4">
        <w:t>es</w:t>
      </w:r>
      <w:r w:rsidR="001D3EA8" w:rsidRPr="007B31C4">
        <w:t xml:space="preserve"> </w:t>
      </w:r>
      <w:r w:rsidR="00A30426" w:rsidRPr="007B31C4">
        <w:t xml:space="preserve">ecosystems </w:t>
      </w:r>
      <w:r w:rsidR="001D3EA8" w:rsidRPr="007B31C4">
        <w:t xml:space="preserve">upstream of the mine </w:t>
      </w:r>
      <w:r w:rsidR="00A30426" w:rsidRPr="007B31C4">
        <w:t xml:space="preserve">given that poor water quality </w:t>
      </w:r>
      <w:r w:rsidR="001D3EA8" w:rsidRPr="007B31C4">
        <w:t xml:space="preserve">within the Ranger Project Area </w:t>
      </w:r>
      <w:r w:rsidR="00A30426" w:rsidRPr="007B31C4">
        <w:t xml:space="preserve">could </w:t>
      </w:r>
      <w:r w:rsidR="001D3EA8" w:rsidRPr="007B31C4">
        <w:t>form a barrier to the movement of aquatic organisms.</w:t>
      </w:r>
      <w:r w:rsidR="000D2B8F" w:rsidRPr="007B31C4">
        <w:t xml:space="preserve"> </w:t>
      </w:r>
      <w:r w:rsidR="008A2099">
        <w:t>If</w:t>
      </w:r>
      <w:r w:rsidR="000D2B8F" w:rsidRPr="007B31C4">
        <w:t xml:space="preserve"> an acceptable level of </w:t>
      </w:r>
      <w:r w:rsidR="00C37ECF">
        <w:t xml:space="preserve">effect </w:t>
      </w:r>
      <w:r w:rsidR="000D2B8F" w:rsidRPr="007B31C4">
        <w:t>is agreed</w:t>
      </w:r>
      <w:r w:rsidR="00E22C94">
        <w:t>,</w:t>
      </w:r>
      <w:r w:rsidR="000D2B8F" w:rsidRPr="007B31C4">
        <w:t xml:space="preserve"> this standard will be updated accordingly.</w:t>
      </w:r>
    </w:p>
    <w:p w14:paraId="35A15790" w14:textId="77777777" w:rsidR="007D19D1" w:rsidRPr="007B31C4" w:rsidRDefault="007D19D1" w:rsidP="002D1713">
      <w:pPr>
        <w:pStyle w:val="Heading2"/>
        <w:jc w:val="both"/>
      </w:pPr>
      <w:r w:rsidRPr="007B31C4">
        <w:t>Application</w:t>
      </w:r>
    </w:p>
    <w:p w14:paraId="09A8FE84" w14:textId="454C3B53" w:rsidR="003162B4" w:rsidRPr="007B31C4" w:rsidRDefault="007B2AB1" w:rsidP="002D1713">
      <w:pPr>
        <w:jc w:val="both"/>
      </w:pPr>
      <w:r w:rsidRPr="007B31C4">
        <w:fldChar w:fldCharType="begin"/>
      </w:r>
      <w:r w:rsidR="009B5A35" w:rsidRPr="007B31C4">
        <w:instrText xml:space="preserve"> STYLEREF 1 \s </w:instrText>
      </w:r>
      <w:r w:rsidRPr="007B31C4">
        <w:fldChar w:fldCharType="separate"/>
      </w:r>
      <w:r w:rsidR="009468E1">
        <w:rPr>
          <w:noProof/>
        </w:rPr>
        <w:t>1</w:t>
      </w:r>
      <w:r w:rsidRPr="007B31C4">
        <w:fldChar w:fldCharType="end"/>
      </w:r>
      <w:r w:rsidR="009B5A35" w:rsidRPr="007B31C4">
        <w:t>.</w:t>
      </w:r>
      <w:r w:rsidRPr="007B31C4">
        <w:fldChar w:fldCharType="begin"/>
      </w:r>
      <w:r w:rsidR="009B5A35" w:rsidRPr="007B31C4">
        <w:instrText xml:space="preserve"> SEQ Clause \* ARABIC \s 1 </w:instrText>
      </w:r>
      <w:r w:rsidRPr="007B31C4">
        <w:fldChar w:fldCharType="separate"/>
      </w:r>
      <w:r w:rsidR="009468E1">
        <w:rPr>
          <w:noProof/>
        </w:rPr>
        <w:t>6</w:t>
      </w:r>
      <w:r w:rsidRPr="007B31C4">
        <w:fldChar w:fldCharType="end"/>
      </w:r>
      <w:r w:rsidR="009B5A35" w:rsidRPr="007B31C4">
        <w:t xml:space="preserve"> </w:t>
      </w:r>
      <w:r w:rsidR="007E5F8F" w:rsidRPr="007B31C4">
        <w:t>This Rehabilitation S</w:t>
      </w:r>
      <w:r w:rsidR="003162B4" w:rsidRPr="007B31C4">
        <w:t>tandard should be applied in Magela and Gulungul creeks at the boundary of the Ra</w:t>
      </w:r>
      <w:r w:rsidR="00234F6D" w:rsidRPr="007B31C4">
        <w:t>nger Project Area, downstream from</w:t>
      </w:r>
      <w:r w:rsidR="003162B4" w:rsidRPr="007B31C4">
        <w:t xml:space="preserve"> the Ranger uranium mine.</w:t>
      </w:r>
    </w:p>
    <w:p w14:paraId="3338C135" w14:textId="14210EB0" w:rsidR="003162B4" w:rsidRPr="007B31C4" w:rsidRDefault="007B2AB1" w:rsidP="002D1713">
      <w:pPr>
        <w:jc w:val="both"/>
      </w:pPr>
      <w:r w:rsidRPr="007B31C4">
        <w:fldChar w:fldCharType="begin"/>
      </w:r>
      <w:r w:rsidR="009B5A35" w:rsidRPr="007B31C4">
        <w:instrText xml:space="preserve"> STYLEREF 1 \s </w:instrText>
      </w:r>
      <w:r w:rsidRPr="007B31C4">
        <w:fldChar w:fldCharType="separate"/>
      </w:r>
      <w:r w:rsidR="009468E1">
        <w:rPr>
          <w:noProof/>
        </w:rPr>
        <w:t>1</w:t>
      </w:r>
      <w:r w:rsidRPr="007B31C4">
        <w:fldChar w:fldCharType="end"/>
      </w:r>
      <w:r w:rsidR="009B5A35" w:rsidRPr="007B31C4">
        <w:t>.</w:t>
      </w:r>
      <w:r w:rsidRPr="007B31C4">
        <w:fldChar w:fldCharType="begin"/>
      </w:r>
      <w:r w:rsidR="009B5A35" w:rsidRPr="007B31C4">
        <w:instrText xml:space="preserve"> SEQ Clause \* ARABIC \s 1 </w:instrText>
      </w:r>
      <w:r w:rsidRPr="007B31C4">
        <w:fldChar w:fldCharType="separate"/>
      </w:r>
      <w:r w:rsidR="009468E1">
        <w:rPr>
          <w:noProof/>
        </w:rPr>
        <w:t>7</w:t>
      </w:r>
      <w:r w:rsidRPr="007B31C4">
        <w:fldChar w:fldCharType="end"/>
      </w:r>
      <w:r w:rsidR="009B5A35" w:rsidRPr="007B31C4">
        <w:t xml:space="preserve"> </w:t>
      </w:r>
      <w:r w:rsidR="003162B4" w:rsidRPr="007B31C4">
        <w:t>Given the potentially long time</w:t>
      </w:r>
      <w:r w:rsidR="00EF7B00" w:rsidRPr="007B31C4">
        <w:t xml:space="preserve"> </w:t>
      </w:r>
      <w:r w:rsidR="003162B4" w:rsidRPr="007B31C4">
        <w:t xml:space="preserve">frame </w:t>
      </w:r>
      <w:bookmarkStart w:id="1" w:name="_Hlk518205118"/>
      <w:r w:rsidR="00236CE0" w:rsidRPr="007B31C4">
        <w:t xml:space="preserve">between the completion of rehabilitation and </w:t>
      </w:r>
      <w:bookmarkEnd w:id="1"/>
      <w:r w:rsidR="003162B4" w:rsidRPr="007B31C4">
        <w:t>the peak delivery of contaminants to surface water, th</w:t>
      </w:r>
      <w:r w:rsidR="002D1713" w:rsidRPr="007B31C4">
        <w:t>is</w:t>
      </w:r>
      <w:r w:rsidR="003162B4" w:rsidRPr="007B31C4">
        <w:t xml:space="preserve"> </w:t>
      </w:r>
      <w:r w:rsidR="00EF7B00" w:rsidRPr="007B31C4">
        <w:t>Rehabilitation S</w:t>
      </w:r>
      <w:r w:rsidR="003162B4" w:rsidRPr="007B31C4">
        <w:t>tandard will most likely be used to</w:t>
      </w:r>
      <w:r w:rsidR="00AF73F2">
        <w:t xml:space="preserve"> </w:t>
      </w:r>
      <w:r w:rsidR="003162B4" w:rsidRPr="007B31C4">
        <w:t xml:space="preserve">assess predicted </w:t>
      </w:r>
      <w:r w:rsidR="000F5309" w:rsidRPr="007B31C4">
        <w:t>ammonia</w:t>
      </w:r>
      <w:r w:rsidR="003162B4" w:rsidRPr="007B31C4">
        <w:t xml:space="preserve"> concentrations from modelled scenarios. Ongoing surface </w:t>
      </w:r>
      <w:r w:rsidR="00EF7B00" w:rsidRPr="007B31C4">
        <w:t xml:space="preserve">water </w:t>
      </w:r>
      <w:r w:rsidR="003162B4" w:rsidRPr="007B31C4">
        <w:t xml:space="preserve">and groundwater monitoring will be required after rehabilitation </w:t>
      </w:r>
      <w:r w:rsidR="00065D86" w:rsidRPr="007B31C4">
        <w:t xml:space="preserve">to </w:t>
      </w:r>
      <w:r w:rsidR="003162B4" w:rsidRPr="007B31C4">
        <w:t>continue to ensure the envi</w:t>
      </w:r>
      <w:r w:rsidR="007E5F8F" w:rsidRPr="007B31C4">
        <w:t>ronment is being protected</w:t>
      </w:r>
      <w:r w:rsidR="00065D86" w:rsidRPr="007B31C4">
        <w:t xml:space="preserve"> and </w:t>
      </w:r>
      <w:r w:rsidR="00236CE0" w:rsidRPr="007B31C4">
        <w:t xml:space="preserve">to </w:t>
      </w:r>
      <w:r w:rsidR="003162B4" w:rsidRPr="007B31C4">
        <w:t>validate and assess confidence in the models.</w:t>
      </w:r>
    </w:p>
    <w:p w14:paraId="2358CB06" w14:textId="77777777" w:rsidR="00650B40" w:rsidRPr="007B31C4" w:rsidRDefault="00E9276A" w:rsidP="002D1713">
      <w:pPr>
        <w:pStyle w:val="Heading1"/>
        <w:jc w:val="both"/>
      </w:pPr>
      <w:r w:rsidRPr="007B31C4">
        <w:rPr>
          <w:iCs/>
          <w:szCs w:val="22"/>
        </w:rPr>
        <w:t xml:space="preserve">Relevant </w:t>
      </w:r>
      <w:r w:rsidR="00650B40" w:rsidRPr="007B31C4">
        <w:rPr>
          <w:iCs/>
          <w:szCs w:val="22"/>
        </w:rPr>
        <w:t>requirements</w:t>
      </w:r>
    </w:p>
    <w:p w14:paraId="20716492" w14:textId="77777777" w:rsidR="00370D14" w:rsidRPr="007B31C4" w:rsidRDefault="00370D14" w:rsidP="002D1713">
      <w:pPr>
        <w:pStyle w:val="Heading2"/>
        <w:jc w:val="both"/>
      </w:pPr>
      <w:r w:rsidRPr="007B31C4">
        <w:t xml:space="preserve">Environmental </w:t>
      </w:r>
      <w:r w:rsidR="003D139D" w:rsidRPr="007B31C4">
        <w:t>R</w:t>
      </w:r>
      <w:r w:rsidRPr="007B31C4">
        <w:t>equirements</w:t>
      </w:r>
    </w:p>
    <w:p w14:paraId="392C0224" w14:textId="56EC60A6" w:rsidR="00370D14" w:rsidRPr="007B31C4" w:rsidRDefault="007B2AB1" w:rsidP="002D1713">
      <w:pPr>
        <w:jc w:val="both"/>
      </w:pPr>
      <w:r w:rsidRPr="007B31C4">
        <w:fldChar w:fldCharType="begin"/>
      </w:r>
      <w:r w:rsidR="009B5A35" w:rsidRPr="007B31C4">
        <w:instrText xml:space="preserve"> STYLEREF 1 \s </w:instrText>
      </w:r>
      <w:r w:rsidRPr="007B31C4">
        <w:fldChar w:fldCharType="separate"/>
      </w:r>
      <w:r w:rsidR="009468E1">
        <w:rPr>
          <w:noProof/>
        </w:rPr>
        <w:t>2</w:t>
      </w:r>
      <w:r w:rsidRPr="007B31C4">
        <w:fldChar w:fldCharType="end"/>
      </w:r>
      <w:r w:rsidR="009B5A35" w:rsidRPr="007B31C4">
        <w:t>.</w:t>
      </w:r>
      <w:r w:rsidRPr="007B31C4">
        <w:fldChar w:fldCharType="begin"/>
      </w:r>
      <w:r w:rsidR="009B5A35" w:rsidRPr="007B31C4">
        <w:instrText xml:space="preserve"> SEQ Clause \* ARABIC \s 1 </w:instrText>
      </w:r>
      <w:r w:rsidRPr="007B31C4">
        <w:fldChar w:fldCharType="separate"/>
      </w:r>
      <w:r w:rsidR="009468E1">
        <w:rPr>
          <w:noProof/>
        </w:rPr>
        <w:t>1</w:t>
      </w:r>
      <w:r w:rsidRPr="007B31C4">
        <w:fldChar w:fldCharType="end"/>
      </w:r>
      <w:r w:rsidR="009B5A35" w:rsidRPr="007B31C4">
        <w:t xml:space="preserve"> </w:t>
      </w:r>
      <w:r w:rsidR="00E3425E" w:rsidRPr="007B31C4">
        <w:t xml:space="preserve">The primary environmental objectives </w:t>
      </w:r>
      <w:r w:rsidR="00F44366" w:rsidRPr="007B31C4">
        <w:t xml:space="preserve">in the Environmental Requirements </w:t>
      </w:r>
      <w:r w:rsidR="00A95C53" w:rsidRPr="007B31C4">
        <w:t xml:space="preserve">require </w:t>
      </w:r>
      <w:r w:rsidR="00EA3AF7" w:rsidRPr="007B31C4">
        <w:t xml:space="preserve">that </w:t>
      </w:r>
      <w:r w:rsidR="007F480F" w:rsidRPr="007B31C4">
        <w:t xml:space="preserve">surface </w:t>
      </w:r>
      <w:r w:rsidR="00234F6D" w:rsidRPr="007B31C4">
        <w:t>waters or ground</w:t>
      </w:r>
      <w:r w:rsidR="00E20143" w:rsidRPr="007B31C4">
        <w:t>water</w:t>
      </w:r>
      <w:r w:rsidR="007F480F" w:rsidRPr="007B31C4">
        <w:t xml:space="preserve"> </w:t>
      </w:r>
      <w:r w:rsidR="00744087" w:rsidRPr="007B31C4">
        <w:t xml:space="preserve">arising </w:t>
      </w:r>
      <w:r w:rsidR="007F480F" w:rsidRPr="007B31C4">
        <w:t xml:space="preserve">from </w:t>
      </w:r>
      <w:r w:rsidR="00242E24" w:rsidRPr="007B31C4">
        <w:t xml:space="preserve">the </w:t>
      </w:r>
      <w:r w:rsidR="00E3425E" w:rsidRPr="007B31C4">
        <w:t xml:space="preserve">Ranger </w:t>
      </w:r>
      <w:r w:rsidR="00E472A4" w:rsidRPr="007B31C4">
        <w:t xml:space="preserve">uranium mine </w:t>
      </w:r>
      <w:r w:rsidR="00E3425E" w:rsidRPr="007B31C4">
        <w:t xml:space="preserve">do not result in any </w:t>
      </w:r>
      <w:r w:rsidR="00D24D78" w:rsidRPr="007B31C4">
        <w:t xml:space="preserve">detrimental </w:t>
      </w:r>
      <w:r w:rsidR="00E3425E" w:rsidRPr="007B31C4">
        <w:t xml:space="preserve">change to biodiversity or </w:t>
      </w:r>
      <w:r w:rsidR="00AB0FD3" w:rsidRPr="007B31C4">
        <w:t>impairment</w:t>
      </w:r>
      <w:r w:rsidR="00E3425E" w:rsidRPr="007B31C4">
        <w:t xml:space="preserve"> of ecosystem health</w:t>
      </w:r>
      <w:r w:rsidR="001D6AFA" w:rsidRPr="007B31C4">
        <w:t xml:space="preserve"> outside of</w:t>
      </w:r>
      <w:r w:rsidR="00E3425E" w:rsidRPr="007B31C4">
        <w:t xml:space="preserve"> the Ranger Project Area</w:t>
      </w:r>
      <w:r w:rsidR="007F480F" w:rsidRPr="007B31C4">
        <w:t>, including during or following rehabilitation</w:t>
      </w:r>
      <w:r w:rsidR="00E3425E" w:rsidRPr="007B31C4">
        <w:t xml:space="preserve">. </w:t>
      </w:r>
      <w:r w:rsidR="00A95C53" w:rsidRPr="007B31C4">
        <w:t>Th</w:t>
      </w:r>
      <w:r w:rsidR="00AC4D64" w:rsidRPr="007B31C4">
        <w:t>is</w:t>
      </w:r>
      <w:r w:rsidR="00A95C53" w:rsidRPr="007B31C4">
        <w:t xml:space="preserve"> </w:t>
      </w:r>
      <w:r w:rsidR="00D3344F" w:rsidRPr="007B31C4">
        <w:t>Rehabilitation S</w:t>
      </w:r>
      <w:r w:rsidR="00A95C53" w:rsidRPr="007B31C4">
        <w:t xml:space="preserve">tandard </w:t>
      </w:r>
      <w:r w:rsidR="00AC4D64" w:rsidRPr="007B31C4">
        <w:t>is</w:t>
      </w:r>
      <w:r w:rsidR="00E9276A" w:rsidRPr="007B31C4">
        <w:t xml:space="preserve"> </w:t>
      </w:r>
      <w:r w:rsidR="00A95C53" w:rsidRPr="007B31C4">
        <w:t>relevant to t</w:t>
      </w:r>
      <w:r w:rsidR="00370D14" w:rsidRPr="007B31C4">
        <w:t xml:space="preserve">he </w:t>
      </w:r>
      <w:r w:rsidR="003162B4" w:rsidRPr="007B31C4">
        <w:t>E</w:t>
      </w:r>
      <w:r w:rsidR="00370D14" w:rsidRPr="007B31C4">
        <w:t xml:space="preserve">nvironmental </w:t>
      </w:r>
      <w:r w:rsidR="003162B4" w:rsidRPr="007B31C4">
        <w:t>R</w:t>
      </w:r>
      <w:r w:rsidR="005C4779" w:rsidRPr="007B31C4">
        <w:t xml:space="preserve">equirements </w:t>
      </w:r>
      <w:r w:rsidR="003162B4" w:rsidRPr="007B31C4">
        <w:t xml:space="preserve">listed </w:t>
      </w:r>
      <w:r w:rsidR="009035DA" w:rsidRPr="007B31C4">
        <w:t xml:space="preserve">in </w:t>
      </w:r>
      <w:r w:rsidR="00031F33" w:rsidRPr="007B31C4">
        <w:t>Box</w:t>
      </w:r>
      <w:r w:rsidR="00D3344F" w:rsidRPr="007B31C4">
        <w:t> </w:t>
      </w:r>
      <w:r w:rsidR="00031F33" w:rsidRPr="007B31C4">
        <w:t>1.</w:t>
      </w:r>
    </w:p>
    <w:p w14:paraId="685AF565" w14:textId="6C087E28" w:rsidR="00987181" w:rsidRPr="007B31C4" w:rsidRDefault="00987181" w:rsidP="002D1713">
      <w:pPr>
        <w:pStyle w:val="Heading2"/>
        <w:jc w:val="both"/>
      </w:pPr>
      <w:bookmarkStart w:id="2" w:name="_Ref479797325"/>
      <w:r w:rsidRPr="007B31C4">
        <w:t xml:space="preserve">Aspirations of </w:t>
      </w:r>
      <w:r w:rsidR="00CD0D6C">
        <w:t>T</w:t>
      </w:r>
      <w:r w:rsidRPr="007B31C4">
        <w:t xml:space="preserve">raditional </w:t>
      </w:r>
      <w:r w:rsidR="00CD0D6C">
        <w:t>O</w:t>
      </w:r>
      <w:r w:rsidRPr="007B31C4">
        <w:t>wners</w:t>
      </w:r>
      <w:bookmarkEnd w:id="2"/>
    </w:p>
    <w:bookmarkStart w:id="3" w:name="_Ref480223616"/>
    <w:p w14:paraId="04850720" w14:textId="149D11CF" w:rsidR="00987181" w:rsidRPr="007B31C4" w:rsidRDefault="00987181" w:rsidP="002D1713">
      <w:pPr>
        <w:keepNext/>
        <w:spacing w:after="120"/>
        <w:jc w:val="both"/>
      </w:pPr>
      <w:r w:rsidRPr="007B31C4">
        <w:fldChar w:fldCharType="begin"/>
      </w:r>
      <w:r w:rsidRPr="007B31C4">
        <w:instrText xml:space="preserve"> STYLEREF 1 \s </w:instrText>
      </w:r>
      <w:r w:rsidRPr="007B31C4">
        <w:fldChar w:fldCharType="separate"/>
      </w:r>
      <w:r w:rsidR="009468E1">
        <w:rPr>
          <w:noProof/>
        </w:rPr>
        <w:t>2</w:t>
      </w:r>
      <w:r w:rsidRPr="007B31C4">
        <w:fldChar w:fldCharType="end"/>
      </w:r>
      <w:r w:rsidRPr="007B31C4">
        <w:t>.</w:t>
      </w:r>
      <w:r w:rsidR="0021709B" w:rsidRPr="007B31C4">
        <w:rPr>
          <w:noProof/>
        </w:rPr>
        <w:fldChar w:fldCharType="begin"/>
      </w:r>
      <w:r w:rsidR="0021709B" w:rsidRPr="007B31C4">
        <w:rPr>
          <w:noProof/>
        </w:rPr>
        <w:instrText xml:space="preserve"> SEQ Clause \* ARABIC \s 1 </w:instrText>
      </w:r>
      <w:r w:rsidR="0021709B" w:rsidRPr="007B31C4">
        <w:rPr>
          <w:noProof/>
        </w:rPr>
        <w:fldChar w:fldCharType="separate"/>
      </w:r>
      <w:r w:rsidR="009468E1">
        <w:rPr>
          <w:noProof/>
        </w:rPr>
        <w:t>2</w:t>
      </w:r>
      <w:r w:rsidR="0021709B" w:rsidRPr="007B31C4">
        <w:rPr>
          <w:noProof/>
        </w:rPr>
        <w:fldChar w:fldCharType="end"/>
      </w:r>
      <w:bookmarkEnd w:id="3"/>
      <w:r w:rsidRPr="007B31C4">
        <w:t xml:space="preserve"> The</w:t>
      </w:r>
      <w:r w:rsidR="00CD0D6C">
        <w:t xml:space="preserve"> </w:t>
      </w:r>
      <w:proofErr w:type="spellStart"/>
      <w:r w:rsidR="00CD0D6C">
        <w:t>Mirrar</w:t>
      </w:r>
      <w:proofErr w:type="spellEnd"/>
      <w:r w:rsidRPr="007B31C4">
        <w:t xml:space="preserve"> </w:t>
      </w:r>
      <w:r w:rsidR="00AD626F">
        <w:t>T</w:t>
      </w:r>
      <w:r w:rsidRPr="007B31C4">
        <w:t xml:space="preserve">raditional </w:t>
      </w:r>
      <w:r w:rsidR="00AD626F">
        <w:t>O</w:t>
      </w:r>
      <w:r w:rsidRPr="007B31C4">
        <w:t xml:space="preserve">wners desire that operations at </w:t>
      </w:r>
      <w:r w:rsidR="00242E24" w:rsidRPr="007B31C4">
        <w:t xml:space="preserve">the </w:t>
      </w:r>
      <w:r w:rsidRPr="007B31C4">
        <w:t xml:space="preserve">Ranger </w:t>
      </w:r>
      <w:r w:rsidR="00242E24" w:rsidRPr="007B31C4">
        <w:t xml:space="preserve">uranium mine </w:t>
      </w:r>
      <w:r w:rsidRPr="007B31C4">
        <w:t>should not result in any</w:t>
      </w:r>
      <w:r w:rsidRPr="007B31C4">
        <w:rPr>
          <w:i/>
        </w:rPr>
        <w:t xml:space="preserve"> </w:t>
      </w:r>
      <w:r w:rsidRPr="007B31C4">
        <w:t>change to the natural water quality of surface waters outside of the Ranger Project Area (Iles 2004). Specifically, as stated in Garde (2013):</w:t>
      </w:r>
    </w:p>
    <w:p w14:paraId="0519F6AA" w14:textId="05666009" w:rsidR="00987181" w:rsidRPr="007B31C4" w:rsidRDefault="00D63B87" w:rsidP="00A64371">
      <w:pPr>
        <w:pStyle w:val="Quote"/>
      </w:pPr>
      <w:r w:rsidRPr="007B31C4">
        <w:t>…</w:t>
      </w:r>
      <w:r w:rsidR="00987181" w:rsidRPr="007B31C4">
        <w:t xml:space="preserve">the waters contained within all riparian corridors, (i.e. rivers and billabongs), must be of a quality that is commensurate with non-affected riverine systems and health standards. The principle of ‘as low as reasonably achievable’ should not apply to these areas. Instead, the standard of rehabilitation must be as high </w:t>
      </w:r>
      <w:r w:rsidR="00987181" w:rsidRPr="007B31C4">
        <w:lastRenderedPageBreak/>
        <w:t>as is technically possible and level of contamination must be as low as technically possible.</w:t>
      </w:r>
    </w:p>
    <w:p w14:paraId="50188949" w14:textId="77777777" w:rsidR="00835862" w:rsidRPr="007B31C4" w:rsidRDefault="003A74A0" w:rsidP="002D1713">
      <w:pPr>
        <w:jc w:val="both"/>
      </w:pPr>
      <w:r w:rsidRPr="007B31C4">
        <w:rPr>
          <w:rFonts w:cs="Arial"/>
          <w:noProof/>
          <w:sz w:val="24"/>
          <w:szCs w:val="24"/>
          <w:lang w:eastAsia="en-AU"/>
        </w:rPr>
        <mc:AlternateContent>
          <mc:Choice Requires="wps">
            <w:drawing>
              <wp:inline distT="0" distB="0" distL="0" distR="0" wp14:anchorId="3E11A830" wp14:editId="466E1F6A">
                <wp:extent cx="5064125" cy="7443470"/>
                <wp:effectExtent l="9525" t="9525" r="12700"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3211830"/>
                        </a:xfrm>
                        <a:prstGeom prst="rect">
                          <a:avLst/>
                        </a:prstGeom>
                        <a:solidFill>
                          <a:schemeClr val="bg1">
                            <a:lumMod val="85000"/>
                            <a:lumOff val="0"/>
                          </a:schemeClr>
                        </a:solidFill>
                        <a:ln w="9525">
                          <a:solidFill>
                            <a:srgbClr val="000000"/>
                          </a:solidFill>
                          <a:miter lim="800000"/>
                          <a:headEnd/>
                          <a:tailEnd/>
                        </a:ln>
                      </wps:spPr>
                      <wps:txbx>
                        <w:txbxContent>
                          <w:p w14:paraId="1DABFB70" w14:textId="77777777" w:rsidR="006928A7" w:rsidRPr="00065D86" w:rsidRDefault="006928A7" w:rsidP="007C27F0">
                            <w:pPr>
                              <w:autoSpaceDE w:val="0"/>
                              <w:autoSpaceDN w:val="0"/>
                              <w:adjustRightInd w:val="0"/>
                              <w:spacing w:after="0" w:line="240" w:lineRule="auto"/>
                              <w:rPr>
                                <w:rFonts w:cs="Arial"/>
                                <w:b/>
                                <w:bCs/>
                                <w:sz w:val="24"/>
                                <w:szCs w:val="24"/>
                                <w:lang w:eastAsia="en-AU"/>
                              </w:rPr>
                            </w:pPr>
                            <w:r w:rsidRPr="00065D86">
                              <w:rPr>
                                <w:rFonts w:cs="Arial"/>
                                <w:b/>
                                <w:bCs/>
                                <w:sz w:val="24"/>
                                <w:szCs w:val="24"/>
                                <w:lang w:eastAsia="en-AU"/>
                              </w:rPr>
                              <w:t>Box 1: Ranger Environmental Requir</w:t>
                            </w:r>
                            <w:r>
                              <w:rPr>
                                <w:rFonts w:cs="Arial"/>
                                <w:b/>
                                <w:bCs/>
                                <w:sz w:val="24"/>
                                <w:szCs w:val="24"/>
                                <w:lang w:eastAsia="en-AU"/>
                              </w:rPr>
                              <w:t>ements relevant to the Ammonia</w:t>
                            </w:r>
                            <w:r w:rsidRPr="00065D86">
                              <w:rPr>
                                <w:rFonts w:cs="Arial"/>
                                <w:b/>
                                <w:bCs/>
                                <w:sz w:val="24"/>
                                <w:szCs w:val="24"/>
                                <w:lang w:eastAsia="en-AU"/>
                              </w:rPr>
                              <w:t xml:space="preserve"> Rehabilitation Standard</w:t>
                            </w:r>
                          </w:p>
                          <w:p w14:paraId="69D9B653" w14:textId="77777777" w:rsidR="006928A7" w:rsidRPr="00065D86" w:rsidRDefault="006928A7" w:rsidP="007C27F0">
                            <w:pPr>
                              <w:autoSpaceDE w:val="0"/>
                              <w:autoSpaceDN w:val="0"/>
                              <w:adjustRightInd w:val="0"/>
                              <w:spacing w:after="0" w:line="240" w:lineRule="auto"/>
                              <w:rPr>
                                <w:rFonts w:cs="Arial"/>
                                <w:b/>
                                <w:bCs/>
                                <w:sz w:val="18"/>
                                <w:szCs w:val="18"/>
                                <w:lang w:eastAsia="en-AU"/>
                              </w:rPr>
                            </w:pPr>
                            <w:r w:rsidRPr="00065D86">
                              <w:rPr>
                                <w:rFonts w:cs="Arial"/>
                                <w:b/>
                                <w:bCs/>
                                <w:sz w:val="18"/>
                                <w:szCs w:val="18"/>
                                <w:lang w:eastAsia="en-AU"/>
                              </w:rPr>
                              <w:t>1 Environmental protection</w:t>
                            </w:r>
                          </w:p>
                          <w:p w14:paraId="603488A9" w14:textId="77777777" w:rsidR="006928A7" w:rsidRPr="00065D86" w:rsidRDefault="006928A7" w:rsidP="007C27F0">
                            <w:pPr>
                              <w:tabs>
                                <w:tab w:val="left" w:pos="426"/>
                              </w:tabs>
                              <w:autoSpaceDE w:val="0"/>
                              <w:autoSpaceDN w:val="0"/>
                              <w:adjustRightInd w:val="0"/>
                              <w:spacing w:after="0" w:line="240" w:lineRule="auto"/>
                              <w:ind w:left="426" w:hanging="426"/>
                              <w:rPr>
                                <w:rFonts w:cs="Arial"/>
                                <w:sz w:val="18"/>
                                <w:szCs w:val="18"/>
                                <w:lang w:eastAsia="en-AU"/>
                              </w:rPr>
                            </w:pPr>
                            <w:r w:rsidRPr="00065D86">
                              <w:rPr>
                                <w:rFonts w:cs="Arial"/>
                                <w:sz w:val="18"/>
                                <w:szCs w:val="18"/>
                                <w:lang w:eastAsia="en-AU"/>
                              </w:rPr>
                              <w:t xml:space="preserve">1.1 </w:t>
                            </w:r>
                            <w:r w:rsidRPr="00065D86">
                              <w:rPr>
                                <w:rFonts w:cs="Arial"/>
                                <w:sz w:val="18"/>
                                <w:szCs w:val="18"/>
                                <w:lang w:eastAsia="en-AU"/>
                              </w:rPr>
                              <w:tab/>
                              <w:t>The company must ensure that operations at Ranger are undertaken in such a way as to be consistent with the following primary environmental objectives:</w:t>
                            </w:r>
                          </w:p>
                          <w:p w14:paraId="5A6B948F"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(a) </w:t>
                            </w:r>
                            <w:r w:rsidRPr="00065D86">
                              <w:rPr>
                                <w:rFonts w:cs="Arial"/>
                                <w:sz w:val="18"/>
                                <w:szCs w:val="18"/>
                                <w:lang w:eastAsia="en-AU"/>
                              </w:rPr>
                              <w:tab/>
                              <w:t>maintain the attributes for which Kakadu National Park was inscribed on the World Heritage list</w:t>
                            </w:r>
                          </w:p>
                          <w:p w14:paraId="6C2F11A1"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(b) </w:t>
                            </w:r>
                            <w:r w:rsidRPr="00065D86">
                              <w:rPr>
                                <w:rFonts w:cs="Arial"/>
                                <w:sz w:val="18"/>
                                <w:szCs w:val="18"/>
                                <w:lang w:eastAsia="en-AU"/>
                              </w:rPr>
                              <w:tab/>
                              <w:t>maintain the ecosystem health of the wetlands listed under the Ramsar Convention on Wetlands (i.e. the wetlands within Stages I and II of Kakadu National Park)</w:t>
                            </w:r>
                          </w:p>
                          <w:p w14:paraId="64C44BF7"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(d) </w:t>
                            </w:r>
                            <w:r w:rsidRPr="00065D86">
                              <w:rPr>
                                <w:rFonts w:cs="Arial"/>
                                <w:sz w:val="18"/>
                                <w:szCs w:val="18"/>
                                <w:lang w:eastAsia="en-AU"/>
                              </w:rPr>
                              <w:tab/>
                              <w:t>maintain the natural biological diversity of aquatic and terrestrial ecosystems of the Alligator Rivers Region, including ecological processes.</w:t>
                            </w:r>
                          </w:p>
                          <w:p w14:paraId="59A333F2" w14:textId="77777777" w:rsidR="006928A7" w:rsidRPr="00065D86" w:rsidRDefault="006928A7" w:rsidP="007C27F0">
                            <w:pPr>
                              <w:autoSpaceDE w:val="0"/>
                              <w:autoSpaceDN w:val="0"/>
                              <w:adjustRightInd w:val="0"/>
                              <w:spacing w:after="0" w:line="240" w:lineRule="auto"/>
                              <w:ind w:left="426" w:hanging="426"/>
                              <w:rPr>
                                <w:rFonts w:cs="Arial"/>
                                <w:sz w:val="18"/>
                                <w:szCs w:val="18"/>
                                <w:lang w:eastAsia="en-AU"/>
                              </w:rPr>
                            </w:pPr>
                            <w:r w:rsidRPr="00065D86">
                              <w:rPr>
                                <w:rFonts w:cs="Arial"/>
                                <w:sz w:val="18"/>
                                <w:szCs w:val="18"/>
                                <w:lang w:eastAsia="en-AU"/>
                              </w:rPr>
                              <w:t xml:space="preserve">1.2 </w:t>
                            </w:r>
                            <w:r w:rsidRPr="00065D86">
                              <w:rPr>
                                <w:rFonts w:cs="Arial"/>
                                <w:sz w:val="18"/>
                                <w:szCs w:val="18"/>
                                <w:lang w:eastAsia="en-AU"/>
                              </w:rPr>
                              <w:tab/>
                              <w:t>In particular, the company must ensure that operations at Ranger do not result in:</w:t>
                            </w:r>
                          </w:p>
                          <w:p w14:paraId="650CB65C"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(a) </w:t>
                            </w:r>
                            <w:r w:rsidRPr="00065D86">
                              <w:rPr>
                                <w:rFonts w:cs="Arial"/>
                                <w:sz w:val="18"/>
                                <w:szCs w:val="18"/>
                                <w:lang w:eastAsia="en-AU"/>
                              </w:rPr>
                              <w:tab/>
                              <w:t>damage to the attributes for which Kakadu National Park was inscribed on the World Heritage list</w:t>
                            </w:r>
                          </w:p>
                          <w:p w14:paraId="33BCD365"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(b) </w:t>
                            </w:r>
                            <w:r w:rsidRPr="00065D86">
                              <w:rPr>
                                <w:rFonts w:cs="Arial"/>
                                <w:sz w:val="18"/>
                                <w:szCs w:val="18"/>
                                <w:lang w:eastAsia="en-AU"/>
                              </w:rPr>
                              <w:tab/>
                              <w:t>damage to the ecosystem health of the wetlands listed under the Ramsar Convention on Wetlands (i.e. the wetlands within Stages I and II of Kakadu National Park)</w:t>
                            </w:r>
                          </w:p>
                          <w:p w14:paraId="6E0699B6"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(d) </w:t>
                            </w:r>
                            <w:r w:rsidRPr="00065D86">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0E43DB06" w14:textId="77777777" w:rsidR="006928A7" w:rsidRPr="00065D86" w:rsidRDefault="006928A7" w:rsidP="007C27F0">
                            <w:pPr>
                              <w:autoSpaceDE w:val="0"/>
                              <w:autoSpaceDN w:val="0"/>
                              <w:adjustRightInd w:val="0"/>
                              <w:spacing w:after="0" w:line="240" w:lineRule="auto"/>
                              <w:rPr>
                                <w:rFonts w:cs="Arial"/>
                                <w:b/>
                                <w:bCs/>
                                <w:sz w:val="18"/>
                                <w:szCs w:val="18"/>
                                <w:lang w:eastAsia="en-AU"/>
                              </w:rPr>
                            </w:pPr>
                            <w:r w:rsidRPr="00065D86">
                              <w:rPr>
                                <w:rFonts w:cs="Arial"/>
                                <w:b/>
                                <w:bCs/>
                                <w:sz w:val="18"/>
                                <w:szCs w:val="18"/>
                                <w:lang w:eastAsia="en-AU"/>
                              </w:rPr>
                              <w:t>3 Water quality</w:t>
                            </w:r>
                          </w:p>
                          <w:p w14:paraId="5C362B0D" w14:textId="77777777" w:rsidR="006928A7" w:rsidRPr="00065D86" w:rsidRDefault="006928A7" w:rsidP="007C27F0">
                            <w:pPr>
                              <w:tabs>
                                <w:tab w:val="left" w:pos="426"/>
                              </w:tabs>
                              <w:autoSpaceDE w:val="0"/>
                              <w:autoSpaceDN w:val="0"/>
                              <w:adjustRightInd w:val="0"/>
                              <w:spacing w:after="0" w:line="240" w:lineRule="auto"/>
                              <w:ind w:left="426" w:hanging="426"/>
                              <w:rPr>
                                <w:rFonts w:cs="Arial"/>
                                <w:sz w:val="20"/>
                                <w:szCs w:val="24"/>
                                <w:lang w:eastAsia="en-AU"/>
                              </w:rPr>
                            </w:pPr>
                            <w:r w:rsidRPr="00065D86">
                              <w:rPr>
                                <w:rFonts w:cs="Arial"/>
                                <w:sz w:val="18"/>
                                <w:szCs w:val="18"/>
                                <w:lang w:eastAsia="en-AU"/>
                              </w:rPr>
                              <w:t xml:space="preserve">3.1 </w:t>
                            </w:r>
                            <w:r w:rsidRPr="00065D86">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wps:txbx>
                      <wps:bodyPr rot="0" vert="horz" wrap="square" lIns="91440" tIns="45720" rIns="91440" bIns="45720" anchor="t" anchorCtr="0" upright="1">
                        <a:spAutoFit/>
                      </wps:bodyPr>
                    </wps:wsp>
                  </a:graphicData>
                </a:graphic>
              </wp:inline>
            </w:drawing>
          </mc:Choice>
          <mc:Fallback>
            <w:pict>
              <v:shapetype w14:anchorId="3E11A830" id="_x0000_t202" coordsize="21600,21600" o:spt="202" path="m,l,21600r21600,l21600,xe">
                <v:stroke joinstyle="miter"/>
                <v:path gradientshapeok="t" o:connecttype="rect"/>
              </v:shapetype>
              <v:shape id="Text Box 2" o:spid="_x0000_s1026" type="#_x0000_t202" style="width:398.75pt;height:58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" fillcolor="#d8d8d8 [2732]">
                <v:textbox style="mso-fit-shape-to-text:t">
                  <w:txbxContent>
                    <w:p w14:paraId="1DABFB70" w14:textId="77777777" w:rsidR="006928A7" w:rsidRPr="00065D86" w:rsidRDefault="006928A7" w:rsidP="007C27F0">
                      <w:pPr>
                        <w:autoSpaceDE w:val="0"/>
                        <w:autoSpaceDN w:val="0"/>
                        <w:adjustRightInd w:val="0"/>
                        <w:spacing w:after="0" w:line="240" w:lineRule="auto"/>
                        <w:rPr>
                          <w:rFonts w:cs="Arial"/>
                          <w:b/>
                          <w:bCs/>
                          <w:sz w:val="24"/>
                          <w:szCs w:val="24"/>
                          <w:lang w:eastAsia="en-AU"/>
                        </w:rPr>
                      </w:pPr>
                      <w:r w:rsidRPr="00065D86">
                        <w:rPr>
                          <w:rFonts w:cs="Arial"/>
                          <w:b/>
                          <w:bCs/>
                          <w:sz w:val="24"/>
                          <w:szCs w:val="24"/>
                          <w:lang w:eastAsia="en-AU"/>
                        </w:rPr>
                        <w:t>Box 1: Ranger Environmental Requir</w:t>
                      </w:r>
                      <w:r>
                        <w:rPr>
                          <w:rFonts w:cs="Arial"/>
                          <w:b/>
                          <w:bCs/>
                          <w:sz w:val="24"/>
                          <w:szCs w:val="24"/>
                          <w:lang w:eastAsia="en-AU"/>
                        </w:rPr>
                        <w:t>ements relevant to the Ammonia</w:t>
                      </w:r>
                      <w:r w:rsidRPr="00065D86">
                        <w:rPr>
                          <w:rFonts w:cs="Arial"/>
                          <w:b/>
                          <w:bCs/>
                          <w:sz w:val="24"/>
                          <w:szCs w:val="24"/>
                          <w:lang w:eastAsia="en-AU"/>
                        </w:rPr>
                        <w:t xml:space="preserve"> Rehabilitation Standard</w:t>
                      </w:r>
                    </w:p>
                    <w:p w14:paraId="69D9B653" w14:textId="77777777" w:rsidR="006928A7" w:rsidRPr="00065D86" w:rsidRDefault="006928A7" w:rsidP="007C27F0">
                      <w:pPr>
                        <w:autoSpaceDE w:val="0"/>
                        <w:autoSpaceDN w:val="0"/>
                        <w:adjustRightInd w:val="0"/>
                        <w:spacing w:after="0" w:line="240" w:lineRule="auto"/>
                        <w:rPr>
                          <w:rFonts w:cs="Arial"/>
                          <w:b/>
                          <w:bCs/>
                          <w:sz w:val="18"/>
                          <w:szCs w:val="18"/>
                          <w:lang w:eastAsia="en-AU"/>
                        </w:rPr>
                      </w:pPr>
                      <w:r w:rsidRPr="00065D86">
                        <w:rPr>
                          <w:rFonts w:cs="Arial"/>
                          <w:b/>
                          <w:bCs/>
                          <w:sz w:val="18"/>
                          <w:szCs w:val="18"/>
                          <w:lang w:eastAsia="en-AU"/>
                        </w:rPr>
                        <w:t>1 Environmental protection</w:t>
                      </w:r>
                    </w:p>
                    <w:p w14:paraId="603488A9" w14:textId="77777777" w:rsidR="006928A7" w:rsidRPr="00065D86" w:rsidRDefault="006928A7" w:rsidP="007C27F0">
                      <w:pPr>
                        <w:tabs>
                          <w:tab w:val="left" w:pos="426"/>
                        </w:tabs>
                        <w:autoSpaceDE w:val="0"/>
                        <w:autoSpaceDN w:val="0"/>
                        <w:adjustRightInd w:val="0"/>
                        <w:spacing w:after="0" w:line="240" w:lineRule="auto"/>
                        <w:ind w:left="426" w:hanging="426"/>
                        <w:rPr>
                          <w:rFonts w:cs="Arial"/>
                          <w:sz w:val="18"/>
                          <w:szCs w:val="18"/>
                          <w:lang w:eastAsia="en-AU"/>
                        </w:rPr>
                      </w:pPr>
                      <w:r w:rsidRPr="00065D86">
                        <w:rPr>
                          <w:rFonts w:cs="Arial"/>
                          <w:sz w:val="18"/>
                          <w:szCs w:val="18"/>
                          <w:lang w:eastAsia="en-AU"/>
                        </w:rPr>
                        <w:t xml:space="preserve">1.1 </w:t>
                      </w:r>
                      <w:r w:rsidRPr="00065D86">
                        <w:rPr>
                          <w:rFonts w:cs="Arial"/>
                          <w:sz w:val="18"/>
                          <w:szCs w:val="18"/>
                          <w:lang w:eastAsia="en-AU"/>
                        </w:rPr>
                        <w:tab/>
                        <w:t>The company must ensure that operations at Ranger are undertaken in such a way as to be consistent with the following primary environmental objectives:</w:t>
                      </w:r>
                    </w:p>
                    <w:p w14:paraId="5A6B948F"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(a) </w:t>
                      </w:r>
                      <w:r w:rsidRPr="00065D86">
                        <w:rPr>
                          <w:rFonts w:cs="Arial"/>
                          <w:sz w:val="18"/>
                          <w:szCs w:val="18"/>
                          <w:lang w:eastAsia="en-AU"/>
                        </w:rPr>
                        <w:tab/>
                        <w:t>maintain the attributes for which Kakadu National Park was inscribed on the World Heritage list</w:t>
                      </w:r>
                    </w:p>
                    <w:p w14:paraId="6C2F11A1"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(b) </w:t>
                      </w:r>
                      <w:r w:rsidRPr="00065D86">
                        <w:rPr>
                          <w:rFonts w:cs="Arial"/>
                          <w:sz w:val="18"/>
                          <w:szCs w:val="18"/>
                          <w:lang w:eastAsia="en-AU"/>
                        </w:rPr>
                        <w:tab/>
                        <w:t>maintain the ecosystem health of the wetlands listed under the Ramsar Convention on Wetlands (i.e. the wetlands within Stages I and II of Kakadu National Park)</w:t>
                      </w:r>
                    </w:p>
                    <w:p w14:paraId="64C44BF7"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(d) </w:t>
                      </w:r>
                      <w:r w:rsidRPr="00065D86">
                        <w:rPr>
                          <w:rFonts w:cs="Arial"/>
                          <w:sz w:val="18"/>
                          <w:szCs w:val="18"/>
                          <w:lang w:eastAsia="en-AU"/>
                        </w:rPr>
                        <w:tab/>
                        <w:t>maintain the natural biological diversity of aquatic and terrestrial ecosystems of the Alligator Rivers Region, including ecological processes.</w:t>
                      </w:r>
                    </w:p>
                    <w:p w14:paraId="59A333F2" w14:textId="77777777" w:rsidR="006928A7" w:rsidRPr="00065D86" w:rsidRDefault="006928A7" w:rsidP="007C27F0">
                      <w:pPr>
                        <w:autoSpaceDE w:val="0"/>
                        <w:autoSpaceDN w:val="0"/>
                        <w:adjustRightInd w:val="0"/>
                        <w:spacing w:after="0" w:line="240" w:lineRule="auto"/>
                        <w:ind w:left="426" w:hanging="426"/>
                        <w:rPr>
                          <w:rFonts w:cs="Arial"/>
                          <w:sz w:val="18"/>
                          <w:szCs w:val="18"/>
                          <w:lang w:eastAsia="en-AU"/>
                        </w:rPr>
                      </w:pPr>
                      <w:r w:rsidRPr="00065D86">
                        <w:rPr>
                          <w:rFonts w:cs="Arial"/>
                          <w:sz w:val="18"/>
                          <w:szCs w:val="18"/>
                          <w:lang w:eastAsia="en-AU"/>
                        </w:rPr>
                        <w:t xml:space="preserve">1.2 </w:t>
                      </w:r>
                      <w:r w:rsidRPr="00065D86">
                        <w:rPr>
                          <w:rFonts w:cs="Arial"/>
                          <w:sz w:val="18"/>
                          <w:szCs w:val="18"/>
                          <w:lang w:eastAsia="en-AU"/>
                        </w:rPr>
                        <w:tab/>
                        <w:t>In particular, the company must ensure that operations at Ranger do not result in:</w:t>
                      </w:r>
                    </w:p>
                    <w:p w14:paraId="650CB65C"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(a) </w:t>
                      </w:r>
                      <w:r w:rsidRPr="00065D86">
                        <w:rPr>
                          <w:rFonts w:cs="Arial"/>
                          <w:sz w:val="18"/>
                          <w:szCs w:val="18"/>
                          <w:lang w:eastAsia="en-AU"/>
                        </w:rPr>
                        <w:tab/>
                        <w:t>damage to the attributes for which Kakadu National Park was inscribed on the World Heritage list</w:t>
                      </w:r>
                    </w:p>
                    <w:p w14:paraId="33BCD365"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(b) </w:t>
                      </w:r>
                      <w:r w:rsidRPr="00065D86">
                        <w:rPr>
                          <w:rFonts w:cs="Arial"/>
                          <w:sz w:val="18"/>
                          <w:szCs w:val="18"/>
                          <w:lang w:eastAsia="en-AU"/>
                        </w:rPr>
                        <w:tab/>
                        <w:t>damage to the ecosystem health of the wetlands listed under the Ramsar Convention on Wetlands (i.e. the wetlands within Stages I and II of Kakadu National Park)</w:t>
                      </w:r>
                    </w:p>
                    <w:p w14:paraId="6E0699B6" w14:textId="77777777" w:rsidR="006928A7" w:rsidRPr="00065D86" w:rsidRDefault="006928A7" w:rsidP="007C27F0">
                      <w:pPr>
                        <w:tabs>
                          <w:tab w:val="left" w:pos="709"/>
                        </w:tabs>
                        <w:autoSpaceDE w:val="0"/>
                        <w:autoSpaceDN w:val="0"/>
                        <w:adjustRightInd w:val="0"/>
                        <w:spacing w:after="0" w:line="240" w:lineRule="auto"/>
                        <w:ind w:left="709" w:hanging="425"/>
                        <w:rPr>
                          <w:rFonts w:cs="Arial"/>
                          <w:sz w:val="18"/>
                          <w:szCs w:val="18"/>
                          <w:lang w:eastAsia="en-AU"/>
                        </w:rPr>
                      </w:pPr>
                      <w:r w:rsidRPr="00065D86">
                        <w:rPr>
                          <w:rFonts w:cs="Arial"/>
                          <w:sz w:val="18"/>
                          <w:szCs w:val="18"/>
                          <w:lang w:eastAsia="en-AU"/>
                        </w:rPr>
                        <w:t xml:space="preserve">(d) </w:t>
                      </w:r>
                      <w:r w:rsidRPr="00065D86">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0E43DB06" w14:textId="77777777" w:rsidR="006928A7" w:rsidRPr="00065D86" w:rsidRDefault="006928A7" w:rsidP="007C27F0">
                      <w:pPr>
                        <w:autoSpaceDE w:val="0"/>
                        <w:autoSpaceDN w:val="0"/>
                        <w:adjustRightInd w:val="0"/>
                        <w:spacing w:after="0" w:line="240" w:lineRule="auto"/>
                        <w:rPr>
                          <w:rFonts w:cs="Arial"/>
                          <w:b/>
                          <w:bCs/>
                          <w:sz w:val="18"/>
                          <w:szCs w:val="18"/>
                          <w:lang w:eastAsia="en-AU"/>
                        </w:rPr>
                      </w:pPr>
                      <w:r w:rsidRPr="00065D86">
                        <w:rPr>
                          <w:rFonts w:cs="Arial"/>
                          <w:b/>
                          <w:bCs/>
                          <w:sz w:val="18"/>
                          <w:szCs w:val="18"/>
                          <w:lang w:eastAsia="en-AU"/>
                        </w:rPr>
                        <w:t>3 Water quality</w:t>
                      </w:r>
                    </w:p>
                    <w:p w14:paraId="5C362B0D" w14:textId="77777777" w:rsidR="006928A7" w:rsidRPr="00065D86" w:rsidRDefault="006928A7" w:rsidP="007C27F0">
                      <w:pPr>
                        <w:tabs>
                          <w:tab w:val="left" w:pos="426"/>
                        </w:tabs>
                        <w:autoSpaceDE w:val="0"/>
                        <w:autoSpaceDN w:val="0"/>
                        <w:adjustRightInd w:val="0"/>
                        <w:spacing w:after="0" w:line="240" w:lineRule="auto"/>
                        <w:ind w:left="426" w:hanging="426"/>
                        <w:rPr>
                          <w:rFonts w:cs="Arial"/>
                          <w:sz w:val="20"/>
                          <w:szCs w:val="24"/>
                          <w:lang w:eastAsia="en-AU"/>
                        </w:rPr>
                      </w:pPr>
                      <w:r w:rsidRPr="00065D86">
                        <w:rPr>
                          <w:rFonts w:cs="Arial"/>
                          <w:sz w:val="18"/>
                          <w:szCs w:val="18"/>
                          <w:lang w:eastAsia="en-AU"/>
                        </w:rPr>
                        <w:t xml:space="preserve">3.1 </w:t>
                      </w:r>
                      <w:r w:rsidRPr="00065D86">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v:textbox>
                <w10:anchorlock/>
              </v:shape>
            </w:pict>
          </mc:Fallback>
        </mc:AlternateContent>
      </w:r>
    </w:p>
    <w:p w14:paraId="585791D4" w14:textId="77777777" w:rsidR="00C150D7" w:rsidRPr="007B31C4" w:rsidRDefault="00E472A4" w:rsidP="002D1713">
      <w:pPr>
        <w:pStyle w:val="Heading1"/>
        <w:jc w:val="both"/>
      </w:pPr>
      <w:r w:rsidRPr="007B31C4">
        <w:t xml:space="preserve">Recommended values for </w:t>
      </w:r>
      <w:r w:rsidR="002B4EE3" w:rsidRPr="007B31C4">
        <w:t>ammonia</w:t>
      </w:r>
    </w:p>
    <w:p w14:paraId="328269D4" w14:textId="355DFD64" w:rsidR="00C150D7" w:rsidRPr="007B31C4" w:rsidRDefault="007B2AB1" w:rsidP="002D1713">
      <w:pPr>
        <w:jc w:val="both"/>
      </w:pPr>
      <w:r w:rsidRPr="007B31C4">
        <w:fldChar w:fldCharType="begin"/>
      </w:r>
      <w:r w:rsidR="009B5A35" w:rsidRPr="007B31C4">
        <w:instrText xml:space="preserve"> STYLEREF 1 \s </w:instrText>
      </w:r>
      <w:r w:rsidRPr="007B31C4">
        <w:fldChar w:fldCharType="separate"/>
      </w:r>
      <w:r w:rsidR="009468E1">
        <w:rPr>
          <w:noProof/>
        </w:rPr>
        <w:t>3</w:t>
      </w:r>
      <w:r w:rsidRPr="007B31C4">
        <w:fldChar w:fldCharType="end"/>
      </w:r>
      <w:r w:rsidR="009B5A35" w:rsidRPr="007B31C4">
        <w:t>.</w:t>
      </w:r>
      <w:r w:rsidRPr="007B31C4">
        <w:fldChar w:fldCharType="begin"/>
      </w:r>
      <w:r w:rsidR="009B5A35" w:rsidRPr="007B31C4">
        <w:instrText xml:space="preserve"> SEQ Clause \* ARABIC \s 1 </w:instrText>
      </w:r>
      <w:r w:rsidRPr="007B31C4">
        <w:fldChar w:fldCharType="separate"/>
      </w:r>
      <w:r w:rsidR="009468E1">
        <w:rPr>
          <w:noProof/>
        </w:rPr>
        <w:t>1</w:t>
      </w:r>
      <w:r w:rsidRPr="007B31C4">
        <w:fldChar w:fldCharType="end"/>
      </w:r>
      <w:r w:rsidR="00FC289C" w:rsidRPr="007B31C4">
        <w:t xml:space="preserve"> To protect aquatic ecosystems outside the Ranger Project Area in accordance with the rehabilitation objectives, </w:t>
      </w:r>
      <w:r w:rsidR="00931F4F" w:rsidRPr="007B31C4">
        <w:t xml:space="preserve">predicted </w:t>
      </w:r>
      <w:r w:rsidR="00FC289C" w:rsidRPr="007B31C4">
        <w:t>water qu</w:t>
      </w:r>
      <w:r w:rsidR="004459C7" w:rsidRPr="007B31C4">
        <w:t>ality at the boundary of the Ranger Project Area</w:t>
      </w:r>
      <w:r w:rsidR="0049379E" w:rsidRPr="007B31C4">
        <w:t>, reported as 72</w:t>
      </w:r>
      <w:r w:rsidR="00B578CA" w:rsidRPr="007B31C4">
        <w:t>-</w:t>
      </w:r>
      <w:r w:rsidR="0049379E" w:rsidRPr="007B31C4">
        <w:t>hour moving average</w:t>
      </w:r>
      <w:r w:rsidR="00931F4F" w:rsidRPr="007B31C4">
        <w:t>s</w:t>
      </w:r>
      <w:r w:rsidR="0049379E" w:rsidRPr="007B31C4">
        <w:t>,</w:t>
      </w:r>
      <w:r w:rsidR="00763A43" w:rsidRPr="007B31C4">
        <w:t xml:space="preserve"> should </w:t>
      </w:r>
      <w:r w:rsidR="00DF74A1" w:rsidRPr="007B31C4">
        <w:t>not exceed</w:t>
      </w:r>
      <w:r w:rsidR="00C150D7" w:rsidRPr="007B31C4">
        <w:t xml:space="preserve"> the </w:t>
      </w:r>
      <w:r w:rsidR="004459C7" w:rsidRPr="007B31C4">
        <w:t>recommended</w:t>
      </w:r>
      <w:r w:rsidR="00D46829" w:rsidRPr="007B31C4">
        <w:t xml:space="preserve"> </w:t>
      </w:r>
      <w:r w:rsidR="00A255E6" w:rsidRPr="007B31C4">
        <w:t xml:space="preserve">values </w:t>
      </w:r>
      <w:r w:rsidR="00C150D7" w:rsidRPr="007B31C4">
        <w:t xml:space="preserve">for the parameters </w:t>
      </w:r>
      <w:r w:rsidR="00D46829" w:rsidRPr="007B31C4">
        <w:t xml:space="preserve">shown </w:t>
      </w:r>
      <w:r w:rsidR="00C150D7" w:rsidRPr="007B31C4">
        <w:t xml:space="preserve">in </w:t>
      </w:r>
      <w:r w:rsidRPr="007B31C4">
        <w:fldChar w:fldCharType="begin"/>
      </w:r>
      <w:r w:rsidR="001A778A" w:rsidRPr="007B31C4">
        <w:instrText xml:space="preserve"> REF _Ref479703911 \h </w:instrText>
      </w:r>
      <w:r w:rsidR="002D1713" w:rsidRPr="007B31C4">
        <w:instrText xml:space="preserve"> \* MERGEFORMAT </w:instrText>
      </w:r>
      <w:r w:rsidRPr="007B31C4">
        <w:fldChar w:fldCharType="separate"/>
      </w:r>
      <w:r w:rsidR="009468E1" w:rsidRPr="009468E1">
        <w:t xml:space="preserve">Table </w:t>
      </w:r>
      <w:r w:rsidR="009468E1" w:rsidRPr="009468E1">
        <w:rPr>
          <w:noProof/>
        </w:rPr>
        <w:t>1</w:t>
      </w:r>
      <w:r w:rsidRPr="007B31C4">
        <w:fldChar w:fldCharType="end"/>
      </w:r>
      <w:r w:rsidR="00FC289C" w:rsidRPr="007B31C4">
        <w:t>.</w:t>
      </w:r>
    </w:p>
    <w:p w14:paraId="5022AE80" w14:textId="549B8E1C" w:rsidR="00C150D7" w:rsidRPr="007B31C4" w:rsidRDefault="00C150D7" w:rsidP="002D1713">
      <w:pPr>
        <w:pStyle w:val="Caption"/>
        <w:jc w:val="both"/>
        <w:rPr>
          <w:b/>
        </w:rPr>
      </w:pPr>
      <w:bookmarkStart w:id="4" w:name="_Ref479703911"/>
      <w:r w:rsidRPr="007B31C4">
        <w:rPr>
          <w:b/>
        </w:rPr>
        <w:t xml:space="preserve">Table </w:t>
      </w:r>
      <w:r w:rsidR="007B2AB1" w:rsidRPr="007B31C4">
        <w:rPr>
          <w:b/>
        </w:rPr>
        <w:fldChar w:fldCharType="begin"/>
      </w:r>
      <w:r w:rsidRPr="007B31C4">
        <w:rPr>
          <w:b/>
        </w:rPr>
        <w:instrText xml:space="preserve"> SEQ Table \* ARABIC </w:instrText>
      </w:r>
      <w:r w:rsidR="007B2AB1" w:rsidRPr="007B31C4">
        <w:rPr>
          <w:b/>
        </w:rPr>
        <w:fldChar w:fldCharType="separate"/>
      </w:r>
      <w:r w:rsidR="009468E1">
        <w:rPr>
          <w:b/>
          <w:noProof/>
        </w:rPr>
        <w:t>1</w:t>
      </w:r>
      <w:r w:rsidR="007B2AB1" w:rsidRPr="007B31C4">
        <w:rPr>
          <w:b/>
        </w:rPr>
        <w:fldChar w:fldCharType="end"/>
      </w:r>
      <w:bookmarkEnd w:id="4"/>
      <w:r w:rsidRPr="007B31C4">
        <w:rPr>
          <w:b/>
        </w:rPr>
        <w:t xml:space="preserve"> </w:t>
      </w:r>
      <w:r w:rsidR="00BD576E" w:rsidRPr="007B31C4">
        <w:rPr>
          <w:b/>
        </w:rPr>
        <w:t>Re</w:t>
      </w:r>
      <w:r w:rsidR="00A11521" w:rsidRPr="007B31C4">
        <w:rPr>
          <w:b/>
        </w:rPr>
        <w:t>habilitation standard</w:t>
      </w:r>
      <w:r w:rsidR="00BD576E" w:rsidRPr="007B31C4">
        <w:rPr>
          <w:b/>
        </w:rPr>
        <w:t xml:space="preserve"> for </w:t>
      </w:r>
      <w:r w:rsidR="000F5309" w:rsidRPr="007B31C4">
        <w:rPr>
          <w:b/>
        </w:rPr>
        <w:t>ammonia</w:t>
      </w:r>
      <w:r w:rsidR="004E0D22" w:rsidRPr="007B31C4">
        <w:rPr>
          <w:b/>
        </w:rPr>
        <w:t xml:space="preserve"> in surface water</w:t>
      </w:r>
      <w:r w:rsidR="00F01849" w:rsidRPr="007B31C4">
        <w:rPr>
          <w:b/>
        </w:rPr>
        <w:t xml:space="preserve"> </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767"/>
        <w:gridCol w:w="2979"/>
        <w:gridCol w:w="2560"/>
      </w:tblGrid>
      <w:tr w:rsidR="007975C0" w:rsidRPr="007B31C4" w14:paraId="4F9B78B8" w14:textId="77777777" w:rsidTr="00F309F1">
        <w:trPr>
          <w:cantSplit/>
          <w:tblHeader/>
        </w:trPr>
        <w:tc>
          <w:tcPr>
            <w:tcW w:w="1666" w:type="pct"/>
            <w:tcBorders>
              <w:top w:val="single" w:sz="4" w:space="0" w:color="auto"/>
              <w:bottom w:val="single" w:sz="4" w:space="0" w:color="auto"/>
            </w:tcBorders>
            <w:tcMar>
              <w:top w:w="0" w:type="dxa"/>
              <w:left w:w="108" w:type="dxa"/>
              <w:bottom w:w="0" w:type="dxa"/>
              <w:right w:w="108" w:type="dxa"/>
            </w:tcMar>
            <w:hideMark/>
          </w:tcPr>
          <w:p w14:paraId="0DC3C4C0" w14:textId="77777777" w:rsidR="007975C0" w:rsidRPr="007B31C4" w:rsidRDefault="007975C0" w:rsidP="00F309F1">
            <w:pPr>
              <w:pStyle w:val="table1"/>
              <w:jc w:val="both"/>
              <w:rPr>
                <w:b/>
              </w:rPr>
            </w:pPr>
            <w:r w:rsidRPr="007B31C4">
              <w:rPr>
                <w:b/>
              </w:rPr>
              <w:t>Parameter</w:t>
            </w:r>
          </w:p>
        </w:tc>
        <w:tc>
          <w:tcPr>
            <w:tcW w:w="1793" w:type="pct"/>
            <w:tcBorders>
              <w:top w:val="single" w:sz="4" w:space="0" w:color="auto"/>
              <w:bottom w:val="single" w:sz="4" w:space="0" w:color="auto"/>
            </w:tcBorders>
          </w:tcPr>
          <w:p w14:paraId="2A5FA2BD" w14:textId="77777777" w:rsidR="007975C0" w:rsidRPr="007B31C4" w:rsidRDefault="007975C0" w:rsidP="00F309F1">
            <w:pPr>
              <w:pStyle w:val="table1"/>
              <w:ind w:left="141"/>
              <w:jc w:val="both"/>
              <w:rPr>
                <w:b/>
              </w:rPr>
            </w:pPr>
            <w:r w:rsidRPr="007B31C4">
              <w:rPr>
                <w:b/>
              </w:rPr>
              <w:t>Location</w:t>
            </w:r>
          </w:p>
        </w:tc>
        <w:tc>
          <w:tcPr>
            <w:tcW w:w="1541" w:type="pct"/>
            <w:tcBorders>
              <w:top w:val="single" w:sz="4" w:space="0" w:color="auto"/>
              <w:bottom w:val="single" w:sz="4" w:space="0" w:color="auto"/>
            </w:tcBorders>
            <w:tcMar>
              <w:top w:w="0" w:type="dxa"/>
              <w:left w:w="108" w:type="dxa"/>
              <w:bottom w:w="0" w:type="dxa"/>
              <w:right w:w="108" w:type="dxa"/>
            </w:tcMar>
            <w:hideMark/>
          </w:tcPr>
          <w:p w14:paraId="31F2EDD9" w14:textId="77777777" w:rsidR="007975C0" w:rsidRPr="007B31C4" w:rsidRDefault="007975C0" w:rsidP="00F309F1">
            <w:pPr>
              <w:pStyle w:val="table1"/>
              <w:jc w:val="both"/>
              <w:rPr>
                <w:b/>
                <w:vertAlign w:val="superscript"/>
              </w:rPr>
            </w:pPr>
            <w:r w:rsidRPr="007B31C4">
              <w:rPr>
                <w:b/>
              </w:rPr>
              <w:t xml:space="preserve">Rehabilitation standard </w:t>
            </w:r>
            <w:r w:rsidRPr="007B31C4">
              <w:rPr>
                <w:b/>
                <w:vertAlign w:val="superscript"/>
              </w:rPr>
              <w:t>a</w:t>
            </w:r>
          </w:p>
        </w:tc>
      </w:tr>
      <w:tr w:rsidR="007975C0" w:rsidRPr="007B31C4" w14:paraId="73B2FD48" w14:textId="77777777" w:rsidTr="00F309F1">
        <w:trPr>
          <w:cantSplit/>
        </w:trPr>
        <w:tc>
          <w:tcPr>
            <w:tcW w:w="1666" w:type="pct"/>
            <w:tcBorders>
              <w:top w:val="single" w:sz="4" w:space="0" w:color="auto"/>
            </w:tcBorders>
            <w:tcMar>
              <w:top w:w="0" w:type="dxa"/>
              <w:left w:w="108" w:type="dxa"/>
              <w:bottom w:w="0" w:type="dxa"/>
              <w:right w:w="108" w:type="dxa"/>
            </w:tcMar>
            <w:hideMark/>
          </w:tcPr>
          <w:p w14:paraId="1A731159" w14:textId="2D8B6A3E" w:rsidR="007975C0" w:rsidRPr="007B31C4" w:rsidRDefault="007975C0" w:rsidP="00184E08">
            <w:pPr>
              <w:pStyle w:val="table1"/>
            </w:pPr>
            <w:r w:rsidRPr="007B31C4">
              <w:t>D</w:t>
            </w:r>
            <w:r w:rsidR="00184E08">
              <w:t>issolved total ammonia nitrogen</w:t>
            </w:r>
          </w:p>
        </w:tc>
        <w:tc>
          <w:tcPr>
            <w:tcW w:w="1793" w:type="pct"/>
            <w:tcBorders>
              <w:top w:val="single" w:sz="4" w:space="0" w:color="auto"/>
            </w:tcBorders>
          </w:tcPr>
          <w:p w14:paraId="4B6D4964" w14:textId="4D5DD892" w:rsidR="007975C0" w:rsidRPr="007B31C4" w:rsidRDefault="007975C0" w:rsidP="00B37333">
            <w:pPr>
              <w:pStyle w:val="table1"/>
              <w:ind w:left="141"/>
            </w:pPr>
            <w:r w:rsidRPr="00A64371">
              <w:t>In Magela and Gulungul creeks at the boundary of the Ranger Project Area</w:t>
            </w:r>
            <w:r w:rsidR="00321DE5">
              <w:t>,</w:t>
            </w:r>
            <w:r w:rsidRPr="007975C0">
              <w:t xml:space="preserve"> </w:t>
            </w:r>
            <w:r w:rsidR="00E17A32">
              <w:t>downstream of the Ranger mine</w:t>
            </w:r>
          </w:p>
        </w:tc>
        <w:tc>
          <w:tcPr>
            <w:tcW w:w="1541" w:type="pct"/>
            <w:tcBorders>
              <w:top w:val="single" w:sz="4" w:space="0" w:color="auto"/>
            </w:tcBorders>
          </w:tcPr>
          <w:p w14:paraId="3AA554CD" w14:textId="49032F47" w:rsidR="007975C0" w:rsidRPr="007B31C4" w:rsidRDefault="007975C0" w:rsidP="00B37333">
            <w:pPr>
              <w:pStyle w:val="table1"/>
              <w:ind w:left="110"/>
            </w:pPr>
            <w:r w:rsidRPr="007B31C4">
              <w:t xml:space="preserve">0.4 mg/L </w:t>
            </w:r>
          </w:p>
        </w:tc>
      </w:tr>
    </w:tbl>
    <w:p w14:paraId="195B3AFE" w14:textId="1F011FE7" w:rsidR="00C150D7" w:rsidRPr="007B31C4" w:rsidRDefault="00EC40E5" w:rsidP="002D1713">
      <w:pPr>
        <w:jc w:val="both"/>
        <w:rPr>
          <w:sz w:val="16"/>
          <w:szCs w:val="16"/>
        </w:rPr>
      </w:pPr>
      <w:r w:rsidRPr="007B31C4">
        <w:rPr>
          <w:sz w:val="16"/>
          <w:szCs w:val="16"/>
          <w:vertAlign w:val="superscript"/>
        </w:rPr>
        <w:t xml:space="preserve">a </w:t>
      </w:r>
      <w:r w:rsidR="00812323" w:rsidRPr="007B31C4">
        <w:rPr>
          <w:sz w:val="16"/>
          <w:szCs w:val="16"/>
        </w:rPr>
        <w:t>Calculated conservatively to be protective at the upper 90</w:t>
      </w:r>
      <w:r w:rsidR="00812323" w:rsidRPr="00A64371">
        <w:rPr>
          <w:sz w:val="16"/>
          <w:szCs w:val="16"/>
        </w:rPr>
        <w:t>th</w:t>
      </w:r>
      <w:r w:rsidR="00812323" w:rsidRPr="008A2099">
        <w:rPr>
          <w:sz w:val="16"/>
          <w:szCs w:val="16"/>
        </w:rPr>
        <w:t xml:space="preserve"> </w:t>
      </w:r>
      <w:r w:rsidR="00812323" w:rsidRPr="007B31C4">
        <w:rPr>
          <w:sz w:val="16"/>
          <w:szCs w:val="16"/>
        </w:rPr>
        <w:t>percentile for temperature (32</w:t>
      </w:r>
      <w:r w:rsidR="00812323" w:rsidRPr="007B31C4">
        <w:rPr>
          <w:rFonts w:cs="Arial"/>
          <w:sz w:val="16"/>
          <w:szCs w:val="16"/>
        </w:rPr>
        <w:t>°</w:t>
      </w:r>
      <w:r w:rsidR="00812323" w:rsidRPr="007B31C4">
        <w:rPr>
          <w:sz w:val="16"/>
          <w:szCs w:val="16"/>
        </w:rPr>
        <w:t>C) and pH (6.4) of Magela Creek</w:t>
      </w:r>
    </w:p>
    <w:p w14:paraId="5BF2D3CD" w14:textId="77777777" w:rsidR="00370D14" w:rsidRPr="007B31C4" w:rsidRDefault="00370D14" w:rsidP="002D1713">
      <w:pPr>
        <w:pStyle w:val="Heading1"/>
        <w:jc w:val="both"/>
      </w:pPr>
      <w:r w:rsidRPr="007B31C4">
        <w:t>Scientific basis</w:t>
      </w:r>
    </w:p>
    <w:p w14:paraId="0DB43BCA" w14:textId="77777777" w:rsidR="00370D14" w:rsidRPr="007B31C4" w:rsidRDefault="00370D14" w:rsidP="002D1713">
      <w:pPr>
        <w:pStyle w:val="Heading2"/>
        <w:jc w:val="both"/>
      </w:pPr>
      <w:r w:rsidRPr="007B31C4">
        <w:t>Guidelines</w:t>
      </w:r>
      <w:r w:rsidR="00065D86" w:rsidRPr="007B31C4">
        <w:t xml:space="preserve"> and</w:t>
      </w:r>
      <w:r w:rsidR="003162B4" w:rsidRPr="007B31C4">
        <w:t xml:space="preserve"> </w:t>
      </w:r>
      <w:r w:rsidRPr="007B31C4">
        <w:t>standards</w:t>
      </w:r>
      <w:r w:rsidR="003162B4" w:rsidRPr="007B31C4">
        <w:t xml:space="preserve"> </w:t>
      </w:r>
      <w:r w:rsidR="00A435DA" w:rsidRPr="007B31C4">
        <w:t xml:space="preserve">used </w:t>
      </w:r>
      <w:r w:rsidR="00065D86" w:rsidRPr="007B31C4">
        <w:t>to</w:t>
      </w:r>
      <w:r w:rsidRPr="007B31C4">
        <w:t xml:space="preserve"> develop</w:t>
      </w:r>
      <w:r w:rsidR="00065D86" w:rsidRPr="007B31C4">
        <w:t xml:space="preserve"> the </w:t>
      </w:r>
      <w:r w:rsidR="00C8632F" w:rsidRPr="007B31C4">
        <w:t>recommended values</w:t>
      </w:r>
    </w:p>
    <w:p w14:paraId="56665F77" w14:textId="59EC0E5F" w:rsidR="00D166F4" w:rsidRPr="007B31C4" w:rsidRDefault="007B2AB1" w:rsidP="002D1713">
      <w:pPr>
        <w:jc w:val="both"/>
        <w:rPr>
          <w:rStyle w:val="A4"/>
          <w:sz w:val="23"/>
          <w:szCs w:val="23"/>
        </w:rPr>
      </w:pPr>
      <w:r w:rsidRPr="007B31C4">
        <w:rPr>
          <w:rStyle w:val="A4"/>
          <w:sz w:val="23"/>
          <w:szCs w:val="23"/>
        </w:rPr>
        <w:fldChar w:fldCharType="begin"/>
      </w:r>
      <w:r w:rsidR="009B5A35" w:rsidRPr="007B31C4">
        <w:rPr>
          <w:rStyle w:val="A4"/>
          <w:sz w:val="23"/>
          <w:szCs w:val="23"/>
        </w:rPr>
        <w:instrText xml:space="preserve"> STYLEREF 1 \s </w:instrText>
      </w:r>
      <w:r w:rsidRPr="007B31C4">
        <w:rPr>
          <w:rStyle w:val="A4"/>
          <w:sz w:val="23"/>
          <w:szCs w:val="23"/>
        </w:rPr>
        <w:fldChar w:fldCharType="separate"/>
      </w:r>
      <w:r w:rsidR="009468E1">
        <w:rPr>
          <w:rStyle w:val="A4"/>
          <w:noProof/>
          <w:sz w:val="23"/>
          <w:szCs w:val="23"/>
        </w:rPr>
        <w:t>4</w:t>
      </w:r>
      <w:r w:rsidRPr="007B31C4">
        <w:rPr>
          <w:rStyle w:val="A4"/>
          <w:sz w:val="23"/>
          <w:szCs w:val="23"/>
        </w:rPr>
        <w:fldChar w:fldCharType="end"/>
      </w:r>
      <w:r w:rsidR="009B5A35" w:rsidRPr="007B31C4">
        <w:rPr>
          <w:rStyle w:val="A4"/>
          <w:sz w:val="23"/>
          <w:szCs w:val="23"/>
        </w:rPr>
        <w:t>.</w:t>
      </w:r>
      <w:r w:rsidRPr="007B31C4">
        <w:rPr>
          <w:rStyle w:val="A4"/>
          <w:sz w:val="23"/>
          <w:szCs w:val="23"/>
        </w:rPr>
        <w:fldChar w:fldCharType="begin"/>
      </w:r>
      <w:r w:rsidR="009B5A35" w:rsidRPr="007B31C4">
        <w:rPr>
          <w:rStyle w:val="A4"/>
          <w:sz w:val="23"/>
          <w:szCs w:val="23"/>
        </w:rPr>
        <w:instrText xml:space="preserve"> SEQ Clause \* ARABIC \s 1 </w:instrText>
      </w:r>
      <w:r w:rsidRPr="007B31C4">
        <w:rPr>
          <w:rStyle w:val="A4"/>
          <w:sz w:val="23"/>
          <w:szCs w:val="23"/>
        </w:rPr>
        <w:fldChar w:fldCharType="separate"/>
      </w:r>
      <w:r w:rsidR="009468E1">
        <w:rPr>
          <w:rStyle w:val="A4"/>
          <w:noProof/>
          <w:sz w:val="23"/>
          <w:szCs w:val="23"/>
        </w:rPr>
        <w:t>1</w:t>
      </w:r>
      <w:r w:rsidRPr="007B31C4">
        <w:rPr>
          <w:rStyle w:val="A4"/>
          <w:sz w:val="23"/>
          <w:szCs w:val="23"/>
        </w:rPr>
        <w:fldChar w:fldCharType="end"/>
      </w:r>
      <w:r w:rsidR="009B5A35" w:rsidRPr="007B31C4">
        <w:rPr>
          <w:rStyle w:val="A4"/>
          <w:sz w:val="23"/>
          <w:szCs w:val="23"/>
        </w:rPr>
        <w:t xml:space="preserve"> </w:t>
      </w:r>
      <w:r w:rsidR="0057031C" w:rsidRPr="00F309F1">
        <w:t xml:space="preserve">The </w:t>
      </w:r>
      <w:r w:rsidR="0057031C">
        <w:t>r</w:t>
      </w:r>
      <w:r w:rsidR="0057031C" w:rsidRPr="00F309F1">
        <w:t xml:space="preserve">ehabilitation </w:t>
      </w:r>
      <w:r w:rsidR="0057031C">
        <w:t>s</w:t>
      </w:r>
      <w:r w:rsidR="0057031C" w:rsidRPr="00F309F1">
        <w:t xml:space="preserve">tandard </w:t>
      </w:r>
      <w:r w:rsidR="0057031C">
        <w:t xml:space="preserve">for ammonia </w:t>
      </w:r>
      <w:r w:rsidR="0057031C" w:rsidRPr="00F309F1">
        <w:t xml:space="preserve">is based on the site-specific guideline value derived </w:t>
      </w:r>
      <w:r w:rsidR="00042AE2">
        <w:t>from</w:t>
      </w:r>
      <w:r w:rsidR="0057031C" w:rsidRPr="00F309F1">
        <w:t xml:space="preserve"> laboratory-based effects data, </w:t>
      </w:r>
      <w:bookmarkStart w:id="5" w:name="_Hlk518205719"/>
      <w:r w:rsidR="0057031C">
        <w:t xml:space="preserve">using the procedures </w:t>
      </w:r>
      <w:r w:rsidR="0057031C" w:rsidRPr="00F309F1">
        <w:t xml:space="preserve">recommended in </w:t>
      </w:r>
      <w:r w:rsidR="0057031C">
        <w:t>the previous and current</w:t>
      </w:r>
      <w:r w:rsidR="0057031C" w:rsidRPr="00F309F1">
        <w:t xml:space="preserve"> Australian and New Zealand guidelines for fresh and marine water quality (ANZECC &amp; ARMCANZ 2000</w:t>
      </w:r>
      <w:r w:rsidR="0057031C">
        <w:t>, ANZG 2018</w:t>
      </w:r>
      <w:r w:rsidR="0057031C" w:rsidRPr="00F309F1">
        <w:t>)</w:t>
      </w:r>
      <w:bookmarkEnd w:id="5"/>
      <w:r w:rsidR="0057031C" w:rsidRPr="00F309F1">
        <w:t xml:space="preserve"> and associated methods subsequently revised by Batley et al. (2014) and Warne et al. (201</w:t>
      </w:r>
      <w:r w:rsidR="0057031C">
        <w:t>8</w:t>
      </w:r>
      <w:r w:rsidR="0057031C" w:rsidRPr="00F309F1">
        <w:t>).</w:t>
      </w:r>
      <w:r w:rsidR="00042AE2">
        <w:t xml:space="preserve"> </w:t>
      </w:r>
    </w:p>
    <w:p w14:paraId="30694314" w14:textId="28460CEC" w:rsidR="00D166F4" w:rsidRPr="007B31C4" w:rsidRDefault="00791459" w:rsidP="002D1713">
      <w:pPr>
        <w:jc w:val="both"/>
        <w:rPr>
          <w:rStyle w:val="A4"/>
          <w:sz w:val="23"/>
          <w:szCs w:val="23"/>
        </w:rPr>
      </w:pPr>
      <w:r w:rsidRPr="007B31C4">
        <w:rPr>
          <w:rStyle w:val="A4"/>
          <w:sz w:val="23"/>
          <w:szCs w:val="23"/>
        </w:rPr>
        <w:lastRenderedPageBreak/>
        <w:fldChar w:fldCharType="begin"/>
      </w:r>
      <w:r w:rsidRPr="007B31C4">
        <w:rPr>
          <w:rStyle w:val="A4"/>
          <w:sz w:val="23"/>
          <w:szCs w:val="23"/>
        </w:rPr>
        <w:instrText xml:space="preserve"> STYLEREF 1 \s </w:instrText>
      </w:r>
      <w:r w:rsidRPr="007B31C4">
        <w:rPr>
          <w:rStyle w:val="A4"/>
          <w:sz w:val="23"/>
          <w:szCs w:val="23"/>
        </w:rPr>
        <w:fldChar w:fldCharType="separate"/>
      </w:r>
      <w:r w:rsidR="009468E1">
        <w:rPr>
          <w:rStyle w:val="A4"/>
          <w:noProof/>
          <w:sz w:val="23"/>
          <w:szCs w:val="23"/>
        </w:rPr>
        <w:t>4</w:t>
      </w:r>
      <w:r w:rsidRPr="007B31C4">
        <w:rPr>
          <w:rStyle w:val="A4"/>
          <w:sz w:val="23"/>
          <w:szCs w:val="23"/>
        </w:rPr>
        <w:fldChar w:fldCharType="end"/>
      </w:r>
      <w:r w:rsidRPr="007B31C4">
        <w:rPr>
          <w:rStyle w:val="A4"/>
          <w:sz w:val="23"/>
          <w:szCs w:val="23"/>
        </w:rPr>
        <w:t>.</w:t>
      </w:r>
      <w:r w:rsidRPr="007B31C4">
        <w:rPr>
          <w:rStyle w:val="A4"/>
          <w:sz w:val="23"/>
          <w:szCs w:val="23"/>
        </w:rPr>
        <w:fldChar w:fldCharType="begin"/>
      </w:r>
      <w:r w:rsidRPr="007B31C4">
        <w:rPr>
          <w:rStyle w:val="A4"/>
          <w:sz w:val="23"/>
          <w:szCs w:val="23"/>
        </w:rPr>
        <w:instrText xml:space="preserve"> SEQ Clause \* ARABIC \s 1 </w:instrText>
      </w:r>
      <w:r w:rsidRPr="007B31C4">
        <w:rPr>
          <w:rStyle w:val="A4"/>
          <w:sz w:val="23"/>
          <w:szCs w:val="23"/>
        </w:rPr>
        <w:fldChar w:fldCharType="separate"/>
      </w:r>
      <w:r w:rsidR="009468E1">
        <w:rPr>
          <w:rStyle w:val="A4"/>
          <w:noProof/>
          <w:sz w:val="23"/>
          <w:szCs w:val="23"/>
        </w:rPr>
        <w:t>2</w:t>
      </w:r>
      <w:r w:rsidRPr="007B31C4">
        <w:rPr>
          <w:rStyle w:val="A4"/>
          <w:sz w:val="23"/>
          <w:szCs w:val="23"/>
        </w:rPr>
        <w:fldChar w:fldCharType="end"/>
      </w:r>
      <w:r w:rsidRPr="007B31C4">
        <w:rPr>
          <w:rStyle w:val="A4"/>
          <w:sz w:val="23"/>
          <w:szCs w:val="23"/>
        </w:rPr>
        <w:t xml:space="preserve"> </w:t>
      </w:r>
      <w:r w:rsidR="00D166F4" w:rsidRPr="00F309F1">
        <w:t>Given the ecological</w:t>
      </w:r>
      <w:r w:rsidR="00F50225" w:rsidRPr="00F309F1">
        <w:t xml:space="preserve"> importance </w:t>
      </w:r>
      <w:r w:rsidR="00D166F4" w:rsidRPr="00F309F1">
        <w:t>of the region surrounding</w:t>
      </w:r>
      <w:r w:rsidR="00242E24" w:rsidRPr="00F309F1">
        <w:t xml:space="preserve"> the</w:t>
      </w:r>
      <w:r w:rsidR="00D166F4" w:rsidRPr="00F309F1">
        <w:t xml:space="preserve"> Ranger </w:t>
      </w:r>
      <w:r w:rsidR="00242E24" w:rsidRPr="00F309F1">
        <w:t xml:space="preserve">uranium </w:t>
      </w:r>
      <w:r w:rsidR="00D166F4" w:rsidRPr="00F309F1">
        <w:t>mine</w:t>
      </w:r>
      <w:r w:rsidRPr="00F309F1">
        <w:t>,</w:t>
      </w:r>
      <w:r w:rsidR="00D166F4" w:rsidRPr="00F309F1">
        <w:t xml:space="preserve"> the </w:t>
      </w:r>
      <w:r w:rsidR="009F393B">
        <w:t>r</w:t>
      </w:r>
      <w:r w:rsidR="002D1713" w:rsidRPr="00F309F1">
        <w:t xml:space="preserve">ehabilitation </w:t>
      </w:r>
      <w:r w:rsidR="009F393B">
        <w:t>s</w:t>
      </w:r>
      <w:r w:rsidR="002D1713" w:rsidRPr="00F309F1">
        <w:t>tandard</w:t>
      </w:r>
      <w:r w:rsidR="00425158" w:rsidRPr="00F309F1">
        <w:t xml:space="preserve"> </w:t>
      </w:r>
      <w:r w:rsidR="009F393B">
        <w:t xml:space="preserve">for ammonia </w:t>
      </w:r>
      <w:r w:rsidR="00D166F4" w:rsidRPr="00F309F1">
        <w:t xml:space="preserve">has been derived </w:t>
      </w:r>
      <w:r w:rsidR="00425158" w:rsidRPr="00F309F1">
        <w:t>to provide the highest level of protection</w:t>
      </w:r>
      <w:r w:rsidRPr="00F309F1">
        <w:t>:</w:t>
      </w:r>
      <w:r w:rsidR="00425158" w:rsidRPr="00F309F1">
        <w:t xml:space="preserve"> at least 99% of species according to the</w:t>
      </w:r>
      <w:r w:rsidR="00895D79">
        <w:t xml:space="preserve"> national water quality guidelines (</w:t>
      </w:r>
      <w:r w:rsidR="00425158" w:rsidRPr="00F309F1">
        <w:t>ANZECC &amp; ARMCANZ 2000</w:t>
      </w:r>
      <w:r w:rsidR="00895D79">
        <w:t>, ANZG 2018</w:t>
      </w:r>
      <w:r w:rsidR="00425158" w:rsidRPr="00F309F1">
        <w:t>)</w:t>
      </w:r>
      <w:r w:rsidR="00D166F4" w:rsidRPr="00F309F1">
        <w:t>.</w:t>
      </w:r>
    </w:p>
    <w:p w14:paraId="513F30DA" w14:textId="77777777" w:rsidR="00370D14" w:rsidRPr="007B31C4" w:rsidRDefault="00370D14" w:rsidP="002D1713">
      <w:pPr>
        <w:pStyle w:val="Heading2"/>
        <w:jc w:val="both"/>
      </w:pPr>
      <w:r w:rsidRPr="007B31C4">
        <w:t>Scientific evidence summary</w:t>
      </w:r>
    </w:p>
    <w:p w14:paraId="00420C31" w14:textId="7593C678" w:rsidR="007136BC" w:rsidRPr="007B31C4" w:rsidRDefault="00791459" w:rsidP="002D1713">
      <w:pPr>
        <w:jc w:val="both"/>
      </w:pPr>
      <w:r w:rsidRPr="007B31C4">
        <w:rPr>
          <w:rStyle w:val="A4"/>
          <w:sz w:val="23"/>
          <w:szCs w:val="23"/>
        </w:rPr>
        <w:fldChar w:fldCharType="begin"/>
      </w:r>
      <w:r w:rsidRPr="007B31C4">
        <w:rPr>
          <w:rStyle w:val="A4"/>
          <w:sz w:val="23"/>
          <w:szCs w:val="23"/>
        </w:rPr>
        <w:instrText xml:space="preserve"> STYLEREF 1 \s </w:instrText>
      </w:r>
      <w:r w:rsidRPr="007B31C4">
        <w:rPr>
          <w:rStyle w:val="A4"/>
          <w:sz w:val="23"/>
          <w:szCs w:val="23"/>
        </w:rPr>
        <w:fldChar w:fldCharType="separate"/>
      </w:r>
      <w:r w:rsidR="009468E1">
        <w:rPr>
          <w:rStyle w:val="A4"/>
          <w:noProof/>
          <w:sz w:val="23"/>
          <w:szCs w:val="23"/>
        </w:rPr>
        <w:t>4</w:t>
      </w:r>
      <w:r w:rsidRPr="007B31C4">
        <w:rPr>
          <w:rStyle w:val="A4"/>
          <w:sz w:val="23"/>
          <w:szCs w:val="23"/>
        </w:rPr>
        <w:fldChar w:fldCharType="end"/>
      </w:r>
      <w:r w:rsidRPr="007B31C4">
        <w:rPr>
          <w:rStyle w:val="A4"/>
          <w:sz w:val="23"/>
          <w:szCs w:val="23"/>
        </w:rPr>
        <w:t>.</w:t>
      </w:r>
      <w:r w:rsidRPr="007B31C4">
        <w:rPr>
          <w:rStyle w:val="A4"/>
          <w:sz w:val="23"/>
          <w:szCs w:val="23"/>
        </w:rPr>
        <w:fldChar w:fldCharType="begin"/>
      </w:r>
      <w:r w:rsidRPr="007B31C4">
        <w:rPr>
          <w:rStyle w:val="A4"/>
          <w:sz w:val="23"/>
          <w:szCs w:val="23"/>
        </w:rPr>
        <w:instrText xml:space="preserve"> SEQ Clause \* ARABIC \s 1 </w:instrText>
      </w:r>
      <w:r w:rsidRPr="007B31C4">
        <w:rPr>
          <w:rStyle w:val="A4"/>
          <w:sz w:val="23"/>
          <w:szCs w:val="23"/>
        </w:rPr>
        <w:fldChar w:fldCharType="separate"/>
      </w:r>
      <w:r w:rsidR="009468E1">
        <w:rPr>
          <w:rStyle w:val="A4"/>
          <w:noProof/>
          <w:sz w:val="23"/>
          <w:szCs w:val="23"/>
        </w:rPr>
        <w:t>3</w:t>
      </w:r>
      <w:r w:rsidRPr="007B31C4">
        <w:rPr>
          <w:rStyle w:val="A4"/>
          <w:sz w:val="23"/>
          <w:szCs w:val="23"/>
        </w:rPr>
        <w:fldChar w:fldCharType="end"/>
      </w:r>
      <w:r w:rsidRPr="007B31C4">
        <w:rPr>
          <w:rStyle w:val="A4"/>
          <w:sz w:val="23"/>
          <w:szCs w:val="23"/>
        </w:rPr>
        <w:t xml:space="preserve"> </w:t>
      </w:r>
      <w:r w:rsidR="007136BC" w:rsidRPr="007B31C4">
        <w:t xml:space="preserve">Ammonia is used during the processing of </w:t>
      </w:r>
      <w:r w:rsidR="00182565" w:rsidRPr="007B31C4">
        <w:t xml:space="preserve">uranium </w:t>
      </w:r>
      <w:r w:rsidR="007136BC" w:rsidRPr="007B31C4">
        <w:t>ore</w:t>
      </w:r>
      <w:r>
        <w:t>. It</w:t>
      </w:r>
      <w:r w:rsidR="00F50225" w:rsidRPr="007B31C4">
        <w:t xml:space="preserve"> </w:t>
      </w:r>
      <w:r w:rsidR="007136BC" w:rsidRPr="007B31C4">
        <w:t>is present at high concentrations in</w:t>
      </w:r>
      <w:r w:rsidR="00242E24" w:rsidRPr="007B31C4">
        <w:t xml:space="preserve"> the</w:t>
      </w:r>
      <w:r w:rsidR="007136BC" w:rsidRPr="007B31C4">
        <w:t xml:space="preserve"> Ranger </w:t>
      </w:r>
      <w:r w:rsidR="00242E24" w:rsidRPr="007B31C4">
        <w:t xml:space="preserve">uranium </w:t>
      </w:r>
      <w:r w:rsidR="00684EC4" w:rsidRPr="007B31C4">
        <w:t>m</w:t>
      </w:r>
      <w:r w:rsidR="007136BC" w:rsidRPr="007B31C4">
        <w:t>ine process water</w:t>
      </w:r>
      <w:r>
        <w:t xml:space="preserve">; approximately </w:t>
      </w:r>
      <w:r w:rsidR="00E62E48" w:rsidRPr="007B31C4">
        <w:t>900</w:t>
      </w:r>
      <w:r>
        <w:t> </w:t>
      </w:r>
      <w:r w:rsidR="007136BC" w:rsidRPr="007B31C4">
        <w:t>mg</w:t>
      </w:r>
      <w:r w:rsidR="00C3213E" w:rsidRPr="007B31C4">
        <w:t>/</w:t>
      </w:r>
      <w:r w:rsidR="007136BC" w:rsidRPr="007B31C4">
        <w:t>L</w:t>
      </w:r>
      <w:r w:rsidR="00C3213E" w:rsidRPr="007B31C4">
        <w:t xml:space="preserve"> </w:t>
      </w:r>
      <w:r w:rsidR="00BB15C5">
        <w:t>total ammonia nitrogen</w:t>
      </w:r>
      <w:r w:rsidR="00F50225" w:rsidRPr="007B31C4">
        <w:t xml:space="preserve">. </w:t>
      </w:r>
      <w:r w:rsidR="004E0D22" w:rsidRPr="007B31C4">
        <w:t>Ammonia presents a risk to the aquatic environment surrounding the Ranger uranium mine because it will be present at high concentrations in tailings and concentrated brine that will be disposed of in the mine pit voids. Ammonia may be mobilised under certain conditions and leach from the buried tailings and brine and</w:t>
      </w:r>
      <w:r w:rsidR="004E0D22" w:rsidRPr="007B31C4">
        <w:rPr>
          <w:rFonts w:cs="Arial"/>
          <w:szCs w:val="22"/>
        </w:rPr>
        <w:t xml:space="preserve"> enter surrounding surface water through groundwater egress after rehabilitation</w:t>
      </w:r>
      <w:r w:rsidR="004E0D22" w:rsidRPr="007B31C4">
        <w:t xml:space="preserve">. </w:t>
      </w:r>
      <w:r w:rsidR="007136BC" w:rsidRPr="007B31C4">
        <w:t xml:space="preserve"> </w:t>
      </w:r>
    </w:p>
    <w:p w14:paraId="00DA63FC" w14:textId="77117197" w:rsidR="000B4DC1" w:rsidRPr="007B31C4" w:rsidRDefault="00791459" w:rsidP="002D1713">
      <w:pPr>
        <w:jc w:val="both"/>
      </w:pPr>
      <w:r w:rsidRPr="007B31C4">
        <w:rPr>
          <w:rStyle w:val="A4"/>
          <w:sz w:val="23"/>
          <w:szCs w:val="23"/>
        </w:rPr>
        <w:fldChar w:fldCharType="begin"/>
      </w:r>
      <w:r w:rsidRPr="007B31C4">
        <w:rPr>
          <w:rStyle w:val="A4"/>
          <w:sz w:val="23"/>
          <w:szCs w:val="23"/>
        </w:rPr>
        <w:instrText xml:space="preserve"> STYLEREF 1 \s </w:instrText>
      </w:r>
      <w:r w:rsidRPr="007B31C4">
        <w:rPr>
          <w:rStyle w:val="A4"/>
          <w:sz w:val="23"/>
          <w:szCs w:val="23"/>
        </w:rPr>
        <w:fldChar w:fldCharType="separate"/>
      </w:r>
      <w:r w:rsidR="009468E1">
        <w:rPr>
          <w:rStyle w:val="A4"/>
          <w:noProof/>
          <w:sz w:val="23"/>
          <w:szCs w:val="23"/>
        </w:rPr>
        <w:t>4</w:t>
      </w:r>
      <w:r w:rsidRPr="007B31C4">
        <w:rPr>
          <w:rStyle w:val="A4"/>
          <w:sz w:val="23"/>
          <w:szCs w:val="23"/>
        </w:rPr>
        <w:fldChar w:fldCharType="end"/>
      </w:r>
      <w:r w:rsidRPr="007B31C4">
        <w:rPr>
          <w:rStyle w:val="A4"/>
          <w:sz w:val="23"/>
          <w:szCs w:val="23"/>
        </w:rPr>
        <w:t>.</w:t>
      </w:r>
      <w:r w:rsidRPr="007B31C4">
        <w:rPr>
          <w:rStyle w:val="A4"/>
          <w:sz w:val="23"/>
          <w:szCs w:val="23"/>
        </w:rPr>
        <w:fldChar w:fldCharType="begin"/>
      </w:r>
      <w:r w:rsidRPr="007B31C4">
        <w:rPr>
          <w:rStyle w:val="A4"/>
          <w:sz w:val="23"/>
          <w:szCs w:val="23"/>
        </w:rPr>
        <w:instrText xml:space="preserve"> SEQ Clause \* ARABIC \s 1 </w:instrText>
      </w:r>
      <w:r w:rsidRPr="007B31C4">
        <w:rPr>
          <w:rStyle w:val="A4"/>
          <w:sz w:val="23"/>
          <w:szCs w:val="23"/>
        </w:rPr>
        <w:fldChar w:fldCharType="separate"/>
      </w:r>
      <w:r w:rsidR="009468E1">
        <w:rPr>
          <w:rStyle w:val="A4"/>
          <w:noProof/>
          <w:sz w:val="23"/>
          <w:szCs w:val="23"/>
        </w:rPr>
        <w:t>4</w:t>
      </w:r>
      <w:r w:rsidRPr="007B31C4">
        <w:rPr>
          <w:rStyle w:val="A4"/>
          <w:sz w:val="23"/>
          <w:szCs w:val="23"/>
        </w:rPr>
        <w:fldChar w:fldCharType="end"/>
      </w:r>
      <w:r w:rsidRPr="007B31C4">
        <w:rPr>
          <w:rStyle w:val="A4"/>
          <w:sz w:val="23"/>
          <w:szCs w:val="23"/>
        </w:rPr>
        <w:t xml:space="preserve"> </w:t>
      </w:r>
      <w:r w:rsidR="00A6734A" w:rsidRPr="007B31C4">
        <w:t xml:space="preserve">In solution, ammonia toxicity is caused by both ammonia </w:t>
      </w:r>
      <w:r w:rsidR="00A6734A" w:rsidRPr="007B31C4">
        <w:rPr>
          <w:lang w:val="en-US"/>
        </w:rPr>
        <w:t xml:space="preserve">and </w:t>
      </w:r>
      <w:r w:rsidR="00A6734A" w:rsidRPr="007B31C4">
        <w:t>the ammonium ion</w:t>
      </w:r>
      <w:r w:rsidR="00A6734A" w:rsidRPr="007B31C4">
        <w:rPr>
          <w:lang w:val="en-US"/>
        </w:rPr>
        <w:t xml:space="preserve">, with </w:t>
      </w:r>
      <w:r w:rsidR="00BB15C5">
        <w:rPr>
          <w:lang w:val="en-US"/>
        </w:rPr>
        <w:t xml:space="preserve">ammonia </w:t>
      </w:r>
      <w:r w:rsidR="00A6734A" w:rsidRPr="007B31C4">
        <w:rPr>
          <w:lang w:val="en-US"/>
        </w:rPr>
        <w:t xml:space="preserve">being more toxic </w:t>
      </w:r>
      <w:r w:rsidR="00A6734A" w:rsidRPr="007B31C4">
        <w:t>(USEPA 2013).</w:t>
      </w:r>
      <w:r w:rsidR="00425158" w:rsidRPr="007B31C4">
        <w:t xml:space="preserve"> </w:t>
      </w:r>
      <w:r w:rsidR="00BB15C5">
        <w:t xml:space="preserve">Ammonia </w:t>
      </w:r>
      <w:r w:rsidR="00425158" w:rsidRPr="007B31C4">
        <w:t xml:space="preserve">readily dissolves in water where it will ionise to form </w:t>
      </w:r>
      <w:r w:rsidR="00BB15C5">
        <w:t>the ammonium ion</w:t>
      </w:r>
      <w:r w:rsidR="00425158" w:rsidRPr="007B31C4">
        <w:t>. The extent to which this occurs depends on the pH and temperature, and to a lesser extent, other dissolved ions present in the water. Higher pH and temperature decreases ionisation (Emerson et al.</w:t>
      </w:r>
      <w:r w:rsidR="00397039">
        <w:t xml:space="preserve"> </w:t>
      </w:r>
      <w:r w:rsidR="00425158" w:rsidRPr="007B31C4">
        <w:t xml:space="preserve">1975). </w:t>
      </w:r>
      <w:r w:rsidR="000B4DC1" w:rsidRPr="007B31C4">
        <w:t>Emerson et al. (1975) derived</w:t>
      </w:r>
      <w:r w:rsidR="0021709B" w:rsidRPr="007B31C4">
        <w:t xml:space="preserve"> speciation</w:t>
      </w:r>
      <w:r w:rsidR="000B4DC1" w:rsidRPr="007B31C4">
        <w:t xml:space="preserve"> equations to predict the speciation of ammonia in solution based on water pH and temperature.</w:t>
      </w:r>
      <w:r w:rsidR="00A6734A" w:rsidRPr="007B31C4">
        <w:t xml:space="preserve"> These</w:t>
      </w:r>
      <w:r w:rsidR="0021709B" w:rsidRPr="007B31C4">
        <w:t xml:space="preserve"> speciation</w:t>
      </w:r>
      <w:r w:rsidR="00A6734A" w:rsidRPr="007B31C4">
        <w:t xml:space="preserve"> equations can be used to adjust</w:t>
      </w:r>
      <w:r w:rsidR="000B4DC1" w:rsidRPr="007B31C4">
        <w:t xml:space="preserve"> </w:t>
      </w:r>
      <w:r w:rsidR="00A6734A" w:rsidRPr="007B31C4">
        <w:t>t</w:t>
      </w:r>
      <w:r w:rsidR="000B4DC1" w:rsidRPr="007B31C4">
        <w:t xml:space="preserve">oxicity estimates </w:t>
      </w:r>
      <w:r w:rsidR="00A6734A" w:rsidRPr="007B31C4">
        <w:t xml:space="preserve">for individual species </w:t>
      </w:r>
      <w:r w:rsidR="000B4DC1" w:rsidRPr="007B31C4">
        <w:t>and subsequent guideline values for pH and temperature.</w:t>
      </w:r>
    </w:p>
    <w:p w14:paraId="553A6628" w14:textId="1BD68078" w:rsidR="00BB4EB4" w:rsidRPr="007B31C4" w:rsidRDefault="00791459" w:rsidP="002D1713">
      <w:pPr>
        <w:jc w:val="both"/>
      </w:pPr>
      <w:r w:rsidRPr="007B31C4">
        <w:rPr>
          <w:rStyle w:val="A4"/>
          <w:sz w:val="23"/>
          <w:szCs w:val="23"/>
        </w:rPr>
        <w:fldChar w:fldCharType="begin"/>
      </w:r>
      <w:r w:rsidRPr="007B31C4">
        <w:rPr>
          <w:rStyle w:val="A4"/>
          <w:sz w:val="23"/>
          <w:szCs w:val="23"/>
        </w:rPr>
        <w:instrText xml:space="preserve"> STYLEREF 1 \s </w:instrText>
      </w:r>
      <w:r w:rsidRPr="007B31C4">
        <w:rPr>
          <w:rStyle w:val="A4"/>
          <w:sz w:val="23"/>
          <w:szCs w:val="23"/>
        </w:rPr>
        <w:fldChar w:fldCharType="separate"/>
      </w:r>
      <w:r w:rsidR="009468E1">
        <w:rPr>
          <w:rStyle w:val="A4"/>
          <w:noProof/>
          <w:sz w:val="23"/>
          <w:szCs w:val="23"/>
        </w:rPr>
        <w:t>4</w:t>
      </w:r>
      <w:r w:rsidRPr="007B31C4">
        <w:rPr>
          <w:rStyle w:val="A4"/>
          <w:sz w:val="23"/>
          <w:szCs w:val="23"/>
        </w:rPr>
        <w:fldChar w:fldCharType="end"/>
      </w:r>
      <w:r w:rsidRPr="007B31C4">
        <w:rPr>
          <w:rStyle w:val="A4"/>
          <w:sz w:val="23"/>
          <w:szCs w:val="23"/>
        </w:rPr>
        <w:t>.</w:t>
      </w:r>
      <w:r w:rsidRPr="007B31C4">
        <w:rPr>
          <w:rStyle w:val="A4"/>
          <w:sz w:val="23"/>
          <w:szCs w:val="23"/>
        </w:rPr>
        <w:fldChar w:fldCharType="begin"/>
      </w:r>
      <w:r w:rsidRPr="007B31C4">
        <w:rPr>
          <w:rStyle w:val="A4"/>
          <w:sz w:val="23"/>
          <w:szCs w:val="23"/>
        </w:rPr>
        <w:instrText xml:space="preserve"> SEQ Clause \* ARABIC \s 1 </w:instrText>
      </w:r>
      <w:r w:rsidRPr="007B31C4">
        <w:rPr>
          <w:rStyle w:val="A4"/>
          <w:sz w:val="23"/>
          <w:szCs w:val="23"/>
        </w:rPr>
        <w:fldChar w:fldCharType="separate"/>
      </w:r>
      <w:r w:rsidR="009468E1">
        <w:rPr>
          <w:rStyle w:val="A4"/>
          <w:noProof/>
          <w:sz w:val="23"/>
          <w:szCs w:val="23"/>
        </w:rPr>
        <w:t>5</w:t>
      </w:r>
      <w:r w:rsidRPr="007B31C4">
        <w:rPr>
          <w:rStyle w:val="A4"/>
          <w:sz w:val="23"/>
          <w:szCs w:val="23"/>
        </w:rPr>
        <w:fldChar w:fldCharType="end"/>
      </w:r>
      <w:r w:rsidRPr="007B31C4">
        <w:rPr>
          <w:rStyle w:val="A4"/>
          <w:sz w:val="23"/>
          <w:szCs w:val="23"/>
        </w:rPr>
        <w:t xml:space="preserve"> </w:t>
      </w:r>
      <w:r w:rsidR="00254794" w:rsidRPr="007B31C4">
        <w:t>In Magela Creek</w:t>
      </w:r>
      <w:r w:rsidR="00385CB7">
        <w:t xml:space="preserve"> stream channel</w:t>
      </w:r>
      <w:r w:rsidR="00D21DEF">
        <w:t>,</w:t>
      </w:r>
      <w:r w:rsidR="00254794" w:rsidRPr="007B31C4">
        <w:t xml:space="preserve"> the </w:t>
      </w:r>
      <w:r w:rsidR="00A55289" w:rsidRPr="007B31C4">
        <w:t xml:space="preserve">natural baseline </w:t>
      </w:r>
      <w:r w:rsidR="00B950CA" w:rsidRPr="007B31C4">
        <w:t>concentration of ammonia</w:t>
      </w:r>
      <w:r w:rsidR="00964649" w:rsidRPr="007B31C4">
        <w:t xml:space="preserve"> varies</w:t>
      </w:r>
      <w:r w:rsidR="002412A3" w:rsidRPr="007B31C4">
        <w:t>, with a median of</w:t>
      </w:r>
      <w:r w:rsidR="00B950CA" w:rsidRPr="007B31C4">
        <w:t xml:space="preserve"> 0.01</w:t>
      </w:r>
      <w:r w:rsidR="008E5A00">
        <w:t> </w:t>
      </w:r>
      <w:r w:rsidR="00B950CA" w:rsidRPr="007B31C4">
        <w:t xml:space="preserve">mg/L </w:t>
      </w:r>
      <w:r w:rsidR="00BB15C5">
        <w:t>total ammonia nitrogen</w:t>
      </w:r>
      <w:r w:rsidR="00733737" w:rsidRPr="007B31C4">
        <w:t>, a</w:t>
      </w:r>
      <w:r w:rsidR="00B950CA" w:rsidRPr="007B31C4">
        <w:t xml:space="preserve"> 5</w:t>
      </w:r>
      <w:r w:rsidR="00B950CA" w:rsidRPr="00F309F1">
        <w:t>th</w:t>
      </w:r>
      <w:r w:rsidR="00B950CA" w:rsidRPr="007B31C4">
        <w:t xml:space="preserve"> </w:t>
      </w:r>
      <w:r w:rsidR="00733737" w:rsidRPr="007B31C4">
        <w:t>percentile of 0.005</w:t>
      </w:r>
      <w:r w:rsidR="008E5A00">
        <w:t> </w:t>
      </w:r>
      <w:r w:rsidR="00733737" w:rsidRPr="007B31C4">
        <w:t xml:space="preserve">mg/L </w:t>
      </w:r>
      <w:r w:rsidR="00BB15C5">
        <w:t>total ammonia nitrogen</w:t>
      </w:r>
      <w:r w:rsidR="00733737" w:rsidRPr="007B31C4">
        <w:t xml:space="preserve"> </w:t>
      </w:r>
      <w:r w:rsidR="00B950CA" w:rsidRPr="007B31C4">
        <w:t xml:space="preserve">and </w:t>
      </w:r>
      <w:r w:rsidR="00733737" w:rsidRPr="007B31C4">
        <w:t xml:space="preserve">a </w:t>
      </w:r>
      <w:r w:rsidR="00B950CA" w:rsidRPr="007B31C4">
        <w:t>95</w:t>
      </w:r>
      <w:r w:rsidR="00B950CA" w:rsidRPr="00F309F1">
        <w:t>th</w:t>
      </w:r>
      <w:r w:rsidR="00B950CA" w:rsidRPr="007B31C4">
        <w:t xml:space="preserve"> percentile of </w:t>
      </w:r>
      <w:r w:rsidR="00733737" w:rsidRPr="007B31C4">
        <w:t>0</w:t>
      </w:r>
      <w:r w:rsidR="00B950CA" w:rsidRPr="007B31C4">
        <w:t>.015</w:t>
      </w:r>
      <w:r w:rsidR="008E5A00">
        <w:t> </w:t>
      </w:r>
      <w:r w:rsidR="00B950CA" w:rsidRPr="007B31C4">
        <w:t xml:space="preserve">mg/L </w:t>
      </w:r>
      <w:r w:rsidR="00BB15C5">
        <w:t>total ammonia nitrogen</w:t>
      </w:r>
      <w:r w:rsidR="00B950CA" w:rsidRPr="007B31C4">
        <w:t xml:space="preserve"> (</w:t>
      </w:r>
      <w:r w:rsidR="00B950CA" w:rsidRPr="007B31C4">
        <w:rPr>
          <w:rFonts w:cs="Arial"/>
        </w:rPr>
        <w:t xml:space="preserve">derived from combined upstream and downstream data, </w:t>
      </w:r>
      <w:r w:rsidR="00B950CA" w:rsidRPr="007B31C4">
        <w:rPr>
          <w:rFonts w:cs="Arial"/>
          <w:i/>
        </w:rPr>
        <w:t>n</w:t>
      </w:r>
      <w:r w:rsidR="00964649" w:rsidRPr="007B31C4">
        <w:rPr>
          <w:rFonts w:cs="Arial"/>
        </w:rPr>
        <w:t xml:space="preserve"> = 142</w:t>
      </w:r>
      <w:r w:rsidR="00B950CA" w:rsidRPr="007B31C4">
        <w:rPr>
          <w:rFonts w:cs="Arial"/>
        </w:rPr>
        <w:t>)</w:t>
      </w:r>
      <w:r w:rsidR="00F724ED" w:rsidRPr="007B31C4">
        <w:rPr>
          <w:rFonts w:cs="Arial"/>
        </w:rPr>
        <w:t xml:space="preserve">. </w:t>
      </w:r>
      <w:r w:rsidR="00BB15C5">
        <w:rPr>
          <w:rFonts w:cs="Arial"/>
        </w:rPr>
        <w:t>The ammonium ion</w:t>
      </w:r>
      <w:r w:rsidR="00733737" w:rsidRPr="007B31C4">
        <w:t xml:space="preserve"> </w:t>
      </w:r>
      <w:r w:rsidR="00515F07" w:rsidRPr="007B31C4">
        <w:t xml:space="preserve">is the dominant </w:t>
      </w:r>
      <w:r w:rsidR="00A55289" w:rsidRPr="007B31C4">
        <w:t xml:space="preserve">species in </w:t>
      </w:r>
      <w:r w:rsidR="00230395" w:rsidRPr="007B31C4">
        <w:t xml:space="preserve">Magela Creek </w:t>
      </w:r>
      <w:r w:rsidR="00A55289" w:rsidRPr="007B31C4">
        <w:t xml:space="preserve">water </w:t>
      </w:r>
      <w:r w:rsidR="00230395" w:rsidRPr="007B31C4">
        <w:t xml:space="preserve">(pH </w:t>
      </w:r>
      <w:r w:rsidR="00230395" w:rsidRPr="007B31C4">
        <w:rPr>
          <w:rFonts w:cs="Arial"/>
        </w:rPr>
        <w:t>~</w:t>
      </w:r>
      <w:r w:rsidR="008E5A00">
        <w:rPr>
          <w:rFonts w:cs="Arial"/>
        </w:rPr>
        <w:t> </w:t>
      </w:r>
      <w:r w:rsidR="00230395" w:rsidRPr="007B31C4">
        <w:t xml:space="preserve">5.0 to 6.5) </w:t>
      </w:r>
      <w:r w:rsidR="00515F07" w:rsidRPr="007B31C4">
        <w:t>with t</w:t>
      </w:r>
      <w:r w:rsidR="00230395" w:rsidRPr="007B31C4">
        <w:t xml:space="preserve">he percentage of </w:t>
      </w:r>
      <w:r w:rsidR="00BB15C5">
        <w:t xml:space="preserve">ammonia </w:t>
      </w:r>
      <w:r w:rsidR="00733737" w:rsidRPr="007B31C4">
        <w:t xml:space="preserve">being </w:t>
      </w:r>
      <w:r w:rsidR="00230395" w:rsidRPr="007B31C4">
        <w:t>&lt;</w:t>
      </w:r>
      <w:r w:rsidR="00D21DEF">
        <w:t> </w:t>
      </w:r>
      <w:r w:rsidR="00230395" w:rsidRPr="007B31C4">
        <w:t xml:space="preserve">0.25% </w:t>
      </w:r>
      <w:r w:rsidR="00733737" w:rsidRPr="007B31C4">
        <w:t xml:space="preserve">of the total </w:t>
      </w:r>
      <w:r w:rsidR="00BB15C5">
        <w:t>ammonia nitrogen</w:t>
      </w:r>
      <w:r w:rsidR="00733737" w:rsidRPr="007B31C4">
        <w:t xml:space="preserve"> concentration </w:t>
      </w:r>
      <w:r w:rsidR="00230395" w:rsidRPr="007B31C4">
        <w:t>(Emerson et al 1975).</w:t>
      </w:r>
    </w:p>
    <w:p w14:paraId="3C6DE9CE" w14:textId="5CDDA563" w:rsidR="00AD12CB" w:rsidRPr="007B31C4" w:rsidRDefault="00791459" w:rsidP="002D1713">
      <w:pPr>
        <w:jc w:val="both"/>
      </w:pPr>
      <w:r w:rsidRPr="007B31C4">
        <w:rPr>
          <w:rStyle w:val="A4"/>
          <w:sz w:val="23"/>
          <w:szCs w:val="23"/>
        </w:rPr>
        <w:fldChar w:fldCharType="begin"/>
      </w:r>
      <w:r w:rsidRPr="007B31C4">
        <w:rPr>
          <w:rStyle w:val="A4"/>
          <w:sz w:val="23"/>
          <w:szCs w:val="23"/>
        </w:rPr>
        <w:instrText xml:space="preserve"> STYLEREF 1 \s </w:instrText>
      </w:r>
      <w:r w:rsidRPr="007B31C4">
        <w:rPr>
          <w:rStyle w:val="A4"/>
          <w:sz w:val="23"/>
          <w:szCs w:val="23"/>
        </w:rPr>
        <w:fldChar w:fldCharType="separate"/>
      </w:r>
      <w:r w:rsidR="009468E1">
        <w:rPr>
          <w:rStyle w:val="A4"/>
          <w:noProof/>
          <w:sz w:val="23"/>
          <w:szCs w:val="23"/>
        </w:rPr>
        <w:t>4</w:t>
      </w:r>
      <w:r w:rsidRPr="007B31C4">
        <w:rPr>
          <w:rStyle w:val="A4"/>
          <w:sz w:val="23"/>
          <w:szCs w:val="23"/>
        </w:rPr>
        <w:fldChar w:fldCharType="end"/>
      </w:r>
      <w:r w:rsidRPr="007B31C4">
        <w:rPr>
          <w:rStyle w:val="A4"/>
          <w:sz w:val="23"/>
          <w:szCs w:val="23"/>
        </w:rPr>
        <w:t>.</w:t>
      </w:r>
      <w:r w:rsidRPr="007B31C4">
        <w:rPr>
          <w:rStyle w:val="A4"/>
          <w:sz w:val="23"/>
          <w:szCs w:val="23"/>
        </w:rPr>
        <w:fldChar w:fldCharType="begin"/>
      </w:r>
      <w:r w:rsidRPr="007B31C4">
        <w:rPr>
          <w:rStyle w:val="A4"/>
          <w:sz w:val="23"/>
          <w:szCs w:val="23"/>
        </w:rPr>
        <w:instrText xml:space="preserve"> SEQ Clause \* ARABIC \s 1 </w:instrText>
      </w:r>
      <w:r w:rsidRPr="007B31C4">
        <w:rPr>
          <w:rStyle w:val="A4"/>
          <w:sz w:val="23"/>
          <w:szCs w:val="23"/>
        </w:rPr>
        <w:fldChar w:fldCharType="separate"/>
      </w:r>
      <w:r w:rsidR="009468E1">
        <w:rPr>
          <w:rStyle w:val="A4"/>
          <w:noProof/>
          <w:sz w:val="23"/>
          <w:szCs w:val="23"/>
        </w:rPr>
        <w:t>6</w:t>
      </w:r>
      <w:r w:rsidRPr="007B31C4">
        <w:rPr>
          <w:rStyle w:val="A4"/>
          <w:sz w:val="23"/>
          <w:szCs w:val="23"/>
        </w:rPr>
        <w:fldChar w:fldCharType="end"/>
      </w:r>
      <w:r w:rsidRPr="007B31C4">
        <w:rPr>
          <w:rStyle w:val="A4"/>
          <w:sz w:val="23"/>
          <w:szCs w:val="23"/>
        </w:rPr>
        <w:t xml:space="preserve"> </w:t>
      </w:r>
      <w:r w:rsidR="00BB4EB4" w:rsidRPr="007B31C4">
        <w:t xml:space="preserve">The ANZECC &amp; ARMCANZ (2000) </w:t>
      </w:r>
      <w:r w:rsidR="000F4D7B" w:rsidRPr="007B31C4">
        <w:t xml:space="preserve">99% species protection </w:t>
      </w:r>
      <w:r w:rsidR="00BB4EB4" w:rsidRPr="007B31C4">
        <w:t xml:space="preserve">default guideline value for ammonia in freshwater </w:t>
      </w:r>
      <w:r w:rsidR="00733737" w:rsidRPr="007B31C4">
        <w:t>i</w:t>
      </w:r>
      <w:r w:rsidR="00D205CE" w:rsidRPr="007B31C4">
        <w:t>s 0.32</w:t>
      </w:r>
      <w:r w:rsidR="008E5A00">
        <w:t> </w:t>
      </w:r>
      <w:r w:rsidR="00D205CE" w:rsidRPr="007B31C4">
        <w:t xml:space="preserve">mg/L </w:t>
      </w:r>
      <w:r w:rsidR="00BB15C5">
        <w:t>total ammonia nitrogen</w:t>
      </w:r>
      <w:r w:rsidR="00D205CE" w:rsidRPr="007B31C4">
        <w:t xml:space="preserve"> at pH</w:t>
      </w:r>
      <w:r w:rsidR="008E5A00">
        <w:t> </w:t>
      </w:r>
      <w:r w:rsidR="00D205CE" w:rsidRPr="007B31C4">
        <w:t>8</w:t>
      </w:r>
      <w:r w:rsidR="00405A79" w:rsidRPr="007B31C4">
        <w:t xml:space="preserve">, which is based on </w:t>
      </w:r>
      <w:r w:rsidR="00863D43">
        <w:t xml:space="preserve">the </w:t>
      </w:r>
      <w:r w:rsidR="00405A79" w:rsidRPr="007B31C4">
        <w:t>toxicity of ammonia to temperate species</w:t>
      </w:r>
      <w:r w:rsidR="00BB4EB4" w:rsidRPr="007B31C4">
        <w:t xml:space="preserve">. </w:t>
      </w:r>
      <w:r w:rsidR="00733737" w:rsidRPr="007B31C4">
        <w:t>This value increased to 0.88</w:t>
      </w:r>
      <w:r w:rsidR="008E5A00">
        <w:t> </w:t>
      </w:r>
      <w:r w:rsidR="00733737" w:rsidRPr="007B31C4">
        <w:t xml:space="preserve">mg/L </w:t>
      </w:r>
      <w:r w:rsidR="00BB15C5">
        <w:t>total ammonia nitrogen</w:t>
      </w:r>
      <w:r w:rsidR="00733737" w:rsidRPr="007B31C4" w:rsidDel="00733737">
        <w:t xml:space="preserve"> </w:t>
      </w:r>
      <w:r w:rsidR="00733737" w:rsidRPr="007B31C4">
        <w:t>when a</w:t>
      </w:r>
      <w:r w:rsidR="0085010D" w:rsidRPr="007B31C4">
        <w:t>djust</w:t>
      </w:r>
      <w:r w:rsidR="00733737" w:rsidRPr="007B31C4">
        <w:t xml:space="preserve">ed for </w:t>
      </w:r>
      <w:r w:rsidR="0085010D" w:rsidRPr="007B31C4">
        <w:t>the condition</w:t>
      </w:r>
      <w:r w:rsidR="00D205CE" w:rsidRPr="007B31C4">
        <w:t>s of Magela Creek (pH</w:t>
      </w:r>
      <w:r w:rsidR="008E5A00">
        <w:t> </w:t>
      </w:r>
      <w:r w:rsidR="00D205CE" w:rsidRPr="007B31C4">
        <w:t>6.4</w:t>
      </w:r>
      <w:r w:rsidR="0085010D" w:rsidRPr="007B31C4">
        <w:t>)</w:t>
      </w:r>
      <w:r w:rsidR="00316B47" w:rsidRPr="007B31C4">
        <w:t>.</w:t>
      </w:r>
      <w:r w:rsidR="0085010D" w:rsidRPr="007B31C4">
        <w:t xml:space="preserve"> </w:t>
      </w:r>
      <w:r w:rsidR="00733737" w:rsidRPr="007B31C4">
        <w:t>However</w:t>
      </w:r>
      <w:r w:rsidR="008E5A00">
        <w:t>,</w:t>
      </w:r>
      <w:r w:rsidR="00733737" w:rsidRPr="007B31C4">
        <w:t xml:space="preserve"> r</w:t>
      </w:r>
      <w:r w:rsidR="00BB4EB4" w:rsidRPr="007B31C4">
        <w:t xml:space="preserve">esearch </w:t>
      </w:r>
      <w:r w:rsidR="00733737" w:rsidRPr="007B31C4">
        <w:t xml:space="preserve">has been </w:t>
      </w:r>
      <w:r w:rsidR="00BB4EB4" w:rsidRPr="007B31C4">
        <w:t xml:space="preserve">published </w:t>
      </w:r>
      <w:r w:rsidR="00405A79" w:rsidRPr="007B31C4">
        <w:t xml:space="preserve">showing that </w:t>
      </w:r>
      <w:r w:rsidR="00BB4EB4" w:rsidRPr="007B31C4">
        <w:t xml:space="preserve">tropical species </w:t>
      </w:r>
      <w:r w:rsidR="00405A79" w:rsidRPr="007B31C4">
        <w:t xml:space="preserve">are more sensitive </w:t>
      </w:r>
      <w:r w:rsidR="00BB4EB4" w:rsidRPr="007B31C4">
        <w:t xml:space="preserve">to ammonia </w:t>
      </w:r>
      <w:r w:rsidR="00405A79" w:rsidRPr="007B31C4">
        <w:t xml:space="preserve">toxicity compared to </w:t>
      </w:r>
      <w:r w:rsidR="00BB4EB4" w:rsidRPr="007B31C4">
        <w:t>temperate species</w:t>
      </w:r>
      <w:r w:rsidR="00405A79" w:rsidRPr="007B31C4">
        <w:t xml:space="preserve">, indicating that </w:t>
      </w:r>
      <w:r w:rsidR="00BB4EB4" w:rsidRPr="007B31C4">
        <w:t xml:space="preserve">the default guideline value </w:t>
      </w:r>
      <w:r w:rsidR="00720FD6" w:rsidRPr="007B31C4">
        <w:t>may be</w:t>
      </w:r>
      <w:r w:rsidR="00BB4EB4" w:rsidRPr="007B31C4">
        <w:t xml:space="preserve"> under-protective for </w:t>
      </w:r>
      <w:r w:rsidR="00720FD6" w:rsidRPr="007B31C4">
        <w:t xml:space="preserve">tropical </w:t>
      </w:r>
      <w:r w:rsidR="00BB4EB4" w:rsidRPr="007B31C4">
        <w:t xml:space="preserve">freshwater </w:t>
      </w:r>
      <w:r w:rsidR="00720FD6" w:rsidRPr="007B31C4">
        <w:t>ecosystems</w:t>
      </w:r>
      <w:r w:rsidR="00F34016" w:rsidRPr="007B31C4">
        <w:t>.</w:t>
      </w:r>
      <w:r w:rsidR="00A55289" w:rsidRPr="007B31C4">
        <w:t xml:space="preserve"> Similarly, the toxicity of ammonia may be increased </w:t>
      </w:r>
      <w:r w:rsidR="004C4D0A" w:rsidRPr="007B31C4">
        <w:t xml:space="preserve">in </w:t>
      </w:r>
      <w:r w:rsidR="00A55289" w:rsidRPr="007B31C4">
        <w:t xml:space="preserve">Magela Creek </w:t>
      </w:r>
      <w:r w:rsidR="004C4D0A" w:rsidRPr="007B31C4">
        <w:t xml:space="preserve">due to the low ionic strength of the </w:t>
      </w:r>
      <w:r w:rsidR="008E5A00">
        <w:t xml:space="preserve">water </w:t>
      </w:r>
      <w:r w:rsidR="00A55289" w:rsidRPr="007B31C4">
        <w:rPr>
          <w:lang w:val="en-US"/>
        </w:rPr>
        <w:t>(Mooney et al. 2018a)</w:t>
      </w:r>
      <w:r w:rsidR="00A55289" w:rsidRPr="007B31C4">
        <w:t>.</w:t>
      </w:r>
    </w:p>
    <w:bookmarkStart w:id="6" w:name="_Ref480223506"/>
    <w:p w14:paraId="5FAF57C1" w14:textId="523AA707" w:rsidR="003B3551" w:rsidRPr="007B31C4" w:rsidRDefault="00791459" w:rsidP="002D1713">
      <w:pPr>
        <w:jc w:val="both"/>
        <w:rPr>
          <w:szCs w:val="22"/>
        </w:rPr>
      </w:pPr>
      <w:r w:rsidRPr="007B31C4">
        <w:rPr>
          <w:rStyle w:val="A4"/>
          <w:sz w:val="23"/>
          <w:szCs w:val="23"/>
        </w:rPr>
        <w:fldChar w:fldCharType="begin"/>
      </w:r>
      <w:r w:rsidRPr="007B31C4">
        <w:rPr>
          <w:rStyle w:val="A4"/>
          <w:sz w:val="23"/>
          <w:szCs w:val="23"/>
        </w:rPr>
        <w:instrText xml:space="preserve"> STYLEREF 1 \s </w:instrText>
      </w:r>
      <w:r w:rsidRPr="007B31C4">
        <w:rPr>
          <w:rStyle w:val="A4"/>
          <w:sz w:val="23"/>
          <w:szCs w:val="23"/>
        </w:rPr>
        <w:fldChar w:fldCharType="separate"/>
      </w:r>
      <w:r w:rsidR="009468E1">
        <w:rPr>
          <w:rStyle w:val="A4"/>
          <w:noProof/>
          <w:sz w:val="23"/>
          <w:szCs w:val="23"/>
        </w:rPr>
        <w:t>4</w:t>
      </w:r>
      <w:r w:rsidRPr="007B31C4">
        <w:rPr>
          <w:rStyle w:val="A4"/>
          <w:sz w:val="23"/>
          <w:szCs w:val="23"/>
        </w:rPr>
        <w:fldChar w:fldCharType="end"/>
      </w:r>
      <w:r w:rsidRPr="007B31C4">
        <w:rPr>
          <w:rStyle w:val="A4"/>
          <w:sz w:val="23"/>
          <w:szCs w:val="23"/>
        </w:rPr>
        <w:t>.</w:t>
      </w:r>
      <w:r w:rsidRPr="007B31C4">
        <w:rPr>
          <w:rStyle w:val="A4"/>
          <w:sz w:val="23"/>
          <w:szCs w:val="23"/>
        </w:rPr>
        <w:fldChar w:fldCharType="begin"/>
      </w:r>
      <w:r w:rsidRPr="007B31C4">
        <w:rPr>
          <w:rStyle w:val="A4"/>
          <w:sz w:val="23"/>
          <w:szCs w:val="23"/>
        </w:rPr>
        <w:instrText xml:space="preserve"> SEQ Clause \* ARABIC \s 1 </w:instrText>
      </w:r>
      <w:r w:rsidRPr="007B31C4">
        <w:rPr>
          <w:rStyle w:val="A4"/>
          <w:sz w:val="23"/>
          <w:szCs w:val="23"/>
        </w:rPr>
        <w:fldChar w:fldCharType="separate"/>
      </w:r>
      <w:r w:rsidR="009468E1">
        <w:rPr>
          <w:rStyle w:val="A4"/>
          <w:noProof/>
          <w:sz w:val="23"/>
          <w:szCs w:val="23"/>
        </w:rPr>
        <w:t>7</w:t>
      </w:r>
      <w:r w:rsidRPr="007B31C4">
        <w:rPr>
          <w:rStyle w:val="A4"/>
          <w:sz w:val="23"/>
          <w:szCs w:val="23"/>
        </w:rPr>
        <w:fldChar w:fldCharType="end"/>
      </w:r>
      <w:r w:rsidRPr="007B31C4">
        <w:rPr>
          <w:rStyle w:val="A4"/>
          <w:sz w:val="23"/>
          <w:szCs w:val="23"/>
        </w:rPr>
        <w:t xml:space="preserve"> </w:t>
      </w:r>
      <w:bookmarkEnd w:id="6"/>
      <w:r w:rsidR="0057031C" w:rsidRPr="007B31C4">
        <w:t xml:space="preserve">The Supervising Scientist studied the toxicity of ammonia </w:t>
      </w:r>
      <w:r w:rsidR="0057031C">
        <w:t>on local aquatic species in the laboratory</w:t>
      </w:r>
      <w:r w:rsidR="0057031C" w:rsidRPr="007B31C4">
        <w:t xml:space="preserve"> between 2014 and 2017. </w:t>
      </w:r>
      <w:r w:rsidR="00365DDD" w:rsidRPr="007B31C4">
        <w:t>In this period</w:t>
      </w:r>
      <w:r w:rsidR="00720FD6" w:rsidRPr="007B31C4">
        <w:t>,</w:t>
      </w:r>
      <w:r w:rsidR="00365DDD" w:rsidRPr="007B31C4">
        <w:t xml:space="preserve"> more than 26</w:t>
      </w:r>
      <w:r w:rsidR="008E5A00">
        <w:t> </w:t>
      </w:r>
      <w:r w:rsidR="00365DDD" w:rsidRPr="007B31C4">
        <w:t xml:space="preserve">laboratory experiments using </w:t>
      </w:r>
      <w:r w:rsidR="008E5A00">
        <w:t>eight </w:t>
      </w:r>
      <w:r w:rsidR="00365DDD" w:rsidRPr="007B31C4">
        <w:t xml:space="preserve">local species were </w:t>
      </w:r>
      <w:r w:rsidR="00717081" w:rsidRPr="007B31C4">
        <w:t xml:space="preserve">conducted </w:t>
      </w:r>
      <w:r w:rsidR="00405A79" w:rsidRPr="007B31C4">
        <w:t xml:space="preserve">at </w:t>
      </w:r>
      <w:r w:rsidR="00182565" w:rsidRPr="007B31C4">
        <w:t xml:space="preserve">conditions representative of </w:t>
      </w:r>
      <w:r w:rsidR="00182565" w:rsidRPr="007B31C4">
        <w:lastRenderedPageBreak/>
        <w:t>Magela Creek</w:t>
      </w:r>
      <w:r w:rsidR="00405A79" w:rsidRPr="007B31C4">
        <w:t>.</w:t>
      </w:r>
      <w:r w:rsidR="000C4888" w:rsidRPr="007B31C4">
        <w:t xml:space="preserve"> </w:t>
      </w:r>
      <w:r w:rsidR="00405A79" w:rsidRPr="007B31C4">
        <w:rPr>
          <w:rFonts w:cs="Arial"/>
          <w:bCs/>
          <w:szCs w:val="22"/>
        </w:rPr>
        <w:t>The</w:t>
      </w:r>
      <w:r w:rsidR="00405A79" w:rsidRPr="007B31C4">
        <w:rPr>
          <w:rFonts w:cs="Arial"/>
          <w:szCs w:val="22"/>
        </w:rPr>
        <w:t xml:space="preserve"> potential for increased toxicity due to local water quality conditions in Magela Creek water</w:t>
      </w:r>
      <w:r w:rsidR="004C4D0A" w:rsidRPr="007B31C4">
        <w:rPr>
          <w:rFonts w:cs="Arial"/>
          <w:szCs w:val="22"/>
        </w:rPr>
        <w:t xml:space="preserve"> was </w:t>
      </w:r>
      <w:r w:rsidR="00405A79" w:rsidRPr="007B31C4">
        <w:t>accounted for through the use of Magela Creek water as a diluent during laboratory toxicity tests</w:t>
      </w:r>
      <w:r w:rsidR="00405A79" w:rsidRPr="007B31C4">
        <w:rPr>
          <w:lang w:val="en-US"/>
        </w:rPr>
        <w:t xml:space="preserve"> </w:t>
      </w:r>
      <w:r w:rsidR="00AD0DE0" w:rsidRPr="007B31C4">
        <w:t>(</w:t>
      </w:r>
      <w:r w:rsidR="00667D60" w:rsidRPr="007B31C4">
        <w:t xml:space="preserve">median </w:t>
      </w:r>
      <w:r w:rsidR="00BF30C6" w:rsidRPr="007B31C4">
        <w:t xml:space="preserve">pH </w:t>
      </w:r>
      <w:r w:rsidR="00AD0DE0" w:rsidRPr="007B31C4">
        <w:t>~</w:t>
      </w:r>
      <w:r w:rsidR="008E5A00">
        <w:t> </w:t>
      </w:r>
      <w:r w:rsidR="00AD0DE0" w:rsidRPr="007B31C4">
        <w:t>6.0</w:t>
      </w:r>
      <w:r w:rsidR="004D7B51" w:rsidRPr="007B31C4">
        <w:t xml:space="preserve">, </w:t>
      </w:r>
      <w:r w:rsidR="004D7B51" w:rsidRPr="007B31C4">
        <w:rPr>
          <w:i/>
        </w:rPr>
        <w:t>n</w:t>
      </w:r>
      <w:r w:rsidR="004D7B51" w:rsidRPr="007B31C4">
        <w:t xml:space="preserve"> = 76</w:t>
      </w:r>
      <w:r w:rsidR="00405A79" w:rsidRPr="007B31C4">
        <w:t>,</w:t>
      </w:r>
      <w:r w:rsidR="004D7B51" w:rsidRPr="007B31C4">
        <w:t>432</w:t>
      </w:r>
      <w:r w:rsidR="00405A79" w:rsidRPr="007B31C4">
        <w:t xml:space="preserve">; temperature range 27–31°C; and low concentrations of dissolved ions) </w:t>
      </w:r>
      <w:r w:rsidR="00717081" w:rsidRPr="007B31C4">
        <w:t>(</w:t>
      </w:r>
      <w:r w:rsidR="00365DDD" w:rsidRPr="007B31C4">
        <w:t>Mooney et al. 201</w:t>
      </w:r>
      <w:r w:rsidR="00307F07" w:rsidRPr="007B31C4">
        <w:t>8a</w:t>
      </w:r>
      <w:r w:rsidR="00365DDD" w:rsidRPr="007B31C4">
        <w:t xml:space="preserve">, </w:t>
      </w:r>
      <w:r w:rsidR="00717081" w:rsidRPr="007B31C4">
        <w:t>Mooney et al. 2018</w:t>
      </w:r>
      <w:r w:rsidR="00307F07" w:rsidRPr="007B31C4">
        <w:t>b</w:t>
      </w:r>
      <w:r w:rsidR="00717081" w:rsidRPr="007B31C4">
        <w:t xml:space="preserve">, </w:t>
      </w:r>
      <w:proofErr w:type="spellStart"/>
      <w:r w:rsidR="00365DDD" w:rsidRPr="007B31C4">
        <w:t>Kleinhenz</w:t>
      </w:r>
      <w:proofErr w:type="spellEnd"/>
      <w:r w:rsidR="00365DDD" w:rsidRPr="007B31C4">
        <w:t xml:space="preserve"> et al. 2018</w:t>
      </w:r>
      <w:r w:rsidR="00717081" w:rsidRPr="007B31C4">
        <w:t>)</w:t>
      </w:r>
      <w:r w:rsidR="00365DDD" w:rsidRPr="007B31C4">
        <w:t xml:space="preserve">. </w:t>
      </w:r>
      <w:r w:rsidR="00DD6384" w:rsidRPr="007B31C4">
        <w:t xml:space="preserve">This testing </w:t>
      </w:r>
      <w:r w:rsidR="00A8778C" w:rsidRPr="007B31C4">
        <w:t xml:space="preserve">confirmed </w:t>
      </w:r>
      <w:r w:rsidR="00DD6384" w:rsidRPr="007B31C4">
        <w:t>that the toxicity of ammonia to local species was typically higher than that reported in previous studies for temperate species and other water types.</w:t>
      </w:r>
    </w:p>
    <w:p w14:paraId="64C671BC" w14:textId="0E7F80BB" w:rsidR="00DD4CBA" w:rsidRPr="007B31C4" w:rsidRDefault="00791459" w:rsidP="002D1713">
      <w:pPr>
        <w:jc w:val="both"/>
        <w:rPr>
          <w:szCs w:val="22"/>
        </w:rPr>
      </w:pPr>
      <w:r w:rsidRPr="007B31C4">
        <w:rPr>
          <w:rStyle w:val="A4"/>
          <w:sz w:val="23"/>
          <w:szCs w:val="23"/>
        </w:rPr>
        <w:fldChar w:fldCharType="begin"/>
      </w:r>
      <w:r w:rsidRPr="007B31C4">
        <w:rPr>
          <w:rStyle w:val="A4"/>
          <w:sz w:val="23"/>
          <w:szCs w:val="23"/>
        </w:rPr>
        <w:instrText xml:space="preserve"> STYLEREF 1 \s </w:instrText>
      </w:r>
      <w:r w:rsidRPr="007B31C4">
        <w:rPr>
          <w:rStyle w:val="A4"/>
          <w:sz w:val="23"/>
          <w:szCs w:val="23"/>
        </w:rPr>
        <w:fldChar w:fldCharType="separate"/>
      </w:r>
      <w:r w:rsidR="009468E1">
        <w:rPr>
          <w:rStyle w:val="A4"/>
          <w:noProof/>
          <w:sz w:val="23"/>
          <w:szCs w:val="23"/>
        </w:rPr>
        <w:t>4</w:t>
      </w:r>
      <w:r w:rsidRPr="007B31C4">
        <w:rPr>
          <w:rStyle w:val="A4"/>
          <w:sz w:val="23"/>
          <w:szCs w:val="23"/>
        </w:rPr>
        <w:fldChar w:fldCharType="end"/>
      </w:r>
      <w:r w:rsidRPr="007B31C4">
        <w:rPr>
          <w:rStyle w:val="A4"/>
          <w:sz w:val="23"/>
          <w:szCs w:val="23"/>
        </w:rPr>
        <w:t>.</w:t>
      </w:r>
      <w:r w:rsidRPr="007B31C4">
        <w:rPr>
          <w:rStyle w:val="A4"/>
          <w:sz w:val="23"/>
          <w:szCs w:val="23"/>
        </w:rPr>
        <w:fldChar w:fldCharType="begin"/>
      </w:r>
      <w:r w:rsidRPr="007B31C4">
        <w:rPr>
          <w:rStyle w:val="A4"/>
          <w:sz w:val="23"/>
          <w:szCs w:val="23"/>
        </w:rPr>
        <w:instrText xml:space="preserve"> SEQ Clause \* ARABIC \s 1 </w:instrText>
      </w:r>
      <w:r w:rsidRPr="007B31C4">
        <w:rPr>
          <w:rStyle w:val="A4"/>
          <w:sz w:val="23"/>
          <w:szCs w:val="23"/>
        </w:rPr>
        <w:fldChar w:fldCharType="separate"/>
      </w:r>
      <w:r w:rsidR="009468E1">
        <w:rPr>
          <w:rStyle w:val="A4"/>
          <w:noProof/>
          <w:sz w:val="23"/>
          <w:szCs w:val="23"/>
        </w:rPr>
        <w:t>8</w:t>
      </w:r>
      <w:r w:rsidRPr="007B31C4">
        <w:rPr>
          <w:rStyle w:val="A4"/>
          <w:sz w:val="23"/>
          <w:szCs w:val="23"/>
        </w:rPr>
        <w:fldChar w:fldCharType="end"/>
      </w:r>
      <w:r w:rsidRPr="007B31C4">
        <w:rPr>
          <w:rStyle w:val="A4"/>
          <w:sz w:val="23"/>
          <w:szCs w:val="23"/>
        </w:rPr>
        <w:t xml:space="preserve"> </w:t>
      </w:r>
      <w:r w:rsidR="00A8778C" w:rsidRPr="007B31C4">
        <w:rPr>
          <w:szCs w:val="22"/>
        </w:rPr>
        <w:t xml:space="preserve">The results of these studies were used to derive a site-specific guideline value for ammonia. </w:t>
      </w:r>
      <w:r w:rsidR="007F0632" w:rsidRPr="007B31C4">
        <w:rPr>
          <w:rStyle w:val="A4"/>
          <w:szCs w:val="22"/>
        </w:rPr>
        <w:t>The nationally accepted species sensitivity distribution approach for deriving water quality guideline values (ANZECC &amp; ARMCANZ 2000</w:t>
      </w:r>
      <w:r w:rsidR="00895D79">
        <w:rPr>
          <w:rStyle w:val="A4"/>
          <w:szCs w:val="22"/>
        </w:rPr>
        <w:t>,</w:t>
      </w:r>
      <w:r w:rsidR="006928A7">
        <w:rPr>
          <w:rStyle w:val="A4"/>
          <w:szCs w:val="22"/>
        </w:rPr>
        <w:t xml:space="preserve"> </w:t>
      </w:r>
      <w:r w:rsidR="006928A7">
        <w:t>ANZG 2018</w:t>
      </w:r>
      <w:r w:rsidR="007F0632" w:rsidRPr="007B31C4">
        <w:rPr>
          <w:rStyle w:val="A4"/>
          <w:szCs w:val="22"/>
        </w:rPr>
        <w:t xml:space="preserve">) was used to calculate </w:t>
      </w:r>
      <w:r w:rsidR="008E5A00">
        <w:rPr>
          <w:rStyle w:val="A4"/>
          <w:szCs w:val="22"/>
        </w:rPr>
        <w:t>a</w:t>
      </w:r>
      <w:r w:rsidR="007F0632" w:rsidRPr="007B31C4">
        <w:rPr>
          <w:rStyle w:val="A4"/>
          <w:szCs w:val="22"/>
        </w:rPr>
        <w:t xml:space="preserve"> site-specific guideline value for ammonia that aims to protect 99% of species in the environment. The value was then </w:t>
      </w:r>
      <w:r w:rsidR="007F0632" w:rsidRPr="007B31C4">
        <w:rPr>
          <w:szCs w:val="22"/>
        </w:rPr>
        <w:t xml:space="preserve">adjusted </w:t>
      </w:r>
      <w:r w:rsidR="004C4D0A" w:rsidRPr="007B31C4">
        <w:rPr>
          <w:szCs w:val="22"/>
        </w:rPr>
        <w:t xml:space="preserve">to </w:t>
      </w:r>
      <w:r w:rsidR="004C4D0A" w:rsidRPr="007B31C4">
        <w:rPr>
          <w:rStyle w:val="A4"/>
          <w:szCs w:val="22"/>
        </w:rPr>
        <w:t>0.4</w:t>
      </w:r>
      <w:r w:rsidR="008E5A00">
        <w:rPr>
          <w:rStyle w:val="A4"/>
          <w:szCs w:val="22"/>
        </w:rPr>
        <w:t> </w:t>
      </w:r>
      <w:r w:rsidR="004C4D0A" w:rsidRPr="007B31C4">
        <w:rPr>
          <w:rStyle w:val="A4"/>
          <w:szCs w:val="22"/>
        </w:rPr>
        <w:t xml:space="preserve">mg/L </w:t>
      </w:r>
      <w:r w:rsidR="00BB15C5">
        <w:t>total ammonia nitrogen</w:t>
      </w:r>
      <w:r w:rsidR="004C4D0A" w:rsidRPr="007B31C4">
        <w:rPr>
          <w:rStyle w:val="A4"/>
          <w:szCs w:val="22"/>
        </w:rPr>
        <w:t xml:space="preserve"> </w:t>
      </w:r>
      <w:r w:rsidR="00A8778C" w:rsidRPr="007B31C4">
        <w:rPr>
          <w:rStyle w:val="A4"/>
          <w:szCs w:val="22"/>
        </w:rPr>
        <w:t>based on</w:t>
      </w:r>
      <w:r w:rsidR="00A8778C" w:rsidRPr="007B31C4">
        <w:rPr>
          <w:szCs w:val="22"/>
        </w:rPr>
        <w:t xml:space="preserve"> the methodology of </w:t>
      </w:r>
      <w:r w:rsidR="00A8778C" w:rsidRPr="007B31C4">
        <w:rPr>
          <w:rFonts w:cs="Arial"/>
          <w:szCs w:val="22"/>
        </w:rPr>
        <w:t xml:space="preserve">Emerson et al. (1975) and as recommended by </w:t>
      </w:r>
      <w:r w:rsidR="00A8778C" w:rsidRPr="007B31C4">
        <w:rPr>
          <w:szCs w:val="22"/>
        </w:rPr>
        <w:t>Mooney et al. (2018a</w:t>
      </w:r>
      <w:r w:rsidR="008E5A00">
        <w:rPr>
          <w:szCs w:val="22"/>
        </w:rPr>
        <w:t>,</w:t>
      </w:r>
      <w:r w:rsidR="00A8778C" w:rsidRPr="007B31C4">
        <w:rPr>
          <w:szCs w:val="22"/>
        </w:rPr>
        <w:t xml:space="preserve"> 2018b)</w:t>
      </w:r>
      <w:r w:rsidR="007F0632" w:rsidRPr="007B31C4">
        <w:rPr>
          <w:szCs w:val="22"/>
        </w:rPr>
        <w:t>, reflecting the upper 90</w:t>
      </w:r>
      <w:r w:rsidR="007F0632" w:rsidRPr="00F309F1">
        <w:rPr>
          <w:szCs w:val="22"/>
        </w:rPr>
        <w:t>th</w:t>
      </w:r>
      <w:r w:rsidR="007F0632" w:rsidRPr="007B31C4">
        <w:rPr>
          <w:szCs w:val="22"/>
        </w:rPr>
        <w:t xml:space="preserve"> percentile pH of 6.4 (</w:t>
      </w:r>
      <w:r w:rsidR="007F0632" w:rsidRPr="007B31C4">
        <w:rPr>
          <w:i/>
          <w:szCs w:val="22"/>
        </w:rPr>
        <w:t>n</w:t>
      </w:r>
      <w:r w:rsidR="007F0632" w:rsidRPr="007B31C4">
        <w:rPr>
          <w:szCs w:val="22"/>
        </w:rPr>
        <w:t xml:space="preserve"> = 76</w:t>
      </w:r>
      <w:r w:rsidR="008E5A00">
        <w:rPr>
          <w:szCs w:val="22"/>
        </w:rPr>
        <w:t>,</w:t>
      </w:r>
      <w:r w:rsidR="007F0632" w:rsidRPr="007B31C4">
        <w:rPr>
          <w:szCs w:val="22"/>
        </w:rPr>
        <w:t>432) and temperature of 32°C (</w:t>
      </w:r>
      <w:r w:rsidR="007F0632" w:rsidRPr="007B31C4">
        <w:rPr>
          <w:i/>
          <w:szCs w:val="22"/>
        </w:rPr>
        <w:t>n</w:t>
      </w:r>
      <w:r w:rsidR="007F0632" w:rsidRPr="007B31C4">
        <w:rPr>
          <w:szCs w:val="22"/>
        </w:rPr>
        <w:t xml:space="preserve"> = 76</w:t>
      </w:r>
      <w:r w:rsidR="008E5A00">
        <w:rPr>
          <w:szCs w:val="22"/>
        </w:rPr>
        <w:t>,</w:t>
      </w:r>
      <w:r w:rsidR="007F0632" w:rsidRPr="007B31C4">
        <w:rPr>
          <w:szCs w:val="22"/>
        </w:rPr>
        <w:t xml:space="preserve">432) </w:t>
      </w:r>
      <w:r w:rsidR="00A8778C" w:rsidRPr="007B31C4">
        <w:rPr>
          <w:szCs w:val="22"/>
        </w:rPr>
        <w:t xml:space="preserve">of </w:t>
      </w:r>
      <w:r w:rsidR="007F0632" w:rsidRPr="007B31C4">
        <w:rPr>
          <w:szCs w:val="22"/>
        </w:rPr>
        <w:t>Magela Creek</w:t>
      </w:r>
      <w:r w:rsidR="001E0B5D" w:rsidRPr="007B31C4">
        <w:rPr>
          <w:szCs w:val="22"/>
        </w:rPr>
        <w:t>.</w:t>
      </w:r>
      <w:r w:rsidR="001B4C8D" w:rsidRPr="007B31C4">
        <w:rPr>
          <w:szCs w:val="22"/>
        </w:rPr>
        <w:t xml:space="preserve"> </w:t>
      </w:r>
      <w:r w:rsidR="004C4D0A" w:rsidRPr="007B31C4">
        <w:rPr>
          <w:rStyle w:val="A4"/>
          <w:szCs w:val="22"/>
        </w:rPr>
        <w:t xml:space="preserve">This adjustment </w:t>
      </w:r>
      <w:r w:rsidR="00B56DAA" w:rsidRPr="007B31C4">
        <w:rPr>
          <w:szCs w:val="22"/>
        </w:rPr>
        <w:t>represents the worst</w:t>
      </w:r>
      <w:r w:rsidR="009908F6" w:rsidRPr="007B31C4">
        <w:rPr>
          <w:szCs w:val="22"/>
        </w:rPr>
        <w:t>-</w:t>
      </w:r>
      <w:r w:rsidR="00B56DAA" w:rsidRPr="007B31C4">
        <w:rPr>
          <w:szCs w:val="22"/>
        </w:rPr>
        <w:t xml:space="preserve">case scenario for ammonia toxicity in Magela </w:t>
      </w:r>
      <w:r w:rsidR="007F0632" w:rsidRPr="007B31C4">
        <w:rPr>
          <w:szCs w:val="22"/>
        </w:rPr>
        <w:t xml:space="preserve">and Gulungul </w:t>
      </w:r>
      <w:r w:rsidR="008E5A00">
        <w:rPr>
          <w:szCs w:val="22"/>
        </w:rPr>
        <w:t>c</w:t>
      </w:r>
      <w:r w:rsidR="007F0632" w:rsidRPr="007B31C4">
        <w:rPr>
          <w:szCs w:val="22"/>
        </w:rPr>
        <w:t>reek</w:t>
      </w:r>
      <w:r w:rsidR="008E5A00">
        <w:rPr>
          <w:szCs w:val="22"/>
        </w:rPr>
        <w:t>s</w:t>
      </w:r>
      <w:r w:rsidR="00B56DAA" w:rsidRPr="007B31C4">
        <w:rPr>
          <w:szCs w:val="22"/>
        </w:rPr>
        <w:t xml:space="preserve">, </w:t>
      </w:r>
      <w:r w:rsidR="00366EB9" w:rsidRPr="007B31C4">
        <w:rPr>
          <w:szCs w:val="22"/>
        </w:rPr>
        <w:t>allowing an additional margin of protection</w:t>
      </w:r>
      <w:r w:rsidR="00B56DAA" w:rsidRPr="007B31C4">
        <w:rPr>
          <w:szCs w:val="22"/>
        </w:rPr>
        <w:t>.</w:t>
      </w:r>
    </w:p>
    <w:p w14:paraId="2C062558" w14:textId="13EA2620" w:rsidR="009A3D13" w:rsidRPr="007B31C4" w:rsidRDefault="00791459" w:rsidP="002D1713">
      <w:pPr>
        <w:jc w:val="both"/>
        <w:rPr>
          <w:lang w:eastAsia="en-AU"/>
        </w:rPr>
      </w:pPr>
      <w:r w:rsidRPr="007B31C4">
        <w:rPr>
          <w:rStyle w:val="A4"/>
          <w:sz w:val="23"/>
          <w:szCs w:val="23"/>
        </w:rPr>
        <w:fldChar w:fldCharType="begin"/>
      </w:r>
      <w:r w:rsidRPr="007B31C4">
        <w:rPr>
          <w:rStyle w:val="A4"/>
          <w:sz w:val="23"/>
          <w:szCs w:val="23"/>
        </w:rPr>
        <w:instrText xml:space="preserve"> STYLEREF 1 \s </w:instrText>
      </w:r>
      <w:r w:rsidRPr="007B31C4">
        <w:rPr>
          <w:rStyle w:val="A4"/>
          <w:sz w:val="23"/>
          <w:szCs w:val="23"/>
        </w:rPr>
        <w:fldChar w:fldCharType="separate"/>
      </w:r>
      <w:r w:rsidR="009468E1">
        <w:rPr>
          <w:rStyle w:val="A4"/>
          <w:noProof/>
          <w:sz w:val="23"/>
          <w:szCs w:val="23"/>
        </w:rPr>
        <w:t>4</w:t>
      </w:r>
      <w:r w:rsidRPr="007B31C4">
        <w:rPr>
          <w:rStyle w:val="A4"/>
          <w:sz w:val="23"/>
          <w:szCs w:val="23"/>
        </w:rPr>
        <w:fldChar w:fldCharType="end"/>
      </w:r>
      <w:r w:rsidRPr="007B31C4">
        <w:rPr>
          <w:rStyle w:val="A4"/>
          <w:sz w:val="23"/>
          <w:szCs w:val="23"/>
        </w:rPr>
        <w:t>.</w:t>
      </w:r>
      <w:r w:rsidRPr="007B31C4">
        <w:rPr>
          <w:rStyle w:val="A4"/>
          <w:sz w:val="23"/>
          <w:szCs w:val="23"/>
        </w:rPr>
        <w:fldChar w:fldCharType="begin"/>
      </w:r>
      <w:r w:rsidRPr="007B31C4">
        <w:rPr>
          <w:rStyle w:val="A4"/>
          <w:sz w:val="23"/>
          <w:szCs w:val="23"/>
        </w:rPr>
        <w:instrText xml:space="preserve"> SEQ Clause \* ARABIC \s 1 </w:instrText>
      </w:r>
      <w:r w:rsidRPr="007B31C4">
        <w:rPr>
          <w:rStyle w:val="A4"/>
          <w:sz w:val="23"/>
          <w:szCs w:val="23"/>
        </w:rPr>
        <w:fldChar w:fldCharType="separate"/>
      </w:r>
      <w:r w:rsidR="009468E1">
        <w:rPr>
          <w:rStyle w:val="A4"/>
          <w:noProof/>
          <w:sz w:val="23"/>
          <w:szCs w:val="23"/>
        </w:rPr>
        <w:t>9</w:t>
      </w:r>
      <w:r w:rsidRPr="007B31C4">
        <w:rPr>
          <w:rStyle w:val="A4"/>
          <w:sz w:val="23"/>
          <w:szCs w:val="23"/>
        </w:rPr>
        <w:fldChar w:fldCharType="end"/>
      </w:r>
      <w:r w:rsidRPr="007B31C4">
        <w:rPr>
          <w:rStyle w:val="A4"/>
          <w:sz w:val="23"/>
          <w:szCs w:val="23"/>
        </w:rPr>
        <w:t xml:space="preserve"> </w:t>
      </w:r>
      <w:r w:rsidR="008229B4" w:rsidRPr="007B31C4">
        <w:rPr>
          <w:rStyle w:val="A4"/>
        </w:rPr>
        <w:t>Based on th</w:t>
      </w:r>
      <w:r w:rsidR="008E5A00">
        <w:rPr>
          <w:rStyle w:val="A4"/>
        </w:rPr>
        <w:t xml:space="preserve">e </w:t>
      </w:r>
      <w:r w:rsidR="008229B4" w:rsidRPr="007B31C4">
        <w:rPr>
          <w:rStyle w:val="A4"/>
        </w:rPr>
        <w:t xml:space="preserve">evidence from </w:t>
      </w:r>
      <w:r w:rsidR="008E5A00">
        <w:rPr>
          <w:rStyle w:val="A4"/>
        </w:rPr>
        <w:t xml:space="preserve">the </w:t>
      </w:r>
      <w:r w:rsidR="008229B4" w:rsidRPr="007B31C4">
        <w:rPr>
          <w:rStyle w:val="A4"/>
        </w:rPr>
        <w:t xml:space="preserve">laboratory studies, </w:t>
      </w:r>
      <w:r w:rsidR="008229B4" w:rsidRPr="007B31C4">
        <w:rPr>
          <w:rStyle w:val="A4"/>
          <w:sz w:val="23"/>
          <w:szCs w:val="23"/>
        </w:rPr>
        <w:t>0.</w:t>
      </w:r>
      <w:r w:rsidR="00F0196E" w:rsidRPr="007B31C4">
        <w:rPr>
          <w:rStyle w:val="A4"/>
          <w:sz w:val="23"/>
          <w:szCs w:val="23"/>
        </w:rPr>
        <w:t>4</w:t>
      </w:r>
      <w:r w:rsidR="008E5A00">
        <w:rPr>
          <w:rStyle w:val="A4"/>
          <w:sz w:val="23"/>
          <w:szCs w:val="23"/>
        </w:rPr>
        <w:t> </w:t>
      </w:r>
      <w:r w:rsidR="008229B4" w:rsidRPr="007B31C4">
        <w:rPr>
          <w:rStyle w:val="A4"/>
          <w:sz w:val="23"/>
          <w:szCs w:val="23"/>
        </w:rPr>
        <w:t xml:space="preserve">mg/L </w:t>
      </w:r>
      <w:r w:rsidR="00BB15C5">
        <w:t>total ammonia nitrogen</w:t>
      </w:r>
      <w:r w:rsidR="008229B4" w:rsidRPr="007B31C4">
        <w:rPr>
          <w:rStyle w:val="A4"/>
          <w:sz w:val="23"/>
          <w:szCs w:val="23"/>
        </w:rPr>
        <w:t xml:space="preserve"> is recommended as the</w:t>
      </w:r>
      <w:r w:rsidR="00A8778C" w:rsidRPr="007B31C4">
        <w:rPr>
          <w:rStyle w:val="A4"/>
          <w:sz w:val="23"/>
          <w:szCs w:val="23"/>
        </w:rPr>
        <w:t xml:space="preserve"> </w:t>
      </w:r>
      <w:r w:rsidR="009F393B">
        <w:rPr>
          <w:rStyle w:val="A4"/>
          <w:sz w:val="23"/>
          <w:szCs w:val="23"/>
        </w:rPr>
        <w:t>r</w:t>
      </w:r>
      <w:r w:rsidR="002D1713" w:rsidRPr="007B31C4">
        <w:rPr>
          <w:rStyle w:val="A4"/>
          <w:sz w:val="23"/>
          <w:szCs w:val="23"/>
        </w:rPr>
        <w:t xml:space="preserve">ehabilitation </w:t>
      </w:r>
      <w:r w:rsidR="009F393B">
        <w:rPr>
          <w:rStyle w:val="A4"/>
          <w:sz w:val="23"/>
          <w:szCs w:val="23"/>
        </w:rPr>
        <w:t>s</w:t>
      </w:r>
      <w:r w:rsidR="002D1713" w:rsidRPr="007B31C4">
        <w:rPr>
          <w:rStyle w:val="A4"/>
          <w:sz w:val="23"/>
          <w:szCs w:val="23"/>
        </w:rPr>
        <w:t>tandard</w:t>
      </w:r>
      <w:r w:rsidR="009F393B">
        <w:rPr>
          <w:rStyle w:val="A4"/>
          <w:sz w:val="23"/>
          <w:szCs w:val="23"/>
        </w:rPr>
        <w:t xml:space="preserve"> for ammonia</w:t>
      </w:r>
      <w:r w:rsidR="008229B4" w:rsidRPr="007B31C4">
        <w:rPr>
          <w:rStyle w:val="A4"/>
          <w:sz w:val="23"/>
          <w:szCs w:val="23"/>
        </w:rPr>
        <w:t>.</w:t>
      </w:r>
      <w:r w:rsidR="00F34016" w:rsidRPr="007B31C4">
        <w:rPr>
          <w:rStyle w:val="A4"/>
          <w:sz w:val="23"/>
          <w:szCs w:val="23"/>
        </w:rPr>
        <w:t xml:space="preserve"> </w:t>
      </w:r>
      <w:r w:rsidR="007F0632" w:rsidRPr="007B31C4">
        <w:rPr>
          <w:rStyle w:val="A4"/>
          <w:sz w:val="23"/>
          <w:szCs w:val="23"/>
        </w:rPr>
        <w:t xml:space="preserve">This </w:t>
      </w:r>
      <w:r w:rsidR="00A8778C" w:rsidRPr="007B31C4">
        <w:rPr>
          <w:rStyle w:val="A4"/>
          <w:sz w:val="23"/>
          <w:szCs w:val="23"/>
        </w:rPr>
        <w:t xml:space="preserve">value </w:t>
      </w:r>
      <w:r w:rsidR="007F0632" w:rsidRPr="007B31C4">
        <w:rPr>
          <w:rStyle w:val="A4"/>
          <w:sz w:val="23"/>
          <w:szCs w:val="23"/>
        </w:rPr>
        <w:t xml:space="preserve">is equivalent to </w:t>
      </w:r>
      <w:r w:rsidR="007F0632" w:rsidRPr="007B31C4">
        <w:t>t</w:t>
      </w:r>
      <w:r w:rsidR="00F34016" w:rsidRPr="007B31C4">
        <w:t>he European Union</w:t>
      </w:r>
      <w:r w:rsidR="007F0632" w:rsidRPr="007B31C4">
        <w:t>’s</w:t>
      </w:r>
      <w:r w:rsidR="00F34016" w:rsidRPr="007B31C4">
        <w:t xml:space="preserve"> </w:t>
      </w:r>
      <w:r w:rsidR="007F0632" w:rsidRPr="007B31C4">
        <w:t xml:space="preserve">(2006) </w:t>
      </w:r>
      <w:r w:rsidR="00F34016" w:rsidRPr="007B31C4">
        <w:t>national/regional ammonia water quality guideline value of 0.2</w:t>
      </w:r>
      <w:r w:rsidR="008E5A00">
        <w:t> </w:t>
      </w:r>
      <w:r w:rsidR="00F34016" w:rsidRPr="007B31C4">
        <w:t xml:space="preserve">mg/L </w:t>
      </w:r>
      <w:r w:rsidR="00BB15C5">
        <w:t>total ammonia nitrogen</w:t>
      </w:r>
      <w:r w:rsidR="00F34016" w:rsidRPr="007B31C4">
        <w:t xml:space="preserve"> at pH 7 and 20°C (</w:t>
      </w:r>
      <w:r w:rsidR="008E5A00">
        <w:t>A</w:t>
      </w:r>
      <w:r w:rsidR="00F34016" w:rsidRPr="007B31C4">
        <w:t>ppendix</w:t>
      </w:r>
      <w:r w:rsidR="008E5A00">
        <w:t> </w:t>
      </w:r>
      <w:r w:rsidR="00F34016" w:rsidRPr="007B31C4">
        <w:t xml:space="preserve">A). </w:t>
      </w:r>
      <w:r w:rsidR="00962FF7" w:rsidRPr="007B31C4">
        <w:t xml:space="preserve">Alterations to the </w:t>
      </w:r>
      <w:r w:rsidR="00E83B3F" w:rsidRPr="007B31C4">
        <w:t>s</w:t>
      </w:r>
      <w:r w:rsidR="00962FF7" w:rsidRPr="007B31C4">
        <w:t xml:space="preserve">tandard may be required if </w:t>
      </w:r>
      <w:r w:rsidR="0081474A" w:rsidRPr="007B31C4">
        <w:t xml:space="preserve">the </w:t>
      </w:r>
      <w:r w:rsidR="00962FF7" w:rsidRPr="007B31C4">
        <w:t xml:space="preserve">pH </w:t>
      </w:r>
      <w:r w:rsidR="0081474A" w:rsidRPr="007B31C4">
        <w:t xml:space="preserve">and temperature </w:t>
      </w:r>
      <w:r w:rsidR="00962FF7" w:rsidRPr="007B31C4">
        <w:t xml:space="preserve">of a water body exceed the </w:t>
      </w:r>
      <w:r w:rsidR="0081474A" w:rsidRPr="007B31C4">
        <w:t>threshold values calculated for Magela Creek (</w:t>
      </w:r>
      <w:r w:rsidR="00962FF7" w:rsidRPr="007B31C4">
        <w:t>pH 6.4 and 32°C</w:t>
      </w:r>
      <w:r w:rsidR="0081474A" w:rsidRPr="007B31C4">
        <w:t>).</w:t>
      </w:r>
      <w:r w:rsidR="00962FF7" w:rsidRPr="007B31C4">
        <w:t xml:space="preserve"> </w:t>
      </w:r>
      <w:r w:rsidR="0081474A" w:rsidRPr="007B31C4">
        <w:t>A matrix is prov</w:t>
      </w:r>
      <w:r w:rsidR="00A93B3F" w:rsidRPr="007B31C4">
        <w:t>id</w:t>
      </w:r>
      <w:r w:rsidR="0081474A" w:rsidRPr="007B31C4">
        <w:t>ed in Appendix A to undertake this alteration</w:t>
      </w:r>
      <w:r w:rsidR="00962FF7" w:rsidRPr="007B31C4">
        <w:t>.</w:t>
      </w:r>
    </w:p>
    <w:p w14:paraId="02D377F7" w14:textId="77777777" w:rsidR="00370D14" w:rsidRPr="007B31C4" w:rsidRDefault="00370D14" w:rsidP="002D1713">
      <w:pPr>
        <w:pStyle w:val="Heading1"/>
        <w:jc w:val="both"/>
      </w:pPr>
      <w:r w:rsidRPr="007B31C4">
        <w:t>Future knowledge needs</w:t>
      </w:r>
    </w:p>
    <w:p w14:paraId="05ADEDCA" w14:textId="2D6304BF" w:rsidR="00401263" w:rsidRPr="007B31C4" w:rsidRDefault="007B2AB1" w:rsidP="002D1713">
      <w:pPr>
        <w:jc w:val="both"/>
      </w:pPr>
      <w:r w:rsidRPr="007B31C4">
        <w:fldChar w:fldCharType="begin"/>
      </w:r>
      <w:r w:rsidR="009B5A35" w:rsidRPr="007B31C4">
        <w:instrText xml:space="preserve"> STYLEREF 1 \s </w:instrText>
      </w:r>
      <w:r w:rsidRPr="007B31C4">
        <w:fldChar w:fldCharType="separate"/>
      </w:r>
      <w:r w:rsidR="009468E1">
        <w:rPr>
          <w:noProof/>
        </w:rPr>
        <w:t>5</w:t>
      </w:r>
      <w:r w:rsidRPr="007B31C4">
        <w:fldChar w:fldCharType="end"/>
      </w:r>
      <w:r w:rsidR="009B5A35" w:rsidRPr="007B31C4">
        <w:t>.</w:t>
      </w:r>
      <w:r w:rsidRPr="007B31C4">
        <w:fldChar w:fldCharType="begin"/>
      </w:r>
      <w:r w:rsidR="009B5A35" w:rsidRPr="007B31C4">
        <w:instrText xml:space="preserve"> SEQ Clause \* ARABIC \s 1 </w:instrText>
      </w:r>
      <w:r w:rsidRPr="007B31C4">
        <w:fldChar w:fldCharType="separate"/>
      </w:r>
      <w:r w:rsidR="009468E1">
        <w:rPr>
          <w:noProof/>
        </w:rPr>
        <w:t>1</w:t>
      </w:r>
      <w:r w:rsidRPr="007B31C4">
        <w:fldChar w:fldCharType="end"/>
      </w:r>
      <w:r w:rsidR="009B5A35" w:rsidRPr="007B31C4">
        <w:t xml:space="preserve"> </w:t>
      </w:r>
      <w:r w:rsidR="000042DB" w:rsidRPr="007B31C4">
        <w:t>R</w:t>
      </w:r>
      <w:r w:rsidR="00FB6F05" w:rsidRPr="007B31C4">
        <w:t>ehabilitation planning can only be based on the best available information at a given time</w:t>
      </w:r>
      <w:r w:rsidR="00744087" w:rsidRPr="007B31C4">
        <w:t>,</w:t>
      </w:r>
      <w:r w:rsidR="000042DB" w:rsidRPr="007B31C4">
        <w:t xml:space="preserve"> but</w:t>
      </w:r>
      <w:r w:rsidR="00FB6F05" w:rsidRPr="007B31C4">
        <w:t xml:space="preserve"> this should not preclude the continu</w:t>
      </w:r>
      <w:r w:rsidR="00F404D7" w:rsidRPr="007B31C4">
        <w:t>al</w:t>
      </w:r>
      <w:r w:rsidR="00FB6F05" w:rsidRPr="007B31C4">
        <w:t xml:space="preserve"> improvement of the knowledge base and its subsequent application where possible.</w:t>
      </w:r>
    </w:p>
    <w:p w14:paraId="3625C3F6" w14:textId="77777777" w:rsidR="007975C0" w:rsidRDefault="007975C0" w:rsidP="007975C0">
      <w:pPr>
        <w:jc w:val="both"/>
        <w:rPr>
          <w:rFonts w:cs="Arial"/>
          <w:noProof/>
        </w:rPr>
      </w:pPr>
      <w:r>
        <w:rPr>
          <w:rFonts w:cs="Arial"/>
          <w:noProof/>
        </w:rPr>
        <w:t>5</w:t>
      </w:r>
      <w:r w:rsidRPr="00CB39E6">
        <w:rPr>
          <w:rFonts w:cs="Arial"/>
          <w:noProof/>
        </w:rPr>
        <w:t xml:space="preserve">.2 The Supervising Scientist, through its Key Knowledge Needs, has identified the knowledge required to ensure appropriate management of the key risks to the environment from the rehabilitation of the Ranger uranium mine. For </w:t>
      </w:r>
      <w:r>
        <w:rPr>
          <w:rFonts w:cs="Arial"/>
          <w:noProof/>
        </w:rPr>
        <w:t>ammonia</w:t>
      </w:r>
      <w:r w:rsidRPr="00CB39E6">
        <w:rPr>
          <w:rFonts w:cs="Arial"/>
          <w:noProof/>
        </w:rPr>
        <w:t>, these knowledge needs are shown in Table 3.</w:t>
      </w:r>
    </w:p>
    <w:p w14:paraId="7CF7FBDB" w14:textId="77777777" w:rsidR="004669F8" w:rsidRDefault="004669F8">
      <w:pPr>
        <w:spacing w:after="0" w:line="240" w:lineRule="auto"/>
        <w:rPr>
          <w:b/>
          <w:iCs/>
          <w:szCs w:val="18"/>
        </w:rPr>
      </w:pPr>
      <w:r>
        <w:rPr>
          <w:b/>
        </w:rPr>
        <w:br w:type="page"/>
      </w:r>
    </w:p>
    <w:p w14:paraId="61DB8F41" w14:textId="3A983A0E" w:rsidR="007975C0" w:rsidRDefault="007975C0" w:rsidP="007975C0">
      <w:pPr>
        <w:pStyle w:val="Caption"/>
        <w:jc w:val="both"/>
        <w:rPr>
          <w:b/>
        </w:rPr>
      </w:pPr>
      <w:r w:rsidRPr="0013655D">
        <w:rPr>
          <w:b/>
        </w:rPr>
        <w:lastRenderedPageBreak/>
        <w:t xml:space="preserve">Table 3 </w:t>
      </w:r>
      <w:r>
        <w:rPr>
          <w:b/>
        </w:rPr>
        <w:t>Key Knowledge Needs for Ammonia in surface water</w:t>
      </w:r>
    </w:p>
    <w:tbl>
      <w:tblPr>
        <w:tblStyle w:val="TableGrid"/>
        <w:tblW w:w="8296" w:type="dxa"/>
        <w:tblLook w:val="04A0" w:firstRow="1" w:lastRow="0" w:firstColumn="1" w:lastColumn="0" w:noHBand="0" w:noVBand="1"/>
      </w:tblPr>
      <w:tblGrid>
        <w:gridCol w:w="2409"/>
        <w:gridCol w:w="2606"/>
        <w:gridCol w:w="3281"/>
      </w:tblGrid>
      <w:tr w:rsidR="007975C0" w:rsidRPr="00200077" w14:paraId="10B68249" w14:textId="77777777" w:rsidTr="00827089">
        <w:trPr>
          <w:trHeight w:val="424"/>
        </w:trPr>
        <w:tc>
          <w:tcPr>
            <w:tcW w:w="2409" w:type="dxa"/>
          </w:tcPr>
          <w:p w14:paraId="3F13971E" w14:textId="77777777" w:rsidR="007975C0" w:rsidRPr="0013655D" w:rsidRDefault="007975C0" w:rsidP="00F309F1">
            <w:pPr>
              <w:spacing w:beforeLines="60" w:before="144" w:afterLines="60" w:after="144"/>
              <w:rPr>
                <w:rFonts w:cs="Arial"/>
                <w:b/>
                <w:sz w:val="16"/>
                <w:szCs w:val="16"/>
              </w:rPr>
            </w:pPr>
            <w:r>
              <w:rPr>
                <w:rFonts w:cs="Arial"/>
                <w:b/>
                <w:sz w:val="16"/>
                <w:szCs w:val="16"/>
              </w:rPr>
              <w:t>ER Link</w:t>
            </w:r>
          </w:p>
        </w:tc>
        <w:tc>
          <w:tcPr>
            <w:tcW w:w="2606" w:type="dxa"/>
            <w:hideMark/>
          </w:tcPr>
          <w:p w14:paraId="6D991FF4" w14:textId="79003B20" w:rsidR="007975C0" w:rsidRPr="0013655D" w:rsidRDefault="00827089" w:rsidP="00F309F1">
            <w:pPr>
              <w:spacing w:beforeLines="60" w:before="144" w:afterLines="60" w:after="144"/>
              <w:rPr>
                <w:rFonts w:cs="Arial"/>
                <w:b/>
                <w:sz w:val="16"/>
                <w:szCs w:val="16"/>
              </w:rPr>
            </w:pPr>
            <w:r>
              <w:rPr>
                <w:rFonts w:cs="Arial"/>
                <w:b/>
                <w:sz w:val="16"/>
                <w:szCs w:val="16"/>
              </w:rPr>
              <w:t>Key Knowledge Need</w:t>
            </w:r>
          </w:p>
        </w:tc>
        <w:tc>
          <w:tcPr>
            <w:tcW w:w="3281" w:type="dxa"/>
            <w:hideMark/>
          </w:tcPr>
          <w:p w14:paraId="266BCD7A" w14:textId="77777777" w:rsidR="007975C0" w:rsidRPr="0013655D" w:rsidRDefault="007975C0" w:rsidP="00F309F1">
            <w:pPr>
              <w:spacing w:beforeLines="60" w:before="144" w:afterLines="60" w:after="144"/>
              <w:rPr>
                <w:rFonts w:cs="Arial"/>
                <w:b/>
                <w:sz w:val="16"/>
                <w:szCs w:val="16"/>
              </w:rPr>
            </w:pPr>
            <w:r w:rsidRPr="0013655D">
              <w:rPr>
                <w:rFonts w:cs="Arial"/>
                <w:b/>
                <w:sz w:val="16"/>
                <w:szCs w:val="16"/>
              </w:rPr>
              <w:t>Questions</w:t>
            </w:r>
          </w:p>
        </w:tc>
      </w:tr>
      <w:tr w:rsidR="00065FF6" w:rsidRPr="00200077" w14:paraId="50CCD44A" w14:textId="77777777" w:rsidTr="00F309F1">
        <w:trPr>
          <w:trHeight w:val="558"/>
        </w:trPr>
        <w:tc>
          <w:tcPr>
            <w:tcW w:w="2409" w:type="dxa"/>
          </w:tcPr>
          <w:p w14:paraId="67A6CBD4" w14:textId="69511DFD" w:rsidR="00065FF6" w:rsidRDefault="00006A70" w:rsidP="00F309F1">
            <w:pPr>
              <w:spacing w:beforeLines="60" w:before="144" w:afterLines="60" w:after="144"/>
              <w:rPr>
                <w:rFonts w:cs="Arial"/>
                <w:sz w:val="16"/>
                <w:szCs w:val="16"/>
              </w:rPr>
            </w:pPr>
            <w:r>
              <w:rPr>
                <w:rFonts w:cs="Arial"/>
                <w:sz w:val="16"/>
                <w:szCs w:val="16"/>
              </w:rPr>
              <w:t>Biodiversity and human health</w:t>
            </w:r>
          </w:p>
        </w:tc>
        <w:tc>
          <w:tcPr>
            <w:tcW w:w="2606" w:type="dxa"/>
          </w:tcPr>
          <w:p w14:paraId="04E67BC1" w14:textId="5E6CA9A9" w:rsidR="00065FF6" w:rsidRPr="00200077" w:rsidRDefault="00065FF6" w:rsidP="00F309F1">
            <w:pPr>
              <w:spacing w:beforeLines="60" w:before="144" w:afterLines="60" w:after="144"/>
              <w:rPr>
                <w:rFonts w:cs="Arial"/>
                <w:sz w:val="16"/>
                <w:szCs w:val="16"/>
              </w:rPr>
            </w:pPr>
            <w:r w:rsidRPr="0047697D">
              <w:rPr>
                <w:rFonts w:cs="Arial"/>
                <w:sz w:val="16"/>
                <w:szCs w:val="16"/>
              </w:rPr>
              <w:t>WS7. Determining the impact of chemical contaminants on aquatic biodiversity and ecosystem health</w:t>
            </w:r>
          </w:p>
        </w:tc>
        <w:tc>
          <w:tcPr>
            <w:tcW w:w="3281" w:type="dxa"/>
          </w:tcPr>
          <w:p w14:paraId="1807FED5" w14:textId="77777777" w:rsidR="00065FF6" w:rsidRDefault="00065FF6" w:rsidP="00F309F1">
            <w:pPr>
              <w:spacing w:beforeLines="60" w:before="144" w:afterLines="60" w:after="144"/>
              <w:rPr>
                <w:rFonts w:cs="Arial"/>
                <w:sz w:val="16"/>
                <w:szCs w:val="16"/>
              </w:rPr>
            </w:pPr>
            <w:r w:rsidRPr="0047697D">
              <w:rPr>
                <w:rFonts w:cs="Arial"/>
                <w:sz w:val="16"/>
                <w:szCs w:val="16"/>
              </w:rPr>
              <w:t>WS7A. Are current guideline values appropriate given the potential for variability in toxicity due to mixtures and modifying factors?</w:t>
            </w:r>
          </w:p>
          <w:p w14:paraId="05C7DF77" w14:textId="77777777" w:rsidR="00065FF6" w:rsidRDefault="00065FF6" w:rsidP="00F309F1">
            <w:pPr>
              <w:spacing w:beforeLines="60" w:before="144" w:afterLines="60" w:after="144"/>
              <w:rPr>
                <w:rFonts w:cs="Arial"/>
                <w:sz w:val="16"/>
                <w:szCs w:val="16"/>
              </w:rPr>
            </w:pPr>
            <w:r w:rsidRPr="0047697D">
              <w:rPr>
                <w:rFonts w:cs="Arial"/>
                <w:sz w:val="16"/>
                <w:szCs w:val="16"/>
              </w:rPr>
              <w:t>WS7C. Are current guideline values appropriate to protect the key groups of aquatic organisms (e.g. flow-dependent insects, hyporheic biota and stygofauna) that have not been represented in laboratory and field toxicity assessments?</w:t>
            </w:r>
          </w:p>
          <w:p w14:paraId="55B9B7CB" w14:textId="765423B1" w:rsidR="00065FF6" w:rsidRPr="00200077" w:rsidRDefault="00065FF6" w:rsidP="00F309F1">
            <w:pPr>
              <w:spacing w:beforeLines="60" w:before="144" w:afterLines="60" w:after="144"/>
              <w:rPr>
                <w:rFonts w:cs="Arial"/>
                <w:sz w:val="16"/>
                <w:szCs w:val="16"/>
              </w:rPr>
            </w:pPr>
            <w:r w:rsidRPr="0047697D">
              <w:rPr>
                <w:rFonts w:cs="Arial"/>
                <w:sz w:val="16"/>
                <w:szCs w:val="16"/>
              </w:rPr>
              <w:t>WS7F. Can a contaminant plume in creek channels form a barrier that inhibits organism migration and connectivity (e.g. fish migration, invertebrate drift, gene flow)?</w:t>
            </w:r>
          </w:p>
        </w:tc>
      </w:tr>
    </w:tbl>
    <w:p w14:paraId="78789EB6" w14:textId="77777777" w:rsidR="007975C0" w:rsidRPr="007B31C4" w:rsidRDefault="007975C0" w:rsidP="007975C0">
      <w:pPr>
        <w:jc w:val="both"/>
        <w:rPr>
          <w:rFonts w:cs="Arial"/>
        </w:rPr>
      </w:pPr>
    </w:p>
    <w:p w14:paraId="667953CB" w14:textId="7DAF37A4" w:rsidR="00370D14" w:rsidRPr="007B31C4" w:rsidRDefault="0057031C" w:rsidP="002D1713">
      <w:pPr>
        <w:pStyle w:val="Heading1"/>
        <w:jc w:val="both"/>
      </w:pPr>
      <w:r w:rsidRPr="007B31C4">
        <w:t>References</w:t>
      </w:r>
    </w:p>
    <w:p w14:paraId="579086CF" w14:textId="07829AAF" w:rsidR="00FA774C" w:rsidRDefault="00795BC6" w:rsidP="002D1713">
      <w:pPr>
        <w:jc w:val="both"/>
        <w:rPr>
          <w:rFonts w:cs="Arial"/>
          <w:szCs w:val="22"/>
        </w:rPr>
      </w:pPr>
      <w:r w:rsidRPr="007B31C4">
        <w:rPr>
          <w:rFonts w:cs="Arial"/>
          <w:szCs w:val="22"/>
        </w:rPr>
        <w:t>ANZECC</w:t>
      </w:r>
      <w:r w:rsidR="0069271F" w:rsidRPr="007B31C4">
        <w:rPr>
          <w:rFonts w:cs="Arial"/>
          <w:szCs w:val="22"/>
        </w:rPr>
        <w:t xml:space="preserve"> &amp; </w:t>
      </w:r>
      <w:r w:rsidRPr="007B31C4">
        <w:rPr>
          <w:rFonts w:cs="Arial"/>
          <w:szCs w:val="22"/>
        </w:rPr>
        <w:t>ARMCANZ 2000</w:t>
      </w:r>
      <w:r w:rsidR="0045764E">
        <w:rPr>
          <w:rFonts w:cs="Arial"/>
          <w:szCs w:val="22"/>
        </w:rPr>
        <w:t>.</w:t>
      </w:r>
      <w:r w:rsidRPr="007B31C4">
        <w:rPr>
          <w:rFonts w:cs="Arial"/>
          <w:szCs w:val="22"/>
        </w:rPr>
        <w:t xml:space="preserve"> </w:t>
      </w:r>
      <w:r w:rsidR="00432787" w:rsidRPr="007B31C4">
        <w:rPr>
          <w:rStyle w:val="Emphasis"/>
          <w:rFonts w:cs="Arial"/>
          <w:szCs w:val="22"/>
        </w:rPr>
        <w:t xml:space="preserve">Australian and New Zealand </w:t>
      </w:r>
      <w:r w:rsidR="004E7EA2" w:rsidRPr="007B31C4">
        <w:rPr>
          <w:rStyle w:val="Emphasis"/>
          <w:rFonts w:cs="Arial"/>
          <w:szCs w:val="22"/>
        </w:rPr>
        <w:t>g</w:t>
      </w:r>
      <w:r w:rsidR="00432787" w:rsidRPr="007B31C4">
        <w:rPr>
          <w:rStyle w:val="Emphasis"/>
          <w:rFonts w:cs="Arial"/>
          <w:szCs w:val="22"/>
        </w:rPr>
        <w:t xml:space="preserve">uidelines for </w:t>
      </w:r>
      <w:r w:rsidR="004E7EA2" w:rsidRPr="007B31C4">
        <w:rPr>
          <w:rStyle w:val="Emphasis"/>
          <w:rFonts w:cs="Arial"/>
          <w:szCs w:val="22"/>
        </w:rPr>
        <w:t>f</w:t>
      </w:r>
      <w:r w:rsidR="00432787" w:rsidRPr="007B31C4">
        <w:rPr>
          <w:rStyle w:val="Emphasis"/>
          <w:rFonts w:cs="Arial"/>
          <w:szCs w:val="22"/>
        </w:rPr>
        <w:t xml:space="preserve">resh and </w:t>
      </w:r>
      <w:r w:rsidR="004E7EA2" w:rsidRPr="007B31C4">
        <w:rPr>
          <w:rStyle w:val="Emphasis"/>
          <w:rFonts w:cs="Arial"/>
          <w:szCs w:val="22"/>
        </w:rPr>
        <w:t>m</w:t>
      </w:r>
      <w:r w:rsidR="00432787" w:rsidRPr="007B31C4">
        <w:rPr>
          <w:rStyle w:val="Emphasis"/>
          <w:rFonts w:cs="Arial"/>
          <w:szCs w:val="22"/>
        </w:rPr>
        <w:t xml:space="preserve">arine </w:t>
      </w:r>
      <w:r w:rsidR="004E7EA2" w:rsidRPr="007B31C4">
        <w:rPr>
          <w:rStyle w:val="Emphasis"/>
          <w:rFonts w:cs="Arial"/>
          <w:szCs w:val="22"/>
        </w:rPr>
        <w:t>w</w:t>
      </w:r>
      <w:r w:rsidR="00432787" w:rsidRPr="007B31C4">
        <w:rPr>
          <w:rStyle w:val="Emphasis"/>
          <w:rFonts w:cs="Arial"/>
          <w:szCs w:val="22"/>
        </w:rPr>
        <w:t xml:space="preserve">ater </w:t>
      </w:r>
      <w:r w:rsidR="004E7EA2" w:rsidRPr="007B31C4">
        <w:rPr>
          <w:rStyle w:val="Emphasis"/>
          <w:rFonts w:cs="Arial"/>
          <w:szCs w:val="22"/>
        </w:rPr>
        <w:t>q</w:t>
      </w:r>
      <w:r w:rsidR="00432787" w:rsidRPr="007B31C4">
        <w:rPr>
          <w:rStyle w:val="Emphasis"/>
          <w:rFonts w:cs="Arial"/>
          <w:szCs w:val="22"/>
        </w:rPr>
        <w:t>uality</w:t>
      </w:r>
      <w:r w:rsidR="0045764E">
        <w:rPr>
          <w:rFonts w:cs="Arial"/>
          <w:szCs w:val="22"/>
        </w:rPr>
        <w:t>.</w:t>
      </w:r>
      <w:r w:rsidR="0069271F" w:rsidRPr="007B31C4">
        <w:rPr>
          <w:rFonts w:cs="Arial"/>
          <w:szCs w:val="22"/>
        </w:rPr>
        <w:t xml:space="preserve"> </w:t>
      </w:r>
      <w:r w:rsidRPr="007B31C4">
        <w:rPr>
          <w:rFonts w:cs="Arial"/>
          <w:szCs w:val="22"/>
        </w:rPr>
        <w:t>Australian &amp; New Zealand Environment &amp; Conservation Council and Agriculture &amp; Resource Management Council of Australia &amp; New Zealand</w:t>
      </w:r>
      <w:r w:rsidR="0069271F" w:rsidRPr="007B31C4">
        <w:rPr>
          <w:rFonts w:cs="Arial"/>
          <w:szCs w:val="22"/>
        </w:rPr>
        <w:t>, Canberra.</w:t>
      </w:r>
    </w:p>
    <w:p w14:paraId="175FC36F" w14:textId="42F4000B" w:rsidR="00B26A64" w:rsidRPr="007B31C4" w:rsidRDefault="003355E8" w:rsidP="002D1713">
      <w:pPr>
        <w:jc w:val="both"/>
        <w:rPr>
          <w:rFonts w:cs="Arial"/>
          <w:szCs w:val="22"/>
        </w:rPr>
      </w:pPr>
      <w:r w:rsidRPr="00042AE2">
        <w:t>ANZG 2018</w:t>
      </w:r>
      <w:r w:rsidR="0045764E">
        <w:t>.</w:t>
      </w:r>
      <w:r w:rsidR="00B26A64" w:rsidRPr="00042AE2">
        <w:t xml:space="preserve"> </w:t>
      </w:r>
      <w:r w:rsidR="00B26A64" w:rsidRPr="00042AE2">
        <w:rPr>
          <w:i/>
        </w:rPr>
        <w:t>Australian and New Zealand guidelines for fresh and marine water quality</w:t>
      </w:r>
      <w:r w:rsidR="00B26A64" w:rsidRPr="00042AE2">
        <w:t xml:space="preserve">. Australian and New Zealand Governments and Australian state and territory governments, Canberra ACT, Australia.  Available at </w:t>
      </w:r>
      <w:hyperlink r:id="rId8" w:history="1">
        <w:r w:rsidR="00B26A64">
          <w:rPr>
            <w:rStyle w:val="Hyperlink"/>
            <w:lang w:val="en-US"/>
          </w:rPr>
          <w:t>www.waterquality.gov.au/anz-guidelines</w:t>
        </w:r>
      </w:hyperlink>
      <w:r w:rsidR="00135158">
        <w:rPr>
          <w:color w:val="000000"/>
          <w:lang w:val="en-US"/>
        </w:rPr>
        <w:t>.</w:t>
      </w:r>
    </w:p>
    <w:p w14:paraId="5E909AE6" w14:textId="0260E44C" w:rsidR="00326D8B" w:rsidRPr="007B31C4" w:rsidRDefault="00326D8B" w:rsidP="002D1713">
      <w:pPr>
        <w:jc w:val="both"/>
        <w:rPr>
          <w:rFonts w:cs="Arial"/>
          <w:szCs w:val="22"/>
        </w:rPr>
      </w:pPr>
      <w:r w:rsidRPr="007B31C4">
        <w:rPr>
          <w:rFonts w:cs="Arial"/>
          <w:szCs w:val="22"/>
        </w:rPr>
        <w:t>Australian Government 1999</w:t>
      </w:r>
      <w:r w:rsidR="0045764E">
        <w:rPr>
          <w:rFonts w:cs="Arial"/>
          <w:szCs w:val="22"/>
        </w:rPr>
        <w:t>.</w:t>
      </w:r>
      <w:r w:rsidRPr="007B31C4">
        <w:rPr>
          <w:rFonts w:cs="Arial"/>
          <w:szCs w:val="22"/>
        </w:rPr>
        <w:t xml:space="preserve"> </w:t>
      </w:r>
      <w:r w:rsidRPr="007B31C4">
        <w:rPr>
          <w:rStyle w:val="Emphasis"/>
          <w:rFonts w:cs="Arial"/>
          <w:szCs w:val="22"/>
        </w:rPr>
        <w:t>Environmen</w:t>
      </w:r>
      <w:r w:rsidR="004E7EA2" w:rsidRPr="007B31C4">
        <w:rPr>
          <w:rStyle w:val="Emphasis"/>
          <w:rFonts w:cs="Arial"/>
          <w:szCs w:val="22"/>
        </w:rPr>
        <w:t>tal r</w:t>
      </w:r>
      <w:r w:rsidRPr="007B31C4">
        <w:rPr>
          <w:rStyle w:val="Emphasis"/>
          <w:rFonts w:cs="Arial"/>
          <w:szCs w:val="22"/>
        </w:rPr>
        <w:t>equirements of the Com</w:t>
      </w:r>
      <w:r w:rsidR="004E7EA2" w:rsidRPr="007B31C4">
        <w:rPr>
          <w:rStyle w:val="Emphasis"/>
          <w:rFonts w:cs="Arial"/>
          <w:szCs w:val="22"/>
        </w:rPr>
        <w:t>monwealth of Australia for the operation of the Ranger uranium m</w:t>
      </w:r>
      <w:r w:rsidRPr="007B31C4">
        <w:rPr>
          <w:rStyle w:val="Emphasis"/>
          <w:rFonts w:cs="Arial"/>
          <w:szCs w:val="22"/>
        </w:rPr>
        <w:t>ine</w:t>
      </w:r>
      <w:r w:rsidR="0045764E">
        <w:rPr>
          <w:rFonts w:cs="Arial"/>
          <w:szCs w:val="22"/>
        </w:rPr>
        <w:t>.</w:t>
      </w:r>
      <w:r w:rsidRPr="007B31C4">
        <w:rPr>
          <w:rFonts w:cs="Arial"/>
          <w:szCs w:val="22"/>
        </w:rPr>
        <w:t xml:space="preserve"> Australian Government Department of the Environment and Heritage, Canberra.</w:t>
      </w:r>
    </w:p>
    <w:p w14:paraId="6C935261" w14:textId="59848EB8" w:rsidR="00795BC6" w:rsidRPr="007B31C4" w:rsidRDefault="00795BC6" w:rsidP="002D1713">
      <w:pPr>
        <w:jc w:val="both"/>
        <w:rPr>
          <w:rFonts w:cs="Arial"/>
          <w:szCs w:val="22"/>
        </w:rPr>
      </w:pPr>
      <w:r w:rsidRPr="007B31C4">
        <w:rPr>
          <w:rFonts w:cs="Arial"/>
          <w:szCs w:val="22"/>
        </w:rPr>
        <w:t>Batley GE, van Dam RA, Warne MSJ, Chapman JC, Fox DR, Hickey CW &amp; Stauber JL 2014</w:t>
      </w:r>
      <w:r w:rsidR="0045764E">
        <w:rPr>
          <w:rFonts w:cs="Arial"/>
          <w:szCs w:val="22"/>
        </w:rPr>
        <w:t>.</w:t>
      </w:r>
      <w:r w:rsidRPr="007B31C4">
        <w:rPr>
          <w:rFonts w:cs="Arial"/>
          <w:szCs w:val="22"/>
        </w:rPr>
        <w:t xml:space="preserve"> </w:t>
      </w:r>
      <w:r w:rsidR="00846E44" w:rsidRPr="007B31C4">
        <w:rPr>
          <w:rStyle w:val="Emphasis"/>
          <w:rFonts w:cs="Arial"/>
          <w:szCs w:val="22"/>
        </w:rPr>
        <w:t>Technical rationale for changes to the method for d</w:t>
      </w:r>
      <w:r w:rsidR="00432787" w:rsidRPr="007B31C4">
        <w:rPr>
          <w:rStyle w:val="Emphasis"/>
          <w:rFonts w:cs="Arial"/>
          <w:szCs w:val="22"/>
        </w:rPr>
        <w:t>eriv</w:t>
      </w:r>
      <w:r w:rsidR="00846E44" w:rsidRPr="007B31C4">
        <w:rPr>
          <w:rStyle w:val="Emphasis"/>
          <w:rFonts w:cs="Arial"/>
          <w:szCs w:val="22"/>
        </w:rPr>
        <w:t>ing Australian and New Zealand water q</w:t>
      </w:r>
      <w:r w:rsidR="00432787" w:rsidRPr="007B31C4">
        <w:rPr>
          <w:rStyle w:val="Emphasis"/>
          <w:rFonts w:cs="Arial"/>
          <w:szCs w:val="22"/>
        </w:rPr>
        <w:t>ua</w:t>
      </w:r>
      <w:r w:rsidR="00846E44" w:rsidRPr="007B31C4">
        <w:rPr>
          <w:rStyle w:val="Emphasis"/>
          <w:rFonts w:cs="Arial"/>
          <w:szCs w:val="22"/>
        </w:rPr>
        <w:t>lity guideline values for t</w:t>
      </w:r>
      <w:r w:rsidR="00432787" w:rsidRPr="007B31C4">
        <w:rPr>
          <w:rStyle w:val="Emphasis"/>
          <w:rFonts w:cs="Arial"/>
          <w:szCs w:val="22"/>
        </w:rPr>
        <w:t>oxicants</w:t>
      </w:r>
      <w:r w:rsidR="0045764E">
        <w:rPr>
          <w:rFonts w:cs="Arial"/>
          <w:szCs w:val="22"/>
        </w:rPr>
        <w:t>.</w:t>
      </w:r>
      <w:r w:rsidRPr="007B31C4">
        <w:rPr>
          <w:rFonts w:cs="Arial"/>
          <w:szCs w:val="22"/>
        </w:rPr>
        <w:t xml:space="preserve"> Prepared for the Council of Australian Government's Standing Council on Environment and Water (SCEW), Canberra.</w:t>
      </w:r>
    </w:p>
    <w:p w14:paraId="6ACC317F" w14:textId="29AEF887" w:rsidR="00A212F7" w:rsidRPr="007B31C4" w:rsidRDefault="00A212F7" w:rsidP="002D1713">
      <w:pPr>
        <w:jc w:val="both"/>
      </w:pPr>
      <w:r w:rsidRPr="007B31C4">
        <w:t xml:space="preserve">Cormier SM, Paul JF, </w:t>
      </w:r>
      <w:proofErr w:type="spellStart"/>
      <w:r w:rsidRPr="007B31C4">
        <w:t>Spehar</w:t>
      </w:r>
      <w:proofErr w:type="spellEnd"/>
      <w:r w:rsidRPr="007B31C4">
        <w:t xml:space="preserve"> RL, Shaw-Allen P, Berry WJ &amp; Suter GW 2008</w:t>
      </w:r>
      <w:r w:rsidR="0045764E">
        <w:t>.</w:t>
      </w:r>
      <w:r w:rsidRPr="007B31C4">
        <w:t xml:space="preserve"> Using field data and weight of evidence to develop water quality criteria</w:t>
      </w:r>
      <w:r w:rsidR="0045764E">
        <w:t>.</w:t>
      </w:r>
      <w:r w:rsidR="0045764E" w:rsidRPr="007B31C4">
        <w:t xml:space="preserve"> </w:t>
      </w:r>
      <w:r w:rsidRPr="007B31C4">
        <w:rPr>
          <w:rStyle w:val="Emphasis"/>
        </w:rPr>
        <w:t xml:space="preserve">Integrated Environmental Assessment and Management </w:t>
      </w:r>
      <w:r w:rsidRPr="007B31C4">
        <w:t>4(4)</w:t>
      </w:r>
      <w:r w:rsidR="0045764E">
        <w:t>,</w:t>
      </w:r>
      <w:r w:rsidRPr="007B31C4">
        <w:t xml:space="preserve"> 490–504.</w:t>
      </w:r>
    </w:p>
    <w:p w14:paraId="3693C275" w14:textId="38811834" w:rsidR="008E43F2" w:rsidRPr="007B31C4" w:rsidRDefault="008E43F2" w:rsidP="002D1713">
      <w:pPr>
        <w:jc w:val="both"/>
        <w:rPr>
          <w:rFonts w:cs="Arial"/>
          <w:szCs w:val="22"/>
        </w:rPr>
      </w:pPr>
      <w:r w:rsidRPr="007B31C4">
        <w:rPr>
          <w:rFonts w:cs="Arial"/>
          <w:szCs w:val="22"/>
        </w:rPr>
        <w:lastRenderedPageBreak/>
        <w:t>Emerson K, Russo RC, Lund R E, Thurston RV 1975</w:t>
      </w:r>
      <w:r w:rsidR="0045764E">
        <w:rPr>
          <w:rFonts w:cs="Arial"/>
          <w:szCs w:val="22"/>
        </w:rPr>
        <w:t>.</w:t>
      </w:r>
      <w:r w:rsidRPr="007B31C4">
        <w:rPr>
          <w:rFonts w:cs="Arial"/>
          <w:szCs w:val="22"/>
        </w:rPr>
        <w:t xml:space="preserve"> Aqueous ammonia equilibrium calculations: effect of pH and temperature</w:t>
      </w:r>
      <w:r w:rsidR="00C9043B" w:rsidRPr="007B31C4">
        <w:rPr>
          <w:rFonts w:cs="Arial"/>
          <w:szCs w:val="22"/>
        </w:rPr>
        <w:t>.</w:t>
      </w:r>
      <w:r w:rsidRPr="007B31C4">
        <w:rPr>
          <w:rFonts w:cs="Arial"/>
          <w:szCs w:val="22"/>
        </w:rPr>
        <w:t xml:space="preserve"> </w:t>
      </w:r>
      <w:r w:rsidRPr="007B31C4">
        <w:rPr>
          <w:rFonts w:cs="Arial"/>
          <w:i/>
          <w:szCs w:val="22"/>
        </w:rPr>
        <w:t>Journal of the Fisheries Board of Canada</w:t>
      </w:r>
      <w:r w:rsidRPr="007B31C4">
        <w:rPr>
          <w:rFonts w:cs="Arial"/>
          <w:b/>
          <w:szCs w:val="22"/>
        </w:rPr>
        <w:t>,</w:t>
      </w:r>
      <w:r w:rsidRPr="007B31C4">
        <w:rPr>
          <w:rFonts w:cs="Arial"/>
          <w:szCs w:val="22"/>
        </w:rPr>
        <w:t xml:space="preserve"> </w:t>
      </w:r>
      <w:r w:rsidRPr="007B31C4">
        <w:rPr>
          <w:rFonts w:cs="Arial"/>
          <w:i/>
          <w:szCs w:val="22"/>
        </w:rPr>
        <w:t>32</w:t>
      </w:r>
      <w:r w:rsidRPr="007B31C4">
        <w:rPr>
          <w:rFonts w:cs="Arial"/>
          <w:szCs w:val="22"/>
        </w:rPr>
        <w:t>, (12), 2379-2383</w:t>
      </w:r>
    </w:p>
    <w:p w14:paraId="5D97DCF1" w14:textId="250EC413" w:rsidR="00E842AA" w:rsidRPr="007B31C4" w:rsidRDefault="00F02649" w:rsidP="002D1713">
      <w:pPr>
        <w:jc w:val="both"/>
        <w:rPr>
          <w:rFonts w:cs="Arial"/>
          <w:szCs w:val="22"/>
        </w:rPr>
      </w:pPr>
      <w:r w:rsidRPr="007B31C4">
        <w:rPr>
          <w:rFonts w:cs="Arial"/>
          <w:szCs w:val="22"/>
        </w:rPr>
        <w:t xml:space="preserve">EU 2006, Directive 2006/44/EC of the European Parliament and of the Council on the Quality of Fresh Waters Needing Protection or Improvement in Order to Support Fish Life. </w:t>
      </w:r>
      <w:hyperlink r:id="rId9" w:history="1">
        <w:r w:rsidRPr="007B31C4">
          <w:rPr>
            <w:rStyle w:val="Hyperlink"/>
            <w:rFonts w:cs="Arial"/>
            <w:szCs w:val="22"/>
          </w:rPr>
          <w:t>http://www.europe.org.uk/europa/view/-/id/641/</w:t>
        </w:r>
      </w:hyperlink>
      <w:r w:rsidRPr="007B31C4">
        <w:rPr>
          <w:rFonts w:cs="Arial"/>
          <w:szCs w:val="22"/>
        </w:rPr>
        <w:t xml:space="preserve"> (accessed 27</w:t>
      </w:r>
      <w:r w:rsidR="007350AD">
        <w:rPr>
          <w:rFonts w:cs="Arial"/>
          <w:szCs w:val="22"/>
        </w:rPr>
        <w:t xml:space="preserve"> February </w:t>
      </w:r>
      <w:r w:rsidRPr="007B31C4">
        <w:rPr>
          <w:rFonts w:cs="Arial"/>
          <w:szCs w:val="22"/>
        </w:rPr>
        <w:t>2018)</w:t>
      </w:r>
    </w:p>
    <w:p w14:paraId="1C24EB78" w14:textId="77777777" w:rsidR="007F21D9" w:rsidRDefault="007F21D9" w:rsidP="007F21D9">
      <w:pPr>
        <w:pStyle w:val="referencelist1"/>
        <w:spacing w:after="240" w:line="288" w:lineRule="auto"/>
        <w:ind w:left="0" w:firstLine="0"/>
        <w:rPr>
          <w:rFonts w:ascii="Arial" w:hAnsi="Arial" w:cs="Arial"/>
          <w:noProof/>
          <w:szCs w:val="22"/>
        </w:rPr>
      </w:pPr>
      <w:bookmarkStart w:id="7" w:name="_ENREF_1"/>
      <w:r w:rsidRPr="007A3034">
        <w:rPr>
          <w:rFonts w:ascii="Arial" w:hAnsi="Arial" w:cs="Arial"/>
          <w:noProof/>
          <w:szCs w:val="22"/>
        </w:rPr>
        <w:t>Garde M 201</w:t>
      </w:r>
      <w:r>
        <w:rPr>
          <w:rFonts w:ascii="Arial" w:hAnsi="Arial" w:cs="Arial"/>
          <w:noProof/>
          <w:szCs w:val="22"/>
        </w:rPr>
        <w:t>3.</w:t>
      </w:r>
      <w:r w:rsidRPr="007A3034">
        <w:rPr>
          <w:rFonts w:ascii="Arial" w:hAnsi="Arial" w:cs="Arial"/>
          <w:noProof/>
          <w:szCs w:val="22"/>
        </w:rPr>
        <w:t xml:space="preserve"> </w:t>
      </w:r>
      <w:r w:rsidRPr="00B737F7">
        <w:rPr>
          <w:rFonts w:ascii="Arial" w:hAnsi="Arial" w:cs="Arial"/>
          <w:i/>
          <w:noProof/>
          <w:szCs w:val="22"/>
        </w:rPr>
        <w:t xml:space="preserve">Closure Criteria </w:t>
      </w:r>
      <w:r w:rsidRPr="00B737F7">
        <w:rPr>
          <w:rFonts w:ascii="Arial" w:hAnsi="Arial" w:cs="Arial"/>
          <w:i/>
          <w:szCs w:val="22"/>
        </w:rPr>
        <w:t>Development</w:t>
      </w:r>
      <w:r w:rsidRPr="00B737F7">
        <w:rPr>
          <w:rFonts w:ascii="Arial" w:hAnsi="Arial" w:cs="Arial"/>
          <w:i/>
          <w:noProof/>
          <w:szCs w:val="22"/>
        </w:rPr>
        <w:t xml:space="preserve"> — Cultural</w:t>
      </w:r>
      <w:r w:rsidRPr="007A3034">
        <w:rPr>
          <w:rFonts w:ascii="Arial" w:hAnsi="Arial" w:cs="Arial"/>
          <w:noProof/>
          <w:szCs w:val="22"/>
        </w:rPr>
        <w:t xml:space="preserve">. </w:t>
      </w:r>
      <w:r>
        <w:rPr>
          <w:rFonts w:ascii="Arial" w:hAnsi="Arial" w:cs="Arial"/>
          <w:noProof/>
          <w:szCs w:val="22"/>
        </w:rPr>
        <w:t xml:space="preserve">Commercial-in-Confidence report from GAC to the Ranger mine </w:t>
      </w:r>
      <w:r w:rsidRPr="007B7938">
        <w:rPr>
          <w:rFonts w:ascii="Arial" w:hAnsi="Arial" w:cs="Arial"/>
          <w:noProof/>
          <w:szCs w:val="22"/>
        </w:rPr>
        <w:t>Closure Criteria Working</w:t>
      </w:r>
      <w:r>
        <w:rPr>
          <w:rFonts w:ascii="Arial" w:hAnsi="Arial" w:cs="Arial"/>
          <w:noProof/>
          <w:szCs w:val="22"/>
        </w:rPr>
        <w:t xml:space="preserve"> </w:t>
      </w:r>
      <w:r w:rsidRPr="007B7938">
        <w:rPr>
          <w:rFonts w:ascii="Arial" w:hAnsi="Arial" w:cs="Arial"/>
          <w:noProof/>
          <w:szCs w:val="22"/>
        </w:rPr>
        <w:t>Group</w:t>
      </w:r>
      <w:r>
        <w:rPr>
          <w:rFonts w:ascii="Arial" w:hAnsi="Arial" w:cs="Arial"/>
          <w:noProof/>
          <w:szCs w:val="22"/>
        </w:rPr>
        <w:t xml:space="preserve">. </w:t>
      </w:r>
      <w:r w:rsidRPr="007A3034">
        <w:rPr>
          <w:rFonts w:ascii="Arial" w:hAnsi="Arial" w:cs="Arial"/>
          <w:noProof/>
          <w:szCs w:val="22"/>
        </w:rPr>
        <w:t>Darwin 160.</w:t>
      </w:r>
    </w:p>
    <w:bookmarkEnd w:id="7"/>
    <w:p w14:paraId="7F98D517" w14:textId="180D43D7" w:rsidR="00795BC6" w:rsidRPr="007B31C4" w:rsidRDefault="00795BC6" w:rsidP="002D1713">
      <w:pPr>
        <w:jc w:val="both"/>
        <w:rPr>
          <w:rFonts w:cs="Arial"/>
          <w:szCs w:val="22"/>
        </w:rPr>
      </w:pPr>
      <w:r w:rsidRPr="007B31C4">
        <w:rPr>
          <w:rFonts w:cs="Arial"/>
          <w:szCs w:val="22"/>
        </w:rPr>
        <w:t>Iles M 2004</w:t>
      </w:r>
      <w:r w:rsidR="0045764E">
        <w:rPr>
          <w:rFonts w:cs="Arial"/>
          <w:szCs w:val="22"/>
        </w:rPr>
        <w:t>.</w:t>
      </w:r>
      <w:r w:rsidRPr="007B31C4">
        <w:rPr>
          <w:rFonts w:cs="Arial"/>
          <w:szCs w:val="22"/>
        </w:rPr>
        <w:t xml:space="preserve"> </w:t>
      </w:r>
      <w:r w:rsidR="00432787" w:rsidRPr="007B31C4">
        <w:rPr>
          <w:rStyle w:val="Emphasis"/>
          <w:rFonts w:cs="Arial"/>
          <w:szCs w:val="22"/>
        </w:rPr>
        <w:t>Water quality objectives for Magela Creek—revised November 2004</w:t>
      </w:r>
      <w:r w:rsidR="0045764E">
        <w:rPr>
          <w:rFonts w:cs="Arial"/>
          <w:szCs w:val="22"/>
        </w:rPr>
        <w:t>.</w:t>
      </w:r>
      <w:r w:rsidRPr="007B31C4">
        <w:rPr>
          <w:rFonts w:cs="Arial"/>
          <w:szCs w:val="22"/>
        </w:rPr>
        <w:t xml:space="preserve"> Internal Report 489, December, Supervising Scientist, Darwin. Unpublished paper.</w:t>
      </w:r>
    </w:p>
    <w:p w14:paraId="2533CAF1" w14:textId="17E67620" w:rsidR="00C21BA4" w:rsidRPr="007B31C4" w:rsidRDefault="00C21BA4" w:rsidP="002D1713">
      <w:pPr>
        <w:jc w:val="both"/>
        <w:rPr>
          <w:rFonts w:cs="Arial"/>
          <w:szCs w:val="22"/>
        </w:rPr>
      </w:pPr>
      <w:proofErr w:type="spellStart"/>
      <w:r w:rsidRPr="007B31C4">
        <w:rPr>
          <w:rFonts w:cs="Arial"/>
          <w:szCs w:val="22"/>
        </w:rPr>
        <w:t>Kleinhenz</w:t>
      </w:r>
      <w:proofErr w:type="spellEnd"/>
      <w:r w:rsidRPr="007B31C4">
        <w:rPr>
          <w:rFonts w:cs="Arial"/>
          <w:szCs w:val="22"/>
        </w:rPr>
        <w:t xml:space="preserve"> LS, </w:t>
      </w:r>
      <w:proofErr w:type="spellStart"/>
      <w:r w:rsidRPr="007B31C4">
        <w:rPr>
          <w:rFonts w:cs="Arial"/>
          <w:szCs w:val="22"/>
        </w:rPr>
        <w:t>Trenfield</w:t>
      </w:r>
      <w:proofErr w:type="spellEnd"/>
      <w:r w:rsidRPr="007B31C4">
        <w:rPr>
          <w:rFonts w:cs="Arial"/>
          <w:szCs w:val="22"/>
          <w:vertAlign w:val="superscript"/>
        </w:rPr>
        <w:t xml:space="preserve"> </w:t>
      </w:r>
      <w:r w:rsidRPr="007B31C4">
        <w:rPr>
          <w:rFonts w:cs="Arial"/>
          <w:szCs w:val="22"/>
        </w:rPr>
        <w:t>M, Mooney</w:t>
      </w:r>
      <w:r w:rsidRPr="007B31C4">
        <w:rPr>
          <w:rFonts w:cs="Arial"/>
          <w:szCs w:val="22"/>
          <w:vertAlign w:val="superscript"/>
        </w:rPr>
        <w:t xml:space="preserve"> </w:t>
      </w:r>
      <w:r w:rsidRPr="007B31C4">
        <w:rPr>
          <w:rFonts w:cs="Arial"/>
          <w:szCs w:val="22"/>
        </w:rPr>
        <w:t>TJ, Humphrey CL, van Dam</w:t>
      </w:r>
      <w:r w:rsidRPr="007B31C4">
        <w:rPr>
          <w:rFonts w:cs="Arial"/>
          <w:szCs w:val="22"/>
          <w:vertAlign w:val="superscript"/>
        </w:rPr>
        <w:t xml:space="preserve"> </w:t>
      </w:r>
      <w:r w:rsidRPr="007B31C4">
        <w:rPr>
          <w:rFonts w:cs="Arial"/>
          <w:szCs w:val="22"/>
        </w:rPr>
        <w:t>R, Nugegoda D</w:t>
      </w:r>
      <w:r w:rsidR="00A20221">
        <w:rPr>
          <w:rFonts w:cs="Arial"/>
          <w:szCs w:val="22"/>
        </w:rPr>
        <w:t xml:space="preserve"> &amp;</w:t>
      </w:r>
      <w:r w:rsidRPr="007B31C4">
        <w:rPr>
          <w:rFonts w:cs="Arial"/>
          <w:szCs w:val="22"/>
        </w:rPr>
        <w:t xml:space="preserve"> Harford AJ 2018</w:t>
      </w:r>
      <w:r w:rsidR="0045764E">
        <w:rPr>
          <w:rFonts w:cs="Arial"/>
          <w:szCs w:val="22"/>
        </w:rPr>
        <w:t>.</w:t>
      </w:r>
      <w:r w:rsidRPr="007B31C4">
        <w:rPr>
          <w:rFonts w:cs="Arial"/>
          <w:szCs w:val="22"/>
        </w:rPr>
        <w:t xml:space="preserve"> Development of a chronic toxicity test for tropical Australian freshwater mussels and an assessment of ammonia</w:t>
      </w:r>
      <w:r w:rsidRPr="007B31C4">
        <w:rPr>
          <w:rFonts w:cs="Arial"/>
          <w:color w:val="FF0000"/>
          <w:szCs w:val="22"/>
        </w:rPr>
        <w:t xml:space="preserve"> </w:t>
      </w:r>
      <w:r w:rsidRPr="007B31C4">
        <w:rPr>
          <w:rFonts w:cs="Arial"/>
          <w:szCs w:val="22"/>
        </w:rPr>
        <w:t>toxicity</w:t>
      </w:r>
      <w:r w:rsidR="00C9043B" w:rsidRPr="007B31C4">
        <w:rPr>
          <w:rFonts w:cs="Arial"/>
          <w:szCs w:val="22"/>
        </w:rPr>
        <w:t>.</w:t>
      </w:r>
      <w:r w:rsidRPr="007B31C4">
        <w:rPr>
          <w:rFonts w:cs="Arial"/>
          <w:szCs w:val="22"/>
        </w:rPr>
        <w:t xml:space="preserve"> </w:t>
      </w:r>
      <w:r w:rsidRPr="007B31C4">
        <w:rPr>
          <w:rFonts w:cs="Arial"/>
          <w:i/>
          <w:szCs w:val="22"/>
        </w:rPr>
        <w:t>Environmental</w:t>
      </w:r>
      <w:r w:rsidR="007350AD">
        <w:rPr>
          <w:rFonts w:cs="Arial"/>
          <w:i/>
          <w:szCs w:val="22"/>
        </w:rPr>
        <w:t xml:space="preserve"> </w:t>
      </w:r>
      <w:r w:rsidRPr="007B31C4">
        <w:rPr>
          <w:rFonts w:cs="Arial"/>
          <w:i/>
          <w:szCs w:val="22"/>
        </w:rPr>
        <w:t>Toxicology and Chemistry</w:t>
      </w:r>
      <w:r w:rsidR="0045764E">
        <w:rPr>
          <w:rFonts w:cs="Arial"/>
          <w:i/>
          <w:szCs w:val="22"/>
        </w:rPr>
        <w:t xml:space="preserve">. </w:t>
      </w:r>
      <w:r w:rsidR="0045764E" w:rsidRPr="00042AE2">
        <w:rPr>
          <w:rFonts w:cs="Arial"/>
          <w:szCs w:val="22"/>
        </w:rPr>
        <w:t>U</w:t>
      </w:r>
      <w:r w:rsidR="00E62E48" w:rsidRPr="00042AE2">
        <w:rPr>
          <w:rFonts w:cs="Arial"/>
          <w:szCs w:val="22"/>
        </w:rPr>
        <w:t>npublished</w:t>
      </w:r>
      <w:r w:rsidR="00A030BE" w:rsidRPr="00042AE2">
        <w:rPr>
          <w:rFonts w:cs="Arial"/>
          <w:szCs w:val="22"/>
        </w:rPr>
        <w:t xml:space="preserve"> manuscript</w:t>
      </w:r>
      <w:r w:rsidR="0045764E">
        <w:rPr>
          <w:rFonts w:cs="Arial"/>
          <w:szCs w:val="22"/>
        </w:rPr>
        <w:t>.</w:t>
      </w:r>
    </w:p>
    <w:p w14:paraId="4EFD557E" w14:textId="1B399CFB" w:rsidR="008E43F2" w:rsidRPr="007B31C4" w:rsidRDefault="008E43F2" w:rsidP="002D1713">
      <w:pPr>
        <w:jc w:val="both"/>
        <w:rPr>
          <w:rFonts w:cs="Arial"/>
          <w:szCs w:val="22"/>
        </w:rPr>
      </w:pPr>
      <w:r w:rsidRPr="007B31C4">
        <w:rPr>
          <w:rFonts w:cs="Arial"/>
          <w:szCs w:val="22"/>
        </w:rPr>
        <w:t>Mooney TJ, Pease C, Trenfield M, van Dam R</w:t>
      </w:r>
      <w:r w:rsidR="00A20221">
        <w:rPr>
          <w:rFonts w:cs="Arial"/>
          <w:szCs w:val="22"/>
        </w:rPr>
        <w:t xml:space="preserve"> &amp;</w:t>
      </w:r>
      <w:r w:rsidRPr="007B31C4">
        <w:rPr>
          <w:rFonts w:cs="Arial"/>
          <w:szCs w:val="22"/>
        </w:rPr>
        <w:t xml:space="preserve"> Harford AJ 201</w:t>
      </w:r>
      <w:r w:rsidR="004F3ADB" w:rsidRPr="007B31C4">
        <w:rPr>
          <w:rFonts w:cs="Arial"/>
          <w:szCs w:val="22"/>
        </w:rPr>
        <w:t>8a</w:t>
      </w:r>
      <w:r w:rsidR="0045764E">
        <w:rPr>
          <w:rFonts w:cs="Arial"/>
          <w:szCs w:val="22"/>
        </w:rPr>
        <w:t>.</w:t>
      </w:r>
      <w:r w:rsidRPr="007B31C4">
        <w:rPr>
          <w:rFonts w:cs="Arial"/>
          <w:szCs w:val="22"/>
        </w:rPr>
        <w:t xml:space="preserve"> </w:t>
      </w:r>
      <w:proofErr w:type="spellStart"/>
      <w:r w:rsidRPr="007B31C4">
        <w:rPr>
          <w:rFonts w:cs="Arial"/>
          <w:szCs w:val="22"/>
        </w:rPr>
        <w:t>Modeling</w:t>
      </w:r>
      <w:proofErr w:type="spellEnd"/>
      <w:r w:rsidRPr="007B31C4">
        <w:rPr>
          <w:rFonts w:cs="Arial"/>
          <w:szCs w:val="22"/>
        </w:rPr>
        <w:t xml:space="preserve"> the </w:t>
      </w:r>
      <w:proofErr w:type="spellStart"/>
      <w:r w:rsidRPr="007B31C4">
        <w:rPr>
          <w:rFonts w:cs="Arial"/>
          <w:szCs w:val="22"/>
        </w:rPr>
        <w:t>ph</w:t>
      </w:r>
      <w:proofErr w:type="spellEnd"/>
      <w:r w:rsidRPr="007B31C4">
        <w:rPr>
          <w:rFonts w:ascii="Cambria Math" w:hAnsi="Cambria Math" w:cs="Cambria Math"/>
          <w:szCs w:val="22"/>
        </w:rPr>
        <w:t>‐</w:t>
      </w:r>
      <w:r w:rsidRPr="007B31C4">
        <w:rPr>
          <w:rFonts w:cs="Arial"/>
          <w:szCs w:val="22"/>
        </w:rPr>
        <w:t xml:space="preserve">ammonia toxicity relationship for hydra </w:t>
      </w:r>
      <w:proofErr w:type="spellStart"/>
      <w:r w:rsidRPr="007B31C4">
        <w:rPr>
          <w:rFonts w:cs="Arial"/>
          <w:szCs w:val="22"/>
        </w:rPr>
        <w:t>viridissima</w:t>
      </w:r>
      <w:proofErr w:type="spellEnd"/>
      <w:r w:rsidRPr="007B31C4">
        <w:rPr>
          <w:rFonts w:cs="Arial"/>
          <w:szCs w:val="22"/>
        </w:rPr>
        <w:t xml:space="preserve"> in soft</w:t>
      </w:r>
      <w:r w:rsidRPr="007B31C4">
        <w:rPr>
          <w:rFonts w:ascii="Cambria Math" w:hAnsi="Cambria Math" w:cs="Cambria Math"/>
          <w:szCs w:val="22"/>
        </w:rPr>
        <w:t>‐</w:t>
      </w:r>
      <w:r w:rsidRPr="007B31C4">
        <w:rPr>
          <w:rFonts w:cs="Arial"/>
          <w:szCs w:val="22"/>
        </w:rPr>
        <w:t xml:space="preserve">waters with low ionic concentrations. </w:t>
      </w:r>
      <w:r w:rsidRPr="007B31C4">
        <w:rPr>
          <w:rFonts w:cs="Arial"/>
          <w:i/>
          <w:szCs w:val="22"/>
        </w:rPr>
        <w:t xml:space="preserve">Environmental </w:t>
      </w:r>
      <w:r w:rsidR="007350AD">
        <w:rPr>
          <w:rFonts w:cs="Arial"/>
          <w:i/>
          <w:szCs w:val="22"/>
        </w:rPr>
        <w:t>T</w:t>
      </w:r>
      <w:r w:rsidRPr="007B31C4">
        <w:rPr>
          <w:rFonts w:cs="Arial"/>
          <w:i/>
          <w:szCs w:val="22"/>
        </w:rPr>
        <w:t xml:space="preserve">oxicology and </w:t>
      </w:r>
      <w:r w:rsidR="007350AD">
        <w:rPr>
          <w:rFonts w:cs="Arial"/>
          <w:i/>
          <w:szCs w:val="22"/>
        </w:rPr>
        <w:t>C</w:t>
      </w:r>
      <w:r w:rsidRPr="007B31C4">
        <w:rPr>
          <w:rFonts w:cs="Arial"/>
          <w:i/>
          <w:szCs w:val="22"/>
        </w:rPr>
        <w:t>hemistry</w:t>
      </w:r>
      <w:r w:rsidRPr="007B31C4">
        <w:rPr>
          <w:rFonts w:cs="Arial"/>
          <w:szCs w:val="22"/>
        </w:rPr>
        <w:t>. In press.</w:t>
      </w:r>
    </w:p>
    <w:p w14:paraId="67C5A9B9" w14:textId="1EDC5797" w:rsidR="008E43F2" w:rsidRPr="007B31C4" w:rsidRDefault="008E43F2" w:rsidP="002D1713">
      <w:pPr>
        <w:jc w:val="both"/>
        <w:rPr>
          <w:rFonts w:cs="Arial"/>
          <w:bCs/>
          <w:szCs w:val="22"/>
        </w:rPr>
      </w:pPr>
      <w:r w:rsidRPr="007B31C4">
        <w:rPr>
          <w:rFonts w:cs="Arial"/>
          <w:szCs w:val="22"/>
        </w:rPr>
        <w:t xml:space="preserve">Mooney TJ, Pease CJ, Hogan AC, </w:t>
      </w:r>
      <w:proofErr w:type="spellStart"/>
      <w:r w:rsidRPr="007B31C4">
        <w:rPr>
          <w:rFonts w:cs="Arial"/>
          <w:szCs w:val="22"/>
        </w:rPr>
        <w:t>Trenfield</w:t>
      </w:r>
      <w:proofErr w:type="spellEnd"/>
      <w:r w:rsidRPr="007B31C4">
        <w:rPr>
          <w:rFonts w:cs="Arial"/>
          <w:szCs w:val="22"/>
        </w:rPr>
        <w:t xml:space="preserve"> M, </w:t>
      </w:r>
      <w:proofErr w:type="spellStart"/>
      <w:r w:rsidRPr="007B31C4">
        <w:rPr>
          <w:rFonts w:cs="Arial"/>
          <w:szCs w:val="22"/>
        </w:rPr>
        <w:t>Kleinhenz</w:t>
      </w:r>
      <w:proofErr w:type="spellEnd"/>
      <w:r w:rsidRPr="007B31C4">
        <w:rPr>
          <w:rFonts w:cs="Arial"/>
          <w:szCs w:val="22"/>
        </w:rPr>
        <w:t xml:space="preserve"> LS, Humphrey C, van Dam RA</w:t>
      </w:r>
      <w:r w:rsidR="00A20221">
        <w:rPr>
          <w:rFonts w:cs="Arial"/>
          <w:szCs w:val="22"/>
        </w:rPr>
        <w:t xml:space="preserve"> &amp;</w:t>
      </w:r>
      <w:r w:rsidRPr="007B31C4">
        <w:rPr>
          <w:rFonts w:cs="Arial"/>
          <w:szCs w:val="22"/>
        </w:rPr>
        <w:t xml:space="preserve"> Harford AJ 2018</w:t>
      </w:r>
      <w:r w:rsidR="004F3ADB" w:rsidRPr="007B31C4">
        <w:rPr>
          <w:rFonts w:cs="Arial"/>
          <w:szCs w:val="22"/>
        </w:rPr>
        <w:t>b</w:t>
      </w:r>
      <w:r w:rsidR="00FB79BB">
        <w:rPr>
          <w:rFonts w:cs="Arial"/>
          <w:szCs w:val="22"/>
        </w:rPr>
        <w:t>.</w:t>
      </w:r>
      <w:r w:rsidRPr="007B31C4">
        <w:rPr>
          <w:rFonts w:cs="Arial"/>
          <w:szCs w:val="22"/>
        </w:rPr>
        <w:t xml:space="preserve"> </w:t>
      </w:r>
      <w:r w:rsidR="00D2437D" w:rsidRPr="007B31C4">
        <w:rPr>
          <w:rFonts w:cs="Arial"/>
          <w:bCs/>
          <w:szCs w:val="22"/>
        </w:rPr>
        <w:t xml:space="preserve">Freshwater chronic ammonia toxicity: </w:t>
      </w:r>
      <w:r w:rsidR="00D2437D" w:rsidRPr="007B31C4">
        <w:rPr>
          <w:rFonts w:cs="Arial"/>
          <w:bCs/>
          <w:szCs w:val="22"/>
          <w:lang w:val="en-US"/>
        </w:rPr>
        <w:t>a tropical-to-temperate comparison</w:t>
      </w:r>
      <w:r w:rsidRPr="007B31C4">
        <w:rPr>
          <w:rFonts w:cs="Arial"/>
          <w:szCs w:val="22"/>
        </w:rPr>
        <w:t xml:space="preserve">. </w:t>
      </w:r>
      <w:r w:rsidRPr="007B31C4">
        <w:rPr>
          <w:rFonts w:cs="Arial"/>
          <w:i/>
          <w:szCs w:val="22"/>
        </w:rPr>
        <w:t>Environmental Toxicology and Chemistry</w:t>
      </w:r>
      <w:r w:rsidR="00FB79BB">
        <w:rPr>
          <w:rFonts w:cs="Arial"/>
          <w:i/>
          <w:szCs w:val="22"/>
        </w:rPr>
        <w:t>.</w:t>
      </w:r>
      <w:r w:rsidRPr="007350AD">
        <w:rPr>
          <w:rFonts w:cs="Arial"/>
          <w:szCs w:val="22"/>
        </w:rPr>
        <w:t xml:space="preserve"> </w:t>
      </w:r>
      <w:r w:rsidR="00FB79BB">
        <w:rPr>
          <w:rFonts w:cs="Arial"/>
          <w:szCs w:val="22"/>
        </w:rPr>
        <w:t>U</w:t>
      </w:r>
      <w:r w:rsidR="00A030BE" w:rsidRPr="00D5316C">
        <w:rPr>
          <w:rFonts w:cs="Arial"/>
          <w:szCs w:val="22"/>
        </w:rPr>
        <w:t>npublished manuscript</w:t>
      </w:r>
      <w:r w:rsidRPr="007350AD">
        <w:rPr>
          <w:rFonts w:cs="Arial"/>
          <w:szCs w:val="22"/>
        </w:rPr>
        <w:t>.</w:t>
      </w:r>
    </w:p>
    <w:p w14:paraId="250D0E14" w14:textId="52CF89D4" w:rsidR="008E43F2" w:rsidRPr="007B31C4" w:rsidRDefault="008E43F2" w:rsidP="002D1713">
      <w:pPr>
        <w:jc w:val="both"/>
        <w:rPr>
          <w:rFonts w:cs="Arial"/>
          <w:szCs w:val="22"/>
        </w:rPr>
      </w:pPr>
      <w:r w:rsidRPr="007B31C4">
        <w:rPr>
          <w:rFonts w:cs="Arial"/>
          <w:szCs w:val="22"/>
        </w:rPr>
        <w:t>USEPA 2013</w:t>
      </w:r>
      <w:r w:rsidR="00FB79BB">
        <w:rPr>
          <w:rFonts w:cs="Arial"/>
          <w:szCs w:val="22"/>
        </w:rPr>
        <w:t>.</w:t>
      </w:r>
      <w:r w:rsidRPr="007B31C4">
        <w:rPr>
          <w:rFonts w:cs="Arial"/>
          <w:szCs w:val="22"/>
        </w:rPr>
        <w:t xml:space="preserve"> </w:t>
      </w:r>
      <w:r w:rsidRPr="007B31C4">
        <w:rPr>
          <w:rFonts w:cs="Arial"/>
          <w:i/>
          <w:szCs w:val="22"/>
        </w:rPr>
        <w:t>Aquatic Life Ambient Water Quality Criteria for Ammonia - Freshwater</w:t>
      </w:r>
      <w:r w:rsidR="00FB79BB">
        <w:rPr>
          <w:rFonts w:cs="Arial"/>
          <w:szCs w:val="22"/>
        </w:rPr>
        <w:t>.</w:t>
      </w:r>
      <w:r w:rsidRPr="007B31C4">
        <w:rPr>
          <w:rFonts w:cs="Arial"/>
          <w:szCs w:val="22"/>
        </w:rPr>
        <w:t xml:space="preserve"> U.S. Environmental Protection Agency, Office of Water and Office of Science and Technology: Washington DC, USA.</w:t>
      </w:r>
    </w:p>
    <w:p w14:paraId="00E1D003" w14:textId="6EE7637C" w:rsidR="00A212F7" w:rsidRPr="007B31C4" w:rsidRDefault="00A212F7" w:rsidP="002D1713">
      <w:pPr>
        <w:jc w:val="both"/>
      </w:pPr>
      <w:r w:rsidRPr="007B31C4">
        <w:rPr>
          <w:rFonts w:cs="AdvTT3713a231"/>
          <w:color w:val="131413"/>
          <w:szCs w:val="17"/>
        </w:rPr>
        <w:t>USEPA 2016</w:t>
      </w:r>
      <w:r w:rsidR="00FB79BB">
        <w:rPr>
          <w:rFonts w:cs="AdvTT3713a231"/>
          <w:color w:val="131413"/>
          <w:szCs w:val="17"/>
        </w:rPr>
        <w:t>.</w:t>
      </w:r>
      <w:r w:rsidRPr="007B31C4">
        <w:rPr>
          <w:rFonts w:cs="AdvTT3713a231"/>
          <w:color w:val="131413"/>
          <w:szCs w:val="17"/>
        </w:rPr>
        <w:t xml:space="preserve"> </w:t>
      </w:r>
      <w:r w:rsidRPr="007B31C4">
        <w:rPr>
          <w:rFonts w:cs="AdvTT3713a231"/>
          <w:bCs/>
          <w:i/>
          <w:color w:val="131413"/>
          <w:szCs w:val="17"/>
        </w:rPr>
        <w:t>Weight of evidence in ecological assessment</w:t>
      </w:r>
      <w:r w:rsidR="00FB79BB">
        <w:rPr>
          <w:rFonts w:cs="AdvTT3713a231"/>
          <w:bCs/>
          <w:color w:val="131413"/>
          <w:szCs w:val="17"/>
        </w:rPr>
        <w:t>.</w:t>
      </w:r>
      <w:r w:rsidRPr="007B31C4">
        <w:rPr>
          <w:rFonts w:cs="AdvTT3713a231"/>
          <w:bCs/>
          <w:color w:val="131413"/>
          <w:szCs w:val="17"/>
        </w:rPr>
        <w:t xml:space="preserve"> </w:t>
      </w:r>
      <w:r w:rsidRPr="007B31C4">
        <w:rPr>
          <w:rFonts w:cs="AdvTT3713a231"/>
          <w:color w:val="131413"/>
          <w:szCs w:val="17"/>
        </w:rPr>
        <w:t>Risk Assessment Forum, US Environmental Protection Agency, Washington DC 20460, EPA/100/R16/001.</w:t>
      </w:r>
    </w:p>
    <w:p w14:paraId="71F5C626" w14:textId="1B5C3FA6" w:rsidR="00C21BA4" w:rsidRPr="007B31C4" w:rsidRDefault="00C21BA4" w:rsidP="002D1713">
      <w:pPr>
        <w:jc w:val="both"/>
        <w:rPr>
          <w:rFonts w:cs="Arial"/>
          <w:szCs w:val="22"/>
          <w:lang w:val="en-US"/>
        </w:rPr>
      </w:pPr>
      <w:r w:rsidRPr="007B31C4">
        <w:rPr>
          <w:rFonts w:cs="Arial"/>
          <w:szCs w:val="22"/>
          <w:lang w:val="en-US"/>
        </w:rPr>
        <w:t>Walker TD</w:t>
      </w:r>
      <w:r w:rsidR="00A20221">
        <w:rPr>
          <w:rFonts w:cs="Arial"/>
          <w:szCs w:val="22"/>
          <w:lang w:val="en-US"/>
        </w:rPr>
        <w:t xml:space="preserve"> &amp;</w:t>
      </w:r>
      <w:r w:rsidRPr="007B31C4">
        <w:rPr>
          <w:rFonts w:cs="Arial"/>
          <w:szCs w:val="22"/>
          <w:lang w:val="en-US"/>
        </w:rPr>
        <w:t xml:space="preserve"> Tyler PA 1982. </w:t>
      </w:r>
      <w:r w:rsidRPr="00D5316C">
        <w:rPr>
          <w:rFonts w:cs="Arial"/>
          <w:i/>
          <w:szCs w:val="22"/>
          <w:lang w:val="en-US"/>
        </w:rPr>
        <w:t>Chemical characteristics and nutrient status of billabongs of the Alligator Rivers Region, Northern Territory (Final Report)</w:t>
      </w:r>
      <w:r w:rsidRPr="007B31C4">
        <w:rPr>
          <w:rFonts w:cs="Arial"/>
          <w:szCs w:val="22"/>
          <w:lang w:val="en-US"/>
        </w:rPr>
        <w:t>. Canberra: Supervising Scientist for the Alligator River Region, NT. Open file Record No. 27.</w:t>
      </w:r>
    </w:p>
    <w:p w14:paraId="7CBF8F72" w14:textId="0717747A" w:rsidR="004911D3" w:rsidRPr="007B31C4" w:rsidRDefault="008E43F2" w:rsidP="002D1713">
      <w:pPr>
        <w:jc w:val="both"/>
        <w:rPr>
          <w:rFonts w:cs="Arial"/>
          <w:szCs w:val="22"/>
        </w:rPr>
      </w:pPr>
      <w:r w:rsidRPr="007B31C4">
        <w:rPr>
          <w:rFonts w:cs="Arial"/>
          <w:szCs w:val="22"/>
        </w:rPr>
        <w:t>Warne MSJ, Batley GE, v</w:t>
      </w:r>
      <w:r w:rsidR="00795BC6" w:rsidRPr="007B31C4">
        <w:rPr>
          <w:rFonts w:cs="Arial"/>
          <w:szCs w:val="22"/>
        </w:rPr>
        <w:t>an Dam RA, Chapman JC, Fox DR, Hickey CW &amp; Stauber JL 201</w:t>
      </w:r>
      <w:r w:rsidR="0057031C">
        <w:rPr>
          <w:rFonts w:cs="Arial"/>
          <w:szCs w:val="22"/>
        </w:rPr>
        <w:t>8</w:t>
      </w:r>
      <w:r w:rsidR="00FB79BB">
        <w:rPr>
          <w:rFonts w:cs="Arial"/>
          <w:szCs w:val="22"/>
        </w:rPr>
        <w:t>.</w:t>
      </w:r>
      <w:r w:rsidR="00795BC6" w:rsidRPr="007B31C4">
        <w:rPr>
          <w:rFonts w:cs="Arial"/>
          <w:szCs w:val="22"/>
        </w:rPr>
        <w:t xml:space="preserve"> </w:t>
      </w:r>
      <w:r w:rsidR="00432787" w:rsidRPr="007B31C4">
        <w:rPr>
          <w:rStyle w:val="Emphasis"/>
          <w:rFonts w:cs="Arial"/>
          <w:szCs w:val="22"/>
        </w:rPr>
        <w:t>Revised Method for Deriving Australian and New Zealand Water Quality Guideline Values for Toxicants</w:t>
      </w:r>
      <w:r w:rsidR="00FB79BB">
        <w:rPr>
          <w:rFonts w:cs="Arial"/>
          <w:szCs w:val="22"/>
        </w:rPr>
        <w:t>.</w:t>
      </w:r>
      <w:r w:rsidR="00795BC6" w:rsidRPr="007B31C4">
        <w:rPr>
          <w:rFonts w:cs="Arial"/>
          <w:szCs w:val="22"/>
        </w:rPr>
        <w:t xml:space="preserve"> Prepared for the Council of Australian Government's Standing Council on Environment and Water (SCEW)</w:t>
      </w:r>
      <w:r w:rsidR="007936CB" w:rsidRPr="007B31C4">
        <w:rPr>
          <w:rFonts w:cs="Arial"/>
          <w:szCs w:val="22"/>
        </w:rPr>
        <w:t>,</w:t>
      </w:r>
      <w:r w:rsidR="00795BC6" w:rsidRPr="007B31C4">
        <w:rPr>
          <w:rFonts w:cs="Arial"/>
          <w:szCs w:val="22"/>
        </w:rPr>
        <w:t xml:space="preserve"> Department of Science, Information Technology and Innovation, Brisbane.</w:t>
      </w:r>
    </w:p>
    <w:p w14:paraId="5BEF0684" w14:textId="77777777" w:rsidR="00431026" w:rsidRPr="007B31C4" w:rsidRDefault="00431026" w:rsidP="002D1713">
      <w:pPr>
        <w:spacing w:after="0" w:line="240" w:lineRule="auto"/>
        <w:jc w:val="both"/>
      </w:pPr>
      <w:r w:rsidRPr="007B31C4">
        <w:br w:type="page"/>
      </w:r>
    </w:p>
    <w:p w14:paraId="7BD9EAC3" w14:textId="77777777" w:rsidR="009A3E09" w:rsidRPr="007B31C4" w:rsidRDefault="00CB1379" w:rsidP="00D5316C">
      <w:pPr>
        <w:pStyle w:val="Heading1"/>
        <w:numPr>
          <w:ilvl w:val="0"/>
          <w:numId w:val="0"/>
        </w:numPr>
      </w:pPr>
      <w:r w:rsidRPr="007B31C4">
        <w:lastRenderedPageBreak/>
        <w:t>Appendix A</w:t>
      </w:r>
    </w:p>
    <w:p w14:paraId="721041DC" w14:textId="62A69703" w:rsidR="00905EB9" w:rsidRDefault="00905EB9" w:rsidP="002D1713">
      <w:pPr>
        <w:jc w:val="both"/>
      </w:pPr>
      <w:r w:rsidRPr="007B31C4">
        <w:t xml:space="preserve">The </w:t>
      </w:r>
      <w:r w:rsidR="0021709B" w:rsidRPr="007B31C4">
        <w:t xml:space="preserve">site-specific </w:t>
      </w:r>
      <w:r w:rsidRPr="007B31C4">
        <w:t xml:space="preserve">99% species protection </w:t>
      </w:r>
      <w:r w:rsidR="0021709B" w:rsidRPr="007B31C4">
        <w:t xml:space="preserve">guideline </w:t>
      </w:r>
      <w:r w:rsidRPr="007B31C4">
        <w:t>value of 0.23</w:t>
      </w:r>
      <w:r w:rsidR="00A20221">
        <w:t> </w:t>
      </w:r>
      <w:r w:rsidRPr="007B31C4">
        <w:t>m</w:t>
      </w:r>
      <w:r w:rsidR="0021709B" w:rsidRPr="007B31C4">
        <w:t>g/L</w:t>
      </w:r>
      <w:r w:rsidRPr="007B31C4">
        <w:t xml:space="preserve"> </w:t>
      </w:r>
      <w:r w:rsidR="00BB15C5">
        <w:t>total ammonia nitrogen</w:t>
      </w:r>
      <w:r w:rsidRPr="007B31C4">
        <w:t xml:space="preserve"> </w:t>
      </w:r>
      <w:r w:rsidR="0021709B" w:rsidRPr="007B31C4">
        <w:t xml:space="preserve">(at </w:t>
      </w:r>
      <w:r w:rsidRPr="007B31C4">
        <w:t>pH 7.0 and 20°C</w:t>
      </w:r>
      <w:r w:rsidR="0021709B" w:rsidRPr="007B31C4">
        <w:t>)</w:t>
      </w:r>
      <w:r w:rsidRPr="007B31C4">
        <w:t xml:space="preserve"> adjusted to a range of pH and temperatures using the speciation equations of Emerson et al. (1975).</w:t>
      </w:r>
    </w:p>
    <w:p w14:paraId="19EE0427" w14:textId="499C86C4" w:rsidR="00A20221" w:rsidRPr="007B31C4" w:rsidRDefault="007350AD" w:rsidP="00D5316C">
      <w:pPr>
        <w:pStyle w:val="Caption"/>
      </w:pPr>
      <w:r>
        <w:t xml:space="preserve">Table </w:t>
      </w:r>
      <w:r w:rsidR="00AD626F">
        <w:rPr>
          <w:noProof/>
        </w:rPr>
        <w:fldChar w:fldCharType="begin"/>
      </w:r>
      <w:r w:rsidR="00AD626F">
        <w:rPr>
          <w:noProof/>
        </w:rPr>
        <w:instrText xml:space="preserve"> SEQ Table \* ARABIC </w:instrText>
      </w:r>
      <w:r w:rsidR="00AD626F">
        <w:rPr>
          <w:noProof/>
        </w:rPr>
        <w:fldChar w:fldCharType="separate"/>
      </w:r>
      <w:r w:rsidR="009468E1">
        <w:rPr>
          <w:noProof/>
        </w:rPr>
        <w:t>2</w:t>
      </w:r>
      <w:r w:rsidR="00AD626F">
        <w:rPr>
          <w:noProof/>
        </w:rPr>
        <w:fldChar w:fldCharType="end"/>
      </w:r>
      <w:r>
        <w:t xml:space="preserve"> </w:t>
      </w:r>
      <w:r w:rsidR="00A20221" w:rsidRPr="00A20221">
        <w:t>Total ammonia nitrogen</w:t>
      </w:r>
      <w:r w:rsidR="00A20221">
        <w:t xml:space="preserve"> in </w:t>
      </w:r>
      <w:r w:rsidR="00A20221" w:rsidRPr="00A20221">
        <w:t>mg/L</w:t>
      </w:r>
      <w:r w:rsidR="00A20221">
        <w:t xml:space="preserve"> adjusted for temperatures from 20 to 32</w:t>
      </w:r>
      <w:r w:rsidR="00A20221" w:rsidRPr="007B31C4">
        <w:t>°C</w:t>
      </w:r>
      <w:r w:rsidR="00A20221">
        <w:t xml:space="preserve"> and pH from 6.0 to 8.0</w:t>
      </w:r>
    </w:p>
    <w:tbl>
      <w:tblPr>
        <w:tblW w:w="5035" w:type="pct"/>
        <w:tblLayout w:type="fixed"/>
        <w:tblLook w:val="04A0" w:firstRow="1" w:lastRow="0" w:firstColumn="1" w:lastColumn="0" w:noHBand="0" w:noVBand="1"/>
      </w:tblPr>
      <w:tblGrid>
        <w:gridCol w:w="567"/>
        <w:gridCol w:w="621"/>
        <w:gridCol w:w="594"/>
        <w:gridCol w:w="593"/>
        <w:gridCol w:w="578"/>
        <w:gridCol w:w="594"/>
        <w:gridCol w:w="608"/>
        <w:gridCol w:w="593"/>
        <w:gridCol w:w="593"/>
        <w:gridCol w:w="593"/>
        <w:gridCol w:w="593"/>
        <w:gridCol w:w="593"/>
        <w:gridCol w:w="593"/>
        <w:gridCol w:w="651"/>
      </w:tblGrid>
      <w:tr w:rsidR="00905EB9" w:rsidRPr="007B31C4" w14:paraId="036D3855" w14:textId="77777777" w:rsidTr="00DC2A5F">
        <w:trPr>
          <w:trHeight w:val="315"/>
        </w:trPr>
        <w:tc>
          <w:tcPr>
            <w:tcW w:w="567" w:type="dxa"/>
            <w:tcBorders>
              <w:left w:val="nil"/>
              <w:right w:val="single" w:sz="4" w:space="0" w:color="auto"/>
            </w:tcBorders>
            <w:shd w:val="clear" w:color="auto" w:fill="auto"/>
            <w:noWrap/>
          </w:tcPr>
          <w:p w14:paraId="2EB5E73D" w14:textId="77777777" w:rsidR="00905EB9" w:rsidRPr="00D5316C" w:rsidRDefault="00905EB9" w:rsidP="00D5316C">
            <w:pPr>
              <w:pStyle w:val="table1"/>
              <w:rPr>
                <w:b/>
                <w:lang w:eastAsia="en-AU"/>
              </w:rPr>
            </w:pPr>
            <w:r w:rsidRPr="00D5316C">
              <w:rPr>
                <w:b/>
                <w:lang w:eastAsia="en-AU"/>
              </w:rPr>
              <w:t>pH</w:t>
            </w:r>
          </w:p>
        </w:tc>
        <w:tc>
          <w:tcPr>
            <w:tcW w:w="621" w:type="dxa"/>
            <w:tcBorders>
              <w:left w:val="single" w:sz="4" w:space="0" w:color="auto"/>
              <w:bottom w:val="single" w:sz="4" w:space="0" w:color="auto"/>
              <w:right w:val="nil"/>
            </w:tcBorders>
            <w:shd w:val="clear" w:color="auto" w:fill="auto"/>
            <w:noWrap/>
          </w:tcPr>
          <w:p w14:paraId="1374C8DC" w14:textId="17A0C54C" w:rsidR="00905EB9" w:rsidRPr="00D5316C" w:rsidRDefault="00905EB9" w:rsidP="00D5316C">
            <w:pPr>
              <w:pStyle w:val="table1"/>
              <w:rPr>
                <w:b/>
                <w:color w:val="000000"/>
                <w:lang w:eastAsia="en-AU"/>
              </w:rPr>
            </w:pPr>
            <w:r w:rsidRPr="00D5316C">
              <w:rPr>
                <w:b/>
                <w:color w:val="000000"/>
                <w:lang w:eastAsia="en-AU"/>
              </w:rPr>
              <w:t>20</w:t>
            </w:r>
            <w:r w:rsidR="00A20221" w:rsidRPr="00D5316C">
              <w:rPr>
                <w:b/>
                <w:color w:val="000000"/>
                <w:lang w:eastAsia="en-AU"/>
              </w:rPr>
              <w:t>°C</w:t>
            </w:r>
          </w:p>
        </w:tc>
        <w:tc>
          <w:tcPr>
            <w:tcW w:w="594" w:type="dxa"/>
            <w:tcBorders>
              <w:left w:val="nil"/>
              <w:bottom w:val="single" w:sz="4" w:space="0" w:color="auto"/>
              <w:right w:val="nil"/>
            </w:tcBorders>
            <w:shd w:val="clear" w:color="auto" w:fill="auto"/>
            <w:noWrap/>
          </w:tcPr>
          <w:p w14:paraId="024A4E28" w14:textId="554A2254" w:rsidR="00905EB9" w:rsidRPr="00D5316C" w:rsidRDefault="00905EB9" w:rsidP="00D5316C">
            <w:pPr>
              <w:pStyle w:val="table1"/>
              <w:rPr>
                <w:b/>
                <w:color w:val="000000"/>
                <w:lang w:eastAsia="en-AU"/>
              </w:rPr>
            </w:pPr>
            <w:r w:rsidRPr="00D5316C">
              <w:rPr>
                <w:b/>
                <w:color w:val="000000"/>
                <w:lang w:eastAsia="en-AU"/>
              </w:rPr>
              <w:t>21</w:t>
            </w:r>
            <w:r w:rsidR="00A20221" w:rsidRPr="00D5316C">
              <w:rPr>
                <w:b/>
                <w:color w:val="000000"/>
                <w:lang w:eastAsia="en-AU"/>
              </w:rPr>
              <w:t>°C</w:t>
            </w:r>
          </w:p>
        </w:tc>
        <w:tc>
          <w:tcPr>
            <w:tcW w:w="593" w:type="dxa"/>
            <w:tcBorders>
              <w:left w:val="nil"/>
              <w:bottom w:val="single" w:sz="4" w:space="0" w:color="auto"/>
              <w:right w:val="nil"/>
            </w:tcBorders>
            <w:shd w:val="clear" w:color="auto" w:fill="auto"/>
            <w:noWrap/>
          </w:tcPr>
          <w:p w14:paraId="77A50AC7" w14:textId="1813DF0A" w:rsidR="00905EB9" w:rsidRPr="00D5316C" w:rsidRDefault="00905EB9" w:rsidP="00D5316C">
            <w:pPr>
              <w:pStyle w:val="table1"/>
              <w:rPr>
                <w:b/>
                <w:color w:val="000000"/>
                <w:lang w:eastAsia="en-AU"/>
              </w:rPr>
            </w:pPr>
            <w:r w:rsidRPr="00D5316C">
              <w:rPr>
                <w:b/>
                <w:color w:val="000000"/>
                <w:lang w:eastAsia="en-AU"/>
              </w:rPr>
              <w:t>22</w:t>
            </w:r>
            <w:r w:rsidR="00A20221" w:rsidRPr="00D5316C">
              <w:rPr>
                <w:b/>
                <w:color w:val="000000"/>
                <w:lang w:eastAsia="en-AU"/>
              </w:rPr>
              <w:t>°C</w:t>
            </w:r>
          </w:p>
        </w:tc>
        <w:tc>
          <w:tcPr>
            <w:tcW w:w="578" w:type="dxa"/>
            <w:tcBorders>
              <w:left w:val="nil"/>
              <w:bottom w:val="single" w:sz="4" w:space="0" w:color="auto"/>
              <w:right w:val="nil"/>
            </w:tcBorders>
            <w:shd w:val="clear" w:color="auto" w:fill="auto"/>
            <w:noWrap/>
          </w:tcPr>
          <w:p w14:paraId="119B619E" w14:textId="4D603309" w:rsidR="00905EB9" w:rsidRPr="00D5316C" w:rsidRDefault="00905EB9" w:rsidP="00D5316C">
            <w:pPr>
              <w:pStyle w:val="table1"/>
              <w:rPr>
                <w:b/>
                <w:color w:val="000000"/>
                <w:lang w:eastAsia="en-AU"/>
              </w:rPr>
            </w:pPr>
            <w:r w:rsidRPr="00D5316C">
              <w:rPr>
                <w:b/>
                <w:color w:val="000000"/>
                <w:lang w:eastAsia="en-AU"/>
              </w:rPr>
              <w:t>23</w:t>
            </w:r>
            <w:r w:rsidR="00A20221" w:rsidRPr="00D5316C">
              <w:rPr>
                <w:b/>
                <w:color w:val="000000"/>
                <w:lang w:eastAsia="en-AU"/>
              </w:rPr>
              <w:t>°C</w:t>
            </w:r>
          </w:p>
        </w:tc>
        <w:tc>
          <w:tcPr>
            <w:tcW w:w="594" w:type="dxa"/>
            <w:tcBorders>
              <w:left w:val="nil"/>
              <w:bottom w:val="single" w:sz="4" w:space="0" w:color="auto"/>
              <w:right w:val="nil"/>
            </w:tcBorders>
            <w:shd w:val="clear" w:color="auto" w:fill="auto"/>
            <w:noWrap/>
          </w:tcPr>
          <w:p w14:paraId="10FCB568" w14:textId="7E92C725" w:rsidR="00905EB9" w:rsidRPr="00D5316C" w:rsidRDefault="00905EB9" w:rsidP="00D5316C">
            <w:pPr>
              <w:pStyle w:val="table1"/>
              <w:rPr>
                <w:b/>
                <w:color w:val="000000"/>
                <w:lang w:eastAsia="en-AU"/>
              </w:rPr>
            </w:pPr>
            <w:r w:rsidRPr="00D5316C">
              <w:rPr>
                <w:b/>
                <w:color w:val="000000"/>
                <w:lang w:eastAsia="en-AU"/>
              </w:rPr>
              <w:t>24</w:t>
            </w:r>
            <w:r w:rsidR="00A20221" w:rsidRPr="00D5316C">
              <w:rPr>
                <w:b/>
                <w:color w:val="000000"/>
                <w:lang w:eastAsia="en-AU"/>
              </w:rPr>
              <w:t>°C</w:t>
            </w:r>
          </w:p>
        </w:tc>
        <w:tc>
          <w:tcPr>
            <w:tcW w:w="608" w:type="dxa"/>
            <w:tcBorders>
              <w:left w:val="nil"/>
              <w:bottom w:val="single" w:sz="4" w:space="0" w:color="auto"/>
              <w:right w:val="nil"/>
            </w:tcBorders>
            <w:shd w:val="clear" w:color="auto" w:fill="auto"/>
            <w:noWrap/>
          </w:tcPr>
          <w:p w14:paraId="49C80370" w14:textId="5FEEBF57" w:rsidR="00905EB9" w:rsidRPr="00D5316C" w:rsidRDefault="00905EB9" w:rsidP="00D5316C">
            <w:pPr>
              <w:pStyle w:val="table1"/>
              <w:rPr>
                <w:b/>
                <w:color w:val="000000"/>
                <w:lang w:eastAsia="en-AU"/>
              </w:rPr>
            </w:pPr>
            <w:r w:rsidRPr="00D5316C">
              <w:rPr>
                <w:b/>
                <w:color w:val="000000"/>
                <w:lang w:eastAsia="en-AU"/>
              </w:rPr>
              <w:t>25</w:t>
            </w:r>
            <w:r w:rsidR="00A20221" w:rsidRPr="00D5316C">
              <w:rPr>
                <w:b/>
                <w:color w:val="000000"/>
                <w:lang w:eastAsia="en-AU"/>
              </w:rPr>
              <w:t>°C</w:t>
            </w:r>
          </w:p>
        </w:tc>
        <w:tc>
          <w:tcPr>
            <w:tcW w:w="593" w:type="dxa"/>
            <w:tcBorders>
              <w:left w:val="nil"/>
              <w:bottom w:val="single" w:sz="4" w:space="0" w:color="auto"/>
              <w:right w:val="nil"/>
            </w:tcBorders>
            <w:shd w:val="clear" w:color="auto" w:fill="auto"/>
            <w:noWrap/>
          </w:tcPr>
          <w:p w14:paraId="1938C36B" w14:textId="652F51D5" w:rsidR="00905EB9" w:rsidRPr="00D5316C" w:rsidRDefault="00905EB9" w:rsidP="00D5316C">
            <w:pPr>
              <w:pStyle w:val="table1"/>
              <w:rPr>
                <w:b/>
                <w:color w:val="000000"/>
                <w:lang w:eastAsia="en-AU"/>
              </w:rPr>
            </w:pPr>
            <w:r w:rsidRPr="00D5316C">
              <w:rPr>
                <w:b/>
                <w:color w:val="000000"/>
                <w:lang w:eastAsia="en-AU"/>
              </w:rPr>
              <w:t>26</w:t>
            </w:r>
            <w:r w:rsidR="00A20221" w:rsidRPr="00D5316C">
              <w:rPr>
                <w:b/>
                <w:color w:val="000000"/>
                <w:lang w:eastAsia="en-AU"/>
              </w:rPr>
              <w:t>°C</w:t>
            </w:r>
          </w:p>
        </w:tc>
        <w:tc>
          <w:tcPr>
            <w:tcW w:w="593" w:type="dxa"/>
            <w:tcBorders>
              <w:left w:val="nil"/>
              <w:bottom w:val="single" w:sz="4" w:space="0" w:color="auto"/>
              <w:right w:val="nil"/>
            </w:tcBorders>
            <w:shd w:val="clear" w:color="auto" w:fill="auto"/>
            <w:noWrap/>
          </w:tcPr>
          <w:p w14:paraId="31ADB0A5" w14:textId="6363416D" w:rsidR="00905EB9" w:rsidRPr="00D5316C" w:rsidRDefault="00905EB9" w:rsidP="00D5316C">
            <w:pPr>
              <w:pStyle w:val="table1"/>
              <w:rPr>
                <w:b/>
                <w:color w:val="000000"/>
                <w:lang w:eastAsia="en-AU"/>
              </w:rPr>
            </w:pPr>
            <w:r w:rsidRPr="00D5316C">
              <w:rPr>
                <w:b/>
                <w:color w:val="000000"/>
                <w:lang w:eastAsia="en-AU"/>
              </w:rPr>
              <w:t>27</w:t>
            </w:r>
            <w:r w:rsidR="00A20221" w:rsidRPr="00D5316C">
              <w:rPr>
                <w:b/>
                <w:color w:val="000000"/>
                <w:lang w:eastAsia="en-AU"/>
              </w:rPr>
              <w:t>°C</w:t>
            </w:r>
          </w:p>
        </w:tc>
        <w:tc>
          <w:tcPr>
            <w:tcW w:w="593" w:type="dxa"/>
            <w:tcBorders>
              <w:left w:val="nil"/>
              <w:bottom w:val="single" w:sz="4" w:space="0" w:color="auto"/>
              <w:right w:val="nil"/>
            </w:tcBorders>
            <w:shd w:val="clear" w:color="auto" w:fill="auto"/>
            <w:noWrap/>
          </w:tcPr>
          <w:p w14:paraId="6F5E7C6F" w14:textId="71D1E5C2" w:rsidR="00905EB9" w:rsidRPr="00D5316C" w:rsidRDefault="00905EB9" w:rsidP="00D5316C">
            <w:pPr>
              <w:pStyle w:val="table1"/>
              <w:rPr>
                <w:b/>
                <w:color w:val="000000"/>
                <w:lang w:eastAsia="en-AU"/>
              </w:rPr>
            </w:pPr>
            <w:r w:rsidRPr="00D5316C">
              <w:rPr>
                <w:b/>
                <w:color w:val="000000"/>
                <w:lang w:eastAsia="en-AU"/>
              </w:rPr>
              <w:t>28</w:t>
            </w:r>
            <w:r w:rsidR="00A20221" w:rsidRPr="00D5316C">
              <w:rPr>
                <w:b/>
                <w:color w:val="000000"/>
                <w:lang w:eastAsia="en-AU"/>
              </w:rPr>
              <w:t>°C</w:t>
            </w:r>
          </w:p>
        </w:tc>
        <w:tc>
          <w:tcPr>
            <w:tcW w:w="593" w:type="dxa"/>
            <w:tcBorders>
              <w:left w:val="nil"/>
              <w:bottom w:val="single" w:sz="4" w:space="0" w:color="auto"/>
              <w:right w:val="nil"/>
            </w:tcBorders>
            <w:shd w:val="clear" w:color="auto" w:fill="auto"/>
            <w:noWrap/>
          </w:tcPr>
          <w:p w14:paraId="16D8AE01" w14:textId="1C684AA6" w:rsidR="00905EB9" w:rsidRPr="00D5316C" w:rsidRDefault="00905EB9" w:rsidP="00D5316C">
            <w:pPr>
              <w:pStyle w:val="table1"/>
              <w:rPr>
                <w:b/>
                <w:color w:val="000000"/>
                <w:lang w:eastAsia="en-AU"/>
              </w:rPr>
            </w:pPr>
            <w:r w:rsidRPr="00D5316C">
              <w:rPr>
                <w:b/>
                <w:color w:val="000000"/>
                <w:lang w:eastAsia="en-AU"/>
              </w:rPr>
              <w:t>29</w:t>
            </w:r>
            <w:r w:rsidR="00A20221" w:rsidRPr="00D5316C">
              <w:rPr>
                <w:b/>
                <w:color w:val="000000"/>
                <w:lang w:eastAsia="en-AU"/>
              </w:rPr>
              <w:t>°C</w:t>
            </w:r>
          </w:p>
        </w:tc>
        <w:tc>
          <w:tcPr>
            <w:tcW w:w="593" w:type="dxa"/>
            <w:tcBorders>
              <w:left w:val="nil"/>
              <w:bottom w:val="single" w:sz="4" w:space="0" w:color="auto"/>
              <w:right w:val="nil"/>
            </w:tcBorders>
            <w:shd w:val="clear" w:color="auto" w:fill="auto"/>
            <w:noWrap/>
          </w:tcPr>
          <w:p w14:paraId="119823A0" w14:textId="68048FDA" w:rsidR="00905EB9" w:rsidRPr="00D5316C" w:rsidRDefault="00905EB9" w:rsidP="00D5316C">
            <w:pPr>
              <w:pStyle w:val="table1"/>
              <w:rPr>
                <w:b/>
                <w:color w:val="000000"/>
                <w:lang w:eastAsia="en-AU"/>
              </w:rPr>
            </w:pPr>
            <w:r w:rsidRPr="00D5316C">
              <w:rPr>
                <w:b/>
                <w:color w:val="000000"/>
                <w:lang w:eastAsia="en-AU"/>
              </w:rPr>
              <w:t>30</w:t>
            </w:r>
            <w:r w:rsidR="00A20221" w:rsidRPr="00D5316C">
              <w:rPr>
                <w:b/>
                <w:color w:val="000000"/>
                <w:lang w:eastAsia="en-AU"/>
              </w:rPr>
              <w:t>°C</w:t>
            </w:r>
          </w:p>
        </w:tc>
        <w:tc>
          <w:tcPr>
            <w:tcW w:w="593" w:type="dxa"/>
            <w:tcBorders>
              <w:left w:val="nil"/>
              <w:bottom w:val="single" w:sz="4" w:space="0" w:color="auto"/>
              <w:right w:val="nil"/>
            </w:tcBorders>
          </w:tcPr>
          <w:p w14:paraId="149B5AA3" w14:textId="120F9E53" w:rsidR="00905EB9" w:rsidRPr="00D5316C" w:rsidRDefault="00905EB9" w:rsidP="00D5316C">
            <w:pPr>
              <w:pStyle w:val="table1"/>
              <w:rPr>
                <w:b/>
                <w:color w:val="000000"/>
                <w:lang w:eastAsia="en-AU"/>
              </w:rPr>
            </w:pPr>
            <w:r w:rsidRPr="00D5316C">
              <w:rPr>
                <w:b/>
                <w:color w:val="000000"/>
              </w:rPr>
              <w:t>31</w:t>
            </w:r>
            <w:r w:rsidR="00A20221" w:rsidRPr="00D5316C">
              <w:rPr>
                <w:b/>
                <w:color w:val="000000"/>
                <w:lang w:eastAsia="en-AU"/>
              </w:rPr>
              <w:t>°C</w:t>
            </w:r>
          </w:p>
        </w:tc>
        <w:tc>
          <w:tcPr>
            <w:tcW w:w="651" w:type="dxa"/>
            <w:tcBorders>
              <w:left w:val="nil"/>
              <w:bottom w:val="single" w:sz="4" w:space="0" w:color="auto"/>
              <w:right w:val="nil"/>
            </w:tcBorders>
          </w:tcPr>
          <w:p w14:paraId="26F0EAD2" w14:textId="7C39A0DA" w:rsidR="00905EB9" w:rsidRPr="00D5316C" w:rsidRDefault="00905EB9" w:rsidP="00D5316C">
            <w:pPr>
              <w:pStyle w:val="table1"/>
              <w:rPr>
                <w:b/>
                <w:color w:val="000000"/>
                <w:vertAlign w:val="superscript"/>
                <w:lang w:eastAsia="en-AU"/>
              </w:rPr>
            </w:pPr>
            <w:r w:rsidRPr="00D5316C">
              <w:rPr>
                <w:b/>
                <w:color w:val="000000"/>
              </w:rPr>
              <w:t>32</w:t>
            </w:r>
            <w:r w:rsidR="00A20221" w:rsidRPr="00D5316C">
              <w:rPr>
                <w:b/>
                <w:color w:val="000000"/>
                <w:lang w:eastAsia="en-AU"/>
              </w:rPr>
              <w:t>°C</w:t>
            </w:r>
            <w:r w:rsidRPr="00D5316C">
              <w:rPr>
                <w:b/>
                <w:color w:val="000000"/>
                <w:vertAlign w:val="superscript"/>
              </w:rPr>
              <w:t>a</w:t>
            </w:r>
          </w:p>
        </w:tc>
      </w:tr>
      <w:tr w:rsidR="00905EB9" w:rsidRPr="007B31C4" w14:paraId="285FDB69" w14:textId="77777777" w:rsidTr="00DC2A5F">
        <w:trPr>
          <w:trHeight w:val="315"/>
        </w:trPr>
        <w:tc>
          <w:tcPr>
            <w:tcW w:w="567" w:type="dxa"/>
            <w:tcBorders>
              <w:left w:val="nil"/>
              <w:bottom w:val="nil"/>
              <w:right w:val="single" w:sz="4" w:space="0" w:color="auto"/>
            </w:tcBorders>
            <w:shd w:val="clear" w:color="auto" w:fill="auto"/>
            <w:noWrap/>
          </w:tcPr>
          <w:p w14:paraId="1016D7A5" w14:textId="49DCCF12" w:rsidR="00905EB9" w:rsidRPr="007350AD" w:rsidRDefault="00905EB9" w:rsidP="00D5316C">
            <w:pPr>
              <w:pStyle w:val="table1"/>
              <w:rPr>
                <w:color w:val="000000"/>
                <w:lang w:eastAsia="en-AU"/>
              </w:rPr>
            </w:pPr>
            <w:r w:rsidRPr="007350AD">
              <w:rPr>
                <w:color w:val="000000"/>
                <w:lang w:eastAsia="en-AU"/>
              </w:rPr>
              <w:t>6</w:t>
            </w:r>
            <w:r w:rsidR="00A20221" w:rsidRPr="007350AD">
              <w:rPr>
                <w:color w:val="000000"/>
                <w:lang w:eastAsia="en-AU"/>
              </w:rPr>
              <w:t>.0</w:t>
            </w:r>
          </w:p>
        </w:tc>
        <w:tc>
          <w:tcPr>
            <w:tcW w:w="621" w:type="dxa"/>
            <w:tcBorders>
              <w:top w:val="single" w:sz="4" w:space="0" w:color="auto"/>
              <w:left w:val="single" w:sz="4" w:space="0" w:color="auto"/>
              <w:bottom w:val="nil"/>
              <w:right w:val="nil"/>
            </w:tcBorders>
            <w:shd w:val="clear" w:color="auto" w:fill="auto"/>
            <w:noWrap/>
          </w:tcPr>
          <w:p w14:paraId="575B8259" w14:textId="77777777" w:rsidR="00905EB9" w:rsidRPr="007B31C4" w:rsidRDefault="00905EB9" w:rsidP="00D5316C">
            <w:pPr>
              <w:pStyle w:val="table1"/>
              <w:rPr>
                <w:color w:val="000000"/>
                <w:lang w:eastAsia="en-AU"/>
              </w:rPr>
            </w:pPr>
            <w:r w:rsidRPr="007B31C4">
              <w:rPr>
                <w:color w:val="000000"/>
                <w:lang w:eastAsia="en-AU"/>
              </w:rPr>
              <w:t>2.30</w:t>
            </w:r>
          </w:p>
        </w:tc>
        <w:tc>
          <w:tcPr>
            <w:tcW w:w="594" w:type="dxa"/>
            <w:tcBorders>
              <w:top w:val="single" w:sz="4" w:space="0" w:color="auto"/>
              <w:left w:val="nil"/>
              <w:bottom w:val="nil"/>
              <w:right w:val="nil"/>
            </w:tcBorders>
            <w:shd w:val="clear" w:color="auto" w:fill="auto"/>
            <w:noWrap/>
          </w:tcPr>
          <w:p w14:paraId="6CA46D04" w14:textId="77777777" w:rsidR="00905EB9" w:rsidRPr="007B31C4" w:rsidRDefault="00905EB9" w:rsidP="00D5316C">
            <w:pPr>
              <w:pStyle w:val="table1"/>
              <w:rPr>
                <w:color w:val="000000"/>
                <w:lang w:eastAsia="en-AU"/>
              </w:rPr>
            </w:pPr>
            <w:r w:rsidRPr="007B31C4">
              <w:rPr>
                <w:color w:val="000000"/>
                <w:lang w:eastAsia="en-AU"/>
              </w:rPr>
              <w:t>2.14</w:t>
            </w:r>
          </w:p>
        </w:tc>
        <w:tc>
          <w:tcPr>
            <w:tcW w:w="593" w:type="dxa"/>
            <w:tcBorders>
              <w:top w:val="single" w:sz="4" w:space="0" w:color="auto"/>
              <w:left w:val="nil"/>
              <w:bottom w:val="nil"/>
              <w:right w:val="nil"/>
            </w:tcBorders>
            <w:shd w:val="clear" w:color="auto" w:fill="auto"/>
            <w:noWrap/>
          </w:tcPr>
          <w:p w14:paraId="7AF726BD" w14:textId="77777777" w:rsidR="00905EB9" w:rsidRPr="007B31C4" w:rsidRDefault="00905EB9" w:rsidP="00D5316C">
            <w:pPr>
              <w:pStyle w:val="table1"/>
              <w:rPr>
                <w:color w:val="000000"/>
                <w:lang w:eastAsia="en-AU"/>
              </w:rPr>
            </w:pPr>
            <w:r w:rsidRPr="007B31C4">
              <w:rPr>
                <w:color w:val="000000"/>
                <w:lang w:eastAsia="en-AU"/>
              </w:rPr>
              <w:t>1.99</w:t>
            </w:r>
          </w:p>
        </w:tc>
        <w:tc>
          <w:tcPr>
            <w:tcW w:w="578" w:type="dxa"/>
            <w:tcBorders>
              <w:top w:val="single" w:sz="4" w:space="0" w:color="auto"/>
              <w:left w:val="nil"/>
              <w:bottom w:val="nil"/>
              <w:right w:val="nil"/>
            </w:tcBorders>
            <w:shd w:val="clear" w:color="auto" w:fill="auto"/>
            <w:noWrap/>
          </w:tcPr>
          <w:p w14:paraId="76961D43" w14:textId="77777777" w:rsidR="00905EB9" w:rsidRPr="007B31C4" w:rsidRDefault="00905EB9" w:rsidP="00D5316C">
            <w:pPr>
              <w:pStyle w:val="table1"/>
              <w:rPr>
                <w:color w:val="000000"/>
                <w:lang w:eastAsia="en-AU"/>
              </w:rPr>
            </w:pPr>
            <w:r w:rsidRPr="007B31C4">
              <w:rPr>
                <w:color w:val="000000"/>
                <w:lang w:eastAsia="en-AU"/>
              </w:rPr>
              <w:t>1.85</w:t>
            </w:r>
          </w:p>
        </w:tc>
        <w:tc>
          <w:tcPr>
            <w:tcW w:w="594" w:type="dxa"/>
            <w:tcBorders>
              <w:top w:val="single" w:sz="4" w:space="0" w:color="auto"/>
              <w:left w:val="nil"/>
              <w:bottom w:val="nil"/>
              <w:right w:val="nil"/>
            </w:tcBorders>
            <w:shd w:val="clear" w:color="auto" w:fill="auto"/>
            <w:noWrap/>
          </w:tcPr>
          <w:p w14:paraId="77ED963D" w14:textId="77777777" w:rsidR="00905EB9" w:rsidRPr="007B31C4" w:rsidRDefault="00905EB9" w:rsidP="00D5316C">
            <w:pPr>
              <w:pStyle w:val="table1"/>
              <w:rPr>
                <w:color w:val="000000"/>
                <w:lang w:eastAsia="en-AU"/>
              </w:rPr>
            </w:pPr>
            <w:r w:rsidRPr="007B31C4">
              <w:rPr>
                <w:color w:val="000000"/>
                <w:lang w:eastAsia="en-AU"/>
              </w:rPr>
              <w:t>1.73</w:t>
            </w:r>
          </w:p>
        </w:tc>
        <w:tc>
          <w:tcPr>
            <w:tcW w:w="608" w:type="dxa"/>
            <w:tcBorders>
              <w:top w:val="single" w:sz="4" w:space="0" w:color="auto"/>
              <w:left w:val="nil"/>
              <w:bottom w:val="nil"/>
              <w:right w:val="nil"/>
            </w:tcBorders>
            <w:shd w:val="clear" w:color="auto" w:fill="auto"/>
            <w:noWrap/>
          </w:tcPr>
          <w:p w14:paraId="70A98896" w14:textId="77777777" w:rsidR="00905EB9" w:rsidRPr="007B31C4" w:rsidRDefault="00905EB9" w:rsidP="00D5316C">
            <w:pPr>
              <w:pStyle w:val="table1"/>
              <w:rPr>
                <w:color w:val="000000"/>
                <w:lang w:eastAsia="en-AU"/>
              </w:rPr>
            </w:pPr>
            <w:r w:rsidRPr="007B31C4">
              <w:rPr>
                <w:color w:val="000000"/>
                <w:lang w:eastAsia="en-AU"/>
              </w:rPr>
              <w:t>1.61</w:t>
            </w:r>
          </w:p>
        </w:tc>
        <w:tc>
          <w:tcPr>
            <w:tcW w:w="593" w:type="dxa"/>
            <w:tcBorders>
              <w:top w:val="single" w:sz="4" w:space="0" w:color="auto"/>
              <w:left w:val="nil"/>
              <w:bottom w:val="nil"/>
              <w:right w:val="nil"/>
            </w:tcBorders>
            <w:shd w:val="clear" w:color="auto" w:fill="auto"/>
            <w:noWrap/>
          </w:tcPr>
          <w:p w14:paraId="32E9C805" w14:textId="77777777" w:rsidR="00905EB9" w:rsidRPr="007B31C4" w:rsidRDefault="00905EB9" w:rsidP="00D5316C">
            <w:pPr>
              <w:pStyle w:val="table1"/>
              <w:rPr>
                <w:color w:val="000000"/>
                <w:lang w:eastAsia="en-AU"/>
              </w:rPr>
            </w:pPr>
            <w:r w:rsidRPr="007B31C4">
              <w:rPr>
                <w:color w:val="000000"/>
                <w:lang w:eastAsia="en-AU"/>
              </w:rPr>
              <w:t>1.50</w:t>
            </w:r>
          </w:p>
        </w:tc>
        <w:tc>
          <w:tcPr>
            <w:tcW w:w="593" w:type="dxa"/>
            <w:tcBorders>
              <w:top w:val="single" w:sz="4" w:space="0" w:color="auto"/>
              <w:left w:val="nil"/>
              <w:bottom w:val="nil"/>
              <w:right w:val="nil"/>
            </w:tcBorders>
            <w:shd w:val="clear" w:color="auto" w:fill="auto"/>
            <w:noWrap/>
          </w:tcPr>
          <w:p w14:paraId="4DAB4673" w14:textId="77777777" w:rsidR="00905EB9" w:rsidRPr="007B31C4" w:rsidRDefault="00905EB9" w:rsidP="00D5316C">
            <w:pPr>
              <w:pStyle w:val="table1"/>
              <w:rPr>
                <w:color w:val="000000"/>
                <w:lang w:eastAsia="en-AU"/>
              </w:rPr>
            </w:pPr>
            <w:r w:rsidRPr="007B31C4">
              <w:rPr>
                <w:color w:val="000000"/>
                <w:lang w:eastAsia="en-AU"/>
              </w:rPr>
              <w:t>1.40</w:t>
            </w:r>
          </w:p>
        </w:tc>
        <w:tc>
          <w:tcPr>
            <w:tcW w:w="593" w:type="dxa"/>
            <w:tcBorders>
              <w:top w:val="single" w:sz="4" w:space="0" w:color="auto"/>
              <w:left w:val="nil"/>
              <w:bottom w:val="nil"/>
              <w:right w:val="nil"/>
            </w:tcBorders>
            <w:shd w:val="clear" w:color="auto" w:fill="auto"/>
            <w:noWrap/>
          </w:tcPr>
          <w:p w14:paraId="3EBA936D" w14:textId="77777777" w:rsidR="00905EB9" w:rsidRPr="007B31C4" w:rsidRDefault="00905EB9" w:rsidP="00D5316C">
            <w:pPr>
              <w:pStyle w:val="table1"/>
              <w:rPr>
                <w:color w:val="000000"/>
                <w:lang w:eastAsia="en-AU"/>
              </w:rPr>
            </w:pPr>
            <w:r w:rsidRPr="007B31C4">
              <w:rPr>
                <w:color w:val="000000"/>
                <w:lang w:eastAsia="en-AU"/>
              </w:rPr>
              <w:t>1.30</w:t>
            </w:r>
          </w:p>
        </w:tc>
        <w:tc>
          <w:tcPr>
            <w:tcW w:w="593" w:type="dxa"/>
            <w:tcBorders>
              <w:top w:val="single" w:sz="4" w:space="0" w:color="auto"/>
              <w:left w:val="nil"/>
              <w:bottom w:val="nil"/>
              <w:right w:val="nil"/>
            </w:tcBorders>
            <w:shd w:val="clear" w:color="auto" w:fill="auto"/>
            <w:noWrap/>
          </w:tcPr>
          <w:p w14:paraId="16B69AC9" w14:textId="77777777" w:rsidR="00905EB9" w:rsidRPr="007B31C4" w:rsidRDefault="00905EB9" w:rsidP="00D5316C">
            <w:pPr>
              <w:pStyle w:val="table1"/>
              <w:rPr>
                <w:color w:val="000000"/>
                <w:lang w:eastAsia="en-AU"/>
              </w:rPr>
            </w:pPr>
            <w:r w:rsidRPr="007B31C4">
              <w:rPr>
                <w:color w:val="000000"/>
                <w:lang w:eastAsia="en-AU"/>
              </w:rPr>
              <w:t>1.22</w:t>
            </w:r>
          </w:p>
        </w:tc>
        <w:tc>
          <w:tcPr>
            <w:tcW w:w="593" w:type="dxa"/>
            <w:tcBorders>
              <w:top w:val="single" w:sz="4" w:space="0" w:color="auto"/>
              <w:left w:val="nil"/>
              <w:bottom w:val="nil"/>
              <w:right w:val="nil"/>
            </w:tcBorders>
            <w:shd w:val="clear" w:color="auto" w:fill="auto"/>
            <w:noWrap/>
          </w:tcPr>
          <w:p w14:paraId="765CD0DB" w14:textId="77777777" w:rsidR="00905EB9" w:rsidRPr="007B31C4" w:rsidRDefault="00905EB9" w:rsidP="00D5316C">
            <w:pPr>
              <w:pStyle w:val="table1"/>
              <w:rPr>
                <w:color w:val="000000"/>
                <w:lang w:eastAsia="en-AU"/>
              </w:rPr>
            </w:pPr>
            <w:r w:rsidRPr="007B31C4">
              <w:rPr>
                <w:color w:val="000000"/>
                <w:lang w:eastAsia="en-AU"/>
              </w:rPr>
              <w:t>1.14</w:t>
            </w:r>
          </w:p>
        </w:tc>
        <w:tc>
          <w:tcPr>
            <w:tcW w:w="593" w:type="dxa"/>
            <w:tcBorders>
              <w:top w:val="single" w:sz="4" w:space="0" w:color="auto"/>
              <w:left w:val="nil"/>
              <w:bottom w:val="nil"/>
              <w:right w:val="nil"/>
            </w:tcBorders>
          </w:tcPr>
          <w:p w14:paraId="61C55878" w14:textId="77777777" w:rsidR="00905EB9" w:rsidRPr="007B31C4" w:rsidRDefault="00905EB9" w:rsidP="00D5316C">
            <w:pPr>
              <w:pStyle w:val="table1"/>
              <w:rPr>
                <w:color w:val="000000"/>
                <w:lang w:eastAsia="en-AU"/>
              </w:rPr>
            </w:pPr>
            <w:r w:rsidRPr="007B31C4">
              <w:rPr>
                <w:color w:val="000000"/>
              </w:rPr>
              <w:t>1.06</w:t>
            </w:r>
          </w:p>
        </w:tc>
        <w:tc>
          <w:tcPr>
            <w:tcW w:w="651" w:type="dxa"/>
            <w:tcBorders>
              <w:top w:val="single" w:sz="4" w:space="0" w:color="auto"/>
              <w:left w:val="nil"/>
              <w:bottom w:val="nil"/>
              <w:right w:val="nil"/>
            </w:tcBorders>
          </w:tcPr>
          <w:p w14:paraId="6ADFD79F" w14:textId="77777777" w:rsidR="00905EB9" w:rsidRPr="007B31C4" w:rsidRDefault="00905EB9" w:rsidP="00D5316C">
            <w:pPr>
              <w:pStyle w:val="table1"/>
              <w:rPr>
                <w:color w:val="000000"/>
                <w:lang w:eastAsia="en-AU"/>
              </w:rPr>
            </w:pPr>
            <w:r w:rsidRPr="007B31C4">
              <w:rPr>
                <w:color w:val="000000"/>
              </w:rPr>
              <w:t>0.99</w:t>
            </w:r>
          </w:p>
        </w:tc>
      </w:tr>
      <w:tr w:rsidR="00905EB9" w:rsidRPr="007B31C4" w14:paraId="72A2E294" w14:textId="77777777" w:rsidTr="00DC2A5F">
        <w:trPr>
          <w:trHeight w:val="300"/>
        </w:trPr>
        <w:tc>
          <w:tcPr>
            <w:tcW w:w="567" w:type="dxa"/>
            <w:tcBorders>
              <w:top w:val="nil"/>
              <w:left w:val="nil"/>
              <w:bottom w:val="nil"/>
              <w:right w:val="single" w:sz="4" w:space="0" w:color="auto"/>
            </w:tcBorders>
            <w:shd w:val="clear" w:color="auto" w:fill="auto"/>
            <w:noWrap/>
          </w:tcPr>
          <w:p w14:paraId="00710D4F" w14:textId="77777777" w:rsidR="00905EB9" w:rsidRPr="007350AD" w:rsidRDefault="00905EB9" w:rsidP="00D5316C">
            <w:pPr>
              <w:pStyle w:val="table1"/>
              <w:rPr>
                <w:color w:val="000000"/>
                <w:vertAlign w:val="superscript"/>
                <w:lang w:eastAsia="en-AU"/>
              </w:rPr>
            </w:pPr>
            <w:r w:rsidRPr="007350AD">
              <w:rPr>
                <w:color w:val="000000"/>
                <w:lang w:eastAsia="en-AU"/>
              </w:rPr>
              <w:t>6.4</w:t>
            </w:r>
            <w:r w:rsidRPr="007350AD">
              <w:rPr>
                <w:color w:val="000000"/>
                <w:vertAlign w:val="superscript"/>
                <w:lang w:eastAsia="en-AU"/>
              </w:rPr>
              <w:t>a</w:t>
            </w:r>
          </w:p>
        </w:tc>
        <w:tc>
          <w:tcPr>
            <w:tcW w:w="621" w:type="dxa"/>
            <w:tcBorders>
              <w:top w:val="nil"/>
              <w:left w:val="single" w:sz="4" w:space="0" w:color="auto"/>
              <w:bottom w:val="nil"/>
              <w:right w:val="nil"/>
            </w:tcBorders>
            <w:shd w:val="clear" w:color="auto" w:fill="auto"/>
            <w:noWrap/>
          </w:tcPr>
          <w:p w14:paraId="0C185217" w14:textId="77777777" w:rsidR="00905EB9" w:rsidRPr="007B31C4" w:rsidRDefault="00905EB9" w:rsidP="00D5316C">
            <w:pPr>
              <w:pStyle w:val="table1"/>
              <w:rPr>
                <w:color w:val="000000"/>
                <w:lang w:eastAsia="en-AU"/>
              </w:rPr>
            </w:pPr>
            <w:r w:rsidRPr="007B31C4">
              <w:t>0.91</w:t>
            </w:r>
          </w:p>
        </w:tc>
        <w:tc>
          <w:tcPr>
            <w:tcW w:w="594" w:type="dxa"/>
            <w:tcBorders>
              <w:top w:val="nil"/>
              <w:left w:val="nil"/>
              <w:bottom w:val="nil"/>
              <w:right w:val="nil"/>
            </w:tcBorders>
            <w:shd w:val="clear" w:color="auto" w:fill="auto"/>
            <w:noWrap/>
          </w:tcPr>
          <w:p w14:paraId="1C11ED4A" w14:textId="77777777" w:rsidR="00905EB9" w:rsidRPr="007B31C4" w:rsidRDefault="00905EB9" w:rsidP="00D5316C">
            <w:pPr>
              <w:pStyle w:val="table1"/>
              <w:rPr>
                <w:color w:val="000000"/>
                <w:lang w:eastAsia="en-AU"/>
              </w:rPr>
            </w:pPr>
            <w:r w:rsidRPr="007B31C4">
              <w:t>0.85</w:t>
            </w:r>
          </w:p>
        </w:tc>
        <w:tc>
          <w:tcPr>
            <w:tcW w:w="593" w:type="dxa"/>
            <w:tcBorders>
              <w:top w:val="nil"/>
              <w:left w:val="nil"/>
              <w:bottom w:val="nil"/>
              <w:right w:val="nil"/>
            </w:tcBorders>
            <w:shd w:val="clear" w:color="auto" w:fill="auto"/>
            <w:noWrap/>
          </w:tcPr>
          <w:p w14:paraId="76C8DFF2" w14:textId="77777777" w:rsidR="00905EB9" w:rsidRPr="007B31C4" w:rsidRDefault="00905EB9" w:rsidP="00D5316C">
            <w:pPr>
              <w:pStyle w:val="table1"/>
              <w:rPr>
                <w:color w:val="000000"/>
                <w:lang w:eastAsia="en-AU"/>
              </w:rPr>
            </w:pPr>
            <w:r w:rsidRPr="007B31C4">
              <w:t>0.79</w:t>
            </w:r>
          </w:p>
        </w:tc>
        <w:tc>
          <w:tcPr>
            <w:tcW w:w="578" w:type="dxa"/>
            <w:tcBorders>
              <w:top w:val="nil"/>
              <w:left w:val="nil"/>
              <w:bottom w:val="nil"/>
              <w:right w:val="nil"/>
            </w:tcBorders>
            <w:shd w:val="clear" w:color="auto" w:fill="auto"/>
            <w:noWrap/>
          </w:tcPr>
          <w:p w14:paraId="134447FB" w14:textId="77777777" w:rsidR="00905EB9" w:rsidRPr="007B31C4" w:rsidRDefault="00905EB9" w:rsidP="00D5316C">
            <w:pPr>
              <w:pStyle w:val="table1"/>
              <w:rPr>
                <w:color w:val="000000"/>
                <w:lang w:eastAsia="en-AU"/>
              </w:rPr>
            </w:pPr>
            <w:r w:rsidRPr="007B31C4">
              <w:t>0.73</w:t>
            </w:r>
          </w:p>
        </w:tc>
        <w:tc>
          <w:tcPr>
            <w:tcW w:w="594" w:type="dxa"/>
            <w:tcBorders>
              <w:top w:val="nil"/>
              <w:left w:val="nil"/>
              <w:bottom w:val="nil"/>
              <w:right w:val="nil"/>
            </w:tcBorders>
            <w:shd w:val="clear" w:color="auto" w:fill="auto"/>
            <w:noWrap/>
          </w:tcPr>
          <w:p w14:paraId="3D8A2A32" w14:textId="77777777" w:rsidR="00905EB9" w:rsidRPr="007B31C4" w:rsidRDefault="00905EB9" w:rsidP="00D5316C">
            <w:pPr>
              <w:pStyle w:val="table1"/>
              <w:rPr>
                <w:color w:val="000000"/>
                <w:lang w:eastAsia="en-AU"/>
              </w:rPr>
            </w:pPr>
            <w:r w:rsidRPr="007B31C4">
              <w:t>0.68</w:t>
            </w:r>
          </w:p>
        </w:tc>
        <w:tc>
          <w:tcPr>
            <w:tcW w:w="608" w:type="dxa"/>
            <w:tcBorders>
              <w:top w:val="nil"/>
              <w:left w:val="nil"/>
              <w:bottom w:val="nil"/>
              <w:right w:val="nil"/>
            </w:tcBorders>
            <w:shd w:val="clear" w:color="auto" w:fill="auto"/>
            <w:noWrap/>
          </w:tcPr>
          <w:p w14:paraId="78819AF9" w14:textId="77777777" w:rsidR="00905EB9" w:rsidRPr="007B31C4" w:rsidRDefault="00905EB9" w:rsidP="00D5316C">
            <w:pPr>
              <w:pStyle w:val="table1"/>
              <w:rPr>
                <w:color w:val="000000"/>
                <w:lang w:eastAsia="en-AU"/>
              </w:rPr>
            </w:pPr>
            <w:r w:rsidRPr="007B31C4">
              <w:t>0.64</w:t>
            </w:r>
          </w:p>
        </w:tc>
        <w:tc>
          <w:tcPr>
            <w:tcW w:w="593" w:type="dxa"/>
            <w:tcBorders>
              <w:top w:val="nil"/>
              <w:left w:val="nil"/>
              <w:bottom w:val="nil"/>
              <w:right w:val="nil"/>
            </w:tcBorders>
            <w:shd w:val="clear" w:color="auto" w:fill="auto"/>
            <w:noWrap/>
          </w:tcPr>
          <w:p w14:paraId="1F23485B" w14:textId="77777777" w:rsidR="00905EB9" w:rsidRPr="007B31C4" w:rsidRDefault="00905EB9" w:rsidP="00D5316C">
            <w:pPr>
              <w:pStyle w:val="table1"/>
              <w:rPr>
                <w:color w:val="000000"/>
                <w:lang w:eastAsia="en-AU"/>
              </w:rPr>
            </w:pPr>
            <w:r w:rsidRPr="007B31C4">
              <w:t>0.59</w:t>
            </w:r>
          </w:p>
        </w:tc>
        <w:tc>
          <w:tcPr>
            <w:tcW w:w="593" w:type="dxa"/>
            <w:tcBorders>
              <w:top w:val="nil"/>
              <w:left w:val="nil"/>
              <w:bottom w:val="nil"/>
              <w:right w:val="nil"/>
            </w:tcBorders>
            <w:shd w:val="clear" w:color="auto" w:fill="auto"/>
            <w:noWrap/>
          </w:tcPr>
          <w:p w14:paraId="279B9550" w14:textId="77777777" w:rsidR="00905EB9" w:rsidRPr="007B31C4" w:rsidRDefault="00905EB9" w:rsidP="00D5316C">
            <w:pPr>
              <w:pStyle w:val="table1"/>
              <w:rPr>
                <w:color w:val="000000"/>
                <w:lang w:eastAsia="en-AU"/>
              </w:rPr>
            </w:pPr>
            <w:r w:rsidRPr="007B31C4">
              <w:t>0.55</w:t>
            </w:r>
          </w:p>
        </w:tc>
        <w:tc>
          <w:tcPr>
            <w:tcW w:w="593" w:type="dxa"/>
            <w:tcBorders>
              <w:top w:val="nil"/>
              <w:left w:val="nil"/>
              <w:bottom w:val="nil"/>
              <w:right w:val="nil"/>
            </w:tcBorders>
            <w:shd w:val="clear" w:color="auto" w:fill="auto"/>
            <w:noWrap/>
          </w:tcPr>
          <w:p w14:paraId="16BBF821" w14:textId="77777777" w:rsidR="00905EB9" w:rsidRPr="007B31C4" w:rsidRDefault="00905EB9" w:rsidP="00D5316C">
            <w:pPr>
              <w:pStyle w:val="table1"/>
              <w:rPr>
                <w:color w:val="000000"/>
                <w:lang w:eastAsia="en-AU"/>
              </w:rPr>
            </w:pPr>
            <w:r w:rsidRPr="007B31C4">
              <w:t>0.52</w:t>
            </w:r>
          </w:p>
        </w:tc>
        <w:tc>
          <w:tcPr>
            <w:tcW w:w="593" w:type="dxa"/>
            <w:tcBorders>
              <w:top w:val="nil"/>
              <w:left w:val="nil"/>
              <w:bottom w:val="nil"/>
              <w:right w:val="nil"/>
            </w:tcBorders>
            <w:shd w:val="clear" w:color="auto" w:fill="auto"/>
            <w:noWrap/>
          </w:tcPr>
          <w:p w14:paraId="442ACA34" w14:textId="77777777" w:rsidR="00905EB9" w:rsidRPr="007B31C4" w:rsidRDefault="00905EB9" w:rsidP="00D5316C">
            <w:pPr>
              <w:pStyle w:val="table1"/>
              <w:rPr>
                <w:color w:val="000000"/>
                <w:lang w:eastAsia="en-AU"/>
              </w:rPr>
            </w:pPr>
            <w:r w:rsidRPr="007B31C4">
              <w:t>0.48</w:t>
            </w:r>
          </w:p>
        </w:tc>
        <w:tc>
          <w:tcPr>
            <w:tcW w:w="593" w:type="dxa"/>
            <w:tcBorders>
              <w:top w:val="nil"/>
              <w:left w:val="nil"/>
              <w:bottom w:val="nil"/>
              <w:right w:val="nil"/>
            </w:tcBorders>
            <w:shd w:val="clear" w:color="auto" w:fill="auto"/>
            <w:noWrap/>
          </w:tcPr>
          <w:p w14:paraId="389BF9EB" w14:textId="77777777" w:rsidR="00905EB9" w:rsidRPr="007B31C4" w:rsidRDefault="00905EB9" w:rsidP="00D5316C">
            <w:pPr>
              <w:pStyle w:val="table1"/>
              <w:rPr>
                <w:color w:val="000000"/>
                <w:lang w:eastAsia="en-AU"/>
              </w:rPr>
            </w:pPr>
            <w:r w:rsidRPr="007B31C4">
              <w:t>0.45</w:t>
            </w:r>
          </w:p>
        </w:tc>
        <w:tc>
          <w:tcPr>
            <w:tcW w:w="593" w:type="dxa"/>
            <w:tcBorders>
              <w:top w:val="nil"/>
              <w:left w:val="nil"/>
              <w:bottom w:val="nil"/>
              <w:right w:val="nil"/>
            </w:tcBorders>
          </w:tcPr>
          <w:p w14:paraId="52CF7BB8" w14:textId="77777777" w:rsidR="00905EB9" w:rsidRPr="007B31C4" w:rsidRDefault="00905EB9" w:rsidP="00D5316C">
            <w:pPr>
              <w:pStyle w:val="table1"/>
              <w:rPr>
                <w:color w:val="000000"/>
              </w:rPr>
            </w:pPr>
            <w:r w:rsidRPr="007B31C4">
              <w:t>0.42</w:t>
            </w:r>
          </w:p>
        </w:tc>
        <w:tc>
          <w:tcPr>
            <w:tcW w:w="651" w:type="dxa"/>
            <w:tcBorders>
              <w:top w:val="nil"/>
              <w:left w:val="nil"/>
              <w:bottom w:val="nil"/>
              <w:right w:val="nil"/>
            </w:tcBorders>
          </w:tcPr>
          <w:p w14:paraId="7CCA2964" w14:textId="77777777" w:rsidR="00905EB9" w:rsidRPr="007B31C4" w:rsidRDefault="00905EB9" w:rsidP="00D5316C">
            <w:pPr>
              <w:pStyle w:val="table1"/>
              <w:rPr>
                <w:color w:val="000000"/>
              </w:rPr>
            </w:pPr>
            <w:r w:rsidRPr="007B31C4">
              <w:t>0.39</w:t>
            </w:r>
          </w:p>
        </w:tc>
      </w:tr>
      <w:tr w:rsidR="00905EB9" w:rsidRPr="007B31C4" w14:paraId="53836B98" w14:textId="77777777" w:rsidTr="00DC2A5F">
        <w:trPr>
          <w:trHeight w:val="300"/>
        </w:trPr>
        <w:tc>
          <w:tcPr>
            <w:tcW w:w="567" w:type="dxa"/>
            <w:tcBorders>
              <w:top w:val="nil"/>
              <w:left w:val="nil"/>
              <w:bottom w:val="nil"/>
              <w:right w:val="single" w:sz="4" w:space="0" w:color="auto"/>
            </w:tcBorders>
            <w:shd w:val="clear" w:color="auto" w:fill="auto"/>
            <w:noWrap/>
          </w:tcPr>
          <w:p w14:paraId="6DDB2E57" w14:textId="77777777" w:rsidR="00905EB9" w:rsidRPr="007350AD" w:rsidRDefault="00905EB9" w:rsidP="00D5316C">
            <w:pPr>
              <w:pStyle w:val="table1"/>
              <w:rPr>
                <w:color w:val="000000"/>
                <w:lang w:eastAsia="en-AU"/>
              </w:rPr>
            </w:pPr>
            <w:r w:rsidRPr="007350AD">
              <w:rPr>
                <w:color w:val="000000"/>
                <w:lang w:eastAsia="en-AU"/>
              </w:rPr>
              <w:t>6.5</w:t>
            </w:r>
          </w:p>
        </w:tc>
        <w:tc>
          <w:tcPr>
            <w:tcW w:w="621" w:type="dxa"/>
            <w:tcBorders>
              <w:top w:val="nil"/>
              <w:left w:val="single" w:sz="4" w:space="0" w:color="auto"/>
              <w:bottom w:val="nil"/>
              <w:right w:val="nil"/>
            </w:tcBorders>
            <w:shd w:val="clear" w:color="auto" w:fill="auto"/>
            <w:noWrap/>
          </w:tcPr>
          <w:p w14:paraId="0C8DB313" w14:textId="77777777" w:rsidR="00905EB9" w:rsidRPr="007B31C4" w:rsidRDefault="00905EB9" w:rsidP="00D5316C">
            <w:pPr>
              <w:pStyle w:val="table1"/>
              <w:rPr>
                <w:color w:val="000000"/>
                <w:lang w:eastAsia="en-AU"/>
              </w:rPr>
            </w:pPr>
            <w:r w:rsidRPr="007B31C4">
              <w:rPr>
                <w:color w:val="000000"/>
                <w:lang w:eastAsia="en-AU"/>
              </w:rPr>
              <w:t>0.73</w:t>
            </w:r>
          </w:p>
        </w:tc>
        <w:tc>
          <w:tcPr>
            <w:tcW w:w="594" w:type="dxa"/>
            <w:tcBorders>
              <w:top w:val="nil"/>
              <w:left w:val="nil"/>
              <w:bottom w:val="nil"/>
              <w:right w:val="nil"/>
            </w:tcBorders>
            <w:shd w:val="clear" w:color="auto" w:fill="auto"/>
            <w:noWrap/>
          </w:tcPr>
          <w:p w14:paraId="331B8FEF" w14:textId="77777777" w:rsidR="00905EB9" w:rsidRPr="007B31C4" w:rsidRDefault="00905EB9" w:rsidP="00D5316C">
            <w:pPr>
              <w:pStyle w:val="table1"/>
              <w:rPr>
                <w:color w:val="000000"/>
                <w:lang w:eastAsia="en-AU"/>
              </w:rPr>
            </w:pPr>
            <w:r w:rsidRPr="007B31C4">
              <w:rPr>
                <w:color w:val="000000"/>
                <w:lang w:eastAsia="en-AU"/>
              </w:rPr>
              <w:t>0.68</w:t>
            </w:r>
          </w:p>
        </w:tc>
        <w:tc>
          <w:tcPr>
            <w:tcW w:w="593" w:type="dxa"/>
            <w:tcBorders>
              <w:top w:val="nil"/>
              <w:left w:val="nil"/>
              <w:bottom w:val="nil"/>
              <w:right w:val="nil"/>
            </w:tcBorders>
            <w:shd w:val="clear" w:color="auto" w:fill="auto"/>
            <w:noWrap/>
          </w:tcPr>
          <w:p w14:paraId="436D87DC" w14:textId="77777777" w:rsidR="00905EB9" w:rsidRPr="007B31C4" w:rsidRDefault="00905EB9" w:rsidP="00D5316C">
            <w:pPr>
              <w:pStyle w:val="table1"/>
              <w:rPr>
                <w:color w:val="000000"/>
                <w:lang w:eastAsia="en-AU"/>
              </w:rPr>
            </w:pPr>
            <w:r w:rsidRPr="007B31C4">
              <w:rPr>
                <w:color w:val="000000"/>
                <w:lang w:eastAsia="en-AU"/>
              </w:rPr>
              <w:t>0.63</w:t>
            </w:r>
          </w:p>
        </w:tc>
        <w:tc>
          <w:tcPr>
            <w:tcW w:w="578" w:type="dxa"/>
            <w:tcBorders>
              <w:top w:val="nil"/>
              <w:left w:val="nil"/>
              <w:bottom w:val="nil"/>
              <w:right w:val="nil"/>
            </w:tcBorders>
            <w:shd w:val="clear" w:color="auto" w:fill="auto"/>
            <w:noWrap/>
          </w:tcPr>
          <w:p w14:paraId="5C01DA10" w14:textId="77777777" w:rsidR="00905EB9" w:rsidRPr="007B31C4" w:rsidRDefault="00905EB9" w:rsidP="00D5316C">
            <w:pPr>
              <w:pStyle w:val="table1"/>
              <w:rPr>
                <w:color w:val="000000"/>
                <w:lang w:eastAsia="en-AU"/>
              </w:rPr>
            </w:pPr>
            <w:r w:rsidRPr="007B31C4">
              <w:rPr>
                <w:color w:val="000000"/>
                <w:lang w:eastAsia="en-AU"/>
              </w:rPr>
              <w:t>0.59</w:t>
            </w:r>
          </w:p>
        </w:tc>
        <w:tc>
          <w:tcPr>
            <w:tcW w:w="594" w:type="dxa"/>
            <w:tcBorders>
              <w:top w:val="nil"/>
              <w:left w:val="nil"/>
              <w:bottom w:val="nil"/>
              <w:right w:val="nil"/>
            </w:tcBorders>
            <w:shd w:val="clear" w:color="auto" w:fill="auto"/>
            <w:noWrap/>
          </w:tcPr>
          <w:p w14:paraId="4E177B2B" w14:textId="77777777" w:rsidR="00905EB9" w:rsidRPr="007B31C4" w:rsidRDefault="00905EB9" w:rsidP="00D5316C">
            <w:pPr>
              <w:pStyle w:val="table1"/>
              <w:rPr>
                <w:color w:val="000000"/>
                <w:lang w:eastAsia="en-AU"/>
              </w:rPr>
            </w:pPr>
            <w:r w:rsidRPr="007B31C4">
              <w:rPr>
                <w:color w:val="000000"/>
                <w:lang w:eastAsia="en-AU"/>
              </w:rPr>
              <w:t>0.55</w:t>
            </w:r>
          </w:p>
        </w:tc>
        <w:tc>
          <w:tcPr>
            <w:tcW w:w="608" w:type="dxa"/>
            <w:tcBorders>
              <w:top w:val="nil"/>
              <w:left w:val="nil"/>
              <w:bottom w:val="nil"/>
              <w:right w:val="nil"/>
            </w:tcBorders>
            <w:shd w:val="clear" w:color="auto" w:fill="auto"/>
            <w:noWrap/>
          </w:tcPr>
          <w:p w14:paraId="75DCF4EA" w14:textId="77777777" w:rsidR="00905EB9" w:rsidRPr="007B31C4" w:rsidRDefault="00905EB9" w:rsidP="00D5316C">
            <w:pPr>
              <w:pStyle w:val="table1"/>
              <w:rPr>
                <w:color w:val="000000"/>
                <w:lang w:eastAsia="en-AU"/>
              </w:rPr>
            </w:pPr>
            <w:r w:rsidRPr="007B31C4">
              <w:rPr>
                <w:color w:val="000000"/>
                <w:lang w:eastAsia="en-AU"/>
              </w:rPr>
              <w:t>0.51</w:t>
            </w:r>
          </w:p>
        </w:tc>
        <w:tc>
          <w:tcPr>
            <w:tcW w:w="593" w:type="dxa"/>
            <w:tcBorders>
              <w:top w:val="nil"/>
              <w:left w:val="nil"/>
              <w:bottom w:val="nil"/>
              <w:right w:val="nil"/>
            </w:tcBorders>
            <w:shd w:val="clear" w:color="auto" w:fill="auto"/>
            <w:noWrap/>
          </w:tcPr>
          <w:p w14:paraId="38AC9C1C" w14:textId="77777777" w:rsidR="00905EB9" w:rsidRPr="007B31C4" w:rsidRDefault="00905EB9" w:rsidP="00D5316C">
            <w:pPr>
              <w:pStyle w:val="table1"/>
              <w:rPr>
                <w:color w:val="000000"/>
                <w:lang w:eastAsia="en-AU"/>
              </w:rPr>
            </w:pPr>
            <w:r w:rsidRPr="007B31C4">
              <w:rPr>
                <w:color w:val="000000"/>
                <w:lang w:eastAsia="en-AU"/>
              </w:rPr>
              <w:t>0.47</w:t>
            </w:r>
          </w:p>
        </w:tc>
        <w:tc>
          <w:tcPr>
            <w:tcW w:w="593" w:type="dxa"/>
            <w:tcBorders>
              <w:top w:val="nil"/>
              <w:left w:val="nil"/>
              <w:bottom w:val="nil"/>
              <w:right w:val="nil"/>
            </w:tcBorders>
            <w:shd w:val="clear" w:color="auto" w:fill="auto"/>
            <w:noWrap/>
          </w:tcPr>
          <w:p w14:paraId="50EDB59D" w14:textId="77777777" w:rsidR="00905EB9" w:rsidRPr="007B31C4" w:rsidRDefault="00905EB9" w:rsidP="00D5316C">
            <w:pPr>
              <w:pStyle w:val="table1"/>
              <w:rPr>
                <w:color w:val="000000"/>
                <w:lang w:eastAsia="en-AU"/>
              </w:rPr>
            </w:pPr>
            <w:r w:rsidRPr="007B31C4">
              <w:rPr>
                <w:color w:val="000000"/>
                <w:lang w:eastAsia="en-AU"/>
              </w:rPr>
              <w:t>0.44</w:t>
            </w:r>
          </w:p>
        </w:tc>
        <w:tc>
          <w:tcPr>
            <w:tcW w:w="593" w:type="dxa"/>
            <w:tcBorders>
              <w:top w:val="nil"/>
              <w:left w:val="nil"/>
              <w:bottom w:val="nil"/>
              <w:right w:val="nil"/>
            </w:tcBorders>
            <w:shd w:val="clear" w:color="auto" w:fill="auto"/>
            <w:noWrap/>
          </w:tcPr>
          <w:p w14:paraId="4A5D20E6" w14:textId="77777777" w:rsidR="00905EB9" w:rsidRPr="007B31C4" w:rsidRDefault="00905EB9" w:rsidP="00D5316C">
            <w:pPr>
              <w:pStyle w:val="table1"/>
              <w:rPr>
                <w:color w:val="000000"/>
                <w:lang w:eastAsia="en-AU"/>
              </w:rPr>
            </w:pPr>
            <w:r w:rsidRPr="007B31C4">
              <w:rPr>
                <w:color w:val="000000"/>
                <w:lang w:eastAsia="en-AU"/>
              </w:rPr>
              <w:t>0.41</w:t>
            </w:r>
          </w:p>
        </w:tc>
        <w:tc>
          <w:tcPr>
            <w:tcW w:w="593" w:type="dxa"/>
            <w:tcBorders>
              <w:top w:val="nil"/>
              <w:left w:val="nil"/>
              <w:bottom w:val="nil"/>
              <w:right w:val="nil"/>
            </w:tcBorders>
            <w:shd w:val="clear" w:color="auto" w:fill="auto"/>
            <w:noWrap/>
          </w:tcPr>
          <w:p w14:paraId="71C401BA" w14:textId="77777777" w:rsidR="00905EB9" w:rsidRPr="007B31C4" w:rsidRDefault="00905EB9" w:rsidP="00D5316C">
            <w:pPr>
              <w:pStyle w:val="table1"/>
              <w:rPr>
                <w:color w:val="000000"/>
                <w:lang w:eastAsia="en-AU"/>
              </w:rPr>
            </w:pPr>
            <w:r w:rsidRPr="007B31C4">
              <w:rPr>
                <w:color w:val="000000"/>
                <w:lang w:eastAsia="en-AU"/>
              </w:rPr>
              <w:t>0.39</w:t>
            </w:r>
          </w:p>
        </w:tc>
        <w:tc>
          <w:tcPr>
            <w:tcW w:w="593" w:type="dxa"/>
            <w:tcBorders>
              <w:top w:val="nil"/>
              <w:left w:val="nil"/>
              <w:bottom w:val="nil"/>
              <w:right w:val="nil"/>
            </w:tcBorders>
            <w:shd w:val="clear" w:color="auto" w:fill="auto"/>
            <w:noWrap/>
          </w:tcPr>
          <w:p w14:paraId="0783252D" w14:textId="77777777" w:rsidR="00905EB9" w:rsidRPr="007B31C4" w:rsidRDefault="00905EB9" w:rsidP="00D5316C">
            <w:pPr>
              <w:pStyle w:val="table1"/>
              <w:rPr>
                <w:color w:val="000000"/>
                <w:lang w:eastAsia="en-AU"/>
              </w:rPr>
            </w:pPr>
            <w:r w:rsidRPr="007B31C4">
              <w:rPr>
                <w:color w:val="000000"/>
                <w:lang w:eastAsia="en-AU"/>
              </w:rPr>
              <w:t>0.36</w:t>
            </w:r>
          </w:p>
        </w:tc>
        <w:tc>
          <w:tcPr>
            <w:tcW w:w="593" w:type="dxa"/>
            <w:tcBorders>
              <w:top w:val="nil"/>
              <w:left w:val="nil"/>
              <w:bottom w:val="nil"/>
              <w:right w:val="nil"/>
            </w:tcBorders>
          </w:tcPr>
          <w:p w14:paraId="4D35D257" w14:textId="77777777" w:rsidR="00905EB9" w:rsidRPr="007B31C4" w:rsidRDefault="00905EB9" w:rsidP="00D5316C">
            <w:pPr>
              <w:pStyle w:val="table1"/>
              <w:rPr>
                <w:color w:val="000000"/>
                <w:lang w:eastAsia="en-AU"/>
              </w:rPr>
            </w:pPr>
            <w:r w:rsidRPr="007B31C4">
              <w:rPr>
                <w:color w:val="000000"/>
              </w:rPr>
              <w:t>0.34</w:t>
            </w:r>
          </w:p>
        </w:tc>
        <w:tc>
          <w:tcPr>
            <w:tcW w:w="651" w:type="dxa"/>
            <w:tcBorders>
              <w:top w:val="nil"/>
              <w:left w:val="nil"/>
              <w:bottom w:val="nil"/>
              <w:right w:val="nil"/>
            </w:tcBorders>
          </w:tcPr>
          <w:p w14:paraId="24D326C7" w14:textId="77777777" w:rsidR="00905EB9" w:rsidRPr="007B31C4" w:rsidRDefault="00905EB9" w:rsidP="00D5316C">
            <w:pPr>
              <w:pStyle w:val="table1"/>
              <w:rPr>
                <w:color w:val="000000"/>
                <w:lang w:eastAsia="en-AU"/>
              </w:rPr>
            </w:pPr>
            <w:r w:rsidRPr="007B31C4">
              <w:rPr>
                <w:color w:val="000000"/>
              </w:rPr>
              <w:t>0.31</w:t>
            </w:r>
          </w:p>
        </w:tc>
      </w:tr>
      <w:tr w:rsidR="00905EB9" w:rsidRPr="007B31C4" w14:paraId="1EBF8A2B" w14:textId="77777777" w:rsidTr="00DC2A5F">
        <w:trPr>
          <w:trHeight w:val="315"/>
        </w:trPr>
        <w:tc>
          <w:tcPr>
            <w:tcW w:w="567" w:type="dxa"/>
            <w:tcBorders>
              <w:top w:val="nil"/>
              <w:left w:val="nil"/>
              <w:bottom w:val="nil"/>
              <w:right w:val="single" w:sz="4" w:space="0" w:color="auto"/>
            </w:tcBorders>
            <w:shd w:val="clear" w:color="auto" w:fill="auto"/>
            <w:noWrap/>
          </w:tcPr>
          <w:p w14:paraId="73C3951C" w14:textId="3700B364" w:rsidR="00905EB9" w:rsidRPr="007350AD" w:rsidRDefault="00905EB9" w:rsidP="00D5316C">
            <w:pPr>
              <w:pStyle w:val="table1"/>
              <w:rPr>
                <w:color w:val="000000"/>
                <w:lang w:eastAsia="en-AU"/>
              </w:rPr>
            </w:pPr>
            <w:r w:rsidRPr="007350AD">
              <w:rPr>
                <w:color w:val="000000"/>
                <w:lang w:eastAsia="en-AU"/>
              </w:rPr>
              <w:t>7</w:t>
            </w:r>
            <w:r w:rsidR="00A20221" w:rsidRPr="007350AD">
              <w:rPr>
                <w:color w:val="000000"/>
                <w:lang w:eastAsia="en-AU"/>
              </w:rPr>
              <w:t>.0</w:t>
            </w:r>
          </w:p>
        </w:tc>
        <w:tc>
          <w:tcPr>
            <w:tcW w:w="621" w:type="dxa"/>
            <w:tcBorders>
              <w:top w:val="nil"/>
              <w:left w:val="single" w:sz="4" w:space="0" w:color="auto"/>
              <w:bottom w:val="nil"/>
              <w:right w:val="nil"/>
            </w:tcBorders>
            <w:shd w:val="clear" w:color="auto" w:fill="auto"/>
            <w:noWrap/>
          </w:tcPr>
          <w:p w14:paraId="313C4CC8" w14:textId="77777777" w:rsidR="00905EB9" w:rsidRPr="007B31C4" w:rsidRDefault="00905EB9" w:rsidP="00D5316C">
            <w:pPr>
              <w:pStyle w:val="table1"/>
              <w:rPr>
                <w:color w:val="000000"/>
                <w:lang w:eastAsia="en-AU"/>
              </w:rPr>
            </w:pPr>
            <w:r w:rsidRPr="007B31C4">
              <w:rPr>
                <w:color w:val="000000"/>
                <w:lang w:eastAsia="en-AU"/>
              </w:rPr>
              <w:t>0.23</w:t>
            </w:r>
          </w:p>
        </w:tc>
        <w:tc>
          <w:tcPr>
            <w:tcW w:w="594" w:type="dxa"/>
            <w:tcBorders>
              <w:top w:val="nil"/>
              <w:left w:val="nil"/>
              <w:bottom w:val="nil"/>
              <w:right w:val="nil"/>
            </w:tcBorders>
            <w:shd w:val="clear" w:color="auto" w:fill="auto"/>
            <w:noWrap/>
          </w:tcPr>
          <w:p w14:paraId="715A6700" w14:textId="77777777" w:rsidR="00905EB9" w:rsidRPr="007B31C4" w:rsidRDefault="00905EB9" w:rsidP="00D5316C">
            <w:pPr>
              <w:pStyle w:val="table1"/>
              <w:rPr>
                <w:color w:val="000000"/>
                <w:lang w:eastAsia="en-AU"/>
              </w:rPr>
            </w:pPr>
            <w:r w:rsidRPr="007B31C4">
              <w:rPr>
                <w:color w:val="000000"/>
                <w:lang w:eastAsia="en-AU"/>
              </w:rPr>
              <w:t>0.22</w:t>
            </w:r>
          </w:p>
        </w:tc>
        <w:tc>
          <w:tcPr>
            <w:tcW w:w="593" w:type="dxa"/>
            <w:tcBorders>
              <w:top w:val="nil"/>
              <w:left w:val="nil"/>
              <w:bottom w:val="nil"/>
              <w:right w:val="nil"/>
            </w:tcBorders>
            <w:shd w:val="clear" w:color="auto" w:fill="auto"/>
            <w:noWrap/>
          </w:tcPr>
          <w:p w14:paraId="342E5CBE" w14:textId="77777777" w:rsidR="00905EB9" w:rsidRPr="007B31C4" w:rsidRDefault="00905EB9" w:rsidP="00D5316C">
            <w:pPr>
              <w:pStyle w:val="table1"/>
              <w:rPr>
                <w:color w:val="000000"/>
                <w:lang w:eastAsia="en-AU"/>
              </w:rPr>
            </w:pPr>
            <w:r w:rsidRPr="007B31C4">
              <w:rPr>
                <w:color w:val="000000"/>
                <w:lang w:eastAsia="en-AU"/>
              </w:rPr>
              <w:t>0.20</w:t>
            </w:r>
          </w:p>
        </w:tc>
        <w:tc>
          <w:tcPr>
            <w:tcW w:w="578" w:type="dxa"/>
            <w:tcBorders>
              <w:top w:val="nil"/>
              <w:left w:val="nil"/>
              <w:bottom w:val="nil"/>
              <w:right w:val="nil"/>
            </w:tcBorders>
            <w:shd w:val="clear" w:color="auto" w:fill="auto"/>
            <w:noWrap/>
          </w:tcPr>
          <w:p w14:paraId="71A8B4AB" w14:textId="77777777" w:rsidR="00905EB9" w:rsidRPr="007B31C4" w:rsidRDefault="00905EB9" w:rsidP="00D5316C">
            <w:pPr>
              <w:pStyle w:val="table1"/>
              <w:rPr>
                <w:color w:val="000000"/>
                <w:lang w:eastAsia="en-AU"/>
              </w:rPr>
            </w:pPr>
            <w:r w:rsidRPr="007B31C4">
              <w:rPr>
                <w:color w:val="000000"/>
                <w:lang w:eastAsia="en-AU"/>
              </w:rPr>
              <w:t>0.19</w:t>
            </w:r>
          </w:p>
        </w:tc>
        <w:tc>
          <w:tcPr>
            <w:tcW w:w="594" w:type="dxa"/>
            <w:tcBorders>
              <w:top w:val="nil"/>
              <w:left w:val="nil"/>
              <w:bottom w:val="nil"/>
              <w:right w:val="nil"/>
            </w:tcBorders>
            <w:shd w:val="clear" w:color="auto" w:fill="auto"/>
            <w:noWrap/>
          </w:tcPr>
          <w:p w14:paraId="7028078B" w14:textId="77777777" w:rsidR="00905EB9" w:rsidRPr="007B31C4" w:rsidRDefault="00905EB9" w:rsidP="00D5316C">
            <w:pPr>
              <w:pStyle w:val="table1"/>
              <w:rPr>
                <w:color w:val="000000"/>
                <w:lang w:eastAsia="en-AU"/>
              </w:rPr>
            </w:pPr>
            <w:r w:rsidRPr="007B31C4">
              <w:rPr>
                <w:color w:val="000000"/>
                <w:lang w:eastAsia="en-AU"/>
              </w:rPr>
              <w:t>0.17</w:t>
            </w:r>
          </w:p>
        </w:tc>
        <w:tc>
          <w:tcPr>
            <w:tcW w:w="608" w:type="dxa"/>
            <w:tcBorders>
              <w:top w:val="nil"/>
              <w:left w:val="nil"/>
              <w:bottom w:val="nil"/>
              <w:right w:val="nil"/>
            </w:tcBorders>
            <w:shd w:val="clear" w:color="auto" w:fill="auto"/>
            <w:noWrap/>
          </w:tcPr>
          <w:p w14:paraId="4AB6506A" w14:textId="77777777" w:rsidR="00905EB9" w:rsidRPr="007B31C4" w:rsidRDefault="00905EB9" w:rsidP="00D5316C">
            <w:pPr>
              <w:pStyle w:val="table1"/>
              <w:rPr>
                <w:color w:val="000000"/>
                <w:lang w:eastAsia="en-AU"/>
              </w:rPr>
            </w:pPr>
            <w:r w:rsidRPr="007B31C4">
              <w:rPr>
                <w:color w:val="000000"/>
                <w:lang w:eastAsia="en-AU"/>
              </w:rPr>
              <w:t>0.16</w:t>
            </w:r>
          </w:p>
        </w:tc>
        <w:tc>
          <w:tcPr>
            <w:tcW w:w="593" w:type="dxa"/>
            <w:tcBorders>
              <w:top w:val="nil"/>
              <w:left w:val="nil"/>
              <w:bottom w:val="nil"/>
              <w:right w:val="nil"/>
            </w:tcBorders>
            <w:shd w:val="clear" w:color="auto" w:fill="auto"/>
            <w:noWrap/>
          </w:tcPr>
          <w:p w14:paraId="4F37C228" w14:textId="77777777" w:rsidR="00905EB9" w:rsidRPr="007B31C4" w:rsidRDefault="00905EB9" w:rsidP="00D5316C">
            <w:pPr>
              <w:pStyle w:val="table1"/>
              <w:rPr>
                <w:color w:val="000000"/>
                <w:lang w:eastAsia="en-AU"/>
              </w:rPr>
            </w:pPr>
            <w:r w:rsidRPr="007B31C4">
              <w:rPr>
                <w:color w:val="000000"/>
                <w:lang w:eastAsia="en-AU"/>
              </w:rPr>
              <w:t>0.15</w:t>
            </w:r>
          </w:p>
        </w:tc>
        <w:tc>
          <w:tcPr>
            <w:tcW w:w="593" w:type="dxa"/>
            <w:tcBorders>
              <w:top w:val="nil"/>
              <w:left w:val="nil"/>
              <w:bottom w:val="nil"/>
              <w:right w:val="nil"/>
            </w:tcBorders>
            <w:shd w:val="clear" w:color="auto" w:fill="auto"/>
            <w:noWrap/>
          </w:tcPr>
          <w:p w14:paraId="29205598" w14:textId="77777777" w:rsidR="00905EB9" w:rsidRPr="007B31C4" w:rsidRDefault="00905EB9" w:rsidP="00D5316C">
            <w:pPr>
              <w:pStyle w:val="table1"/>
              <w:rPr>
                <w:color w:val="000000"/>
                <w:lang w:eastAsia="en-AU"/>
              </w:rPr>
            </w:pPr>
            <w:r w:rsidRPr="007B31C4">
              <w:rPr>
                <w:color w:val="000000"/>
                <w:lang w:eastAsia="en-AU"/>
              </w:rPr>
              <w:t>0.14</w:t>
            </w:r>
          </w:p>
        </w:tc>
        <w:tc>
          <w:tcPr>
            <w:tcW w:w="593" w:type="dxa"/>
            <w:tcBorders>
              <w:top w:val="nil"/>
              <w:left w:val="nil"/>
              <w:bottom w:val="nil"/>
              <w:right w:val="nil"/>
            </w:tcBorders>
            <w:shd w:val="clear" w:color="auto" w:fill="auto"/>
            <w:noWrap/>
          </w:tcPr>
          <w:p w14:paraId="5880729F" w14:textId="77777777" w:rsidR="00905EB9" w:rsidRPr="007B31C4" w:rsidRDefault="00905EB9" w:rsidP="00D5316C">
            <w:pPr>
              <w:pStyle w:val="table1"/>
              <w:rPr>
                <w:color w:val="000000"/>
                <w:lang w:eastAsia="en-AU"/>
              </w:rPr>
            </w:pPr>
            <w:r w:rsidRPr="007B31C4">
              <w:rPr>
                <w:color w:val="000000"/>
                <w:lang w:eastAsia="en-AU"/>
              </w:rPr>
              <w:t>0.13</w:t>
            </w:r>
          </w:p>
        </w:tc>
        <w:tc>
          <w:tcPr>
            <w:tcW w:w="593" w:type="dxa"/>
            <w:tcBorders>
              <w:top w:val="nil"/>
              <w:left w:val="nil"/>
              <w:bottom w:val="nil"/>
              <w:right w:val="nil"/>
            </w:tcBorders>
            <w:shd w:val="clear" w:color="auto" w:fill="auto"/>
            <w:noWrap/>
          </w:tcPr>
          <w:p w14:paraId="52BA25C3" w14:textId="77777777" w:rsidR="00905EB9" w:rsidRPr="007B31C4" w:rsidRDefault="00905EB9" w:rsidP="00D5316C">
            <w:pPr>
              <w:pStyle w:val="table1"/>
              <w:rPr>
                <w:color w:val="000000"/>
                <w:lang w:eastAsia="en-AU"/>
              </w:rPr>
            </w:pPr>
            <w:r w:rsidRPr="007B31C4">
              <w:rPr>
                <w:color w:val="000000"/>
                <w:lang w:eastAsia="en-AU"/>
              </w:rPr>
              <w:t>0.12</w:t>
            </w:r>
          </w:p>
        </w:tc>
        <w:tc>
          <w:tcPr>
            <w:tcW w:w="593" w:type="dxa"/>
            <w:tcBorders>
              <w:top w:val="nil"/>
              <w:left w:val="nil"/>
              <w:bottom w:val="nil"/>
              <w:right w:val="nil"/>
            </w:tcBorders>
            <w:shd w:val="clear" w:color="auto" w:fill="auto"/>
            <w:noWrap/>
          </w:tcPr>
          <w:p w14:paraId="4A47882D" w14:textId="77777777" w:rsidR="00905EB9" w:rsidRPr="007B31C4" w:rsidRDefault="00905EB9" w:rsidP="00D5316C">
            <w:pPr>
              <w:pStyle w:val="table1"/>
              <w:rPr>
                <w:color w:val="000000"/>
                <w:lang w:eastAsia="en-AU"/>
              </w:rPr>
            </w:pPr>
            <w:r w:rsidRPr="007B31C4">
              <w:rPr>
                <w:color w:val="000000"/>
                <w:lang w:eastAsia="en-AU"/>
              </w:rPr>
              <w:t>0.11</w:t>
            </w:r>
          </w:p>
        </w:tc>
        <w:tc>
          <w:tcPr>
            <w:tcW w:w="593" w:type="dxa"/>
            <w:tcBorders>
              <w:top w:val="nil"/>
              <w:left w:val="nil"/>
              <w:bottom w:val="nil"/>
              <w:right w:val="nil"/>
            </w:tcBorders>
          </w:tcPr>
          <w:p w14:paraId="353FF420" w14:textId="77777777" w:rsidR="00905EB9" w:rsidRPr="007B31C4" w:rsidRDefault="00905EB9" w:rsidP="00D5316C">
            <w:pPr>
              <w:pStyle w:val="table1"/>
              <w:rPr>
                <w:color w:val="000000"/>
                <w:lang w:eastAsia="en-AU"/>
              </w:rPr>
            </w:pPr>
            <w:r w:rsidRPr="007B31C4">
              <w:rPr>
                <w:color w:val="000000"/>
              </w:rPr>
              <w:t>0.11</w:t>
            </w:r>
          </w:p>
        </w:tc>
        <w:tc>
          <w:tcPr>
            <w:tcW w:w="651" w:type="dxa"/>
            <w:tcBorders>
              <w:top w:val="nil"/>
              <w:left w:val="nil"/>
              <w:bottom w:val="nil"/>
              <w:right w:val="nil"/>
            </w:tcBorders>
          </w:tcPr>
          <w:p w14:paraId="718537EE" w14:textId="77777777" w:rsidR="00905EB9" w:rsidRPr="007B31C4" w:rsidRDefault="00905EB9" w:rsidP="00D5316C">
            <w:pPr>
              <w:pStyle w:val="table1"/>
              <w:rPr>
                <w:color w:val="000000"/>
                <w:lang w:eastAsia="en-AU"/>
              </w:rPr>
            </w:pPr>
            <w:r w:rsidRPr="007B31C4">
              <w:rPr>
                <w:color w:val="000000"/>
              </w:rPr>
              <w:t>0.10</w:t>
            </w:r>
          </w:p>
        </w:tc>
      </w:tr>
      <w:tr w:rsidR="00905EB9" w:rsidRPr="007B31C4" w14:paraId="0BFB291F" w14:textId="77777777" w:rsidTr="00DC2A5F">
        <w:trPr>
          <w:trHeight w:val="315"/>
        </w:trPr>
        <w:tc>
          <w:tcPr>
            <w:tcW w:w="567" w:type="dxa"/>
            <w:tcBorders>
              <w:top w:val="nil"/>
              <w:left w:val="nil"/>
              <w:bottom w:val="nil"/>
              <w:right w:val="single" w:sz="4" w:space="0" w:color="auto"/>
            </w:tcBorders>
            <w:shd w:val="clear" w:color="auto" w:fill="auto"/>
            <w:noWrap/>
          </w:tcPr>
          <w:p w14:paraId="35244BE5" w14:textId="77777777" w:rsidR="00905EB9" w:rsidRPr="007350AD" w:rsidRDefault="00905EB9" w:rsidP="00D5316C">
            <w:pPr>
              <w:pStyle w:val="table1"/>
              <w:rPr>
                <w:color w:val="000000"/>
                <w:lang w:eastAsia="en-AU"/>
              </w:rPr>
            </w:pPr>
            <w:r w:rsidRPr="007350AD">
              <w:rPr>
                <w:color w:val="000000"/>
                <w:lang w:eastAsia="en-AU"/>
              </w:rPr>
              <w:t>7.5</w:t>
            </w:r>
          </w:p>
        </w:tc>
        <w:tc>
          <w:tcPr>
            <w:tcW w:w="621" w:type="dxa"/>
            <w:tcBorders>
              <w:top w:val="nil"/>
              <w:left w:val="single" w:sz="4" w:space="0" w:color="auto"/>
              <w:bottom w:val="nil"/>
              <w:right w:val="nil"/>
            </w:tcBorders>
            <w:shd w:val="clear" w:color="auto" w:fill="auto"/>
            <w:noWrap/>
          </w:tcPr>
          <w:p w14:paraId="4C80537A" w14:textId="77777777" w:rsidR="00905EB9" w:rsidRPr="007B31C4" w:rsidRDefault="00905EB9" w:rsidP="00D5316C">
            <w:pPr>
              <w:pStyle w:val="table1"/>
              <w:rPr>
                <w:color w:val="000000"/>
                <w:lang w:eastAsia="en-AU"/>
              </w:rPr>
            </w:pPr>
            <w:r w:rsidRPr="007B31C4">
              <w:rPr>
                <w:color w:val="000000"/>
                <w:lang w:eastAsia="en-AU"/>
              </w:rPr>
              <w:t>0.07</w:t>
            </w:r>
          </w:p>
        </w:tc>
        <w:tc>
          <w:tcPr>
            <w:tcW w:w="594" w:type="dxa"/>
            <w:tcBorders>
              <w:top w:val="nil"/>
              <w:left w:val="nil"/>
              <w:bottom w:val="nil"/>
              <w:right w:val="nil"/>
            </w:tcBorders>
            <w:shd w:val="clear" w:color="auto" w:fill="auto"/>
            <w:noWrap/>
          </w:tcPr>
          <w:p w14:paraId="720F4D81" w14:textId="77777777" w:rsidR="00905EB9" w:rsidRPr="007B31C4" w:rsidRDefault="00905EB9" w:rsidP="00D5316C">
            <w:pPr>
              <w:pStyle w:val="table1"/>
              <w:rPr>
                <w:color w:val="000000"/>
                <w:lang w:eastAsia="en-AU"/>
              </w:rPr>
            </w:pPr>
            <w:r w:rsidRPr="007B31C4">
              <w:rPr>
                <w:color w:val="000000"/>
                <w:lang w:eastAsia="en-AU"/>
              </w:rPr>
              <w:t>0.07</w:t>
            </w:r>
          </w:p>
        </w:tc>
        <w:tc>
          <w:tcPr>
            <w:tcW w:w="593" w:type="dxa"/>
            <w:tcBorders>
              <w:top w:val="nil"/>
              <w:left w:val="nil"/>
              <w:bottom w:val="nil"/>
              <w:right w:val="nil"/>
            </w:tcBorders>
            <w:shd w:val="clear" w:color="auto" w:fill="auto"/>
            <w:noWrap/>
          </w:tcPr>
          <w:p w14:paraId="501D3411" w14:textId="77777777" w:rsidR="00905EB9" w:rsidRPr="007B31C4" w:rsidRDefault="00905EB9" w:rsidP="00D5316C">
            <w:pPr>
              <w:pStyle w:val="table1"/>
              <w:rPr>
                <w:color w:val="000000"/>
                <w:lang w:eastAsia="en-AU"/>
              </w:rPr>
            </w:pPr>
            <w:r w:rsidRPr="007B31C4">
              <w:rPr>
                <w:color w:val="000000"/>
                <w:lang w:eastAsia="en-AU"/>
              </w:rPr>
              <w:t>0.06</w:t>
            </w:r>
          </w:p>
        </w:tc>
        <w:tc>
          <w:tcPr>
            <w:tcW w:w="578" w:type="dxa"/>
            <w:tcBorders>
              <w:top w:val="nil"/>
              <w:left w:val="nil"/>
              <w:bottom w:val="nil"/>
              <w:right w:val="nil"/>
            </w:tcBorders>
            <w:shd w:val="clear" w:color="auto" w:fill="auto"/>
            <w:noWrap/>
          </w:tcPr>
          <w:p w14:paraId="0B6340BA" w14:textId="77777777" w:rsidR="00905EB9" w:rsidRPr="007B31C4" w:rsidRDefault="00905EB9" w:rsidP="00D5316C">
            <w:pPr>
              <w:pStyle w:val="table1"/>
              <w:rPr>
                <w:color w:val="000000"/>
                <w:lang w:eastAsia="en-AU"/>
              </w:rPr>
            </w:pPr>
            <w:r w:rsidRPr="007B31C4">
              <w:rPr>
                <w:color w:val="000000"/>
                <w:lang w:eastAsia="en-AU"/>
              </w:rPr>
              <w:t>0.06</w:t>
            </w:r>
          </w:p>
        </w:tc>
        <w:tc>
          <w:tcPr>
            <w:tcW w:w="594" w:type="dxa"/>
            <w:tcBorders>
              <w:top w:val="nil"/>
              <w:left w:val="nil"/>
              <w:bottom w:val="nil"/>
              <w:right w:val="nil"/>
            </w:tcBorders>
            <w:shd w:val="clear" w:color="auto" w:fill="auto"/>
            <w:noWrap/>
          </w:tcPr>
          <w:p w14:paraId="79B6DD28" w14:textId="77777777" w:rsidR="00905EB9" w:rsidRPr="007B31C4" w:rsidRDefault="00905EB9" w:rsidP="00D5316C">
            <w:pPr>
              <w:pStyle w:val="table1"/>
              <w:rPr>
                <w:color w:val="000000"/>
                <w:lang w:eastAsia="en-AU"/>
              </w:rPr>
            </w:pPr>
            <w:r w:rsidRPr="007B31C4">
              <w:rPr>
                <w:color w:val="000000"/>
                <w:lang w:eastAsia="en-AU"/>
              </w:rPr>
              <w:t>0.06</w:t>
            </w:r>
          </w:p>
        </w:tc>
        <w:tc>
          <w:tcPr>
            <w:tcW w:w="608" w:type="dxa"/>
            <w:tcBorders>
              <w:top w:val="nil"/>
              <w:left w:val="nil"/>
              <w:bottom w:val="nil"/>
              <w:right w:val="nil"/>
            </w:tcBorders>
            <w:shd w:val="clear" w:color="auto" w:fill="auto"/>
            <w:noWrap/>
          </w:tcPr>
          <w:p w14:paraId="774F5392" w14:textId="77777777" w:rsidR="00905EB9" w:rsidRPr="007B31C4" w:rsidRDefault="00905EB9" w:rsidP="00D5316C">
            <w:pPr>
              <w:pStyle w:val="table1"/>
              <w:rPr>
                <w:color w:val="000000"/>
                <w:lang w:eastAsia="en-AU"/>
              </w:rPr>
            </w:pPr>
            <w:r w:rsidRPr="007B31C4">
              <w:rPr>
                <w:color w:val="000000"/>
                <w:lang w:eastAsia="en-AU"/>
              </w:rPr>
              <w:t>0.05</w:t>
            </w:r>
          </w:p>
        </w:tc>
        <w:tc>
          <w:tcPr>
            <w:tcW w:w="593" w:type="dxa"/>
            <w:tcBorders>
              <w:top w:val="nil"/>
              <w:left w:val="nil"/>
              <w:bottom w:val="nil"/>
              <w:right w:val="nil"/>
            </w:tcBorders>
            <w:shd w:val="clear" w:color="auto" w:fill="auto"/>
            <w:noWrap/>
          </w:tcPr>
          <w:p w14:paraId="3945F49C" w14:textId="77777777" w:rsidR="00905EB9" w:rsidRPr="007B31C4" w:rsidRDefault="00905EB9" w:rsidP="00D5316C">
            <w:pPr>
              <w:pStyle w:val="table1"/>
              <w:rPr>
                <w:color w:val="000000"/>
                <w:lang w:eastAsia="en-AU"/>
              </w:rPr>
            </w:pPr>
            <w:r w:rsidRPr="007B31C4">
              <w:rPr>
                <w:color w:val="000000"/>
                <w:lang w:eastAsia="en-AU"/>
              </w:rPr>
              <w:t>0.05</w:t>
            </w:r>
          </w:p>
        </w:tc>
        <w:tc>
          <w:tcPr>
            <w:tcW w:w="593" w:type="dxa"/>
            <w:tcBorders>
              <w:top w:val="nil"/>
              <w:left w:val="nil"/>
              <w:bottom w:val="nil"/>
              <w:right w:val="nil"/>
            </w:tcBorders>
            <w:shd w:val="clear" w:color="auto" w:fill="auto"/>
            <w:noWrap/>
          </w:tcPr>
          <w:p w14:paraId="4BC5E627" w14:textId="77777777" w:rsidR="00905EB9" w:rsidRPr="007B31C4" w:rsidRDefault="00905EB9" w:rsidP="00D5316C">
            <w:pPr>
              <w:pStyle w:val="table1"/>
              <w:rPr>
                <w:color w:val="000000"/>
                <w:lang w:eastAsia="en-AU"/>
              </w:rPr>
            </w:pPr>
            <w:r w:rsidRPr="007B31C4">
              <w:rPr>
                <w:color w:val="000000"/>
                <w:lang w:eastAsia="en-AU"/>
              </w:rPr>
              <w:t>0.05</w:t>
            </w:r>
          </w:p>
        </w:tc>
        <w:tc>
          <w:tcPr>
            <w:tcW w:w="593" w:type="dxa"/>
            <w:tcBorders>
              <w:top w:val="nil"/>
              <w:left w:val="nil"/>
              <w:bottom w:val="nil"/>
              <w:right w:val="nil"/>
            </w:tcBorders>
            <w:shd w:val="clear" w:color="auto" w:fill="auto"/>
            <w:noWrap/>
          </w:tcPr>
          <w:p w14:paraId="021B4C13" w14:textId="77777777" w:rsidR="00905EB9" w:rsidRPr="007B31C4" w:rsidRDefault="00905EB9" w:rsidP="00D5316C">
            <w:pPr>
              <w:pStyle w:val="table1"/>
              <w:rPr>
                <w:color w:val="000000"/>
                <w:lang w:eastAsia="en-AU"/>
              </w:rPr>
            </w:pPr>
            <w:r w:rsidRPr="007B31C4">
              <w:rPr>
                <w:color w:val="000000"/>
                <w:lang w:eastAsia="en-AU"/>
              </w:rPr>
              <w:t>0.04</w:t>
            </w:r>
          </w:p>
        </w:tc>
        <w:tc>
          <w:tcPr>
            <w:tcW w:w="593" w:type="dxa"/>
            <w:tcBorders>
              <w:top w:val="nil"/>
              <w:left w:val="nil"/>
              <w:bottom w:val="nil"/>
              <w:right w:val="nil"/>
            </w:tcBorders>
            <w:shd w:val="clear" w:color="auto" w:fill="auto"/>
            <w:noWrap/>
          </w:tcPr>
          <w:p w14:paraId="6C422993" w14:textId="77777777" w:rsidR="00905EB9" w:rsidRPr="007B31C4" w:rsidRDefault="00905EB9" w:rsidP="00D5316C">
            <w:pPr>
              <w:pStyle w:val="table1"/>
              <w:rPr>
                <w:color w:val="000000"/>
                <w:lang w:eastAsia="en-AU"/>
              </w:rPr>
            </w:pPr>
            <w:r w:rsidRPr="007B31C4">
              <w:rPr>
                <w:color w:val="000000"/>
                <w:lang w:eastAsia="en-AU"/>
              </w:rPr>
              <w:t>0.04</w:t>
            </w:r>
          </w:p>
        </w:tc>
        <w:tc>
          <w:tcPr>
            <w:tcW w:w="593" w:type="dxa"/>
            <w:tcBorders>
              <w:top w:val="nil"/>
              <w:left w:val="nil"/>
              <w:bottom w:val="nil"/>
              <w:right w:val="nil"/>
            </w:tcBorders>
            <w:shd w:val="clear" w:color="auto" w:fill="auto"/>
            <w:noWrap/>
          </w:tcPr>
          <w:p w14:paraId="4141E0D8" w14:textId="77777777" w:rsidR="00905EB9" w:rsidRPr="007B31C4" w:rsidRDefault="00905EB9" w:rsidP="00D5316C">
            <w:pPr>
              <w:pStyle w:val="table1"/>
              <w:rPr>
                <w:color w:val="000000"/>
                <w:lang w:eastAsia="en-AU"/>
              </w:rPr>
            </w:pPr>
            <w:r w:rsidRPr="007B31C4">
              <w:rPr>
                <w:color w:val="000000"/>
                <w:lang w:eastAsia="en-AU"/>
              </w:rPr>
              <w:t>0.04</w:t>
            </w:r>
          </w:p>
        </w:tc>
        <w:tc>
          <w:tcPr>
            <w:tcW w:w="593" w:type="dxa"/>
            <w:tcBorders>
              <w:top w:val="nil"/>
              <w:left w:val="nil"/>
              <w:bottom w:val="nil"/>
              <w:right w:val="nil"/>
            </w:tcBorders>
          </w:tcPr>
          <w:p w14:paraId="175B935E" w14:textId="77777777" w:rsidR="00905EB9" w:rsidRPr="007B31C4" w:rsidRDefault="00905EB9" w:rsidP="00D5316C">
            <w:pPr>
              <w:pStyle w:val="table1"/>
              <w:rPr>
                <w:color w:val="000000"/>
                <w:lang w:eastAsia="en-AU"/>
              </w:rPr>
            </w:pPr>
            <w:r w:rsidRPr="007B31C4">
              <w:rPr>
                <w:color w:val="000000"/>
              </w:rPr>
              <w:t>0.03</w:t>
            </w:r>
          </w:p>
        </w:tc>
        <w:tc>
          <w:tcPr>
            <w:tcW w:w="651" w:type="dxa"/>
            <w:tcBorders>
              <w:top w:val="nil"/>
              <w:left w:val="nil"/>
              <w:bottom w:val="nil"/>
              <w:right w:val="nil"/>
            </w:tcBorders>
          </w:tcPr>
          <w:p w14:paraId="2F3128E8" w14:textId="77777777" w:rsidR="00905EB9" w:rsidRPr="007B31C4" w:rsidRDefault="00905EB9" w:rsidP="00D5316C">
            <w:pPr>
              <w:pStyle w:val="table1"/>
              <w:rPr>
                <w:color w:val="000000"/>
                <w:lang w:eastAsia="en-AU"/>
              </w:rPr>
            </w:pPr>
            <w:r w:rsidRPr="007B31C4">
              <w:rPr>
                <w:color w:val="000000"/>
              </w:rPr>
              <w:t>0.03</w:t>
            </w:r>
          </w:p>
        </w:tc>
      </w:tr>
      <w:tr w:rsidR="00905EB9" w:rsidRPr="007B31C4" w14:paraId="7460DFC7" w14:textId="77777777" w:rsidTr="00DC2A5F">
        <w:trPr>
          <w:trHeight w:val="315"/>
        </w:trPr>
        <w:tc>
          <w:tcPr>
            <w:tcW w:w="567" w:type="dxa"/>
            <w:tcBorders>
              <w:top w:val="nil"/>
              <w:left w:val="nil"/>
              <w:bottom w:val="nil"/>
              <w:right w:val="single" w:sz="4" w:space="0" w:color="auto"/>
            </w:tcBorders>
            <w:shd w:val="clear" w:color="auto" w:fill="auto"/>
            <w:noWrap/>
          </w:tcPr>
          <w:p w14:paraId="3D653FC3" w14:textId="30EED29A" w:rsidR="00905EB9" w:rsidRPr="007350AD" w:rsidRDefault="00905EB9" w:rsidP="00D5316C">
            <w:pPr>
              <w:pStyle w:val="table1"/>
              <w:rPr>
                <w:color w:val="000000"/>
                <w:lang w:eastAsia="en-AU"/>
              </w:rPr>
            </w:pPr>
            <w:r w:rsidRPr="007350AD">
              <w:rPr>
                <w:color w:val="000000"/>
                <w:lang w:eastAsia="en-AU"/>
              </w:rPr>
              <w:t>8</w:t>
            </w:r>
            <w:r w:rsidR="00A20221" w:rsidRPr="007350AD">
              <w:rPr>
                <w:color w:val="000000"/>
                <w:lang w:eastAsia="en-AU"/>
              </w:rPr>
              <w:t>.0</w:t>
            </w:r>
          </w:p>
        </w:tc>
        <w:tc>
          <w:tcPr>
            <w:tcW w:w="621" w:type="dxa"/>
            <w:tcBorders>
              <w:top w:val="nil"/>
              <w:left w:val="single" w:sz="4" w:space="0" w:color="auto"/>
              <w:bottom w:val="nil"/>
              <w:right w:val="nil"/>
            </w:tcBorders>
            <w:shd w:val="clear" w:color="auto" w:fill="auto"/>
            <w:noWrap/>
          </w:tcPr>
          <w:p w14:paraId="704BE9D6" w14:textId="77777777" w:rsidR="00905EB9" w:rsidRPr="007B31C4" w:rsidRDefault="00905EB9" w:rsidP="00D5316C">
            <w:pPr>
              <w:pStyle w:val="table1"/>
              <w:rPr>
                <w:color w:val="000000"/>
                <w:lang w:eastAsia="en-AU"/>
              </w:rPr>
            </w:pPr>
            <w:r w:rsidRPr="007B31C4">
              <w:rPr>
                <w:color w:val="000000"/>
                <w:lang w:eastAsia="en-AU"/>
              </w:rPr>
              <w:t>0.02</w:t>
            </w:r>
          </w:p>
        </w:tc>
        <w:tc>
          <w:tcPr>
            <w:tcW w:w="594" w:type="dxa"/>
            <w:tcBorders>
              <w:top w:val="nil"/>
              <w:left w:val="nil"/>
              <w:bottom w:val="nil"/>
              <w:right w:val="nil"/>
            </w:tcBorders>
            <w:shd w:val="clear" w:color="auto" w:fill="auto"/>
            <w:noWrap/>
          </w:tcPr>
          <w:p w14:paraId="2B56BA51" w14:textId="77777777" w:rsidR="00905EB9" w:rsidRPr="007B31C4" w:rsidRDefault="00905EB9" w:rsidP="00D5316C">
            <w:pPr>
              <w:pStyle w:val="table1"/>
              <w:rPr>
                <w:color w:val="000000"/>
                <w:lang w:eastAsia="en-AU"/>
              </w:rPr>
            </w:pPr>
            <w:r w:rsidRPr="007B31C4">
              <w:rPr>
                <w:color w:val="000000"/>
                <w:lang w:eastAsia="en-AU"/>
              </w:rPr>
              <w:t>0.02</w:t>
            </w:r>
          </w:p>
        </w:tc>
        <w:tc>
          <w:tcPr>
            <w:tcW w:w="593" w:type="dxa"/>
            <w:tcBorders>
              <w:top w:val="nil"/>
              <w:left w:val="nil"/>
              <w:bottom w:val="nil"/>
              <w:right w:val="nil"/>
            </w:tcBorders>
            <w:shd w:val="clear" w:color="auto" w:fill="auto"/>
            <w:noWrap/>
          </w:tcPr>
          <w:p w14:paraId="39368DC4" w14:textId="77777777" w:rsidR="00905EB9" w:rsidRPr="007B31C4" w:rsidRDefault="00905EB9" w:rsidP="00D5316C">
            <w:pPr>
              <w:pStyle w:val="table1"/>
              <w:rPr>
                <w:color w:val="000000"/>
                <w:lang w:eastAsia="en-AU"/>
              </w:rPr>
            </w:pPr>
            <w:r w:rsidRPr="007B31C4">
              <w:rPr>
                <w:color w:val="000000"/>
                <w:lang w:eastAsia="en-AU"/>
              </w:rPr>
              <w:t>0.02</w:t>
            </w:r>
          </w:p>
        </w:tc>
        <w:tc>
          <w:tcPr>
            <w:tcW w:w="578" w:type="dxa"/>
            <w:tcBorders>
              <w:top w:val="nil"/>
              <w:left w:val="nil"/>
              <w:bottom w:val="nil"/>
              <w:right w:val="nil"/>
            </w:tcBorders>
            <w:shd w:val="clear" w:color="auto" w:fill="auto"/>
            <w:noWrap/>
          </w:tcPr>
          <w:p w14:paraId="7CE977F5" w14:textId="77777777" w:rsidR="00905EB9" w:rsidRPr="007B31C4" w:rsidRDefault="00905EB9" w:rsidP="00D5316C">
            <w:pPr>
              <w:pStyle w:val="table1"/>
              <w:rPr>
                <w:color w:val="000000"/>
                <w:lang w:eastAsia="en-AU"/>
              </w:rPr>
            </w:pPr>
            <w:r w:rsidRPr="007B31C4">
              <w:rPr>
                <w:color w:val="000000"/>
                <w:lang w:eastAsia="en-AU"/>
              </w:rPr>
              <w:t>0.02</w:t>
            </w:r>
          </w:p>
        </w:tc>
        <w:tc>
          <w:tcPr>
            <w:tcW w:w="594" w:type="dxa"/>
            <w:tcBorders>
              <w:top w:val="nil"/>
              <w:left w:val="nil"/>
              <w:bottom w:val="nil"/>
              <w:right w:val="nil"/>
            </w:tcBorders>
            <w:shd w:val="clear" w:color="auto" w:fill="auto"/>
            <w:noWrap/>
          </w:tcPr>
          <w:p w14:paraId="23ABF774" w14:textId="77777777" w:rsidR="00905EB9" w:rsidRPr="007B31C4" w:rsidRDefault="00905EB9" w:rsidP="00D5316C">
            <w:pPr>
              <w:pStyle w:val="table1"/>
              <w:rPr>
                <w:color w:val="000000"/>
                <w:lang w:eastAsia="en-AU"/>
              </w:rPr>
            </w:pPr>
            <w:r w:rsidRPr="007B31C4">
              <w:rPr>
                <w:color w:val="000000"/>
                <w:lang w:eastAsia="en-AU"/>
              </w:rPr>
              <w:t>0.02</w:t>
            </w:r>
          </w:p>
        </w:tc>
        <w:tc>
          <w:tcPr>
            <w:tcW w:w="608" w:type="dxa"/>
            <w:tcBorders>
              <w:top w:val="nil"/>
              <w:left w:val="nil"/>
              <w:bottom w:val="nil"/>
              <w:right w:val="nil"/>
            </w:tcBorders>
            <w:shd w:val="clear" w:color="auto" w:fill="auto"/>
            <w:noWrap/>
          </w:tcPr>
          <w:p w14:paraId="1740E3F3" w14:textId="77777777" w:rsidR="00905EB9" w:rsidRPr="007B31C4" w:rsidRDefault="00905EB9" w:rsidP="00D5316C">
            <w:pPr>
              <w:pStyle w:val="table1"/>
              <w:rPr>
                <w:color w:val="000000"/>
                <w:lang w:eastAsia="en-AU"/>
              </w:rPr>
            </w:pPr>
            <w:r w:rsidRPr="007B31C4">
              <w:rPr>
                <w:color w:val="000000"/>
                <w:lang w:eastAsia="en-AU"/>
              </w:rPr>
              <w:t>0.02</w:t>
            </w:r>
          </w:p>
        </w:tc>
        <w:tc>
          <w:tcPr>
            <w:tcW w:w="593" w:type="dxa"/>
            <w:tcBorders>
              <w:top w:val="nil"/>
              <w:left w:val="nil"/>
              <w:bottom w:val="nil"/>
              <w:right w:val="nil"/>
            </w:tcBorders>
            <w:shd w:val="clear" w:color="auto" w:fill="auto"/>
            <w:noWrap/>
          </w:tcPr>
          <w:p w14:paraId="2F75ADB5" w14:textId="77777777" w:rsidR="00905EB9" w:rsidRPr="007B31C4" w:rsidRDefault="00905EB9" w:rsidP="00D5316C">
            <w:pPr>
              <w:pStyle w:val="table1"/>
              <w:rPr>
                <w:color w:val="000000"/>
                <w:lang w:eastAsia="en-AU"/>
              </w:rPr>
            </w:pPr>
            <w:r w:rsidRPr="007B31C4">
              <w:rPr>
                <w:color w:val="000000"/>
                <w:lang w:eastAsia="en-AU"/>
              </w:rPr>
              <w:t>0.02</w:t>
            </w:r>
          </w:p>
        </w:tc>
        <w:tc>
          <w:tcPr>
            <w:tcW w:w="593" w:type="dxa"/>
            <w:tcBorders>
              <w:top w:val="nil"/>
              <w:left w:val="nil"/>
              <w:bottom w:val="nil"/>
              <w:right w:val="nil"/>
            </w:tcBorders>
            <w:shd w:val="clear" w:color="auto" w:fill="auto"/>
            <w:noWrap/>
          </w:tcPr>
          <w:p w14:paraId="5095B6B8" w14:textId="77777777" w:rsidR="00905EB9" w:rsidRPr="007B31C4" w:rsidRDefault="00905EB9" w:rsidP="00D5316C">
            <w:pPr>
              <w:pStyle w:val="table1"/>
              <w:rPr>
                <w:color w:val="000000"/>
                <w:lang w:eastAsia="en-AU"/>
              </w:rPr>
            </w:pPr>
            <w:r w:rsidRPr="007B31C4">
              <w:rPr>
                <w:color w:val="000000"/>
                <w:lang w:eastAsia="en-AU"/>
              </w:rPr>
              <w:t>0.01</w:t>
            </w:r>
          </w:p>
        </w:tc>
        <w:tc>
          <w:tcPr>
            <w:tcW w:w="593" w:type="dxa"/>
            <w:tcBorders>
              <w:top w:val="nil"/>
              <w:left w:val="nil"/>
              <w:bottom w:val="nil"/>
              <w:right w:val="nil"/>
            </w:tcBorders>
            <w:shd w:val="clear" w:color="auto" w:fill="auto"/>
            <w:noWrap/>
          </w:tcPr>
          <w:p w14:paraId="1A8F9301" w14:textId="77777777" w:rsidR="00905EB9" w:rsidRPr="007B31C4" w:rsidRDefault="00905EB9" w:rsidP="00D5316C">
            <w:pPr>
              <w:pStyle w:val="table1"/>
              <w:rPr>
                <w:color w:val="000000"/>
                <w:lang w:eastAsia="en-AU"/>
              </w:rPr>
            </w:pPr>
            <w:r w:rsidRPr="007B31C4">
              <w:rPr>
                <w:color w:val="000000"/>
                <w:lang w:eastAsia="en-AU"/>
              </w:rPr>
              <w:t>0.01</w:t>
            </w:r>
          </w:p>
        </w:tc>
        <w:tc>
          <w:tcPr>
            <w:tcW w:w="593" w:type="dxa"/>
            <w:tcBorders>
              <w:top w:val="nil"/>
              <w:left w:val="nil"/>
              <w:bottom w:val="nil"/>
              <w:right w:val="nil"/>
            </w:tcBorders>
            <w:shd w:val="clear" w:color="auto" w:fill="auto"/>
            <w:noWrap/>
          </w:tcPr>
          <w:p w14:paraId="11073EE5" w14:textId="77777777" w:rsidR="00905EB9" w:rsidRPr="007B31C4" w:rsidRDefault="00905EB9" w:rsidP="00D5316C">
            <w:pPr>
              <w:pStyle w:val="table1"/>
              <w:rPr>
                <w:color w:val="000000"/>
                <w:lang w:eastAsia="en-AU"/>
              </w:rPr>
            </w:pPr>
            <w:r w:rsidRPr="007B31C4">
              <w:rPr>
                <w:color w:val="000000"/>
                <w:lang w:eastAsia="en-AU"/>
              </w:rPr>
              <w:t>0.01</w:t>
            </w:r>
          </w:p>
        </w:tc>
        <w:tc>
          <w:tcPr>
            <w:tcW w:w="593" w:type="dxa"/>
            <w:tcBorders>
              <w:top w:val="nil"/>
              <w:left w:val="nil"/>
              <w:bottom w:val="nil"/>
              <w:right w:val="nil"/>
            </w:tcBorders>
            <w:shd w:val="clear" w:color="auto" w:fill="auto"/>
            <w:noWrap/>
          </w:tcPr>
          <w:p w14:paraId="5E048D23" w14:textId="77777777" w:rsidR="00905EB9" w:rsidRPr="007B31C4" w:rsidRDefault="00905EB9" w:rsidP="00D5316C">
            <w:pPr>
              <w:pStyle w:val="table1"/>
              <w:rPr>
                <w:color w:val="000000"/>
                <w:lang w:eastAsia="en-AU"/>
              </w:rPr>
            </w:pPr>
            <w:r w:rsidRPr="007B31C4">
              <w:rPr>
                <w:color w:val="000000"/>
                <w:lang w:eastAsia="en-AU"/>
              </w:rPr>
              <w:t>0.01</w:t>
            </w:r>
          </w:p>
        </w:tc>
        <w:tc>
          <w:tcPr>
            <w:tcW w:w="593" w:type="dxa"/>
            <w:tcBorders>
              <w:top w:val="nil"/>
              <w:left w:val="nil"/>
              <w:bottom w:val="nil"/>
              <w:right w:val="nil"/>
            </w:tcBorders>
          </w:tcPr>
          <w:p w14:paraId="6FA76F86" w14:textId="77777777" w:rsidR="00905EB9" w:rsidRPr="007B31C4" w:rsidRDefault="00905EB9" w:rsidP="00D5316C">
            <w:pPr>
              <w:pStyle w:val="table1"/>
              <w:rPr>
                <w:color w:val="000000"/>
                <w:lang w:eastAsia="en-AU"/>
              </w:rPr>
            </w:pPr>
            <w:r w:rsidRPr="007B31C4">
              <w:rPr>
                <w:color w:val="000000"/>
              </w:rPr>
              <w:t>0.01</w:t>
            </w:r>
          </w:p>
        </w:tc>
        <w:tc>
          <w:tcPr>
            <w:tcW w:w="651" w:type="dxa"/>
            <w:tcBorders>
              <w:top w:val="nil"/>
              <w:left w:val="nil"/>
              <w:bottom w:val="nil"/>
              <w:right w:val="nil"/>
            </w:tcBorders>
          </w:tcPr>
          <w:p w14:paraId="056E5288" w14:textId="77777777" w:rsidR="00905EB9" w:rsidRPr="007B31C4" w:rsidRDefault="00905EB9" w:rsidP="00D5316C">
            <w:pPr>
              <w:pStyle w:val="table1"/>
              <w:rPr>
                <w:color w:val="000000"/>
                <w:lang w:eastAsia="en-AU"/>
              </w:rPr>
            </w:pPr>
            <w:r w:rsidRPr="007B31C4">
              <w:rPr>
                <w:color w:val="000000"/>
              </w:rPr>
              <w:t>0.01</w:t>
            </w:r>
          </w:p>
        </w:tc>
      </w:tr>
    </w:tbl>
    <w:p w14:paraId="1A5B5D29" w14:textId="0C176C75" w:rsidR="00905EB9" w:rsidRPr="00DC2A5F" w:rsidRDefault="00905EB9" w:rsidP="002D1713">
      <w:pPr>
        <w:jc w:val="both"/>
        <w:rPr>
          <w:sz w:val="16"/>
          <w:szCs w:val="16"/>
        </w:rPr>
      </w:pPr>
      <w:proofErr w:type="spellStart"/>
      <w:r w:rsidRPr="00DC2A5F">
        <w:rPr>
          <w:sz w:val="16"/>
          <w:szCs w:val="16"/>
          <w:vertAlign w:val="superscript"/>
        </w:rPr>
        <w:t>a</w:t>
      </w:r>
      <w:proofErr w:type="spellEnd"/>
      <w:r w:rsidRPr="00DC2A5F">
        <w:rPr>
          <w:sz w:val="16"/>
          <w:szCs w:val="16"/>
        </w:rPr>
        <w:t xml:space="preserve"> </w:t>
      </w:r>
      <w:proofErr w:type="gramStart"/>
      <w:r w:rsidRPr="00DC2A5F">
        <w:rPr>
          <w:sz w:val="16"/>
          <w:szCs w:val="16"/>
        </w:rPr>
        <w:t>The</w:t>
      </w:r>
      <w:proofErr w:type="gramEnd"/>
      <w:r w:rsidRPr="00DC2A5F">
        <w:rPr>
          <w:sz w:val="16"/>
          <w:szCs w:val="16"/>
        </w:rPr>
        <w:t xml:space="preserve"> upper 90th percentiles for pH and temperature in Magela Creek are 6.4 and 32°C, respectively. Therefore, these water quality conditions formed the basis of the </w:t>
      </w:r>
      <w:r w:rsidR="00BB15C5">
        <w:rPr>
          <w:sz w:val="16"/>
          <w:szCs w:val="16"/>
        </w:rPr>
        <w:t>a</w:t>
      </w:r>
      <w:r w:rsidR="0021709B" w:rsidRPr="00DC2A5F">
        <w:rPr>
          <w:sz w:val="16"/>
          <w:szCs w:val="16"/>
        </w:rPr>
        <w:t xml:space="preserve">mmonia </w:t>
      </w:r>
      <w:r w:rsidR="00BB15C5">
        <w:rPr>
          <w:sz w:val="16"/>
          <w:szCs w:val="16"/>
        </w:rPr>
        <w:t>r</w:t>
      </w:r>
      <w:r w:rsidR="0021709B" w:rsidRPr="00DC2A5F">
        <w:rPr>
          <w:sz w:val="16"/>
          <w:szCs w:val="16"/>
        </w:rPr>
        <w:t xml:space="preserve">ehabilitation </w:t>
      </w:r>
      <w:r w:rsidR="00BB15C5">
        <w:rPr>
          <w:sz w:val="16"/>
          <w:szCs w:val="16"/>
        </w:rPr>
        <w:t>s</w:t>
      </w:r>
      <w:r w:rsidR="0021709B" w:rsidRPr="00DC2A5F">
        <w:rPr>
          <w:sz w:val="16"/>
          <w:szCs w:val="16"/>
        </w:rPr>
        <w:t>tandard</w:t>
      </w:r>
      <w:r w:rsidRPr="00DC2A5F">
        <w:rPr>
          <w:sz w:val="16"/>
          <w:szCs w:val="16"/>
        </w:rPr>
        <w:t>.</w:t>
      </w:r>
    </w:p>
    <w:sectPr w:rsidR="00905EB9" w:rsidRPr="00DC2A5F" w:rsidSect="0070638A">
      <w:headerReference w:type="even" r:id="rId10"/>
      <w:footerReference w:type="even" r:id="rId11"/>
      <w:footerReference w:type="default" r:id="rId12"/>
      <w:headerReference w:type="first" r:id="rId13"/>
      <w:footerReference w:type="first" r:id="rId14"/>
      <w:pgSz w:w="11906" w:h="16838" w:code="9"/>
      <w:pgMar w:top="1440" w:right="1800" w:bottom="1440" w:left="1800" w:header="709" w:footer="835" w:gutter="0"/>
      <w:cols w:space="3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69A9" w14:textId="77777777" w:rsidR="0048103D" w:rsidRDefault="0048103D">
      <w:r>
        <w:separator/>
      </w:r>
    </w:p>
  </w:endnote>
  <w:endnote w:type="continuationSeparator" w:id="0">
    <w:p w14:paraId="5D5DB7A9" w14:textId="77777777" w:rsidR="0048103D" w:rsidRDefault="0048103D">
      <w:r>
        <w:continuationSeparator/>
      </w:r>
    </w:p>
  </w:endnote>
  <w:endnote w:type="continuationNotice" w:id="1">
    <w:p w14:paraId="2A7735CA" w14:textId="77777777" w:rsidR="0048103D" w:rsidRDefault="00481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TT3713a231">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A73B" w14:textId="77777777" w:rsidR="006928A7" w:rsidRDefault="006928A7">
    <w:pPr>
      <w:pStyle w:val="Footer"/>
    </w:pPr>
    <w:r>
      <w:fldChar w:fldCharType="begin"/>
    </w:r>
    <w:r>
      <w:instrText>PAGE</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6AB6" w14:textId="77777777" w:rsidR="00C44023" w:rsidRPr="003126BB" w:rsidRDefault="00C44023" w:rsidP="00C44023">
    <w:pPr>
      <w:pStyle w:val="Footer"/>
      <w:jc w:val="left"/>
      <w:rPr>
        <w:i/>
        <w:sz w:val="18"/>
      </w:rPr>
    </w:pPr>
    <w:r w:rsidRPr="003126BB">
      <w:rPr>
        <w:i/>
        <w:sz w:val="18"/>
      </w:rPr>
      <w:t>Version 1</w:t>
    </w:r>
    <w:r>
      <w:rPr>
        <w:i/>
        <w:sz w:val="18"/>
      </w:rPr>
      <w:t>.1</w:t>
    </w:r>
  </w:p>
  <w:p w14:paraId="2B6FE797" w14:textId="00F2CEEB" w:rsidR="006928A7" w:rsidRPr="003126BB" w:rsidRDefault="00C44023" w:rsidP="00C44023">
    <w:pPr>
      <w:pStyle w:val="Footer"/>
      <w:tabs>
        <w:tab w:val="right" w:pos="8222"/>
      </w:tabs>
      <w:jc w:val="left"/>
    </w:pPr>
    <w:r>
      <w:rPr>
        <w:i/>
        <w:sz w:val="18"/>
      </w:rPr>
      <w:t>May 2021</w:t>
    </w:r>
    <w:r w:rsidR="003126BB" w:rsidRPr="003126BB">
      <w:tab/>
    </w:r>
    <w:r w:rsidR="003126BB" w:rsidRPr="003126BB">
      <w:fldChar w:fldCharType="begin"/>
    </w:r>
    <w:r w:rsidR="003126BB" w:rsidRPr="003126BB">
      <w:instrText>PAGE</w:instrText>
    </w:r>
    <w:r w:rsidR="003126BB" w:rsidRPr="003126BB">
      <w:fldChar w:fldCharType="separate"/>
    </w:r>
    <w:r w:rsidR="004116B6">
      <w:rPr>
        <w:noProof/>
      </w:rPr>
      <w:t>2</w:t>
    </w:r>
    <w:r w:rsidR="003126BB" w:rsidRPr="003126B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80B7" w14:textId="1F5B674F" w:rsidR="003126BB" w:rsidRPr="003126BB" w:rsidRDefault="003126BB" w:rsidP="003126BB">
    <w:pPr>
      <w:pStyle w:val="Footer"/>
      <w:jc w:val="left"/>
      <w:rPr>
        <w:i/>
        <w:sz w:val="18"/>
      </w:rPr>
    </w:pPr>
    <w:r w:rsidRPr="003126BB">
      <w:rPr>
        <w:i/>
        <w:sz w:val="18"/>
      </w:rPr>
      <w:t>Version 1</w:t>
    </w:r>
    <w:r w:rsidR="00C44023">
      <w:rPr>
        <w:i/>
        <w:sz w:val="18"/>
      </w:rPr>
      <w:t>.1</w:t>
    </w:r>
  </w:p>
  <w:p w14:paraId="07CAE1FF" w14:textId="245E6A42" w:rsidR="006928A7" w:rsidRPr="003126BB" w:rsidRDefault="00C44023" w:rsidP="003126BB">
    <w:pPr>
      <w:pStyle w:val="Footer"/>
      <w:tabs>
        <w:tab w:val="right" w:pos="8222"/>
      </w:tabs>
      <w:jc w:val="left"/>
    </w:pPr>
    <w:r>
      <w:rPr>
        <w:i/>
        <w:sz w:val="18"/>
      </w:rPr>
      <w:t>May 2021</w:t>
    </w:r>
    <w:r w:rsidR="003126BB" w:rsidRPr="003126BB">
      <w:rPr>
        <w:sz w:val="18"/>
      </w:rPr>
      <w:t xml:space="preserve"> </w:t>
    </w:r>
    <w:r w:rsidR="003126BB" w:rsidRPr="003126BB">
      <w:tab/>
    </w:r>
    <w:r w:rsidR="006928A7" w:rsidRPr="003126BB">
      <w:fldChar w:fldCharType="begin"/>
    </w:r>
    <w:r w:rsidR="006928A7" w:rsidRPr="003126BB">
      <w:instrText>PAGE</w:instrText>
    </w:r>
    <w:r w:rsidR="006928A7" w:rsidRPr="003126BB">
      <w:fldChar w:fldCharType="separate"/>
    </w:r>
    <w:r w:rsidR="004116B6">
      <w:rPr>
        <w:noProof/>
      </w:rPr>
      <w:t>1</w:t>
    </w:r>
    <w:r w:rsidR="006928A7" w:rsidRPr="003126B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F57A" w14:textId="77777777" w:rsidR="0048103D" w:rsidRDefault="0048103D">
      <w:r>
        <w:separator/>
      </w:r>
    </w:p>
  </w:footnote>
  <w:footnote w:type="continuationSeparator" w:id="0">
    <w:p w14:paraId="5444D702" w14:textId="77777777" w:rsidR="0048103D" w:rsidRDefault="0048103D">
      <w:r>
        <w:continuationSeparator/>
      </w:r>
    </w:p>
  </w:footnote>
  <w:footnote w:type="continuationNotice" w:id="1">
    <w:p w14:paraId="475B1499" w14:textId="77777777" w:rsidR="0048103D" w:rsidRDefault="004810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F0A9" w14:textId="77777777" w:rsidR="006928A7" w:rsidRDefault="006928A7">
    <w:pPr>
      <w:pStyle w:val="Header"/>
      <w:jc w:val="right"/>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F337" w14:textId="6911303D" w:rsidR="006928A7" w:rsidRDefault="00C44023" w:rsidP="0070638A">
    <w:pPr>
      <w:pStyle w:val="Header"/>
      <w:rPr>
        <w:rFonts w:ascii="Arial" w:hAnsi="Arial"/>
        <w:sz w:val="14"/>
      </w:rPr>
    </w:pPr>
    <w:r>
      <w:rPr>
        <w:noProof/>
      </w:rPr>
      <w:drawing>
        <wp:inline distT="0" distB="0" distL="0" distR="0" wp14:anchorId="537473D8" wp14:editId="358CFD96">
          <wp:extent cx="4604385" cy="1168400"/>
          <wp:effectExtent l="0" t="0" r="5715" b="0"/>
          <wp:docPr id="4" name="Picture 4" descr="C:\Users\A01331\AppData\Local\Microsoft\Windows\Temporary Internet Files\Content.Outlook\JPCXRJUM\AWE-SS-strip.jpg"/>
          <wp:cNvGraphicFramePr/>
          <a:graphic xmlns:a="http://schemas.openxmlformats.org/drawingml/2006/main">
            <a:graphicData uri="http://schemas.openxmlformats.org/drawingml/2006/picture">
              <pic:pic xmlns:pic="http://schemas.openxmlformats.org/drawingml/2006/picture">
                <pic:nvPicPr>
                  <pic:cNvPr id="4" name="Picture 4" descr="C:\Users\A01331\AppData\Local\Microsoft\Windows\Temporary Internet Files\Content.Outlook\JPCXRJUM\AWE-SS-strip.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4385" cy="116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E6F1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1C81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BA8C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E225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F4A04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4B0D2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B401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A86F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898033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965029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1010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52999"/>
    <w:multiLevelType w:val="multilevel"/>
    <w:tmpl w:val="1D24797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EEE654F"/>
    <w:multiLevelType w:val="hybridMultilevel"/>
    <w:tmpl w:val="AC46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D847D7"/>
    <w:multiLevelType w:val="multilevel"/>
    <w:tmpl w:val="3C8C4EA2"/>
    <w:lvl w:ilvl="0">
      <w:start w:val="1"/>
      <w:numFmt w:val="decimal"/>
      <w:pStyle w:val="Heading1"/>
      <w:lvlText w:val="%1."/>
      <w:lvlJc w:val="left"/>
      <w:pPr>
        <w:ind w:left="357" w:hanging="357"/>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14C870C1"/>
    <w:multiLevelType w:val="multilevel"/>
    <w:tmpl w:val="CA8A8344"/>
    <w:lvl w:ilvl="0">
      <w:start w:val="1"/>
      <w:numFmt w:val="lowerRoman"/>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5E7EB9"/>
    <w:multiLevelType w:val="multilevel"/>
    <w:tmpl w:val="172C6118"/>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6" w15:restartNumberingAfterBreak="0">
    <w:nsid w:val="42380E5A"/>
    <w:multiLevelType w:val="multilevel"/>
    <w:tmpl w:val="F2F0948E"/>
    <w:lvl w:ilvl="0">
      <w:start w:val="5"/>
      <w:numFmt w:val="decimal"/>
      <w:lvlText w:val="%1."/>
      <w:lvlJc w:val="left"/>
      <w:pPr>
        <w:ind w:left="360" w:hanging="360"/>
      </w:pPr>
      <w:rPr>
        <w:rFonts w:hint="default"/>
      </w:rPr>
    </w:lvl>
    <w:lvl w:ilvl="1">
      <w:start w:val="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6506B9"/>
    <w:multiLevelType w:val="multilevel"/>
    <w:tmpl w:val="687267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982936"/>
    <w:multiLevelType w:val="hybridMultilevel"/>
    <w:tmpl w:val="B824CCFE"/>
    <w:lvl w:ilvl="0" w:tplc="32E26F66">
      <w:start w:val="1"/>
      <w:numFmt w:val="bullet"/>
      <w:lvlText w:val=""/>
      <w:lvlJc w:val="left"/>
      <w:pPr>
        <w:tabs>
          <w:tab w:val="num" w:pos="720"/>
        </w:tabs>
        <w:ind w:left="720" w:hanging="360"/>
      </w:pPr>
      <w:rPr>
        <w:rFonts w:ascii="Symbol" w:hAnsi="Symbol" w:hint="default"/>
      </w:rPr>
    </w:lvl>
    <w:lvl w:ilvl="1" w:tplc="18281868" w:tentative="1">
      <w:start w:val="1"/>
      <w:numFmt w:val="bullet"/>
      <w:lvlText w:val="o"/>
      <w:lvlJc w:val="left"/>
      <w:pPr>
        <w:tabs>
          <w:tab w:val="num" w:pos="1440"/>
        </w:tabs>
        <w:ind w:left="1440" w:hanging="360"/>
      </w:pPr>
      <w:rPr>
        <w:rFonts w:ascii="Courier New" w:hAnsi="Courier New" w:hint="default"/>
      </w:rPr>
    </w:lvl>
    <w:lvl w:ilvl="2" w:tplc="CD88634E" w:tentative="1">
      <w:start w:val="1"/>
      <w:numFmt w:val="bullet"/>
      <w:lvlText w:val=""/>
      <w:lvlJc w:val="left"/>
      <w:pPr>
        <w:tabs>
          <w:tab w:val="num" w:pos="2160"/>
        </w:tabs>
        <w:ind w:left="2160" w:hanging="360"/>
      </w:pPr>
      <w:rPr>
        <w:rFonts w:ascii="Wingdings" w:hAnsi="Wingdings" w:hint="default"/>
      </w:rPr>
    </w:lvl>
    <w:lvl w:ilvl="3" w:tplc="1A3A9464" w:tentative="1">
      <w:start w:val="1"/>
      <w:numFmt w:val="bullet"/>
      <w:lvlText w:val=""/>
      <w:lvlJc w:val="left"/>
      <w:pPr>
        <w:tabs>
          <w:tab w:val="num" w:pos="2880"/>
        </w:tabs>
        <w:ind w:left="2880" w:hanging="360"/>
      </w:pPr>
      <w:rPr>
        <w:rFonts w:ascii="Symbol" w:hAnsi="Symbol" w:hint="default"/>
      </w:rPr>
    </w:lvl>
    <w:lvl w:ilvl="4" w:tplc="47D41B70" w:tentative="1">
      <w:start w:val="1"/>
      <w:numFmt w:val="bullet"/>
      <w:lvlText w:val="o"/>
      <w:lvlJc w:val="left"/>
      <w:pPr>
        <w:tabs>
          <w:tab w:val="num" w:pos="3600"/>
        </w:tabs>
        <w:ind w:left="3600" w:hanging="360"/>
      </w:pPr>
      <w:rPr>
        <w:rFonts w:ascii="Courier New" w:hAnsi="Courier New" w:hint="default"/>
      </w:rPr>
    </w:lvl>
    <w:lvl w:ilvl="5" w:tplc="1E364D54" w:tentative="1">
      <w:start w:val="1"/>
      <w:numFmt w:val="bullet"/>
      <w:lvlText w:val=""/>
      <w:lvlJc w:val="left"/>
      <w:pPr>
        <w:tabs>
          <w:tab w:val="num" w:pos="4320"/>
        </w:tabs>
        <w:ind w:left="4320" w:hanging="360"/>
      </w:pPr>
      <w:rPr>
        <w:rFonts w:ascii="Wingdings" w:hAnsi="Wingdings" w:hint="default"/>
      </w:rPr>
    </w:lvl>
    <w:lvl w:ilvl="6" w:tplc="09F8AFBE" w:tentative="1">
      <w:start w:val="1"/>
      <w:numFmt w:val="bullet"/>
      <w:lvlText w:val=""/>
      <w:lvlJc w:val="left"/>
      <w:pPr>
        <w:tabs>
          <w:tab w:val="num" w:pos="5040"/>
        </w:tabs>
        <w:ind w:left="5040" w:hanging="360"/>
      </w:pPr>
      <w:rPr>
        <w:rFonts w:ascii="Symbol" w:hAnsi="Symbol" w:hint="default"/>
      </w:rPr>
    </w:lvl>
    <w:lvl w:ilvl="7" w:tplc="C0202634" w:tentative="1">
      <w:start w:val="1"/>
      <w:numFmt w:val="bullet"/>
      <w:lvlText w:val="o"/>
      <w:lvlJc w:val="left"/>
      <w:pPr>
        <w:tabs>
          <w:tab w:val="num" w:pos="5760"/>
        </w:tabs>
        <w:ind w:left="5760" w:hanging="360"/>
      </w:pPr>
      <w:rPr>
        <w:rFonts w:ascii="Courier New" w:hAnsi="Courier New" w:hint="default"/>
      </w:rPr>
    </w:lvl>
    <w:lvl w:ilvl="8" w:tplc="E22C5D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370E5"/>
    <w:multiLevelType w:val="hybridMultilevel"/>
    <w:tmpl w:val="B6C64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88A5F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5C559D"/>
    <w:multiLevelType w:val="hybridMultilevel"/>
    <w:tmpl w:val="3F6691EA"/>
    <w:lvl w:ilvl="0" w:tplc="EE7A6CF4">
      <w:start w:val="1"/>
      <w:numFmt w:val="bullet"/>
      <w:lvlText w:val=""/>
      <w:lvlJc w:val="left"/>
      <w:pPr>
        <w:ind w:left="1080" w:hanging="360"/>
      </w:pPr>
      <w:rPr>
        <w:rFonts w:ascii="Symbol" w:hAnsi="Symbol" w:hint="default"/>
      </w:rPr>
    </w:lvl>
    <w:lvl w:ilvl="1" w:tplc="43A0CA28" w:tentative="1">
      <w:start w:val="1"/>
      <w:numFmt w:val="bullet"/>
      <w:lvlText w:val="o"/>
      <w:lvlJc w:val="left"/>
      <w:pPr>
        <w:ind w:left="1800" w:hanging="360"/>
      </w:pPr>
      <w:rPr>
        <w:rFonts w:ascii="Courier New" w:hAnsi="Courier New" w:cs="Courier New" w:hint="default"/>
      </w:rPr>
    </w:lvl>
    <w:lvl w:ilvl="2" w:tplc="F3EC2A6A" w:tentative="1">
      <w:start w:val="1"/>
      <w:numFmt w:val="bullet"/>
      <w:lvlText w:val=""/>
      <w:lvlJc w:val="left"/>
      <w:pPr>
        <w:ind w:left="2520" w:hanging="360"/>
      </w:pPr>
      <w:rPr>
        <w:rFonts w:ascii="Wingdings" w:hAnsi="Wingdings" w:hint="default"/>
      </w:rPr>
    </w:lvl>
    <w:lvl w:ilvl="3" w:tplc="A4746C8E" w:tentative="1">
      <w:start w:val="1"/>
      <w:numFmt w:val="bullet"/>
      <w:lvlText w:val=""/>
      <w:lvlJc w:val="left"/>
      <w:pPr>
        <w:ind w:left="3240" w:hanging="360"/>
      </w:pPr>
      <w:rPr>
        <w:rFonts w:ascii="Symbol" w:hAnsi="Symbol" w:hint="default"/>
      </w:rPr>
    </w:lvl>
    <w:lvl w:ilvl="4" w:tplc="0AE0B792" w:tentative="1">
      <w:start w:val="1"/>
      <w:numFmt w:val="bullet"/>
      <w:lvlText w:val="o"/>
      <w:lvlJc w:val="left"/>
      <w:pPr>
        <w:ind w:left="3960" w:hanging="360"/>
      </w:pPr>
      <w:rPr>
        <w:rFonts w:ascii="Courier New" w:hAnsi="Courier New" w:cs="Courier New" w:hint="default"/>
      </w:rPr>
    </w:lvl>
    <w:lvl w:ilvl="5" w:tplc="E3AA7B9A" w:tentative="1">
      <w:start w:val="1"/>
      <w:numFmt w:val="bullet"/>
      <w:lvlText w:val=""/>
      <w:lvlJc w:val="left"/>
      <w:pPr>
        <w:ind w:left="4680" w:hanging="360"/>
      </w:pPr>
      <w:rPr>
        <w:rFonts w:ascii="Wingdings" w:hAnsi="Wingdings" w:hint="default"/>
      </w:rPr>
    </w:lvl>
    <w:lvl w:ilvl="6" w:tplc="67EC682A" w:tentative="1">
      <w:start w:val="1"/>
      <w:numFmt w:val="bullet"/>
      <w:lvlText w:val=""/>
      <w:lvlJc w:val="left"/>
      <w:pPr>
        <w:ind w:left="5400" w:hanging="360"/>
      </w:pPr>
      <w:rPr>
        <w:rFonts w:ascii="Symbol" w:hAnsi="Symbol" w:hint="default"/>
      </w:rPr>
    </w:lvl>
    <w:lvl w:ilvl="7" w:tplc="8FC61140" w:tentative="1">
      <w:start w:val="1"/>
      <w:numFmt w:val="bullet"/>
      <w:lvlText w:val="o"/>
      <w:lvlJc w:val="left"/>
      <w:pPr>
        <w:ind w:left="6120" w:hanging="360"/>
      </w:pPr>
      <w:rPr>
        <w:rFonts w:ascii="Courier New" w:hAnsi="Courier New" w:cs="Courier New" w:hint="default"/>
      </w:rPr>
    </w:lvl>
    <w:lvl w:ilvl="8" w:tplc="2954FB32" w:tentative="1">
      <w:start w:val="1"/>
      <w:numFmt w:val="bullet"/>
      <w:lvlText w:val=""/>
      <w:lvlJc w:val="left"/>
      <w:pPr>
        <w:ind w:left="6840" w:hanging="360"/>
      </w:pPr>
      <w:rPr>
        <w:rFonts w:ascii="Wingdings" w:hAnsi="Wingdings" w:hint="default"/>
      </w:rPr>
    </w:lvl>
  </w:abstractNum>
  <w:abstractNum w:abstractNumId="22" w15:restartNumberingAfterBreak="0">
    <w:nsid w:val="5DF4337D"/>
    <w:multiLevelType w:val="hybridMultilevel"/>
    <w:tmpl w:val="4FAC12CC"/>
    <w:lvl w:ilvl="0" w:tplc="0C090001">
      <w:start w:val="1"/>
      <w:numFmt w:val="bullet"/>
      <w:lvlText w:val=""/>
      <w:lvlJc w:val="left"/>
      <w:pPr>
        <w:tabs>
          <w:tab w:val="num" w:pos="360"/>
        </w:tabs>
        <w:ind w:left="357" w:hanging="357"/>
      </w:pPr>
      <w:rPr>
        <w:rFonts w:ascii="Symbol" w:hAnsi="Symbol" w:hint="default"/>
      </w:rPr>
    </w:lvl>
    <w:lvl w:ilvl="1" w:tplc="0C090003">
      <w:start w:val="1"/>
      <w:numFmt w:val="bullet"/>
      <w:lvlText w:val="–"/>
      <w:lvlJc w:val="left"/>
      <w:pPr>
        <w:tabs>
          <w:tab w:val="num" w:pos="717"/>
        </w:tabs>
        <w:ind w:left="357" w:firstLine="0"/>
      </w:pPr>
      <w:rPr>
        <w:rFonts w:ascii="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1045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A509A9"/>
    <w:multiLevelType w:val="multilevel"/>
    <w:tmpl w:val="47DAD480"/>
    <w:lvl w:ilvl="0">
      <w:start w:val="7"/>
      <w:numFmt w:val="decimal"/>
      <w:lvlText w:val="%1."/>
      <w:lvlJc w:val="left"/>
      <w:pPr>
        <w:ind w:left="360" w:hanging="360"/>
      </w:pPr>
      <w:rPr>
        <w:rFonts w:hint="default"/>
      </w:rPr>
    </w:lvl>
    <w:lvl w:ilvl="1">
      <w:start w:val="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683F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D5162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5617CF"/>
    <w:multiLevelType w:val="multilevel"/>
    <w:tmpl w:val="172C6118"/>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8" w15:restartNumberingAfterBreak="0">
    <w:nsid w:val="75E6438A"/>
    <w:multiLevelType w:val="hybridMultilevel"/>
    <w:tmpl w:val="53DA6934"/>
    <w:lvl w:ilvl="0" w:tplc="5CA0C012">
      <w:start w:val="1"/>
      <w:numFmt w:val="lowerRoman"/>
      <w:lvlText w:val="(%1)"/>
      <w:lvlJc w:val="left"/>
      <w:pPr>
        <w:ind w:left="1080" w:hanging="720"/>
      </w:pPr>
      <w:rPr>
        <w:rFonts w:hint="default"/>
      </w:rPr>
    </w:lvl>
    <w:lvl w:ilvl="1" w:tplc="27DC9348" w:tentative="1">
      <w:start w:val="1"/>
      <w:numFmt w:val="lowerLetter"/>
      <w:lvlText w:val="%2."/>
      <w:lvlJc w:val="left"/>
      <w:pPr>
        <w:ind w:left="1440" w:hanging="360"/>
      </w:pPr>
    </w:lvl>
    <w:lvl w:ilvl="2" w:tplc="C2E44896" w:tentative="1">
      <w:start w:val="1"/>
      <w:numFmt w:val="lowerRoman"/>
      <w:lvlText w:val="%3."/>
      <w:lvlJc w:val="right"/>
      <w:pPr>
        <w:ind w:left="2160" w:hanging="180"/>
      </w:pPr>
    </w:lvl>
    <w:lvl w:ilvl="3" w:tplc="0E10E8BE" w:tentative="1">
      <w:start w:val="1"/>
      <w:numFmt w:val="decimal"/>
      <w:lvlText w:val="%4."/>
      <w:lvlJc w:val="left"/>
      <w:pPr>
        <w:ind w:left="2880" w:hanging="360"/>
      </w:pPr>
    </w:lvl>
    <w:lvl w:ilvl="4" w:tplc="50B0DAD0" w:tentative="1">
      <w:start w:val="1"/>
      <w:numFmt w:val="lowerLetter"/>
      <w:lvlText w:val="%5."/>
      <w:lvlJc w:val="left"/>
      <w:pPr>
        <w:ind w:left="3600" w:hanging="360"/>
      </w:pPr>
    </w:lvl>
    <w:lvl w:ilvl="5" w:tplc="D610E1C0" w:tentative="1">
      <w:start w:val="1"/>
      <w:numFmt w:val="lowerRoman"/>
      <w:lvlText w:val="%6."/>
      <w:lvlJc w:val="right"/>
      <w:pPr>
        <w:ind w:left="4320" w:hanging="180"/>
      </w:pPr>
    </w:lvl>
    <w:lvl w:ilvl="6" w:tplc="3B1CEE76" w:tentative="1">
      <w:start w:val="1"/>
      <w:numFmt w:val="decimal"/>
      <w:lvlText w:val="%7."/>
      <w:lvlJc w:val="left"/>
      <w:pPr>
        <w:ind w:left="5040" w:hanging="360"/>
      </w:pPr>
    </w:lvl>
    <w:lvl w:ilvl="7" w:tplc="D386701C" w:tentative="1">
      <w:start w:val="1"/>
      <w:numFmt w:val="lowerLetter"/>
      <w:lvlText w:val="%8."/>
      <w:lvlJc w:val="left"/>
      <w:pPr>
        <w:ind w:left="5760" w:hanging="360"/>
      </w:pPr>
    </w:lvl>
    <w:lvl w:ilvl="8" w:tplc="69D0A7FA" w:tentative="1">
      <w:start w:val="1"/>
      <w:numFmt w:val="lowerRoman"/>
      <w:lvlText w:val="%9."/>
      <w:lvlJc w:val="right"/>
      <w:pPr>
        <w:ind w:left="6480" w:hanging="180"/>
      </w:pPr>
    </w:lvl>
  </w:abstractNum>
  <w:abstractNum w:abstractNumId="29" w15:restartNumberingAfterBreak="0">
    <w:nsid w:val="764B5B03"/>
    <w:multiLevelType w:val="hybridMultilevel"/>
    <w:tmpl w:val="0E564588"/>
    <w:lvl w:ilvl="0" w:tplc="6FF47782">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29"/>
  </w:num>
  <w:num w:numId="4">
    <w:abstractNumId w:val="29"/>
  </w:num>
  <w:num w:numId="5">
    <w:abstractNumId w:val="29"/>
  </w:num>
  <w:num w:numId="6">
    <w:abstractNumId w:val="29"/>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18"/>
  </w:num>
  <w:num w:numId="14">
    <w:abstractNumId w:val="22"/>
  </w:num>
  <w:num w:numId="15">
    <w:abstractNumId w:val="29"/>
  </w:num>
  <w:num w:numId="16">
    <w:abstractNumId w:val="18"/>
  </w:num>
  <w:num w:numId="17">
    <w:abstractNumId w:val="22"/>
  </w:num>
  <w:num w:numId="18">
    <w:abstractNumId w:val="29"/>
  </w:num>
  <w:num w:numId="19">
    <w:abstractNumId w:val="18"/>
  </w:num>
  <w:num w:numId="20">
    <w:abstractNumId w:val="22"/>
  </w:num>
  <w:num w:numId="21">
    <w:abstractNumId w:val="29"/>
  </w:num>
  <w:num w:numId="22">
    <w:abstractNumId w:val="26"/>
  </w:num>
  <w:num w:numId="23">
    <w:abstractNumId w:val="28"/>
  </w:num>
  <w:num w:numId="24">
    <w:abstractNumId w:val="21"/>
  </w:num>
  <w:num w:numId="25">
    <w:abstractNumId w:val="17"/>
  </w:num>
  <w:num w:numId="2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4"/>
  </w:num>
  <w:num w:numId="29">
    <w:abstractNumId w:val="14"/>
  </w:num>
  <w:num w:numId="30">
    <w:abstractNumId w:val="13"/>
  </w:num>
  <w:num w:numId="31">
    <w:abstractNumId w:val="20"/>
  </w:num>
  <w:num w:numId="32">
    <w:abstractNumId w:val="15"/>
  </w:num>
  <w:num w:numId="33">
    <w:abstractNumId w:val="25"/>
  </w:num>
  <w:num w:numId="34">
    <w:abstractNumId w:val="10"/>
  </w:num>
  <w:num w:numId="35">
    <w:abstractNumId w:val="23"/>
  </w:num>
  <w:num w:numId="36">
    <w:abstractNumId w:val="27"/>
  </w:num>
  <w:num w:numId="37">
    <w:abstractNumId w:val="1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num>
  <w:num w:numId="41">
    <w:abstractNumId w:val="12"/>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8"/>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57"/>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FE"/>
    <w:rsid w:val="00000C98"/>
    <w:rsid w:val="00001FFF"/>
    <w:rsid w:val="00002B62"/>
    <w:rsid w:val="000042DB"/>
    <w:rsid w:val="00006A70"/>
    <w:rsid w:val="00006C0E"/>
    <w:rsid w:val="00010335"/>
    <w:rsid w:val="0001070F"/>
    <w:rsid w:val="00012F70"/>
    <w:rsid w:val="0001315C"/>
    <w:rsid w:val="00014834"/>
    <w:rsid w:val="0001589D"/>
    <w:rsid w:val="000170DA"/>
    <w:rsid w:val="00017B14"/>
    <w:rsid w:val="00017DB7"/>
    <w:rsid w:val="00021071"/>
    <w:rsid w:val="00021BF4"/>
    <w:rsid w:val="0002272C"/>
    <w:rsid w:val="00031DF7"/>
    <w:rsid w:val="00031F33"/>
    <w:rsid w:val="00032065"/>
    <w:rsid w:val="00032836"/>
    <w:rsid w:val="0003475B"/>
    <w:rsid w:val="00035A22"/>
    <w:rsid w:val="0003771E"/>
    <w:rsid w:val="0003782C"/>
    <w:rsid w:val="00037BF9"/>
    <w:rsid w:val="00040CC5"/>
    <w:rsid w:val="00040D87"/>
    <w:rsid w:val="00040EDF"/>
    <w:rsid w:val="00042AE2"/>
    <w:rsid w:val="00044DA7"/>
    <w:rsid w:val="000453ED"/>
    <w:rsid w:val="000469E5"/>
    <w:rsid w:val="000508E9"/>
    <w:rsid w:val="00050B13"/>
    <w:rsid w:val="0005479D"/>
    <w:rsid w:val="00054E8A"/>
    <w:rsid w:val="0006185C"/>
    <w:rsid w:val="00062097"/>
    <w:rsid w:val="00062310"/>
    <w:rsid w:val="00062324"/>
    <w:rsid w:val="000625CA"/>
    <w:rsid w:val="00062D89"/>
    <w:rsid w:val="0006371E"/>
    <w:rsid w:val="00065971"/>
    <w:rsid w:val="00065D86"/>
    <w:rsid w:val="00065FF6"/>
    <w:rsid w:val="000669BE"/>
    <w:rsid w:val="00066C4E"/>
    <w:rsid w:val="000713C6"/>
    <w:rsid w:val="00074C89"/>
    <w:rsid w:val="000758B9"/>
    <w:rsid w:val="00075939"/>
    <w:rsid w:val="00076A21"/>
    <w:rsid w:val="000811B6"/>
    <w:rsid w:val="00081CF0"/>
    <w:rsid w:val="000845D9"/>
    <w:rsid w:val="00085761"/>
    <w:rsid w:val="00085781"/>
    <w:rsid w:val="00087931"/>
    <w:rsid w:val="00092971"/>
    <w:rsid w:val="0009576D"/>
    <w:rsid w:val="00097528"/>
    <w:rsid w:val="000A1A69"/>
    <w:rsid w:val="000A235F"/>
    <w:rsid w:val="000A2B5B"/>
    <w:rsid w:val="000A6C7A"/>
    <w:rsid w:val="000B0E50"/>
    <w:rsid w:val="000B0E7E"/>
    <w:rsid w:val="000B1994"/>
    <w:rsid w:val="000B22C3"/>
    <w:rsid w:val="000B2361"/>
    <w:rsid w:val="000B2922"/>
    <w:rsid w:val="000B29C9"/>
    <w:rsid w:val="000B2D97"/>
    <w:rsid w:val="000B2EEC"/>
    <w:rsid w:val="000B348A"/>
    <w:rsid w:val="000B3732"/>
    <w:rsid w:val="000B4666"/>
    <w:rsid w:val="000B4DC1"/>
    <w:rsid w:val="000B4E87"/>
    <w:rsid w:val="000B545B"/>
    <w:rsid w:val="000B7847"/>
    <w:rsid w:val="000C092F"/>
    <w:rsid w:val="000C0E75"/>
    <w:rsid w:val="000C102B"/>
    <w:rsid w:val="000C26EB"/>
    <w:rsid w:val="000C4888"/>
    <w:rsid w:val="000C542E"/>
    <w:rsid w:val="000C571C"/>
    <w:rsid w:val="000C6829"/>
    <w:rsid w:val="000D0CF9"/>
    <w:rsid w:val="000D11B6"/>
    <w:rsid w:val="000D27DA"/>
    <w:rsid w:val="000D2B8F"/>
    <w:rsid w:val="000D3832"/>
    <w:rsid w:val="000D7AAB"/>
    <w:rsid w:val="000E2842"/>
    <w:rsid w:val="000E370A"/>
    <w:rsid w:val="000E50A5"/>
    <w:rsid w:val="000E538A"/>
    <w:rsid w:val="000E58C4"/>
    <w:rsid w:val="000E65F5"/>
    <w:rsid w:val="000E76C9"/>
    <w:rsid w:val="000E7C07"/>
    <w:rsid w:val="000F0830"/>
    <w:rsid w:val="000F1133"/>
    <w:rsid w:val="000F3B1B"/>
    <w:rsid w:val="000F4568"/>
    <w:rsid w:val="000F4D7B"/>
    <w:rsid w:val="000F5233"/>
    <w:rsid w:val="000F5309"/>
    <w:rsid w:val="000F564C"/>
    <w:rsid w:val="000F6A32"/>
    <w:rsid w:val="00102DB8"/>
    <w:rsid w:val="0010501D"/>
    <w:rsid w:val="00105CE6"/>
    <w:rsid w:val="00105D87"/>
    <w:rsid w:val="0011018C"/>
    <w:rsid w:val="00110195"/>
    <w:rsid w:val="00110350"/>
    <w:rsid w:val="00111997"/>
    <w:rsid w:val="00111CEC"/>
    <w:rsid w:val="0011217A"/>
    <w:rsid w:val="00113751"/>
    <w:rsid w:val="00113765"/>
    <w:rsid w:val="0011436C"/>
    <w:rsid w:val="00114FAA"/>
    <w:rsid w:val="001170BF"/>
    <w:rsid w:val="00117E5E"/>
    <w:rsid w:val="001214C4"/>
    <w:rsid w:val="001218A6"/>
    <w:rsid w:val="00123CF8"/>
    <w:rsid w:val="001247C2"/>
    <w:rsid w:val="00125327"/>
    <w:rsid w:val="00125B51"/>
    <w:rsid w:val="00125F0A"/>
    <w:rsid w:val="0012678B"/>
    <w:rsid w:val="001269FC"/>
    <w:rsid w:val="001270F4"/>
    <w:rsid w:val="00127848"/>
    <w:rsid w:val="001318B8"/>
    <w:rsid w:val="0013386B"/>
    <w:rsid w:val="00134186"/>
    <w:rsid w:val="00134695"/>
    <w:rsid w:val="00134D9F"/>
    <w:rsid w:val="00135158"/>
    <w:rsid w:val="00136222"/>
    <w:rsid w:val="00136643"/>
    <w:rsid w:val="00142D27"/>
    <w:rsid w:val="001431F1"/>
    <w:rsid w:val="00143C0E"/>
    <w:rsid w:val="00145731"/>
    <w:rsid w:val="001476F4"/>
    <w:rsid w:val="00153FCB"/>
    <w:rsid w:val="00154A5E"/>
    <w:rsid w:val="0015596A"/>
    <w:rsid w:val="001601EF"/>
    <w:rsid w:val="00160599"/>
    <w:rsid w:val="001617F7"/>
    <w:rsid w:val="00162013"/>
    <w:rsid w:val="00162977"/>
    <w:rsid w:val="00163EEA"/>
    <w:rsid w:val="001656AC"/>
    <w:rsid w:val="0016597F"/>
    <w:rsid w:val="00170142"/>
    <w:rsid w:val="0017064B"/>
    <w:rsid w:val="0017105D"/>
    <w:rsid w:val="00171E6E"/>
    <w:rsid w:val="0017333C"/>
    <w:rsid w:val="00174340"/>
    <w:rsid w:val="0017453D"/>
    <w:rsid w:val="0017592F"/>
    <w:rsid w:val="00176160"/>
    <w:rsid w:val="00176598"/>
    <w:rsid w:val="00176891"/>
    <w:rsid w:val="00180D27"/>
    <w:rsid w:val="00180D83"/>
    <w:rsid w:val="00181CB4"/>
    <w:rsid w:val="00182565"/>
    <w:rsid w:val="00182B51"/>
    <w:rsid w:val="00184E08"/>
    <w:rsid w:val="0019142D"/>
    <w:rsid w:val="001919EB"/>
    <w:rsid w:val="00191FF6"/>
    <w:rsid w:val="00196206"/>
    <w:rsid w:val="00196246"/>
    <w:rsid w:val="00197126"/>
    <w:rsid w:val="001A235A"/>
    <w:rsid w:val="001A4E41"/>
    <w:rsid w:val="001A5630"/>
    <w:rsid w:val="001A7136"/>
    <w:rsid w:val="001A778A"/>
    <w:rsid w:val="001A7CDF"/>
    <w:rsid w:val="001B053F"/>
    <w:rsid w:val="001B09BD"/>
    <w:rsid w:val="001B16AB"/>
    <w:rsid w:val="001B2962"/>
    <w:rsid w:val="001B4C8D"/>
    <w:rsid w:val="001B6A20"/>
    <w:rsid w:val="001B7598"/>
    <w:rsid w:val="001B78A2"/>
    <w:rsid w:val="001B7E04"/>
    <w:rsid w:val="001C0E26"/>
    <w:rsid w:val="001C1173"/>
    <w:rsid w:val="001C2362"/>
    <w:rsid w:val="001C2BA9"/>
    <w:rsid w:val="001C3301"/>
    <w:rsid w:val="001C3A3E"/>
    <w:rsid w:val="001C4EE1"/>
    <w:rsid w:val="001C6950"/>
    <w:rsid w:val="001D1AF7"/>
    <w:rsid w:val="001D1CAC"/>
    <w:rsid w:val="001D25C5"/>
    <w:rsid w:val="001D3EA8"/>
    <w:rsid w:val="001D3F2E"/>
    <w:rsid w:val="001D4CE8"/>
    <w:rsid w:val="001D5278"/>
    <w:rsid w:val="001D5BC1"/>
    <w:rsid w:val="001D61DA"/>
    <w:rsid w:val="001D646F"/>
    <w:rsid w:val="001D64C0"/>
    <w:rsid w:val="001D6AFA"/>
    <w:rsid w:val="001D76E8"/>
    <w:rsid w:val="001E0B5D"/>
    <w:rsid w:val="001E1BC1"/>
    <w:rsid w:val="001E1E00"/>
    <w:rsid w:val="001E2550"/>
    <w:rsid w:val="001E300A"/>
    <w:rsid w:val="001E357E"/>
    <w:rsid w:val="001E3E17"/>
    <w:rsid w:val="001E530D"/>
    <w:rsid w:val="001E6A03"/>
    <w:rsid w:val="001E7AD4"/>
    <w:rsid w:val="001F4AA1"/>
    <w:rsid w:val="00205654"/>
    <w:rsid w:val="00211FB4"/>
    <w:rsid w:val="0021356F"/>
    <w:rsid w:val="00213B63"/>
    <w:rsid w:val="00213B6C"/>
    <w:rsid w:val="00214161"/>
    <w:rsid w:val="002142E4"/>
    <w:rsid w:val="00214A7F"/>
    <w:rsid w:val="002156A7"/>
    <w:rsid w:val="00215B62"/>
    <w:rsid w:val="00216798"/>
    <w:rsid w:val="0021709B"/>
    <w:rsid w:val="00221233"/>
    <w:rsid w:val="00221708"/>
    <w:rsid w:val="002228D3"/>
    <w:rsid w:val="00222BE9"/>
    <w:rsid w:val="00223FBD"/>
    <w:rsid w:val="002245D8"/>
    <w:rsid w:val="00226125"/>
    <w:rsid w:val="00226DCA"/>
    <w:rsid w:val="00226F5A"/>
    <w:rsid w:val="00230395"/>
    <w:rsid w:val="00231192"/>
    <w:rsid w:val="002326AF"/>
    <w:rsid w:val="00232BEC"/>
    <w:rsid w:val="00233DF2"/>
    <w:rsid w:val="00234F6D"/>
    <w:rsid w:val="00235C96"/>
    <w:rsid w:val="00235E84"/>
    <w:rsid w:val="00235F26"/>
    <w:rsid w:val="00235F94"/>
    <w:rsid w:val="00236CE0"/>
    <w:rsid w:val="002378AB"/>
    <w:rsid w:val="00240481"/>
    <w:rsid w:val="00240680"/>
    <w:rsid w:val="002412A3"/>
    <w:rsid w:val="00242E24"/>
    <w:rsid w:val="00243311"/>
    <w:rsid w:val="002447A3"/>
    <w:rsid w:val="002448D0"/>
    <w:rsid w:val="00245C83"/>
    <w:rsid w:val="00250187"/>
    <w:rsid w:val="0025118E"/>
    <w:rsid w:val="002511A5"/>
    <w:rsid w:val="00251DD4"/>
    <w:rsid w:val="00254794"/>
    <w:rsid w:val="00255DF5"/>
    <w:rsid w:val="00256545"/>
    <w:rsid w:val="00261E69"/>
    <w:rsid w:val="00262FFF"/>
    <w:rsid w:val="00264A87"/>
    <w:rsid w:val="00266584"/>
    <w:rsid w:val="0026752B"/>
    <w:rsid w:val="002714A9"/>
    <w:rsid w:val="0027178F"/>
    <w:rsid w:val="0027361D"/>
    <w:rsid w:val="002738CB"/>
    <w:rsid w:val="0027413F"/>
    <w:rsid w:val="00277807"/>
    <w:rsid w:val="002801F6"/>
    <w:rsid w:val="00280BAB"/>
    <w:rsid w:val="00281640"/>
    <w:rsid w:val="0028179C"/>
    <w:rsid w:val="00282B6B"/>
    <w:rsid w:val="002835C2"/>
    <w:rsid w:val="0028721D"/>
    <w:rsid w:val="00290A0D"/>
    <w:rsid w:val="002913FC"/>
    <w:rsid w:val="0029163E"/>
    <w:rsid w:val="00291B14"/>
    <w:rsid w:val="002A27C8"/>
    <w:rsid w:val="002A2AD7"/>
    <w:rsid w:val="002A2FFD"/>
    <w:rsid w:val="002A3383"/>
    <w:rsid w:val="002B0220"/>
    <w:rsid w:val="002B2288"/>
    <w:rsid w:val="002B4431"/>
    <w:rsid w:val="002B44AF"/>
    <w:rsid w:val="002B473C"/>
    <w:rsid w:val="002B4C07"/>
    <w:rsid w:val="002B4EE3"/>
    <w:rsid w:val="002C09D4"/>
    <w:rsid w:val="002C106A"/>
    <w:rsid w:val="002C2535"/>
    <w:rsid w:val="002C380E"/>
    <w:rsid w:val="002C484A"/>
    <w:rsid w:val="002C5FFC"/>
    <w:rsid w:val="002D1713"/>
    <w:rsid w:val="002D23B7"/>
    <w:rsid w:val="002D35E4"/>
    <w:rsid w:val="002D3ECC"/>
    <w:rsid w:val="002D447D"/>
    <w:rsid w:val="002E0BDD"/>
    <w:rsid w:val="002E2F0F"/>
    <w:rsid w:val="002E305E"/>
    <w:rsid w:val="002E3D13"/>
    <w:rsid w:val="002E3EF3"/>
    <w:rsid w:val="002E5826"/>
    <w:rsid w:val="002E5C92"/>
    <w:rsid w:val="002E7273"/>
    <w:rsid w:val="002F0BA5"/>
    <w:rsid w:val="002F0F17"/>
    <w:rsid w:val="002F1F4C"/>
    <w:rsid w:val="002F3AF3"/>
    <w:rsid w:val="002F4560"/>
    <w:rsid w:val="002F707B"/>
    <w:rsid w:val="00300851"/>
    <w:rsid w:val="00301736"/>
    <w:rsid w:val="00302DDF"/>
    <w:rsid w:val="00306D69"/>
    <w:rsid w:val="00307F07"/>
    <w:rsid w:val="003100CE"/>
    <w:rsid w:val="00311B98"/>
    <w:rsid w:val="003126BB"/>
    <w:rsid w:val="003133A5"/>
    <w:rsid w:val="00313409"/>
    <w:rsid w:val="00315F5E"/>
    <w:rsid w:val="003162B4"/>
    <w:rsid w:val="0031698F"/>
    <w:rsid w:val="00316B47"/>
    <w:rsid w:val="00317937"/>
    <w:rsid w:val="00317AF0"/>
    <w:rsid w:val="00317BBD"/>
    <w:rsid w:val="00320C74"/>
    <w:rsid w:val="00321DE5"/>
    <w:rsid w:val="00322250"/>
    <w:rsid w:val="0032274C"/>
    <w:rsid w:val="00322964"/>
    <w:rsid w:val="00325CC8"/>
    <w:rsid w:val="003263BE"/>
    <w:rsid w:val="00326D8B"/>
    <w:rsid w:val="00327272"/>
    <w:rsid w:val="00327BBC"/>
    <w:rsid w:val="0033105C"/>
    <w:rsid w:val="0033128E"/>
    <w:rsid w:val="00331506"/>
    <w:rsid w:val="00331790"/>
    <w:rsid w:val="00332D19"/>
    <w:rsid w:val="003355E8"/>
    <w:rsid w:val="00336AD3"/>
    <w:rsid w:val="0034332C"/>
    <w:rsid w:val="003448B8"/>
    <w:rsid w:val="003466F8"/>
    <w:rsid w:val="00346BE6"/>
    <w:rsid w:val="00347201"/>
    <w:rsid w:val="00347AF3"/>
    <w:rsid w:val="003502E5"/>
    <w:rsid w:val="00352442"/>
    <w:rsid w:val="003530CF"/>
    <w:rsid w:val="0035344B"/>
    <w:rsid w:val="003545C6"/>
    <w:rsid w:val="00355414"/>
    <w:rsid w:val="003554D9"/>
    <w:rsid w:val="00355CDA"/>
    <w:rsid w:val="00356AF1"/>
    <w:rsid w:val="003601F1"/>
    <w:rsid w:val="003620F9"/>
    <w:rsid w:val="003628E7"/>
    <w:rsid w:val="003629C7"/>
    <w:rsid w:val="00363030"/>
    <w:rsid w:val="003652AC"/>
    <w:rsid w:val="00365773"/>
    <w:rsid w:val="00365DDD"/>
    <w:rsid w:val="003667F8"/>
    <w:rsid w:val="00366EB9"/>
    <w:rsid w:val="00370817"/>
    <w:rsid w:val="00370D14"/>
    <w:rsid w:val="00371A8C"/>
    <w:rsid w:val="00375814"/>
    <w:rsid w:val="00375A60"/>
    <w:rsid w:val="00376E45"/>
    <w:rsid w:val="0037727B"/>
    <w:rsid w:val="0037743A"/>
    <w:rsid w:val="003808E5"/>
    <w:rsid w:val="00380FC7"/>
    <w:rsid w:val="003822E1"/>
    <w:rsid w:val="003846BC"/>
    <w:rsid w:val="00384BD8"/>
    <w:rsid w:val="003855B4"/>
    <w:rsid w:val="00385CB7"/>
    <w:rsid w:val="00386168"/>
    <w:rsid w:val="00386C78"/>
    <w:rsid w:val="00393DB0"/>
    <w:rsid w:val="00394A27"/>
    <w:rsid w:val="00396106"/>
    <w:rsid w:val="00397039"/>
    <w:rsid w:val="003973B6"/>
    <w:rsid w:val="0039785D"/>
    <w:rsid w:val="00397BE4"/>
    <w:rsid w:val="003A0237"/>
    <w:rsid w:val="003A067F"/>
    <w:rsid w:val="003A0DD0"/>
    <w:rsid w:val="003A26E8"/>
    <w:rsid w:val="003A2704"/>
    <w:rsid w:val="003A27E0"/>
    <w:rsid w:val="003A285C"/>
    <w:rsid w:val="003A3B37"/>
    <w:rsid w:val="003A74A0"/>
    <w:rsid w:val="003B1789"/>
    <w:rsid w:val="003B1833"/>
    <w:rsid w:val="003B24F7"/>
    <w:rsid w:val="003B299C"/>
    <w:rsid w:val="003B3460"/>
    <w:rsid w:val="003B3551"/>
    <w:rsid w:val="003B42BB"/>
    <w:rsid w:val="003B5029"/>
    <w:rsid w:val="003B6A41"/>
    <w:rsid w:val="003C0ECD"/>
    <w:rsid w:val="003C0F6F"/>
    <w:rsid w:val="003C3044"/>
    <w:rsid w:val="003C355C"/>
    <w:rsid w:val="003C39EB"/>
    <w:rsid w:val="003C6A4F"/>
    <w:rsid w:val="003C6CE9"/>
    <w:rsid w:val="003C76D0"/>
    <w:rsid w:val="003D0027"/>
    <w:rsid w:val="003D139D"/>
    <w:rsid w:val="003D1712"/>
    <w:rsid w:val="003D18FF"/>
    <w:rsid w:val="003D2910"/>
    <w:rsid w:val="003D439A"/>
    <w:rsid w:val="003D55F8"/>
    <w:rsid w:val="003D65A3"/>
    <w:rsid w:val="003D7C88"/>
    <w:rsid w:val="003D7C8C"/>
    <w:rsid w:val="003E0363"/>
    <w:rsid w:val="003E08F8"/>
    <w:rsid w:val="003E2A22"/>
    <w:rsid w:val="003E437F"/>
    <w:rsid w:val="003E4BFC"/>
    <w:rsid w:val="003E54C7"/>
    <w:rsid w:val="003E5BC5"/>
    <w:rsid w:val="003E64BA"/>
    <w:rsid w:val="003F01EC"/>
    <w:rsid w:val="003F0EAE"/>
    <w:rsid w:val="003F13C7"/>
    <w:rsid w:val="003F3829"/>
    <w:rsid w:val="003F3975"/>
    <w:rsid w:val="003F7FE0"/>
    <w:rsid w:val="00400559"/>
    <w:rsid w:val="00400D67"/>
    <w:rsid w:val="00401263"/>
    <w:rsid w:val="00402318"/>
    <w:rsid w:val="00404DF1"/>
    <w:rsid w:val="00405A79"/>
    <w:rsid w:val="00405D6C"/>
    <w:rsid w:val="00406081"/>
    <w:rsid w:val="00406518"/>
    <w:rsid w:val="00407526"/>
    <w:rsid w:val="004075E8"/>
    <w:rsid w:val="004116B6"/>
    <w:rsid w:val="004117E8"/>
    <w:rsid w:val="00413BFC"/>
    <w:rsid w:val="00414B20"/>
    <w:rsid w:val="004207B3"/>
    <w:rsid w:val="00425158"/>
    <w:rsid w:val="0042575B"/>
    <w:rsid w:val="00425A27"/>
    <w:rsid w:val="0043010C"/>
    <w:rsid w:val="00430666"/>
    <w:rsid w:val="00430983"/>
    <w:rsid w:val="00431026"/>
    <w:rsid w:val="00432610"/>
    <w:rsid w:val="00432787"/>
    <w:rsid w:val="004334EC"/>
    <w:rsid w:val="00433988"/>
    <w:rsid w:val="00433D24"/>
    <w:rsid w:val="004409A0"/>
    <w:rsid w:val="0044325F"/>
    <w:rsid w:val="004459C7"/>
    <w:rsid w:val="00445C20"/>
    <w:rsid w:val="004462D1"/>
    <w:rsid w:val="004479D5"/>
    <w:rsid w:val="00451B07"/>
    <w:rsid w:val="00452237"/>
    <w:rsid w:val="004533A8"/>
    <w:rsid w:val="0045385F"/>
    <w:rsid w:val="00454032"/>
    <w:rsid w:val="004543AA"/>
    <w:rsid w:val="0045563C"/>
    <w:rsid w:val="004567BA"/>
    <w:rsid w:val="004568CF"/>
    <w:rsid w:val="0045764E"/>
    <w:rsid w:val="00457754"/>
    <w:rsid w:val="00460E27"/>
    <w:rsid w:val="0046129E"/>
    <w:rsid w:val="00463B64"/>
    <w:rsid w:val="00465089"/>
    <w:rsid w:val="004657FE"/>
    <w:rsid w:val="004669F8"/>
    <w:rsid w:val="00466B35"/>
    <w:rsid w:val="00466E01"/>
    <w:rsid w:val="004708E0"/>
    <w:rsid w:val="00470EF2"/>
    <w:rsid w:val="00472008"/>
    <w:rsid w:val="0047371B"/>
    <w:rsid w:val="004756D5"/>
    <w:rsid w:val="00475D5D"/>
    <w:rsid w:val="004761F4"/>
    <w:rsid w:val="004767AE"/>
    <w:rsid w:val="00480BD5"/>
    <w:rsid w:val="0048103D"/>
    <w:rsid w:val="00481D2F"/>
    <w:rsid w:val="00482C89"/>
    <w:rsid w:val="00482DE9"/>
    <w:rsid w:val="0048329E"/>
    <w:rsid w:val="00483C4A"/>
    <w:rsid w:val="00485A1E"/>
    <w:rsid w:val="004866CD"/>
    <w:rsid w:val="00486965"/>
    <w:rsid w:val="00486FC5"/>
    <w:rsid w:val="004903FF"/>
    <w:rsid w:val="00490747"/>
    <w:rsid w:val="004911D3"/>
    <w:rsid w:val="00491B3A"/>
    <w:rsid w:val="00492C28"/>
    <w:rsid w:val="0049379E"/>
    <w:rsid w:val="00494101"/>
    <w:rsid w:val="00494FBB"/>
    <w:rsid w:val="00497097"/>
    <w:rsid w:val="0049749E"/>
    <w:rsid w:val="00497A12"/>
    <w:rsid w:val="004A08D4"/>
    <w:rsid w:val="004A11EA"/>
    <w:rsid w:val="004A13A0"/>
    <w:rsid w:val="004A1676"/>
    <w:rsid w:val="004A16CC"/>
    <w:rsid w:val="004A4033"/>
    <w:rsid w:val="004A52FA"/>
    <w:rsid w:val="004A579F"/>
    <w:rsid w:val="004A5F9B"/>
    <w:rsid w:val="004A63BA"/>
    <w:rsid w:val="004A703B"/>
    <w:rsid w:val="004B1359"/>
    <w:rsid w:val="004B22F7"/>
    <w:rsid w:val="004B2B68"/>
    <w:rsid w:val="004B2D88"/>
    <w:rsid w:val="004B2F3D"/>
    <w:rsid w:val="004B3316"/>
    <w:rsid w:val="004B401B"/>
    <w:rsid w:val="004B5122"/>
    <w:rsid w:val="004B77F7"/>
    <w:rsid w:val="004C0B0F"/>
    <w:rsid w:val="004C1395"/>
    <w:rsid w:val="004C2335"/>
    <w:rsid w:val="004C3E77"/>
    <w:rsid w:val="004C4D0A"/>
    <w:rsid w:val="004C6117"/>
    <w:rsid w:val="004C68AF"/>
    <w:rsid w:val="004C6B11"/>
    <w:rsid w:val="004C71C6"/>
    <w:rsid w:val="004D06A0"/>
    <w:rsid w:val="004D15CD"/>
    <w:rsid w:val="004D1EDD"/>
    <w:rsid w:val="004D1F0A"/>
    <w:rsid w:val="004D3A59"/>
    <w:rsid w:val="004D5C7A"/>
    <w:rsid w:val="004D6613"/>
    <w:rsid w:val="004D7B51"/>
    <w:rsid w:val="004E0D22"/>
    <w:rsid w:val="004E1F27"/>
    <w:rsid w:val="004E2F90"/>
    <w:rsid w:val="004E4021"/>
    <w:rsid w:val="004E52CA"/>
    <w:rsid w:val="004E5822"/>
    <w:rsid w:val="004E7EA2"/>
    <w:rsid w:val="004F1DEB"/>
    <w:rsid w:val="004F327F"/>
    <w:rsid w:val="004F3ADB"/>
    <w:rsid w:val="004F3B2B"/>
    <w:rsid w:val="004F5CB5"/>
    <w:rsid w:val="004F6802"/>
    <w:rsid w:val="004F6F50"/>
    <w:rsid w:val="004F73E9"/>
    <w:rsid w:val="004F79B8"/>
    <w:rsid w:val="004F7F5D"/>
    <w:rsid w:val="00500089"/>
    <w:rsid w:val="00500438"/>
    <w:rsid w:val="0050266D"/>
    <w:rsid w:val="0050398F"/>
    <w:rsid w:val="00505CD7"/>
    <w:rsid w:val="005068E7"/>
    <w:rsid w:val="00510078"/>
    <w:rsid w:val="005109DA"/>
    <w:rsid w:val="00510AB6"/>
    <w:rsid w:val="005112D0"/>
    <w:rsid w:val="005123B4"/>
    <w:rsid w:val="0051503C"/>
    <w:rsid w:val="0051571B"/>
    <w:rsid w:val="00515F07"/>
    <w:rsid w:val="00516F7C"/>
    <w:rsid w:val="0051732F"/>
    <w:rsid w:val="005207ED"/>
    <w:rsid w:val="00520AB5"/>
    <w:rsid w:val="00522457"/>
    <w:rsid w:val="005227D4"/>
    <w:rsid w:val="00522E02"/>
    <w:rsid w:val="00523BE7"/>
    <w:rsid w:val="00525BE1"/>
    <w:rsid w:val="00527357"/>
    <w:rsid w:val="0053029F"/>
    <w:rsid w:val="005303CA"/>
    <w:rsid w:val="00530AA8"/>
    <w:rsid w:val="005315FA"/>
    <w:rsid w:val="005321FE"/>
    <w:rsid w:val="00533656"/>
    <w:rsid w:val="00533F98"/>
    <w:rsid w:val="00535B59"/>
    <w:rsid w:val="00536229"/>
    <w:rsid w:val="005365D3"/>
    <w:rsid w:val="00536A38"/>
    <w:rsid w:val="0053786E"/>
    <w:rsid w:val="00542A79"/>
    <w:rsid w:val="005439C2"/>
    <w:rsid w:val="00544239"/>
    <w:rsid w:val="00544965"/>
    <w:rsid w:val="00544A97"/>
    <w:rsid w:val="005479DC"/>
    <w:rsid w:val="00550070"/>
    <w:rsid w:val="00551213"/>
    <w:rsid w:val="00552E46"/>
    <w:rsid w:val="00554846"/>
    <w:rsid w:val="00557327"/>
    <w:rsid w:val="00557A7B"/>
    <w:rsid w:val="00561259"/>
    <w:rsid w:val="00561274"/>
    <w:rsid w:val="0056309D"/>
    <w:rsid w:val="00563CB3"/>
    <w:rsid w:val="00565727"/>
    <w:rsid w:val="0056628E"/>
    <w:rsid w:val="005662DE"/>
    <w:rsid w:val="005702FA"/>
    <w:rsid w:val="0057031C"/>
    <w:rsid w:val="00570B8D"/>
    <w:rsid w:val="00571270"/>
    <w:rsid w:val="005773D4"/>
    <w:rsid w:val="005775B4"/>
    <w:rsid w:val="005803CD"/>
    <w:rsid w:val="005806E9"/>
    <w:rsid w:val="00581172"/>
    <w:rsid w:val="005868F1"/>
    <w:rsid w:val="00586E16"/>
    <w:rsid w:val="0058727C"/>
    <w:rsid w:val="00591815"/>
    <w:rsid w:val="00591A31"/>
    <w:rsid w:val="00592463"/>
    <w:rsid w:val="005935A4"/>
    <w:rsid w:val="00595DA1"/>
    <w:rsid w:val="00595FA4"/>
    <w:rsid w:val="005966C7"/>
    <w:rsid w:val="005966F1"/>
    <w:rsid w:val="005A0551"/>
    <w:rsid w:val="005A08D8"/>
    <w:rsid w:val="005A0907"/>
    <w:rsid w:val="005A11CD"/>
    <w:rsid w:val="005A4C7F"/>
    <w:rsid w:val="005A5C40"/>
    <w:rsid w:val="005A686A"/>
    <w:rsid w:val="005B15EB"/>
    <w:rsid w:val="005B1EF0"/>
    <w:rsid w:val="005B2D19"/>
    <w:rsid w:val="005B4285"/>
    <w:rsid w:val="005B5466"/>
    <w:rsid w:val="005B5ACB"/>
    <w:rsid w:val="005B68C8"/>
    <w:rsid w:val="005C078B"/>
    <w:rsid w:val="005C3799"/>
    <w:rsid w:val="005C4779"/>
    <w:rsid w:val="005C6B23"/>
    <w:rsid w:val="005C6BD8"/>
    <w:rsid w:val="005C7833"/>
    <w:rsid w:val="005C7EE2"/>
    <w:rsid w:val="005D1AC4"/>
    <w:rsid w:val="005D3CDD"/>
    <w:rsid w:val="005D407F"/>
    <w:rsid w:val="005D52DC"/>
    <w:rsid w:val="005D60E2"/>
    <w:rsid w:val="005D7AE7"/>
    <w:rsid w:val="005E354E"/>
    <w:rsid w:val="005E3E46"/>
    <w:rsid w:val="005E4AFB"/>
    <w:rsid w:val="005E5619"/>
    <w:rsid w:val="005E6895"/>
    <w:rsid w:val="005E68DA"/>
    <w:rsid w:val="005F1BFC"/>
    <w:rsid w:val="005F327D"/>
    <w:rsid w:val="005F331D"/>
    <w:rsid w:val="005F459C"/>
    <w:rsid w:val="005F4A4B"/>
    <w:rsid w:val="005F4AC3"/>
    <w:rsid w:val="005F65E6"/>
    <w:rsid w:val="00601C9B"/>
    <w:rsid w:val="0060294C"/>
    <w:rsid w:val="006038BB"/>
    <w:rsid w:val="00604758"/>
    <w:rsid w:val="00605BF0"/>
    <w:rsid w:val="0060631F"/>
    <w:rsid w:val="00606BEC"/>
    <w:rsid w:val="00607B61"/>
    <w:rsid w:val="00610065"/>
    <w:rsid w:val="006100EC"/>
    <w:rsid w:val="006108C8"/>
    <w:rsid w:val="0061240B"/>
    <w:rsid w:val="00614B21"/>
    <w:rsid w:val="0061709F"/>
    <w:rsid w:val="00620EB4"/>
    <w:rsid w:val="00622E9A"/>
    <w:rsid w:val="006230AA"/>
    <w:rsid w:val="00624D46"/>
    <w:rsid w:val="0062523B"/>
    <w:rsid w:val="0062612F"/>
    <w:rsid w:val="0062759B"/>
    <w:rsid w:val="00630609"/>
    <w:rsid w:val="00635B10"/>
    <w:rsid w:val="00635F18"/>
    <w:rsid w:val="00641718"/>
    <w:rsid w:val="00642034"/>
    <w:rsid w:val="00642304"/>
    <w:rsid w:val="006426A8"/>
    <w:rsid w:val="00642D5F"/>
    <w:rsid w:val="00644AD8"/>
    <w:rsid w:val="00645319"/>
    <w:rsid w:val="00645825"/>
    <w:rsid w:val="00650B40"/>
    <w:rsid w:val="006512D3"/>
    <w:rsid w:val="00652F54"/>
    <w:rsid w:val="006542DC"/>
    <w:rsid w:val="00654573"/>
    <w:rsid w:val="00654608"/>
    <w:rsid w:val="006553B6"/>
    <w:rsid w:val="0065608E"/>
    <w:rsid w:val="00656167"/>
    <w:rsid w:val="00656DCD"/>
    <w:rsid w:val="00666DB4"/>
    <w:rsid w:val="00667337"/>
    <w:rsid w:val="00667D60"/>
    <w:rsid w:val="006709F9"/>
    <w:rsid w:val="00671BB7"/>
    <w:rsid w:val="00672CB5"/>
    <w:rsid w:val="0067342E"/>
    <w:rsid w:val="00673D59"/>
    <w:rsid w:val="00674D13"/>
    <w:rsid w:val="0067603A"/>
    <w:rsid w:val="00676056"/>
    <w:rsid w:val="00676575"/>
    <w:rsid w:val="00676BD7"/>
    <w:rsid w:val="00676FF6"/>
    <w:rsid w:val="0067722C"/>
    <w:rsid w:val="00677427"/>
    <w:rsid w:val="00677B10"/>
    <w:rsid w:val="00677BB2"/>
    <w:rsid w:val="00677DF6"/>
    <w:rsid w:val="006807D6"/>
    <w:rsid w:val="00681143"/>
    <w:rsid w:val="006830CD"/>
    <w:rsid w:val="00684EC4"/>
    <w:rsid w:val="0068531F"/>
    <w:rsid w:val="00686263"/>
    <w:rsid w:val="00691D8E"/>
    <w:rsid w:val="00691E0C"/>
    <w:rsid w:val="0069271F"/>
    <w:rsid w:val="006928A7"/>
    <w:rsid w:val="00693703"/>
    <w:rsid w:val="00693900"/>
    <w:rsid w:val="00693D7A"/>
    <w:rsid w:val="00694C77"/>
    <w:rsid w:val="006954E8"/>
    <w:rsid w:val="006969EF"/>
    <w:rsid w:val="006977F4"/>
    <w:rsid w:val="006A040F"/>
    <w:rsid w:val="006A1DCD"/>
    <w:rsid w:val="006A21A8"/>
    <w:rsid w:val="006A29AE"/>
    <w:rsid w:val="006A2C67"/>
    <w:rsid w:val="006A2F31"/>
    <w:rsid w:val="006A32A1"/>
    <w:rsid w:val="006A374D"/>
    <w:rsid w:val="006A6584"/>
    <w:rsid w:val="006B10CD"/>
    <w:rsid w:val="006B279E"/>
    <w:rsid w:val="006B30BA"/>
    <w:rsid w:val="006B44D2"/>
    <w:rsid w:val="006B4740"/>
    <w:rsid w:val="006C10AC"/>
    <w:rsid w:val="006C16BC"/>
    <w:rsid w:val="006C24AA"/>
    <w:rsid w:val="006C2ABD"/>
    <w:rsid w:val="006C3035"/>
    <w:rsid w:val="006C3ADE"/>
    <w:rsid w:val="006C4851"/>
    <w:rsid w:val="006C5FBF"/>
    <w:rsid w:val="006C5FFF"/>
    <w:rsid w:val="006C6D2E"/>
    <w:rsid w:val="006C752E"/>
    <w:rsid w:val="006C75E0"/>
    <w:rsid w:val="006D0B17"/>
    <w:rsid w:val="006D142C"/>
    <w:rsid w:val="006D14C8"/>
    <w:rsid w:val="006D2F3B"/>
    <w:rsid w:val="006D38C7"/>
    <w:rsid w:val="006D3A29"/>
    <w:rsid w:val="006D5419"/>
    <w:rsid w:val="006D59F0"/>
    <w:rsid w:val="006D6DC6"/>
    <w:rsid w:val="006E0E68"/>
    <w:rsid w:val="006E2467"/>
    <w:rsid w:val="006E54AF"/>
    <w:rsid w:val="006F350C"/>
    <w:rsid w:val="006F3939"/>
    <w:rsid w:val="006F4A8E"/>
    <w:rsid w:val="00701036"/>
    <w:rsid w:val="00701E39"/>
    <w:rsid w:val="007022CE"/>
    <w:rsid w:val="00704EA0"/>
    <w:rsid w:val="00705831"/>
    <w:rsid w:val="0070638A"/>
    <w:rsid w:val="00710154"/>
    <w:rsid w:val="00712E90"/>
    <w:rsid w:val="007130E3"/>
    <w:rsid w:val="0071349F"/>
    <w:rsid w:val="007135BC"/>
    <w:rsid w:val="007136BC"/>
    <w:rsid w:val="007155E3"/>
    <w:rsid w:val="00715816"/>
    <w:rsid w:val="007165CD"/>
    <w:rsid w:val="00717081"/>
    <w:rsid w:val="00720FD6"/>
    <w:rsid w:val="007229F0"/>
    <w:rsid w:val="0072522B"/>
    <w:rsid w:val="00733737"/>
    <w:rsid w:val="007341E4"/>
    <w:rsid w:val="0073509E"/>
    <w:rsid w:val="007350AD"/>
    <w:rsid w:val="00735FE2"/>
    <w:rsid w:val="00743C22"/>
    <w:rsid w:val="00743D0D"/>
    <w:rsid w:val="00744087"/>
    <w:rsid w:val="00745AA8"/>
    <w:rsid w:val="00745D45"/>
    <w:rsid w:val="00747309"/>
    <w:rsid w:val="00750AD9"/>
    <w:rsid w:val="00751503"/>
    <w:rsid w:val="00761312"/>
    <w:rsid w:val="00761C69"/>
    <w:rsid w:val="007627E5"/>
    <w:rsid w:val="00763A43"/>
    <w:rsid w:val="00763C5D"/>
    <w:rsid w:val="00764540"/>
    <w:rsid w:val="00764710"/>
    <w:rsid w:val="0076474D"/>
    <w:rsid w:val="00764BCB"/>
    <w:rsid w:val="007660E4"/>
    <w:rsid w:val="00767F4F"/>
    <w:rsid w:val="007702BB"/>
    <w:rsid w:val="00772D7D"/>
    <w:rsid w:val="00772DBE"/>
    <w:rsid w:val="00775971"/>
    <w:rsid w:val="007773C1"/>
    <w:rsid w:val="007773FE"/>
    <w:rsid w:val="0078067A"/>
    <w:rsid w:val="00780A45"/>
    <w:rsid w:val="00781BA0"/>
    <w:rsid w:val="007823C4"/>
    <w:rsid w:val="00783A01"/>
    <w:rsid w:val="007851EE"/>
    <w:rsid w:val="00787BA3"/>
    <w:rsid w:val="00791459"/>
    <w:rsid w:val="0079189C"/>
    <w:rsid w:val="007934E3"/>
    <w:rsid w:val="007936CB"/>
    <w:rsid w:val="007936D6"/>
    <w:rsid w:val="00793B1C"/>
    <w:rsid w:val="00794C12"/>
    <w:rsid w:val="00795AA9"/>
    <w:rsid w:val="00795BC6"/>
    <w:rsid w:val="0079624D"/>
    <w:rsid w:val="007975C0"/>
    <w:rsid w:val="007A0813"/>
    <w:rsid w:val="007A384D"/>
    <w:rsid w:val="007A3A05"/>
    <w:rsid w:val="007A615F"/>
    <w:rsid w:val="007B054A"/>
    <w:rsid w:val="007B0C02"/>
    <w:rsid w:val="007B0E8C"/>
    <w:rsid w:val="007B1EA0"/>
    <w:rsid w:val="007B27C6"/>
    <w:rsid w:val="007B2AB1"/>
    <w:rsid w:val="007B31C4"/>
    <w:rsid w:val="007B34B6"/>
    <w:rsid w:val="007B3880"/>
    <w:rsid w:val="007B4340"/>
    <w:rsid w:val="007B6D4E"/>
    <w:rsid w:val="007C1242"/>
    <w:rsid w:val="007C2263"/>
    <w:rsid w:val="007C24F4"/>
    <w:rsid w:val="007C27F0"/>
    <w:rsid w:val="007C3469"/>
    <w:rsid w:val="007C5B39"/>
    <w:rsid w:val="007C5EC6"/>
    <w:rsid w:val="007C6CA3"/>
    <w:rsid w:val="007D0136"/>
    <w:rsid w:val="007D07BC"/>
    <w:rsid w:val="007D19D1"/>
    <w:rsid w:val="007D3A08"/>
    <w:rsid w:val="007D5E47"/>
    <w:rsid w:val="007D6097"/>
    <w:rsid w:val="007D68EC"/>
    <w:rsid w:val="007E0142"/>
    <w:rsid w:val="007E2BBA"/>
    <w:rsid w:val="007E3E9E"/>
    <w:rsid w:val="007E5F8F"/>
    <w:rsid w:val="007E65D9"/>
    <w:rsid w:val="007E6805"/>
    <w:rsid w:val="007F0015"/>
    <w:rsid w:val="007F0632"/>
    <w:rsid w:val="007F0A2C"/>
    <w:rsid w:val="007F21D9"/>
    <w:rsid w:val="007F31D9"/>
    <w:rsid w:val="007F480F"/>
    <w:rsid w:val="007F5ED7"/>
    <w:rsid w:val="007F6CE3"/>
    <w:rsid w:val="007F7469"/>
    <w:rsid w:val="0080144A"/>
    <w:rsid w:val="008025D2"/>
    <w:rsid w:val="00803F60"/>
    <w:rsid w:val="008041E8"/>
    <w:rsid w:val="00804466"/>
    <w:rsid w:val="008068D3"/>
    <w:rsid w:val="00806C41"/>
    <w:rsid w:val="008071A0"/>
    <w:rsid w:val="00810313"/>
    <w:rsid w:val="00812323"/>
    <w:rsid w:val="0081474A"/>
    <w:rsid w:val="008150E8"/>
    <w:rsid w:val="00815A1F"/>
    <w:rsid w:val="00817095"/>
    <w:rsid w:val="00817522"/>
    <w:rsid w:val="00817627"/>
    <w:rsid w:val="0082019C"/>
    <w:rsid w:val="008211C8"/>
    <w:rsid w:val="008214A8"/>
    <w:rsid w:val="00821E45"/>
    <w:rsid w:val="008229B4"/>
    <w:rsid w:val="00824BB0"/>
    <w:rsid w:val="008257D0"/>
    <w:rsid w:val="00826BDB"/>
    <w:rsid w:val="00827089"/>
    <w:rsid w:val="0082750F"/>
    <w:rsid w:val="00827550"/>
    <w:rsid w:val="00831F5A"/>
    <w:rsid w:val="0083223A"/>
    <w:rsid w:val="00835364"/>
    <w:rsid w:val="00835862"/>
    <w:rsid w:val="00841504"/>
    <w:rsid w:val="00841A03"/>
    <w:rsid w:val="008420AA"/>
    <w:rsid w:val="008428E5"/>
    <w:rsid w:val="0084399C"/>
    <w:rsid w:val="00843DFD"/>
    <w:rsid w:val="008450BE"/>
    <w:rsid w:val="008456B3"/>
    <w:rsid w:val="00846E44"/>
    <w:rsid w:val="0085010D"/>
    <w:rsid w:val="008513CD"/>
    <w:rsid w:val="00852E02"/>
    <w:rsid w:val="00852E88"/>
    <w:rsid w:val="00855809"/>
    <w:rsid w:val="008559EC"/>
    <w:rsid w:val="00855E93"/>
    <w:rsid w:val="00856474"/>
    <w:rsid w:val="00856681"/>
    <w:rsid w:val="00857F28"/>
    <w:rsid w:val="00861583"/>
    <w:rsid w:val="00861FC5"/>
    <w:rsid w:val="00862649"/>
    <w:rsid w:val="00863D43"/>
    <w:rsid w:val="00863F34"/>
    <w:rsid w:val="008641E7"/>
    <w:rsid w:val="00870CCB"/>
    <w:rsid w:val="00870DE6"/>
    <w:rsid w:val="008712D9"/>
    <w:rsid w:val="008724CF"/>
    <w:rsid w:val="00873363"/>
    <w:rsid w:val="00873823"/>
    <w:rsid w:val="00874E67"/>
    <w:rsid w:val="008770FC"/>
    <w:rsid w:val="008809C5"/>
    <w:rsid w:val="00880D91"/>
    <w:rsid w:val="00882A87"/>
    <w:rsid w:val="0088500C"/>
    <w:rsid w:val="00886329"/>
    <w:rsid w:val="00886AA4"/>
    <w:rsid w:val="00887DA2"/>
    <w:rsid w:val="008912CB"/>
    <w:rsid w:val="00895B4F"/>
    <w:rsid w:val="00895D79"/>
    <w:rsid w:val="00896920"/>
    <w:rsid w:val="00896CCA"/>
    <w:rsid w:val="00897FAF"/>
    <w:rsid w:val="008A0827"/>
    <w:rsid w:val="008A2099"/>
    <w:rsid w:val="008A2A0D"/>
    <w:rsid w:val="008A34C9"/>
    <w:rsid w:val="008A3864"/>
    <w:rsid w:val="008A69D5"/>
    <w:rsid w:val="008A750F"/>
    <w:rsid w:val="008A7787"/>
    <w:rsid w:val="008A7B98"/>
    <w:rsid w:val="008B21CC"/>
    <w:rsid w:val="008B45C5"/>
    <w:rsid w:val="008B48CA"/>
    <w:rsid w:val="008B4FB5"/>
    <w:rsid w:val="008B5158"/>
    <w:rsid w:val="008B7E4D"/>
    <w:rsid w:val="008C1A00"/>
    <w:rsid w:val="008C2A7C"/>
    <w:rsid w:val="008C2F69"/>
    <w:rsid w:val="008C3048"/>
    <w:rsid w:val="008C3B77"/>
    <w:rsid w:val="008C598B"/>
    <w:rsid w:val="008C60A3"/>
    <w:rsid w:val="008C6CFF"/>
    <w:rsid w:val="008D0446"/>
    <w:rsid w:val="008D0636"/>
    <w:rsid w:val="008D064A"/>
    <w:rsid w:val="008D06E0"/>
    <w:rsid w:val="008D1C98"/>
    <w:rsid w:val="008D27BA"/>
    <w:rsid w:val="008D2A91"/>
    <w:rsid w:val="008D2E90"/>
    <w:rsid w:val="008D3BEF"/>
    <w:rsid w:val="008E24CB"/>
    <w:rsid w:val="008E3DBA"/>
    <w:rsid w:val="008E4325"/>
    <w:rsid w:val="008E43F2"/>
    <w:rsid w:val="008E5A00"/>
    <w:rsid w:val="008E60EF"/>
    <w:rsid w:val="008E67E0"/>
    <w:rsid w:val="008E6D6A"/>
    <w:rsid w:val="008F041A"/>
    <w:rsid w:val="008F44E5"/>
    <w:rsid w:val="008F57ED"/>
    <w:rsid w:val="008F60FF"/>
    <w:rsid w:val="008F6EBE"/>
    <w:rsid w:val="009005D0"/>
    <w:rsid w:val="009011B6"/>
    <w:rsid w:val="009011F7"/>
    <w:rsid w:val="00901F91"/>
    <w:rsid w:val="0090245A"/>
    <w:rsid w:val="009035DA"/>
    <w:rsid w:val="0090544C"/>
    <w:rsid w:val="00905EB9"/>
    <w:rsid w:val="00911EB6"/>
    <w:rsid w:val="009129D8"/>
    <w:rsid w:val="00914032"/>
    <w:rsid w:val="009142FA"/>
    <w:rsid w:val="00916720"/>
    <w:rsid w:val="00916B2F"/>
    <w:rsid w:val="009178D9"/>
    <w:rsid w:val="00920C69"/>
    <w:rsid w:val="009212C2"/>
    <w:rsid w:val="00922F9B"/>
    <w:rsid w:val="00924EA5"/>
    <w:rsid w:val="00925EDE"/>
    <w:rsid w:val="0092740B"/>
    <w:rsid w:val="00930729"/>
    <w:rsid w:val="00930FF3"/>
    <w:rsid w:val="00931551"/>
    <w:rsid w:val="009318CE"/>
    <w:rsid w:val="00931F4F"/>
    <w:rsid w:val="00934FA9"/>
    <w:rsid w:val="00941A63"/>
    <w:rsid w:val="009429EF"/>
    <w:rsid w:val="00944246"/>
    <w:rsid w:val="00945766"/>
    <w:rsid w:val="0094587B"/>
    <w:rsid w:val="009459C1"/>
    <w:rsid w:val="0094612A"/>
    <w:rsid w:val="00946376"/>
    <w:rsid w:val="009468E1"/>
    <w:rsid w:val="00946AA7"/>
    <w:rsid w:val="00946E2C"/>
    <w:rsid w:val="009477A0"/>
    <w:rsid w:val="009503EC"/>
    <w:rsid w:val="00951513"/>
    <w:rsid w:val="00952FE7"/>
    <w:rsid w:val="00953F0C"/>
    <w:rsid w:val="00954AD2"/>
    <w:rsid w:val="00956C37"/>
    <w:rsid w:val="00960D4A"/>
    <w:rsid w:val="00962FF7"/>
    <w:rsid w:val="00963094"/>
    <w:rsid w:val="00963926"/>
    <w:rsid w:val="00964649"/>
    <w:rsid w:val="00965006"/>
    <w:rsid w:val="009669F8"/>
    <w:rsid w:val="009676DA"/>
    <w:rsid w:val="00967F02"/>
    <w:rsid w:val="009700D2"/>
    <w:rsid w:val="009716DC"/>
    <w:rsid w:val="00972A3F"/>
    <w:rsid w:val="009743DC"/>
    <w:rsid w:val="0097573A"/>
    <w:rsid w:val="00976D42"/>
    <w:rsid w:val="00977BB0"/>
    <w:rsid w:val="00980350"/>
    <w:rsid w:val="009809E4"/>
    <w:rsid w:val="00981F8D"/>
    <w:rsid w:val="00984157"/>
    <w:rsid w:val="00984795"/>
    <w:rsid w:val="00986822"/>
    <w:rsid w:val="00987181"/>
    <w:rsid w:val="009876A4"/>
    <w:rsid w:val="009908F6"/>
    <w:rsid w:val="009909E5"/>
    <w:rsid w:val="00991F1F"/>
    <w:rsid w:val="00992DA0"/>
    <w:rsid w:val="00992EAA"/>
    <w:rsid w:val="00993F53"/>
    <w:rsid w:val="0099511F"/>
    <w:rsid w:val="009957C5"/>
    <w:rsid w:val="009A1589"/>
    <w:rsid w:val="009A2583"/>
    <w:rsid w:val="009A3D13"/>
    <w:rsid w:val="009A3E09"/>
    <w:rsid w:val="009A5FB0"/>
    <w:rsid w:val="009A7B23"/>
    <w:rsid w:val="009B045D"/>
    <w:rsid w:val="009B5A35"/>
    <w:rsid w:val="009B62BE"/>
    <w:rsid w:val="009C0078"/>
    <w:rsid w:val="009C0B1C"/>
    <w:rsid w:val="009C1AF7"/>
    <w:rsid w:val="009C2242"/>
    <w:rsid w:val="009C3ED0"/>
    <w:rsid w:val="009C4161"/>
    <w:rsid w:val="009C4226"/>
    <w:rsid w:val="009C4DF3"/>
    <w:rsid w:val="009C68F6"/>
    <w:rsid w:val="009C6AF4"/>
    <w:rsid w:val="009C6F9B"/>
    <w:rsid w:val="009D32D3"/>
    <w:rsid w:val="009D6920"/>
    <w:rsid w:val="009D6A9D"/>
    <w:rsid w:val="009D6EF1"/>
    <w:rsid w:val="009D6FEA"/>
    <w:rsid w:val="009E0EA3"/>
    <w:rsid w:val="009E3360"/>
    <w:rsid w:val="009E397B"/>
    <w:rsid w:val="009E4A68"/>
    <w:rsid w:val="009E7101"/>
    <w:rsid w:val="009F0803"/>
    <w:rsid w:val="009F10C3"/>
    <w:rsid w:val="009F15D6"/>
    <w:rsid w:val="009F2B9A"/>
    <w:rsid w:val="009F2DF5"/>
    <w:rsid w:val="009F393B"/>
    <w:rsid w:val="009F3C1E"/>
    <w:rsid w:val="009F4135"/>
    <w:rsid w:val="009F5EB7"/>
    <w:rsid w:val="009F6522"/>
    <w:rsid w:val="009F656E"/>
    <w:rsid w:val="00A016EA"/>
    <w:rsid w:val="00A01F15"/>
    <w:rsid w:val="00A02397"/>
    <w:rsid w:val="00A030BE"/>
    <w:rsid w:val="00A03FA2"/>
    <w:rsid w:val="00A04A92"/>
    <w:rsid w:val="00A050B9"/>
    <w:rsid w:val="00A06835"/>
    <w:rsid w:val="00A10E66"/>
    <w:rsid w:val="00A1118D"/>
    <w:rsid w:val="00A11521"/>
    <w:rsid w:val="00A14479"/>
    <w:rsid w:val="00A15462"/>
    <w:rsid w:val="00A155EC"/>
    <w:rsid w:val="00A15AE6"/>
    <w:rsid w:val="00A20221"/>
    <w:rsid w:val="00A212F7"/>
    <w:rsid w:val="00A22B7A"/>
    <w:rsid w:val="00A245BC"/>
    <w:rsid w:val="00A25498"/>
    <w:rsid w:val="00A255A4"/>
    <w:rsid w:val="00A255E6"/>
    <w:rsid w:val="00A25708"/>
    <w:rsid w:val="00A273EA"/>
    <w:rsid w:val="00A27F8A"/>
    <w:rsid w:val="00A30426"/>
    <w:rsid w:val="00A30B1C"/>
    <w:rsid w:val="00A321D9"/>
    <w:rsid w:val="00A32CB9"/>
    <w:rsid w:val="00A346F7"/>
    <w:rsid w:val="00A34C1B"/>
    <w:rsid w:val="00A3527B"/>
    <w:rsid w:val="00A42823"/>
    <w:rsid w:val="00A435DA"/>
    <w:rsid w:val="00A43ABB"/>
    <w:rsid w:val="00A442DE"/>
    <w:rsid w:val="00A445AF"/>
    <w:rsid w:val="00A44738"/>
    <w:rsid w:val="00A46376"/>
    <w:rsid w:val="00A46453"/>
    <w:rsid w:val="00A464D5"/>
    <w:rsid w:val="00A512F1"/>
    <w:rsid w:val="00A5268E"/>
    <w:rsid w:val="00A52D6E"/>
    <w:rsid w:val="00A5512B"/>
    <w:rsid w:val="00A55289"/>
    <w:rsid w:val="00A55893"/>
    <w:rsid w:val="00A57542"/>
    <w:rsid w:val="00A61748"/>
    <w:rsid w:val="00A62173"/>
    <w:rsid w:val="00A62268"/>
    <w:rsid w:val="00A6259E"/>
    <w:rsid w:val="00A62862"/>
    <w:rsid w:val="00A62C27"/>
    <w:rsid w:val="00A63FD5"/>
    <w:rsid w:val="00A64371"/>
    <w:rsid w:val="00A6447D"/>
    <w:rsid w:val="00A657FD"/>
    <w:rsid w:val="00A6734A"/>
    <w:rsid w:val="00A6767E"/>
    <w:rsid w:val="00A67D2C"/>
    <w:rsid w:val="00A70080"/>
    <w:rsid w:val="00A722B8"/>
    <w:rsid w:val="00A72B2D"/>
    <w:rsid w:val="00A7463E"/>
    <w:rsid w:val="00A74A35"/>
    <w:rsid w:val="00A802A5"/>
    <w:rsid w:val="00A8079A"/>
    <w:rsid w:val="00A80A10"/>
    <w:rsid w:val="00A811EC"/>
    <w:rsid w:val="00A82B44"/>
    <w:rsid w:val="00A854D2"/>
    <w:rsid w:val="00A85E4F"/>
    <w:rsid w:val="00A861E2"/>
    <w:rsid w:val="00A86F41"/>
    <w:rsid w:val="00A875C6"/>
    <w:rsid w:val="00A8778C"/>
    <w:rsid w:val="00A918BB"/>
    <w:rsid w:val="00A91A03"/>
    <w:rsid w:val="00A93B3F"/>
    <w:rsid w:val="00A94040"/>
    <w:rsid w:val="00A9465D"/>
    <w:rsid w:val="00A95C53"/>
    <w:rsid w:val="00A96176"/>
    <w:rsid w:val="00A9625F"/>
    <w:rsid w:val="00AA2B3F"/>
    <w:rsid w:val="00AA34DA"/>
    <w:rsid w:val="00AA3BDE"/>
    <w:rsid w:val="00AA3D6F"/>
    <w:rsid w:val="00AA3E7D"/>
    <w:rsid w:val="00AA3EA9"/>
    <w:rsid w:val="00AA406D"/>
    <w:rsid w:val="00AA4F45"/>
    <w:rsid w:val="00AA763E"/>
    <w:rsid w:val="00AA7A0E"/>
    <w:rsid w:val="00AA7DB0"/>
    <w:rsid w:val="00AB0FD3"/>
    <w:rsid w:val="00AB1045"/>
    <w:rsid w:val="00AB1550"/>
    <w:rsid w:val="00AB3335"/>
    <w:rsid w:val="00AB3EB9"/>
    <w:rsid w:val="00AB56E1"/>
    <w:rsid w:val="00AC1807"/>
    <w:rsid w:val="00AC1960"/>
    <w:rsid w:val="00AC45A3"/>
    <w:rsid w:val="00AC4D64"/>
    <w:rsid w:val="00AC76DB"/>
    <w:rsid w:val="00AC7F3B"/>
    <w:rsid w:val="00AD0B6C"/>
    <w:rsid w:val="00AD0DE0"/>
    <w:rsid w:val="00AD0E22"/>
    <w:rsid w:val="00AD12CB"/>
    <w:rsid w:val="00AD3D5F"/>
    <w:rsid w:val="00AD48BA"/>
    <w:rsid w:val="00AD50CD"/>
    <w:rsid w:val="00AD5FCF"/>
    <w:rsid w:val="00AD626F"/>
    <w:rsid w:val="00AE00CF"/>
    <w:rsid w:val="00AE7EAE"/>
    <w:rsid w:val="00AF0824"/>
    <w:rsid w:val="00AF1583"/>
    <w:rsid w:val="00AF2ABA"/>
    <w:rsid w:val="00AF35F8"/>
    <w:rsid w:val="00AF73F2"/>
    <w:rsid w:val="00AF7ECF"/>
    <w:rsid w:val="00B0177E"/>
    <w:rsid w:val="00B01AF0"/>
    <w:rsid w:val="00B03416"/>
    <w:rsid w:val="00B0797B"/>
    <w:rsid w:val="00B1003A"/>
    <w:rsid w:val="00B109C5"/>
    <w:rsid w:val="00B11E91"/>
    <w:rsid w:val="00B12380"/>
    <w:rsid w:val="00B132D9"/>
    <w:rsid w:val="00B14C89"/>
    <w:rsid w:val="00B15420"/>
    <w:rsid w:val="00B15AE7"/>
    <w:rsid w:val="00B15D84"/>
    <w:rsid w:val="00B15D90"/>
    <w:rsid w:val="00B20045"/>
    <w:rsid w:val="00B208E1"/>
    <w:rsid w:val="00B21A0C"/>
    <w:rsid w:val="00B23600"/>
    <w:rsid w:val="00B23F79"/>
    <w:rsid w:val="00B24030"/>
    <w:rsid w:val="00B2437B"/>
    <w:rsid w:val="00B24861"/>
    <w:rsid w:val="00B25F04"/>
    <w:rsid w:val="00B26A64"/>
    <w:rsid w:val="00B277D6"/>
    <w:rsid w:val="00B30B85"/>
    <w:rsid w:val="00B310C0"/>
    <w:rsid w:val="00B32580"/>
    <w:rsid w:val="00B357E3"/>
    <w:rsid w:val="00B37333"/>
    <w:rsid w:val="00B4372F"/>
    <w:rsid w:val="00B44460"/>
    <w:rsid w:val="00B45131"/>
    <w:rsid w:val="00B46468"/>
    <w:rsid w:val="00B515EF"/>
    <w:rsid w:val="00B522FF"/>
    <w:rsid w:val="00B527A4"/>
    <w:rsid w:val="00B52896"/>
    <w:rsid w:val="00B54CEF"/>
    <w:rsid w:val="00B55093"/>
    <w:rsid w:val="00B56B73"/>
    <w:rsid w:val="00B56DAA"/>
    <w:rsid w:val="00B578CA"/>
    <w:rsid w:val="00B57DBA"/>
    <w:rsid w:val="00B6029B"/>
    <w:rsid w:val="00B6095B"/>
    <w:rsid w:val="00B60CC9"/>
    <w:rsid w:val="00B60CDA"/>
    <w:rsid w:val="00B62C88"/>
    <w:rsid w:val="00B63343"/>
    <w:rsid w:val="00B64E71"/>
    <w:rsid w:val="00B65B4D"/>
    <w:rsid w:val="00B663A4"/>
    <w:rsid w:val="00B66F58"/>
    <w:rsid w:val="00B67E7D"/>
    <w:rsid w:val="00B72431"/>
    <w:rsid w:val="00B72714"/>
    <w:rsid w:val="00B73EE5"/>
    <w:rsid w:val="00B746A2"/>
    <w:rsid w:val="00B7532E"/>
    <w:rsid w:val="00B76697"/>
    <w:rsid w:val="00B8116B"/>
    <w:rsid w:val="00B81665"/>
    <w:rsid w:val="00B83178"/>
    <w:rsid w:val="00B85910"/>
    <w:rsid w:val="00B85A5C"/>
    <w:rsid w:val="00B8630E"/>
    <w:rsid w:val="00B86674"/>
    <w:rsid w:val="00B90AB1"/>
    <w:rsid w:val="00B92262"/>
    <w:rsid w:val="00B924A2"/>
    <w:rsid w:val="00B92DD7"/>
    <w:rsid w:val="00B93FFA"/>
    <w:rsid w:val="00B950CA"/>
    <w:rsid w:val="00B95DC6"/>
    <w:rsid w:val="00B968B6"/>
    <w:rsid w:val="00B969AC"/>
    <w:rsid w:val="00B97C80"/>
    <w:rsid w:val="00BA1F9B"/>
    <w:rsid w:val="00BA2D36"/>
    <w:rsid w:val="00BA4820"/>
    <w:rsid w:val="00BA629E"/>
    <w:rsid w:val="00BA6A1E"/>
    <w:rsid w:val="00BA7217"/>
    <w:rsid w:val="00BA7FF7"/>
    <w:rsid w:val="00BB04E0"/>
    <w:rsid w:val="00BB15C5"/>
    <w:rsid w:val="00BB2DD8"/>
    <w:rsid w:val="00BB306C"/>
    <w:rsid w:val="00BB32F7"/>
    <w:rsid w:val="00BB4EB4"/>
    <w:rsid w:val="00BB64AC"/>
    <w:rsid w:val="00BB7038"/>
    <w:rsid w:val="00BB7689"/>
    <w:rsid w:val="00BB7F0E"/>
    <w:rsid w:val="00BC0B47"/>
    <w:rsid w:val="00BC0C5D"/>
    <w:rsid w:val="00BC122A"/>
    <w:rsid w:val="00BC1747"/>
    <w:rsid w:val="00BC2592"/>
    <w:rsid w:val="00BC3103"/>
    <w:rsid w:val="00BC364D"/>
    <w:rsid w:val="00BC49D5"/>
    <w:rsid w:val="00BC5B18"/>
    <w:rsid w:val="00BD074F"/>
    <w:rsid w:val="00BD09F5"/>
    <w:rsid w:val="00BD1F4C"/>
    <w:rsid w:val="00BD3870"/>
    <w:rsid w:val="00BD388C"/>
    <w:rsid w:val="00BD42D1"/>
    <w:rsid w:val="00BD576E"/>
    <w:rsid w:val="00BE0AEE"/>
    <w:rsid w:val="00BE1C52"/>
    <w:rsid w:val="00BE2324"/>
    <w:rsid w:val="00BE28B0"/>
    <w:rsid w:val="00BE4373"/>
    <w:rsid w:val="00BE4B87"/>
    <w:rsid w:val="00BE5CAF"/>
    <w:rsid w:val="00BE6172"/>
    <w:rsid w:val="00BE6527"/>
    <w:rsid w:val="00BE6D3A"/>
    <w:rsid w:val="00BF0576"/>
    <w:rsid w:val="00BF0DB6"/>
    <w:rsid w:val="00BF30C6"/>
    <w:rsid w:val="00BF3A98"/>
    <w:rsid w:val="00BF3EA4"/>
    <w:rsid w:val="00BF3F88"/>
    <w:rsid w:val="00C02590"/>
    <w:rsid w:val="00C02B41"/>
    <w:rsid w:val="00C0482E"/>
    <w:rsid w:val="00C04CA4"/>
    <w:rsid w:val="00C05633"/>
    <w:rsid w:val="00C06DC4"/>
    <w:rsid w:val="00C07911"/>
    <w:rsid w:val="00C104ED"/>
    <w:rsid w:val="00C115CC"/>
    <w:rsid w:val="00C11606"/>
    <w:rsid w:val="00C120F3"/>
    <w:rsid w:val="00C132A2"/>
    <w:rsid w:val="00C1445E"/>
    <w:rsid w:val="00C150D7"/>
    <w:rsid w:val="00C15A03"/>
    <w:rsid w:val="00C1660F"/>
    <w:rsid w:val="00C16FB6"/>
    <w:rsid w:val="00C20436"/>
    <w:rsid w:val="00C20A79"/>
    <w:rsid w:val="00C21BA4"/>
    <w:rsid w:val="00C2224D"/>
    <w:rsid w:val="00C23151"/>
    <w:rsid w:val="00C23307"/>
    <w:rsid w:val="00C241B6"/>
    <w:rsid w:val="00C2584B"/>
    <w:rsid w:val="00C26F77"/>
    <w:rsid w:val="00C3004F"/>
    <w:rsid w:val="00C308F0"/>
    <w:rsid w:val="00C31720"/>
    <w:rsid w:val="00C3213E"/>
    <w:rsid w:val="00C34B03"/>
    <w:rsid w:val="00C35E95"/>
    <w:rsid w:val="00C37663"/>
    <w:rsid w:val="00C3775D"/>
    <w:rsid w:val="00C37DF0"/>
    <w:rsid w:val="00C37ECF"/>
    <w:rsid w:val="00C41622"/>
    <w:rsid w:val="00C41C8E"/>
    <w:rsid w:val="00C41FAC"/>
    <w:rsid w:val="00C41FBA"/>
    <w:rsid w:val="00C44023"/>
    <w:rsid w:val="00C46D53"/>
    <w:rsid w:val="00C47339"/>
    <w:rsid w:val="00C501BD"/>
    <w:rsid w:val="00C508E3"/>
    <w:rsid w:val="00C530C1"/>
    <w:rsid w:val="00C5333D"/>
    <w:rsid w:val="00C5532F"/>
    <w:rsid w:val="00C55B73"/>
    <w:rsid w:val="00C61C5E"/>
    <w:rsid w:val="00C620C4"/>
    <w:rsid w:val="00C63411"/>
    <w:rsid w:val="00C637AC"/>
    <w:rsid w:val="00C646F8"/>
    <w:rsid w:val="00C649FC"/>
    <w:rsid w:val="00C6779C"/>
    <w:rsid w:val="00C70063"/>
    <w:rsid w:val="00C712AF"/>
    <w:rsid w:val="00C71313"/>
    <w:rsid w:val="00C7221B"/>
    <w:rsid w:val="00C74744"/>
    <w:rsid w:val="00C7599D"/>
    <w:rsid w:val="00C76127"/>
    <w:rsid w:val="00C76927"/>
    <w:rsid w:val="00C82769"/>
    <w:rsid w:val="00C82C29"/>
    <w:rsid w:val="00C84273"/>
    <w:rsid w:val="00C84A49"/>
    <w:rsid w:val="00C84B98"/>
    <w:rsid w:val="00C8567D"/>
    <w:rsid w:val="00C8632F"/>
    <w:rsid w:val="00C86A23"/>
    <w:rsid w:val="00C87F86"/>
    <w:rsid w:val="00C9043B"/>
    <w:rsid w:val="00C94FB9"/>
    <w:rsid w:val="00C95117"/>
    <w:rsid w:val="00C957F6"/>
    <w:rsid w:val="00C96358"/>
    <w:rsid w:val="00C972E5"/>
    <w:rsid w:val="00C978A4"/>
    <w:rsid w:val="00C9799E"/>
    <w:rsid w:val="00CA0335"/>
    <w:rsid w:val="00CA2C35"/>
    <w:rsid w:val="00CA3285"/>
    <w:rsid w:val="00CA527E"/>
    <w:rsid w:val="00CA6136"/>
    <w:rsid w:val="00CA6FAA"/>
    <w:rsid w:val="00CA74FD"/>
    <w:rsid w:val="00CA7941"/>
    <w:rsid w:val="00CB01F4"/>
    <w:rsid w:val="00CB1379"/>
    <w:rsid w:val="00CB17F9"/>
    <w:rsid w:val="00CB215C"/>
    <w:rsid w:val="00CB3935"/>
    <w:rsid w:val="00CB3C73"/>
    <w:rsid w:val="00CB40F9"/>
    <w:rsid w:val="00CB4778"/>
    <w:rsid w:val="00CB7425"/>
    <w:rsid w:val="00CB7AF7"/>
    <w:rsid w:val="00CC06F9"/>
    <w:rsid w:val="00CC299C"/>
    <w:rsid w:val="00CC4178"/>
    <w:rsid w:val="00CC6DCA"/>
    <w:rsid w:val="00CD0D6C"/>
    <w:rsid w:val="00CD16EB"/>
    <w:rsid w:val="00CD2620"/>
    <w:rsid w:val="00CD2B2E"/>
    <w:rsid w:val="00CD30F0"/>
    <w:rsid w:val="00CD35DC"/>
    <w:rsid w:val="00CD3A88"/>
    <w:rsid w:val="00CD43E2"/>
    <w:rsid w:val="00CD630E"/>
    <w:rsid w:val="00CD6922"/>
    <w:rsid w:val="00CD6CEB"/>
    <w:rsid w:val="00CD7759"/>
    <w:rsid w:val="00CE200E"/>
    <w:rsid w:val="00CE2510"/>
    <w:rsid w:val="00CE387F"/>
    <w:rsid w:val="00CE3CBF"/>
    <w:rsid w:val="00CE5DC5"/>
    <w:rsid w:val="00CE6AE5"/>
    <w:rsid w:val="00CE7036"/>
    <w:rsid w:val="00CE765F"/>
    <w:rsid w:val="00CF3120"/>
    <w:rsid w:val="00CF3450"/>
    <w:rsid w:val="00CF4164"/>
    <w:rsid w:val="00CF4A31"/>
    <w:rsid w:val="00CF4C4E"/>
    <w:rsid w:val="00D01FDF"/>
    <w:rsid w:val="00D034E2"/>
    <w:rsid w:val="00D05660"/>
    <w:rsid w:val="00D117CA"/>
    <w:rsid w:val="00D12B01"/>
    <w:rsid w:val="00D137EF"/>
    <w:rsid w:val="00D1422E"/>
    <w:rsid w:val="00D166F4"/>
    <w:rsid w:val="00D205CE"/>
    <w:rsid w:val="00D213B7"/>
    <w:rsid w:val="00D213F3"/>
    <w:rsid w:val="00D21DEF"/>
    <w:rsid w:val="00D232D2"/>
    <w:rsid w:val="00D2437D"/>
    <w:rsid w:val="00D24D78"/>
    <w:rsid w:val="00D261F3"/>
    <w:rsid w:val="00D3065D"/>
    <w:rsid w:val="00D3344F"/>
    <w:rsid w:val="00D34213"/>
    <w:rsid w:val="00D41D04"/>
    <w:rsid w:val="00D42073"/>
    <w:rsid w:val="00D4231A"/>
    <w:rsid w:val="00D42760"/>
    <w:rsid w:val="00D42CBD"/>
    <w:rsid w:val="00D433FB"/>
    <w:rsid w:val="00D43A73"/>
    <w:rsid w:val="00D43B39"/>
    <w:rsid w:val="00D44129"/>
    <w:rsid w:val="00D444BD"/>
    <w:rsid w:val="00D44541"/>
    <w:rsid w:val="00D448ED"/>
    <w:rsid w:val="00D44924"/>
    <w:rsid w:val="00D46829"/>
    <w:rsid w:val="00D46CBF"/>
    <w:rsid w:val="00D50CCE"/>
    <w:rsid w:val="00D526B3"/>
    <w:rsid w:val="00D53157"/>
    <w:rsid w:val="00D5316C"/>
    <w:rsid w:val="00D54057"/>
    <w:rsid w:val="00D55CEB"/>
    <w:rsid w:val="00D56FD0"/>
    <w:rsid w:val="00D5773F"/>
    <w:rsid w:val="00D609B6"/>
    <w:rsid w:val="00D60D87"/>
    <w:rsid w:val="00D60ED8"/>
    <w:rsid w:val="00D61DB6"/>
    <w:rsid w:val="00D62CBD"/>
    <w:rsid w:val="00D63B87"/>
    <w:rsid w:val="00D63FD9"/>
    <w:rsid w:val="00D641FF"/>
    <w:rsid w:val="00D647D1"/>
    <w:rsid w:val="00D648AA"/>
    <w:rsid w:val="00D65C50"/>
    <w:rsid w:val="00D70906"/>
    <w:rsid w:val="00D70B9E"/>
    <w:rsid w:val="00D716AC"/>
    <w:rsid w:val="00D71D74"/>
    <w:rsid w:val="00D72702"/>
    <w:rsid w:val="00D73D44"/>
    <w:rsid w:val="00D76043"/>
    <w:rsid w:val="00D77C3E"/>
    <w:rsid w:val="00D82A34"/>
    <w:rsid w:val="00D82E4A"/>
    <w:rsid w:val="00D833CB"/>
    <w:rsid w:val="00D8442E"/>
    <w:rsid w:val="00D85C48"/>
    <w:rsid w:val="00D911E0"/>
    <w:rsid w:val="00D9247F"/>
    <w:rsid w:val="00D9290F"/>
    <w:rsid w:val="00D94158"/>
    <w:rsid w:val="00D94E91"/>
    <w:rsid w:val="00D971FF"/>
    <w:rsid w:val="00DA0BA8"/>
    <w:rsid w:val="00DA1D96"/>
    <w:rsid w:val="00DA1E1D"/>
    <w:rsid w:val="00DA240F"/>
    <w:rsid w:val="00DA2D77"/>
    <w:rsid w:val="00DA5834"/>
    <w:rsid w:val="00DA5C9A"/>
    <w:rsid w:val="00DA5E0F"/>
    <w:rsid w:val="00DA62B6"/>
    <w:rsid w:val="00DA7E32"/>
    <w:rsid w:val="00DB3C2D"/>
    <w:rsid w:val="00DB41D8"/>
    <w:rsid w:val="00DB507E"/>
    <w:rsid w:val="00DC225C"/>
    <w:rsid w:val="00DC2A5F"/>
    <w:rsid w:val="00DC4DA7"/>
    <w:rsid w:val="00DD0076"/>
    <w:rsid w:val="00DD0D7B"/>
    <w:rsid w:val="00DD29CE"/>
    <w:rsid w:val="00DD4CBA"/>
    <w:rsid w:val="00DD4F41"/>
    <w:rsid w:val="00DD6384"/>
    <w:rsid w:val="00DD71B7"/>
    <w:rsid w:val="00DD71CD"/>
    <w:rsid w:val="00DE0F57"/>
    <w:rsid w:val="00DE4192"/>
    <w:rsid w:val="00DE60B1"/>
    <w:rsid w:val="00DE6BCF"/>
    <w:rsid w:val="00DE7221"/>
    <w:rsid w:val="00DF0D7E"/>
    <w:rsid w:val="00DF1F6B"/>
    <w:rsid w:val="00DF29F3"/>
    <w:rsid w:val="00DF3E74"/>
    <w:rsid w:val="00DF503A"/>
    <w:rsid w:val="00DF5964"/>
    <w:rsid w:val="00DF6976"/>
    <w:rsid w:val="00DF74A1"/>
    <w:rsid w:val="00E0080B"/>
    <w:rsid w:val="00E01096"/>
    <w:rsid w:val="00E01296"/>
    <w:rsid w:val="00E01BBE"/>
    <w:rsid w:val="00E03C7E"/>
    <w:rsid w:val="00E05FA0"/>
    <w:rsid w:val="00E11374"/>
    <w:rsid w:val="00E122A4"/>
    <w:rsid w:val="00E1324A"/>
    <w:rsid w:val="00E13D01"/>
    <w:rsid w:val="00E13D58"/>
    <w:rsid w:val="00E1621C"/>
    <w:rsid w:val="00E16763"/>
    <w:rsid w:val="00E17A32"/>
    <w:rsid w:val="00E20143"/>
    <w:rsid w:val="00E205C9"/>
    <w:rsid w:val="00E2069C"/>
    <w:rsid w:val="00E20778"/>
    <w:rsid w:val="00E21342"/>
    <w:rsid w:val="00E22C94"/>
    <w:rsid w:val="00E2354F"/>
    <w:rsid w:val="00E24065"/>
    <w:rsid w:val="00E24CF4"/>
    <w:rsid w:val="00E27821"/>
    <w:rsid w:val="00E3005E"/>
    <w:rsid w:val="00E30C0B"/>
    <w:rsid w:val="00E30C70"/>
    <w:rsid w:val="00E31CE7"/>
    <w:rsid w:val="00E32EB8"/>
    <w:rsid w:val="00E33B35"/>
    <w:rsid w:val="00E33C73"/>
    <w:rsid w:val="00E3425E"/>
    <w:rsid w:val="00E363F9"/>
    <w:rsid w:val="00E36448"/>
    <w:rsid w:val="00E36CA9"/>
    <w:rsid w:val="00E36FAF"/>
    <w:rsid w:val="00E408D3"/>
    <w:rsid w:val="00E424EB"/>
    <w:rsid w:val="00E43C18"/>
    <w:rsid w:val="00E462E1"/>
    <w:rsid w:val="00E46743"/>
    <w:rsid w:val="00E472A4"/>
    <w:rsid w:val="00E50606"/>
    <w:rsid w:val="00E50953"/>
    <w:rsid w:val="00E513FB"/>
    <w:rsid w:val="00E534CC"/>
    <w:rsid w:val="00E53C0F"/>
    <w:rsid w:val="00E545F7"/>
    <w:rsid w:val="00E56C72"/>
    <w:rsid w:val="00E57C7E"/>
    <w:rsid w:val="00E60560"/>
    <w:rsid w:val="00E61597"/>
    <w:rsid w:val="00E61FFD"/>
    <w:rsid w:val="00E62408"/>
    <w:rsid w:val="00E62E48"/>
    <w:rsid w:val="00E63383"/>
    <w:rsid w:val="00E63E7C"/>
    <w:rsid w:val="00E63F28"/>
    <w:rsid w:val="00E64323"/>
    <w:rsid w:val="00E64B16"/>
    <w:rsid w:val="00E71358"/>
    <w:rsid w:val="00E7741E"/>
    <w:rsid w:val="00E81CCE"/>
    <w:rsid w:val="00E8290D"/>
    <w:rsid w:val="00E82FB5"/>
    <w:rsid w:val="00E83226"/>
    <w:rsid w:val="00E83B3F"/>
    <w:rsid w:val="00E842AA"/>
    <w:rsid w:val="00E8475E"/>
    <w:rsid w:val="00E858BF"/>
    <w:rsid w:val="00E86865"/>
    <w:rsid w:val="00E873EC"/>
    <w:rsid w:val="00E90067"/>
    <w:rsid w:val="00E91B4B"/>
    <w:rsid w:val="00E9276A"/>
    <w:rsid w:val="00E93AB9"/>
    <w:rsid w:val="00E95E78"/>
    <w:rsid w:val="00EA081C"/>
    <w:rsid w:val="00EA142C"/>
    <w:rsid w:val="00EA21AE"/>
    <w:rsid w:val="00EA26A5"/>
    <w:rsid w:val="00EA3718"/>
    <w:rsid w:val="00EA37E8"/>
    <w:rsid w:val="00EA3AF7"/>
    <w:rsid w:val="00EA400E"/>
    <w:rsid w:val="00EA43B5"/>
    <w:rsid w:val="00EA4F58"/>
    <w:rsid w:val="00EA54C5"/>
    <w:rsid w:val="00EA64DB"/>
    <w:rsid w:val="00EA6A34"/>
    <w:rsid w:val="00EA7324"/>
    <w:rsid w:val="00EA7547"/>
    <w:rsid w:val="00EB09FD"/>
    <w:rsid w:val="00EB3E62"/>
    <w:rsid w:val="00EB4E2E"/>
    <w:rsid w:val="00EB4F5C"/>
    <w:rsid w:val="00EB53CE"/>
    <w:rsid w:val="00EB5BF7"/>
    <w:rsid w:val="00EB6554"/>
    <w:rsid w:val="00EC033C"/>
    <w:rsid w:val="00EC0787"/>
    <w:rsid w:val="00EC0E5A"/>
    <w:rsid w:val="00EC17C6"/>
    <w:rsid w:val="00EC3042"/>
    <w:rsid w:val="00EC40E5"/>
    <w:rsid w:val="00EC650B"/>
    <w:rsid w:val="00EC7E08"/>
    <w:rsid w:val="00ED1053"/>
    <w:rsid w:val="00ED598B"/>
    <w:rsid w:val="00EE2797"/>
    <w:rsid w:val="00EE2A38"/>
    <w:rsid w:val="00EE2ACB"/>
    <w:rsid w:val="00EE319D"/>
    <w:rsid w:val="00EE56D1"/>
    <w:rsid w:val="00EE69BC"/>
    <w:rsid w:val="00EE70A1"/>
    <w:rsid w:val="00EE7498"/>
    <w:rsid w:val="00EE7ADD"/>
    <w:rsid w:val="00EE7BF2"/>
    <w:rsid w:val="00EF022B"/>
    <w:rsid w:val="00EF040E"/>
    <w:rsid w:val="00EF0B08"/>
    <w:rsid w:val="00EF0C63"/>
    <w:rsid w:val="00EF3B8C"/>
    <w:rsid w:val="00EF3D2C"/>
    <w:rsid w:val="00EF48C3"/>
    <w:rsid w:val="00EF69FF"/>
    <w:rsid w:val="00EF7B00"/>
    <w:rsid w:val="00F01849"/>
    <w:rsid w:val="00F0196E"/>
    <w:rsid w:val="00F02649"/>
    <w:rsid w:val="00F028C0"/>
    <w:rsid w:val="00F0423E"/>
    <w:rsid w:val="00F0651F"/>
    <w:rsid w:val="00F10811"/>
    <w:rsid w:val="00F150EE"/>
    <w:rsid w:val="00F15B3B"/>
    <w:rsid w:val="00F15F53"/>
    <w:rsid w:val="00F167CB"/>
    <w:rsid w:val="00F16BA8"/>
    <w:rsid w:val="00F204C4"/>
    <w:rsid w:val="00F20C22"/>
    <w:rsid w:val="00F23506"/>
    <w:rsid w:val="00F23F46"/>
    <w:rsid w:val="00F2461A"/>
    <w:rsid w:val="00F25869"/>
    <w:rsid w:val="00F26253"/>
    <w:rsid w:val="00F26B66"/>
    <w:rsid w:val="00F26C26"/>
    <w:rsid w:val="00F274D2"/>
    <w:rsid w:val="00F309F1"/>
    <w:rsid w:val="00F3129C"/>
    <w:rsid w:val="00F34016"/>
    <w:rsid w:val="00F342EE"/>
    <w:rsid w:val="00F344E8"/>
    <w:rsid w:val="00F34850"/>
    <w:rsid w:val="00F34BFB"/>
    <w:rsid w:val="00F3784E"/>
    <w:rsid w:val="00F4009A"/>
    <w:rsid w:val="00F404D7"/>
    <w:rsid w:val="00F4050C"/>
    <w:rsid w:val="00F41E45"/>
    <w:rsid w:val="00F4373C"/>
    <w:rsid w:val="00F44366"/>
    <w:rsid w:val="00F451F8"/>
    <w:rsid w:val="00F45C68"/>
    <w:rsid w:val="00F4730A"/>
    <w:rsid w:val="00F478B6"/>
    <w:rsid w:val="00F50225"/>
    <w:rsid w:val="00F504B4"/>
    <w:rsid w:val="00F523CA"/>
    <w:rsid w:val="00F54767"/>
    <w:rsid w:val="00F5638B"/>
    <w:rsid w:val="00F56711"/>
    <w:rsid w:val="00F56AC8"/>
    <w:rsid w:val="00F56C6A"/>
    <w:rsid w:val="00F57D8F"/>
    <w:rsid w:val="00F63630"/>
    <w:rsid w:val="00F6647C"/>
    <w:rsid w:val="00F66AF8"/>
    <w:rsid w:val="00F71967"/>
    <w:rsid w:val="00F71F1C"/>
    <w:rsid w:val="00F724ED"/>
    <w:rsid w:val="00F75C94"/>
    <w:rsid w:val="00F75F13"/>
    <w:rsid w:val="00F76205"/>
    <w:rsid w:val="00F76D8B"/>
    <w:rsid w:val="00F778E7"/>
    <w:rsid w:val="00F8119C"/>
    <w:rsid w:val="00F8209A"/>
    <w:rsid w:val="00F82867"/>
    <w:rsid w:val="00F87266"/>
    <w:rsid w:val="00F873E9"/>
    <w:rsid w:val="00F879B0"/>
    <w:rsid w:val="00F904AA"/>
    <w:rsid w:val="00F91987"/>
    <w:rsid w:val="00F92BC1"/>
    <w:rsid w:val="00F935E5"/>
    <w:rsid w:val="00F95E3F"/>
    <w:rsid w:val="00FA0DB9"/>
    <w:rsid w:val="00FA1789"/>
    <w:rsid w:val="00FA18C0"/>
    <w:rsid w:val="00FA29AC"/>
    <w:rsid w:val="00FA3A2B"/>
    <w:rsid w:val="00FA774C"/>
    <w:rsid w:val="00FB205A"/>
    <w:rsid w:val="00FB2994"/>
    <w:rsid w:val="00FB2B9E"/>
    <w:rsid w:val="00FB31B8"/>
    <w:rsid w:val="00FB3824"/>
    <w:rsid w:val="00FB3FC4"/>
    <w:rsid w:val="00FB5A07"/>
    <w:rsid w:val="00FB6108"/>
    <w:rsid w:val="00FB6171"/>
    <w:rsid w:val="00FB63F8"/>
    <w:rsid w:val="00FB6F05"/>
    <w:rsid w:val="00FB782D"/>
    <w:rsid w:val="00FB794A"/>
    <w:rsid w:val="00FB79BB"/>
    <w:rsid w:val="00FC0B7C"/>
    <w:rsid w:val="00FC1260"/>
    <w:rsid w:val="00FC229A"/>
    <w:rsid w:val="00FC289C"/>
    <w:rsid w:val="00FC4C3D"/>
    <w:rsid w:val="00FD0720"/>
    <w:rsid w:val="00FD2608"/>
    <w:rsid w:val="00FD3FBB"/>
    <w:rsid w:val="00FD584C"/>
    <w:rsid w:val="00FE1BFD"/>
    <w:rsid w:val="00FE1E4F"/>
    <w:rsid w:val="00FE24D6"/>
    <w:rsid w:val="00FE5202"/>
    <w:rsid w:val="00FF0D10"/>
    <w:rsid w:val="00FF1A8F"/>
    <w:rsid w:val="00FF2C51"/>
    <w:rsid w:val="00FF6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0203AA"/>
  <w15:docId w15:val="{BF1F0192-FD40-430B-86EF-39F5FF40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lang w:val="en-AU" w:eastAsia="en-AU" w:bidi="ar-SA"/>
      </w:rPr>
    </w:rPrDefault>
    <w:pPrDefault/>
  </w:docDefaults>
  <w:latentStyles w:defLockedState="0" w:defUIPriority="2"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4C4"/>
    <w:pPr>
      <w:spacing w:after="240" w:line="288" w:lineRule="auto"/>
    </w:pPr>
    <w:rPr>
      <w:rFonts w:ascii="Arial" w:hAnsi="Arial"/>
      <w:lang w:eastAsia="en-US"/>
    </w:rPr>
  </w:style>
  <w:style w:type="paragraph" w:styleId="Heading1">
    <w:name w:val="heading 1"/>
    <w:next w:val="Normal"/>
    <w:uiPriority w:val="1"/>
    <w:qFormat/>
    <w:rsid w:val="002511A5"/>
    <w:pPr>
      <w:keepNext/>
      <w:numPr>
        <w:numId w:val="30"/>
      </w:numPr>
      <w:spacing w:after="240" w:line="470" w:lineRule="exact"/>
      <w:outlineLvl w:val="0"/>
    </w:pPr>
    <w:rPr>
      <w:rFonts w:ascii="Arial" w:hAnsi="Arial"/>
      <w:b/>
      <w:sz w:val="36"/>
      <w:lang w:eastAsia="en-US"/>
    </w:rPr>
  </w:style>
  <w:style w:type="paragraph" w:styleId="Heading2">
    <w:name w:val="heading 2"/>
    <w:next w:val="Normal"/>
    <w:uiPriority w:val="1"/>
    <w:qFormat/>
    <w:rsid w:val="002511A5"/>
    <w:pPr>
      <w:keepNext/>
      <w:spacing w:before="240" w:after="140" w:line="350" w:lineRule="exact"/>
      <w:outlineLvl w:val="1"/>
    </w:pPr>
    <w:rPr>
      <w:rFonts w:ascii="Arial" w:hAnsi="Arial"/>
      <w:b/>
      <w:sz w:val="28"/>
      <w:lang w:eastAsia="en-US"/>
    </w:rPr>
  </w:style>
  <w:style w:type="paragraph" w:styleId="Heading3">
    <w:name w:val="heading 3"/>
    <w:next w:val="Normal"/>
    <w:uiPriority w:val="1"/>
    <w:qFormat/>
    <w:rsid w:val="002511A5"/>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rsid w:val="0039785D"/>
    <w:pPr>
      <w:keepNext/>
      <w:spacing w:before="100" w:after="20" w:line="250" w:lineRule="exact"/>
      <w:outlineLvl w:val="3"/>
    </w:pPr>
    <w:rPr>
      <w:rFonts w:ascii="Arial" w:hAnsi="Arial"/>
      <w:b/>
      <w:lang w:eastAsia="en-US"/>
    </w:rPr>
  </w:style>
  <w:style w:type="paragraph" w:styleId="Heading5">
    <w:name w:val="heading 5"/>
    <w:next w:val="Normal"/>
    <w:uiPriority w:val="1"/>
    <w:qFormat/>
    <w:rsid w:val="0070638A"/>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rsid w:val="002511A5"/>
    <w:pPr>
      <w:keepNext/>
      <w:spacing w:before="60" w:after="20" w:line="250" w:lineRule="atLeast"/>
      <w:outlineLvl w:val="5"/>
    </w:pPr>
    <w:rPr>
      <w:b/>
      <w:sz w:val="20"/>
    </w:rPr>
  </w:style>
  <w:style w:type="paragraph" w:styleId="Heading7">
    <w:name w:val="heading 7"/>
    <w:basedOn w:val="Normal"/>
    <w:next w:val="Normal"/>
    <w:uiPriority w:val="1"/>
    <w:qFormat/>
    <w:rsid w:val="002511A5"/>
    <w:pPr>
      <w:spacing w:before="60" w:after="40" w:line="240" w:lineRule="atLeast"/>
      <w:outlineLvl w:val="6"/>
    </w:pPr>
    <w:rPr>
      <w:i/>
      <w:sz w:val="20"/>
    </w:rPr>
  </w:style>
  <w:style w:type="paragraph" w:styleId="Heading8">
    <w:name w:val="heading 8"/>
    <w:uiPriority w:val="1"/>
    <w:qFormat/>
    <w:rsid w:val="002511A5"/>
    <w:pPr>
      <w:spacing w:after="240" w:line="260" w:lineRule="atLeast"/>
      <w:jc w:val="center"/>
      <w:outlineLvl w:val="7"/>
    </w:pPr>
    <w:rPr>
      <w:rFonts w:ascii="Arial" w:hAnsi="Arial"/>
      <w:lang w:eastAsia="en-US"/>
    </w:rPr>
  </w:style>
  <w:style w:type="paragraph" w:styleId="Heading9">
    <w:name w:val="heading 9"/>
    <w:uiPriority w:val="1"/>
    <w:qFormat/>
    <w:rsid w:val="002511A5"/>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2"/>
    <w:semiHidden/>
    <w:unhideWhenUsed/>
    <w:rsid w:val="009B5A35"/>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2"/>
    <w:semiHidden/>
    <w:rsid w:val="009B5A35"/>
    <w:rPr>
      <w:rFonts w:ascii="Times New Roman" w:hAnsi="Times New Roman"/>
      <w:sz w:val="24"/>
      <w:szCs w:val="24"/>
      <w:lang w:eastAsia="en-US"/>
    </w:rPr>
  </w:style>
  <w:style w:type="paragraph" w:styleId="TOC4">
    <w:name w:val="toc 4"/>
    <w:basedOn w:val="Normal"/>
    <w:semiHidden/>
    <w:rsid w:val="00C63411"/>
    <w:pPr>
      <w:tabs>
        <w:tab w:val="left" w:pos="357"/>
        <w:tab w:val="right" w:pos="8250"/>
        <w:tab w:val="left" w:pos="8307"/>
      </w:tabs>
      <w:spacing w:before="40" w:after="40" w:line="260" w:lineRule="atLeast"/>
      <w:ind w:left="1554" w:right="1077" w:hanging="482"/>
    </w:pPr>
    <w:rPr>
      <w:rFonts w:ascii="Arial Bold" w:hAnsi="Arial Bold"/>
      <w:bCs/>
      <w:i/>
      <w:sz w:val="18"/>
      <w:szCs w:val="18"/>
    </w:rPr>
  </w:style>
  <w:style w:type="paragraph" w:styleId="Footer">
    <w:name w:val="footer"/>
    <w:uiPriority w:val="2"/>
    <w:rsid w:val="00322964"/>
    <w:pPr>
      <w:jc w:val="center"/>
    </w:pPr>
    <w:rPr>
      <w:rFonts w:ascii="Arial" w:hAnsi="Arial"/>
      <w:lang w:eastAsia="en-US"/>
    </w:rPr>
  </w:style>
  <w:style w:type="paragraph" w:styleId="Header">
    <w:name w:val="header"/>
    <w:uiPriority w:val="2"/>
    <w:rsid w:val="00322964"/>
    <w:rPr>
      <w:lang w:eastAsia="en-US"/>
    </w:rPr>
  </w:style>
  <w:style w:type="paragraph" w:customStyle="1" w:styleId="table1">
    <w:name w:val="table 1"/>
    <w:uiPriority w:val="2"/>
    <w:qFormat/>
    <w:rsid w:val="00322964"/>
    <w:pPr>
      <w:spacing w:before="60" w:after="60" w:line="200" w:lineRule="atLeast"/>
    </w:pPr>
    <w:rPr>
      <w:rFonts w:ascii="Arial" w:hAnsi="Arial"/>
      <w:sz w:val="16"/>
      <w:lang w:eastAsia="en-US"/>
    </w:rPr>
  </w:style>
  <w:style w:type="paragraph" w:customStyle="1" w:styleId="table1list">
    <w:name w:val="table 1 list"/>
    <w:basedOn w:val="table1"/>
    <w:uiPriority w:val="2"/>
    <w:rsid w:val="00322964"/>
    <w:pPr>
      <w:ind w:left="240" w:hanging="240"/>
    </w:pPr>
  </w:style>
  <w:style w:type="paragraph" w:styleId="FootnoteText">
    <w:name w:val="footnote text"/>
    <w:basedOn w:val="Normal"/>
    <w:uiPriority w:val="2"/>
    <w:semiHidden/>
    <w:rsid w:val="00322964"/>
    <w:pPr>
      <w:tabs>
        <w:tab w:val="left" w:pos="240"/>
      </w:tabs>
      <w:spacing w:after="80" w:line="240" w:lineRule="atLeast"/>
      <w:ind w:left="240" w:hanging="240"/>
    </w:pPr>
    <w:rPr>
      <w:sz w:val="18"/>
    </w:rPr>
  </w:style>
  <w:style w:type="character" w:styleId="Emphasis">
    <w:name w:val="Emphasis"/>
    <w:basedOn w:val="DefaultParagraphFont"/>
    <w:uiPriority w:val="20"/>
    <w:qFormat/>
    <w:rsid w:val="00322964"/>
    <w:rPr>
      <w:i/>
      <w:iCs/>
    </w:rPr>
  </w:style>
  <w:style w:type="paragraph" w:styleId="Quote">
    <w:name w:val="Quote"/>
    <w:basedOn w:val="Normal"/>
    <w:next w:val="Normal"/>
    <w:link w:val="QuoteChar"/>
    <w:uiPriority w:val="2"/>
    <w:rsid w:val="00CF4164"/>
    <w:pPr>
      <w:spacing w:line="240" w:lineRule="auto"/>
      <w:ind w:left="720" w:right="567"/>
    </w:pPr>
    <w:rPr>
      <w:sz w:val="20"/>
    </w:rPr>
  </w:style>
  <w:style w:type="character" w:customStyle="1" w:styleId="QuoteChar">
    <w:name w:val="Quote Char"/>
    <w:basedOn w:val="DefaultParagraphFont"/>
    <w:link w:val="Quote"/>
    <w:uiPriority w:val="2"/>
    <w:rsid w:val="00CF4164"/>
    <w:rPr>
      <w:rFonts w:ascii="Arial" w:hAnsi="Arial"/>
      <w:sz w:val="20"/>
      <w:lang w:eastAsia="en-US"/>
    </w:rPr>
  </w:style>
  <w:style w:type="paragraph" w:styleId="NoSpacing">
    <w:name w:val="No Spacing"/>
    <w:uiPriority w:val="2"/>
    <w:rsid w:val="00322964"/>
    <w:pPr>
      <w:jc w:val="both"/>
    </w:pPr>
    <w:rPr>
      <w:lang w:eastAsia="en-US"/>
    </w:rPr>
  </w:style>
  <w:style w:type="paragraph" w:styleId="Title">
    <w:name w:val="Title"/>
    <w:basedOn w:val="Normal"/>
    <w:next w:val="Normal"/>
    <w:link w:val="TitleChar"/>
    <w:uiPriority w:val="2"/>
    <w:rsid w:val="00322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322964"/>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sid w:val="00322964"/>
    <w:rPr>
      <w:i/>
      <w:iCs/>
      <w:color w:val="808080" w:themeColor="text1" w:themeTint="7F"/>
    </w:rPr>
  </w:style>
  <w:style w:type="character" w:styleId="IntenseEmphasis">
    <w:name w:val="Intense Emphasis"/>
    <w:basedOn w:val="DefaultParagraphFont"/>
    <w:uiPriority w:val="2"/>
    <w:rsid w:val="00322964"/>
    <w:rPr>
      <w:b/>
      <w:bCs/>
      <w:i/>
      <w:iCs/>
      <w:color w:val="4F81BD" w:themeColor="accent1"/>
    </w:rPr>
  </w:style>
  <w:style w:type="paragraph" w:styleId="IntenseQuote">
    <w:name w:val="Intense Quote"/>
    <w:basedOn w:val="Normal"/>
    <w:next w:val="Normal"/>
    <w:link w:val="IntenseQuoteChar"/>
    <w:uiPriority w:val="2"/>
    <w:rsid w:val="00322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sid w:val="00322964"/>
    <w:rPr>
      <w:b/>
      <w:bCs/>
      <w:i/>
      <w:iCs/>
      <w:color w:val="4F81BD" w:themeColor="accent1"/>
      <w:sz w:val="22"/>
      <w:lang w:eastAsia="en-US"/>
    </w:rPr>
  </w:style>
  <w:style w:type="character" w:styleId="SubtleReference">
    <w:name w:val="Subtle Reference"/>
    <w:basedOn w:val="DefaultParagraphFont"/>
    <w:uiPriority w:val="2"/>
    <w:rsid w:val="00322964"/>
    <w:rPr>
      <w:smallCaps/>
      <w:color w:val="C0504D" w:themeColor="accent2"/>
      <w:u w:val="single"/>
    </w:rPr>
  </w:style>
  <w:style w:type="character" w:styleId="IntenseReference">
    <w:name w:val="Intense Reference"/>
    <w:basedOn w:val="DefaultParagraphFont"/>
    <w:uiPriority w:val="2"/>
    <w:rsid w:val="00322964"/>
    <w:rPr>
      <w:b/>
      <w:bCs/>
      <w:smallCaps/>
      <w:color w:val="C0504D" w:themeColor="accent2"/>
      <w:spacing w:val="5"/>
      <w:u w:val="single"/>
    </w:rPr>
  </w:style>
  <w:style w:type="character" w:styleId="Strong">
    <w:name w:val="Strong"/>
    <w:basedOn w:val="DefaultParagraphFont"/>
    <w:uiPriority w:val="2"/>
    <w:rsid w:val="00322964"/>
    <w:rPr>
      <w:b/>
      <w:bCs/>
    </w:rPr>
  </w:style>
  <w:style w:type="paragraph" w:styleId="Subtitle">
    <w:name w:val="Subtitle"/>
    <w:basedOn w:val="Normal"/>
    <w:next w:val="Normal"/>
    <w:link w:val="SubtitleChar"/>
    <w:uiPriority w:val="2"/>
    <w:rsid w:val="003229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sid w:val="00322964"/>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sid w:val="00322964"/>
    <w:rPr>
      <w:b/>
      <w:bCs/>
      <w:smallCaps/>
      <w:spacing w:val="5"/>
    </w:rPr>
  </w:style>
  <w:style w:type="character" w:styleId="Hyperlink">
    <w:name w:val="Hyperlink"/>
    <w:basedOn w:val="DefaultParagraphFont"/>
    <w:uiPriority w:val="2"/>
    <w:rsid w:val="006426A8"/>
    <w:rPr>
      <w:color w:val="0000FF" w:themeColor="hyperlink"/>
      <w:u w:val="single"/>
    </w:rPr>
  </w:style>
  <w:style w:type="paragraph" w:styleId="BalloonText">
    <w:name w:val="Balloon Text"/>
    <w:basedOn w:val="Normal"/>
    <w:link w:val="BalloonTextChar"/>
    <w:uiPriority w:val="2"/>
    <w:rsid w:val="00BF3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BF3EA4"/>
    <w:rPr>
      <w:rFonts w:ascii="Tahoma" w:hAnsi="Tahoma" w:cs="Tahoma"/>
      <w:sz w:val="16"/>
      <w:szCs w:val="16"/>
      <w:lang w:eastAsia="en-US"/>
    </w:rPr>
  </w:style>
  <w:style w:type="character" w:styleId="PlaceholderText">
    <w:name w:val="Placeholder Text"/>
    <w:basedOn w:val="DefaultParagraphFont"/>
    <w:uiPriority w:val="2"/>
    <w:semiHidden/>
    <w:rsid w:val="00B21A0C"/>
    <w:rPr>
      <w:color w:val="808080"/>
    </w:rPr>
  </w:style>
  <w:style w:type="table" w:styleId="TableGrid">
    <w:name w:val="Table Grid"/>
    <w:basedOn w:val="TableNormal"/>
    <w:rsid w:val="003F0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2"/>
    <w:rsid w:val="00370D14"/>
    <w:rPr>
      <w:sz w:val="16"/>
      <w:szCs w:val="16"/>
    </w:rPr>
  </w:style>
  <w:style w:type="paragraph" w:styleId="Revision">
    <w:name w:val="Revision"/>
    <w:hidden/>
    <w:uiPriority w:val="99"/>
    <w:semiHidden/>
    <w:rsid w:val="001E1BC1"/>
    <w:rPr>
      <w:lang w:eastAsia="en-US"/>
    </w:rPr>
  </w:style>
  <w:style w:type="paragraph" w:styleId="ListNumber">
    <w:name w:val="List Number"/>
    <w:basedOn w:val="Normal"/>
    <w:uiPriority w:val="2"/>
    <w:rsid w:val="0070638A"/>
    <w:pPr>
      <w:numPr>
        <w:numId w:val="29"/>
      </w:numPr>
      <w:contextualSpacing/>
    </w:pPr>
  </w:style>
  <w:style w:type="paragraph" w:styleId="Caption">
    <w:name w:val="caption"/>
    <w:basedOn w:val="Normal"/>
    <w:next w:val="Normal"/>
    <w:uiPriority w:val="2"/>
    <w:unhideWhenUsed/>
    <w:qFormat/>
    <w:rsid w:val="009B5A35"/>
    <w:rPr>
      <w:iCs/>
      <w:szCs w:val="18"/>
    </w:rPr>
  </w:style>
  <w:style w:type="paragraph" w:styleId="CommentText">
    <w:name w:val="annotation text"/>
    <w:basedOn w:val="Normal"/>
    <w:link w:val="CommentTextChar"/>
    <w:uiPriority w:val="2"/>
    <w:unhideWhenUsed/>
    <w:rsid w:val="00DF6976"/>
    <w:pPr>
      <w:spacing w:line="240" w:lineRule="auto"/>
    </w:pPr>
    <w:rPr>
      <w:sz w:val="24"/>
      <w:szCs w:val="24"/>
    </w:rPr>
  </w:style>
  <w:style w:type="character" w:customStyle="1" w:styleId="CommentTextChar">
    <w:name w:val="Comment Text Char"/>
    <w:basedOn w:val="DefaultParagraphFont"/>
    <w:link w:val="CommentText"/>
    <w:uiPriority w:val="2"/>
    <w:rsid w:val="00DF6976"/>
    <w:rPr>
      <w:rFonts w:ascii="Arial" w:hAnsi="Arial"/>
      <w:sz w:val="24"/>
      <w:szCs w:val="24"/>
      <w:lang w:eastAsia="en-US"/>
    </w:rPr>
  </w:style>
  <w:style w:type="paragraph" w:styleId="CommentSubject">
    <w:name w:val="annotation subject"/>
    <w:basedOn w:val="CommentText"/>
    <w:next w:val="CommentText"/>
    <w:link w:val="CommentSubjectChar"/>
    <w:uiPriority w:val="2"/>
    <w:semiHidden/>
    <w:unhideWhenUsed/>
    <w:rsid w:val="00A875C6"/>
    <w:rPr>
      <w:b/>
      <w:bCs/>
      <w:sz w:val="20"/>
      <w:szCs w:val="20"/>
    </w:rPr>
  </w:style>
  <w:style w:type="character" w:customStyle="1" w:styleId="CommentSubjectChar">
    <w:name w:val="Comment Subject Char"/>
    <w:basedOn w:val="CommentTextChar"/>
    <w:link w:val="CommentSubject"/>
    <w:uiPriority w:val="2"/>
    <w:semiHidden/>
    <w:rsid w:val="00A875C6"/>
    <w:rPr>
      <w:rFonts w:ascii="Arial" w:hAnsi="Arial"/>
      <w:b/>
      <w:bCs/>
      <w:sz w:val="20"/>
      <w:szCs w:val="24"/>
      <w:lang w:eastAsia="en-US"/>
    </w:rPr>
  </w:style>
  <w:style w:type="character" w:customStyle="1" w:styleId="A4">
    <w:name w:val="A4"/>
    <w:uiPriority w:val="99"/>
    <w:rsid w:val="00D166F4"/>
    <w:rPr>
      <w:rFonts w:cs="Garamond"/>
      <w:color w:val="000000"/>
    </w:rPr>
  </w:style>
  <w:style w:type="character" w:styleId="FollowedHyperlink">
    <w:name w:val="FollowedHyperlink"/>
    <w:basedOn w:val="DefaultParagraphFont"/>
    <w:uiPriority w:val="2"/>
    <w:semiHidden/>
    <w:unhideWhenUsed/>
    <w:rsid w:val="00F02649"/>
    <w:rPr>
      <w:color w:val="800080" w:themeColor="followedHyperlink"/>
      <w:u w:val="single"/>
    </w:rPr>
  </w:style>
  <w:style w:type="paragraph" w:customStyle="1" w:styleId="EndNoteBibliography">
    <w:name w:val="EndNote Bibliography"/>
    <w:basedOn w:val="Normal"/>
    <w:link w:val="EndNoteBibliographyChar"/>
    <w:rsid w:val="00FA774C"/>
    <w:pPr>
      <w:spacing w:after="120" w:line="240" w:lineRule="atLeast"/>
      <w:jc w:val="both"/>
    </w:pPr>
    <w:rPr>
      <w:rFonts w:ascii="Garamond" w:hAnsi="Garamond"/>
      <w:noProof/>
      <w:sz w:val="24"/>
      <w:lang w:val="en-US"/>
    </w:rPr>
  </w:style>
  <w:style w:type="character" w:customStyle="1" w:styleId="EndNoteBibliographyChar">
    <w:name w:val="EndNote Bibliography Char"/>
    <w:basedOn w:val="DefaultParagraphFont"/>
    <w:link w:val="EndNoteBibliography"/>
    <w:rsid w:val="00FA774C"/>
    <w:rPr>
      <w:noProof/>
      <w:sz w:val="24"/>
      <w:lang w:val="en-US" w:eastAsia="en-US"/>
    </w:rPr>
  </w:style>
  <w:style w:type="paragraph" w:styleId="ListParagraph">
    <w:name w:val="List Paragraph"/>
    <w:basedOn w:val="Normal"/>
    <w:uiPriority w:val="2"/>
    <w:qFormat/>
    <w:rsid w:val="00BE5CAF"/>
    <w:pPr>
      <w:ind w:left="720"/>
      <w:contextualSpacing/>
    </w:pPr>
  </w:style>
  <w:style w:type="paragraph" w:styleId="ListBullet">
    <w:name w:val="List Bullet"/>
    <w:basedOn w:val="Normal"/>
    <w:uiPriority w:val="2"/>
    <w:unhideWhenUsed/>
    <w:rsid w:val="008E5A00"/>
    <w:pPr>
      <w:numPr>
        <w:numId w:val="51"/>
      </w:numPr>
      <w:contextualSpacing/>
    </w:pPr>
  </w:style>
  <w:style w:type="paragraph" w:customStyle="1" w:styleId="referencelist1">
    <w:name w:val="reference list 1"/>
    <w:link w:val="referencelist1Char"/>
    <w:uiPriority w:val="2"/>
    <w:qFormat/>
    <w:rsid w:val="007F21D9"/>
    <w:pPr>
      <w:spacing w:after="120" w:line="280" w:lineRule="atLeast"/>
      <w:ind w:left="360" w:hanging="360"/>
      <w:jc w:val="both"/>
    </w:pPr>
    <w:rPr>
      <w:lang w:eastAsia="en-US"/>
    </w:rPr>
  </w:style>
  <w:style w:type="character" w:customStyle="1" w:styleId="referencelist1Char">
    <w:name w:val="reference list 1 Char"/>
    <w:basedOn w:val="DefaultParagraphFont"/>
    <w:link w:val="referencelist1"/>
    <w:uiPriority w:val="2"/>
    <w:rsid w:val="007F21D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466">
      <w:bodyDiv w:val="1"/>
      <w:marLeft w:val="0"/>
      <w:marRight w:val="0"/>
      <w:marTop w:val="0"/>
      <w:marBottom w:val="0"/>
      <w:divBdr>
        <w:top w:val="none" w:sz="0" w:space="0" w:color="auto"/>
        <w:left w:val="none" w:sz="0" w:space="0" w:color="auto"/>
        <w:bottom w:val="none" w:sz="0" w:space="0" w:color="auto"/>
        <w:right w:val="none" w:sz="0" w:space="0" w:color="auto"/>
      </w:divBdr>
    </w:div>
    <w:div w:id="230625725">
      <w:bodyDiv w:val="1"/>
      <w:marLeft w:val="0"/>
      <w:marRight w:val="0"/>
      <w:marTop w:val="0"/>
      <w:marBottom w:val="0"/>
      <w:divBdr>
        <w:top w:val="none" w:sz="0" w:space="0" w:color="auto"/>
        <w:left w:val="none" w:sz="0" w:space="0" w:color="auto"/>
        <w:bottom w:val="none" w:sz="0" w:space="0" w:color="auto"/>
        <w:right w:val="none" w:sz="0" w:space="0" w:color="auto"/>
      </w:divBdr>
    </w:div>
    <w:div w:id="482434510">
      <w:bodyDiv w:val="1"/>
      <w:marLeft w:val="0"/>
      <w:marRight w:val="0"/>
      <w:marTop w:val="0"/>
      <w:marBottom w:val="0"/>
      <w:divBdr>
        <w:top w:val="none" w:sz="0" w:space="0" w:color="auto"/>
        <w:left w:val="none" w:sz="0" w:space="0" w:color="auto"/>
        <w:bottom w:val="none" w:sz="0" w:space="0" w:color="auto"/>
        <w:right w:val="none" w:sz="0" w:space="0" w:color="auto"/>
      </w:divBdr>
    </w:div>
    <w:div w:id="803039909">
      <w:bodyDiv w:val="1"/>
      <w:marLeft w:val="0"/>
      <w:marRight w:val="0"/>
      <w:marTop w:val="0"/>
      <w:marBottom w:val="0"/>
      <w:divBdr>
        <w:top w:val="none" w:sz="0" w:space="0" w:color="auto"/>
        <w:left w:val="none" w:sz="0" w:space="0" w:color="auto"/>
        <w:bottom w:val="none" w:sz="0" w:space="0" w:color="auto"/>
        <w:right w:val="none" w:sz="0" w:space="0" w:color="auto"/>
      </w:divBdr>
    </w:div>
    <w:div w:id="986006862">
      <w:bodyDiv w:val="1"/>
      <w:marLeft w:val="0"/>
      <w:marRight w:val="0"/>
      <w:marTop w:val="0"/>
      <w:marBottom w:val="0"/>
      <w:divBdr>
        <w:top w:val="none" w:sz="0" w:space="0" w:color="auto"/>
        <w:left w:val="none" w:sz="0" w:space="0" w:color="auto"/>
        <w:bottom w:val="none" w:sz="0" w:space="0" w:color="auto"/>
        <w:right w:val="none" w:sz="0" w:space="0" w:color="auto"/>
      </w:divBdr>
    </w:div>
    <w:div w:id="1096443252">
      <w:bodyDiv w:val="1"/>
      <w:marLeft w:val="0"/>
      <w:marRight w:val="0"/>
      <w:marTop w:val="0"/>
      <w:marBottom w:val="0"/>
      <w:divBdr>
        <w:top w:val="none" w:sz="0" w:space="0" w:color="auto"/>
        <w:left w:val="none" w:sz="0" w:space="0" w:color="auto"/>
        <w:bottom w:val="none" w:sz="0" w:space="0" w:color="auto"/>
        <w:right w:val="none" w:sz="0" w:space="0" w:color="auto"/>
      </w:divBdr>
    </w:div>
    <w:div w:id="1143082681">
      <w:bodyDiv w:val="1"/>
      <w:marLeft w:val="0"/>
      <w:marRight w:val="0"/>
      <w:marTop w:val="0"/>
      <w:marBottom w:val="0"/>
      <w:divBdr>
        <w:top w:val="none" w:sz="0" w:space="0" w:color="auto"/>
        <w:left w:val="none" w:sz="0" w:space="0" w:color="auto"/>
        <w:bottom w:val="none" w:sz="0" w:space="0" w:color="auto"/>
        <w:right w:val="none" w:sz="0" w:space="0" w:color="auto"/>
      </w:divBdr>
    </w:div>
    <w:div w:id="1384715167">
      <w:bodyDiv w:val="1"/>
      <w:marLeft w:val="0"/>
      <w:marRight w:val="0"/>
      <w:marTop w:val="0"/>
      <w:marBottom w:val="0"/>
      <w:divBdr>
        <w:top w:val="none" w:sz="0" w:space="0" w:color="auto"/>
        <w:left w:val="none" w:sz="0" w:space="0" w:color="auto"/>
        <w:bottom w:val="none" w:sz="0" w:space="0" w:color="auto"/>
        <w:right w:val="none" w:sz="0" w:space="0" w:color="auto"/>
      </w:divBdr>
    </w:div>
    <w:div w:id="1479491216">
      <w:bodyDiv w:val="1"/>
      <w:marLeft w:val="0"/>
      <w:marRight w:val="0"/>
      <w:marTop w:val="0"/>
      <w:marBottom w:val="0"/>
      <w:divBdr>
        <w:top w:val="none" w:sz="0" w:space="0" w:color="auto"/>
        <w:left w:val="none" w:sz="0" w:space="0" w:color="auto"/>
        <w:bottom w:val="none" w:sz="0" w:space="0" w:color="auto"/>
        <w:right w:val="none" w:sz="0" w:space="0" w:color="auto"/>
      </w:divBdr>
    </w:div>
    <w:div w:id="1517772279">
      <w:bodyDiv w:val="1"/>
      <w:marLeft w:val="0"/>
      <w:marRight w:val="0"/>
      <w:marTop w:val="0"/>
      <w:marBottom w:val="0"/>
      <w:divBdr>
        <w:top w:val="none" w:sz="0" w:space="0" w:color="auto"/>
        <w:left w:val="none" w:sz="0" w:space="0" w:color="auto"/>
        <w:bottom w:val="none" w:sz="0" w:space="0" w:color="auto"/>
        <w:right w:val="none" w:sz="0" w:space="0" w:color="auto"/>
      </w:divBdr>
    </w:div>
    <w:div w:id="1598296318">
      <w:bodyDiv w:val="1"/>
      <w:marLeft w:val="0"/>
      <w:marRight w:val="0"/>
      <w:marTop w:val="0"/>
      <w:marBottom w:val="0"/>
      <w:divBdr>
        <w:top w:val="none" w:sz="0" w:space="0" w:color="auto"/>
        <w:left w:val="none" w:sz="0" w:space="0" w:color="auto"/>
        <w:bottom w:val="none" w:sz="0" w:space="0" w:color="auto"/>
        <w:right w:val="none" w:sz="0" w:space="0" w:color="auto"/>
      </w:divBdr>
    </w:div>
    <w:div w:id="191242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quality.gov.au/anz-guideline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nvironment.gov.au/science/supervising-scientist/publications/ss-rehabilitation-standards"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urope.org.uk/europa/view/-/id/641/"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4AD6C2E-57F2-43F6-9A1D-4EA5BCBDBBC5}"/>
</file>

<file path=customXml/itemProps2.xml><?xml version="1.0" encoding="utf-8"?>
<ds:datastoreItem xmlns:ds="http://schemas.openxmlformats.org/officeDocument/2006/customXml" ds:itemID="{4B822F4F-D8EA-4948-939B-46B17E5CB340}"/>
</file>

<file path=customXml/itemProps3.xml><?xml version="1.0" encoding="utf-8"?>
<ds:datastoreItem xmlns:ds="http://schemas.openxmlformats.org/officeDocument/2006/customXml" ds:itemID="{99968C02-6C6A-457E-976E-935C21DCC19A}"/>
</file>

<file path=docProps/app.xml><?xml version="1.0" encoding="utf-8"?>
<Properties xmlns="http://schemas.openxmlformats.org/officeDocument/2006/extended-properties" xmlns:vt="http://schemas.openxmlformats.org/officeDocument/2006/docPropsVTypes">
  <Template>Normal.dotm</Template>
  <TotalTime>0</TotalTime>
  <Pages>8</Pages>
  <Words>2502</Words>
  <Characters>15375</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Ammonia in Surface Water - Rehabilitation Standard for the Ranger uranium mine</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Ammonia in Surface Water - Rehabilitation Standard for the Ranger uranium mine</dc:title>
  <dc:creator>Supervising Scientist, Department of Agriculture, Water and the Environment</dc:creator>
  <cp:revision>2</cp:revision>
  <dcterms:created xsi:type="dcterms:W3CDTF">2021-05-17T06:30:00Z</dcterms:created>
  <dcterms:modified xsi:type="dcterms:W3CDTF">2021-05-17T06:30:00Z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