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25EA" w14:textId="6FEA90FF" w:rsidR="00506D05" w:rsidRDefault="00F0006B" w:rsidP="00506D05">
      <w:pPr>
        <w:pStyle w:val="Heading1"/>
      </w:pPr>
      <w:r>
        <w:t xml:space="preserve">Analysis of </w:t>
      </w:r>
      <w:r w:rsidR="001A3DE7">
        <w:t xml:space="preserve">Farm Management Deposits Scheme </w:t>
      </w:r>
      <w:r>
        <w:t>k</w:t>
      </w:r>
      <w:r w:rsidR="00415774">
        <w:t>ey performance indicator</w:t>
      </w:r>
      <w:r w:rsidR="00465C49">
        <w:t>s</w:t>
      </w:r>
    </w:p>
    <w:p w14:paraId="65823927" w14:textId="22BB7234" w:rsidR="00506D05" w:rsidRDefault="00546C8F" w:rsidP="00506D05">
      <w:pPr>
        <w:pStyle w:val="Subtitle"/>
      </w:pPr>
      <w:r>
        <w:t>2024</w:t>
      </w:r>
      <w:r w:rsidR="00506D05">
        <w:t>–</w:t>
      </w:r>
      <w:r>
        <w:t xml:space="preserve">25 </w:t>
      </w:r>
      <w:r w:rsidR="00506D05">
        <w:t>findings</w:t>
      </w:r>
    </w:p>
    <w:p w14:paraId="14D9858D" w14:textId="5EB9225A" w:rsidR="00506D05" w:rsidRPr="007676A8" w:rsidRDefault="00506D05" w:rsidP="007676A8">
      <w:pPr>
        <w:pStyle w:val="AuthorOrganisationAffiliation"/>
      </w:pPr>
      <w:r w:rsidRPr="007676A8">
        <w:t xml:space="preserve">Financial Policy </w:t>
      </w:r>
      <w:r w:rsidR="00EA6250">
        <w:t>and</w:t>
      </w:r>
      <w:r w:rsidRPr="007676A8">
        <w:t xml:space="preserve"> Business Support Branch</w:t>
      </w:r>
    </w:p>
    <w:p w14:paraId="1448CD7B" w14:textId="4A0B8390" w:rsidR="00506D05" w:rsidRDefault="00506D05" w:rsidP="00506D05">
      <w:pPr>
        <w:pStyle w:val="Heading2"/>
        <w:numPr>
          <w:ilvl w:val="0"/>
          <w:numId w:val="0"/>
        </w:numPr>
        <w:ind w:left="720" w:hanging="720"/>
      </w:pPr>
      <w:r>
        <w:t>Background</w:t>
      </w:r>
    </w:p>
    <w:p w14:paraId="7CA38645" w14:textId="34CB3972" w:rsidR="00E926D5" w:rsidRPr="00E926D5" w:rsidRDefault="00E926D5" w:rsidP="00E926D5">
      <w:r w:rsidRPr="00E926D5">
        <w:t>As part of ongoing monitoring and evaluation activities, the department developed revised</w:t>
      </w:r>
      <w:r w:rsidR="00476D49">
        <w:t xml:space="preserve"> key performance indicators</w:t>
      </w:r>
      <w:r w:rsidRPr="00E926D5">
        <w:t xml:space="preserve"> </w:t>
      </w:r>
      <w:r w:rsidR="00476D49">
        <w:t>(</w:t>
      </w:r>
      <w:r w:rsidRPr="00E926D5">
        <w:t>KPIs</w:t>
      </w:r>
      <w:r w:rsidR="00476D49">
        <w:t>)</w:t>
      </w:r>
      <w:r w:rsidRPr="00E926D5">
        <w:t xml:space="preserve"> for the </w:t>
      </w:r>
      <w:r w:rsidR="00476D49">
        <w:t xml:space="preserve">Farm Management Deposits (FMD) </w:t>
      </w:r>
      <w:r w:rsidRPr="00E926D5">
        <w:t xml:space="preserve">Scheme following the </w:t>
      </w:r>
      <w:hyperlink r:id="rId11" w:history="1">
        <w:r w:rsidRPr="00E926D5">
          <w:rPr>
            <w:rStyle w:val="Hyperlink"/>
          </w:rPr>
          <w:t>2021 scheme evaluation</w:t>
        </w:r>
      </w:hyperlink>
      <w:r w:rsidRPr="00E926D5">
        <w:t>:</w:t>
      </w:r>
    </w:p>
    <w:p w14:paraId="2862F77C" w14:textId="4DCF751D" w:rsidR="00E926D5" w:rsidRDefault="00E926D5" w:rsidP="00106E5D">
      <w:pPr>
        <w:pStyle w:val="ListNumber"/>
        <w:numPr>
          <w:ilvl w:val="0"/>
          <w:numId w:val="2"/>
        </w:numPr>
      </w:pPr>
      <w:r>
        <w:t>Long term, stable rolling averages or increases in number of FMD accounts and total FMD holdi</w:t>
      </w:r>
      <w:r w:rsidRPr="001559EC">
        <w:t>ngs</w:t>
      </w:r>
      <w:r w:rsidR="005F4DF8">
        <w:t>.</w:t>
      </w:r>
    </w:p>
    <w:p w14:paraId="77BD119B" w14:textId="0CC6DAC4" w:rsidR="00E926D5" w:rsidRDefault="00E926D5" w:rsidP="00106E5D">
      <w:pPr>
        <w:pStyle w:val="ListNumber"/>
        <w:numPr>
          <w:ilvl w:val="0"/>
          <w:numId w:val="2"/>
        </w:numPr>
      </w:pPr>
      <w:r>
        <w:t>A ratio that shows a positive relationship, at an industry level, between changes in farm cash income and changes in FMD holdings.</w:t>
      </w:r>
    </w:p>
    <w:p w14:paraId="08CFE11B" w14:textId="6048126C" w:rsidR="00265D45" w:rsidRDefault="00265D45" w:rsidP="00476D49">
      <w:r>
        <w:t>‘Industry level’ refers to industries for which ABARES collects farm cash income data</w:t>
      </w:r>
      <w:r w:rsidR="00AA140E">
        <w:t xml:space="preserve"> for (</w:t>
      </w:r>
      <w:r w:rsidR="00FC7C15">
        <w:t>beef, sheep, cropping</w:t>
      </w:r>
      <w:r w:rsidR="008A4680">
        <w:t>,</w:t>
      </w:r>
      <w:r w:rsidR="00FC7C15">
        <w:t xml:space="preserve"> and dairy</w:t>
      </w:r>
      <w:r w:rsidR="00AA140E">
        <w:t>)</w:t>
      </w:r>
      <w:r>
        <w:t>.</w:t>
      </w:r>
    </w:p>
    <w:p w14:paraId="44491382" w14:textId="4F764F5F" w:rsidR="00476D49" w:rsidRDefault="00476D49" w:rsidP="00476D49">
      <w:r>
        <w:t>The first KPI measure</w:t>
      </w:r>
      <w:r w:rsidR="00C43DD5">
        <w:t>s</w:t>
      </w:r>
      <w:r>
        <w:t xml:space="preserve"> stability or growth in scheme uptake over time. Confirmation of stability or growth shows the scheme provides the agriculture sector with an effective financial buffer and an increased ability for primary producers to manage risks. A 10-year rolling average is used in the calculation to account for fluctuations in scheme use between season</w:t>
      </w:r>
      <w:r w:rsidRPr="00C207AD">
        <w:t>s.</w:t>
      </w:r>
    </w:p>
    <w:p w14:paraId="00039BB3" w14:textId="77777777" w:rsidR="00A81D02" w:rsidRDefault="00476D49" w:rsidP="00476D49">
      <w:r>
        <w:t xml:space="preserve">The second KPI </w:t>
      </w:r>
      <w:r w:rsidR="00A310C0">
        <w:t>measures if</w:t>
      </w:r>
      <w:r>
        <w:t xml:space="preserve"> primary producers are using the scheme to suit their individual circumstances to manage financial risk and enhance their financial capacity. The ratio is calculated by dividing the percentage change in annual net FMD holdings by the percentage change in average farm cash income (FCI). The net change is calculated on the difference between 1</w:t>
      </w:r>
      <w:r w:rsidR="00C43DD5">
        <w:t> </w:t>
      </w:r>
      <w:r>
        <w:t>July and 30</w:t>
      </w:r>
      <w:r w:rsidR="00C43DD5">
        <w:t> </w:t>
      </w:r>
      <w:r>
        <w:t>June.</w:t>
      </w:r>
      <w:r w:rsidR="0000689D">
        <w:t xml:space="preserve"> </w:t>
      </w:r>
    </w:p>
    <w:p w14:paraId="427E36E5" w14:textId="11EE5A1C" w:rsidR="00476D49" w:rsidRDefault="00A310C0" w:rsidP="00476D49">
      <w:r>
        <w:t xml:space="preserve">Point-in-time observation of this KPI at individual industry level </w:t>
      </w:r>
      <w:r w:rsidR="00B101C2">
        <w:t>should</w:t>
      </w:r>
      <w:r>
        <w:t xml:space="preserve"> be considered in the context of prior year FCIs</w:t>
      </w:r>
      <w:r w:rsidR="00B101C2">
        <w:t xml:space="preserve"> and industry </w:t>
      </w:r>
      <w:r w:rsidR="008A0524">
        <w:t>forecast</w:t>
      </w:r>
      <w:r w:rsidR="001F2A1E">
        <w:t>s</w:t>
      </w:r>
      <w:r>
        <w:t>, as th</w:t>
      </w:r>
      <w:r w:rsidR="00B101C2">
        <w:t>ose factors</w:t>
      </w:r>
      <w:r>
        <w:t xml:space="preserve"> may influence </w:t>
      </w:r>
      <w:r w:rsidR="007A79C2">
        <w:t xml:space="preserve">a primary producer’s decision </w:t>
      </w:r>
      <w:r w:rsidR="00AD2369">
        <w:t xml:space="preserve">and capacity </w:t>
      </w:r>
      <w:r w:rsidR="007A79C2">
        <w:t xml:space="preserve">to increase or reduce their FMD holdings. </w:t>
      </w:r>
    </w:p>
    <w:p w14:paraId="7F0CD2C5" w14:textId="33E90FAA" w:rsidR="005E0988" w:rsidRDefault="00476D49" w:rsidP="00476D49">
      <w:r w:rsidRPr="00476D49">
        <w:t>The KPIs are calculated and considered annually, supported by ABARES analysis.</w:t>
      </w:r>
    </w:p>
    <w:p w14:paraId="0F0AC03B" w14:textId="77777777" w:rsidR="005E0988" w:rsidRDefault="005E0988">
      <w:pPr>
        <w:spacing w:after="0" w:line="240" w:lineRule="auto"/>
      </w:pPr>
      <w:r>
        <w:br w:type="page"/>
      </w:r>
    </w:p>
    <w:p w14:paraId="46223E8E" w14:textId="5EEDF42A" w:rsidR="00E362EF" w:rsidRPr="00C05EA8" w:rsidRDefault="0025765B" w:rsidP="00506D05">
      <w:pPr>
        <w:pStyle w:val="Heading2"/>
        <w:numPr>
          <w:ilvl w:val="0"/>
          <w:numId w:val="0"/>
        </w:numPr>
      </w:pPr>
      <w:r>
        <w:lastRenderedPageBreak/>
        <w:t>KPI 1: FMD accounts and holdings</w:t>
      </w:r>
    </w:p>
    <w:p w14:paraId="2898EA02" w14:textId="02CCECF4" w:rsidR="003E33D7" w:rsidRDefault="007722D2">
      <w:proofErr w:type="gramStart"/>
      <w:r w:rsidRPr="0079427C">
        <w:t>At</w:t>
      </w:r>
      <w:proofErr w:type="gramEnd"/>
      <w:r w:rsidRPr="0079427C">
        <w:t xml:space="preserve"> 30 June </w:t>
      </w:r>
      <w:r w:rsidR="002C2504" w:rsidRPr="0079427C">
        <w:t>202</w:t>
      </w:r>
      <w:r w:rsidR="00546C8F" w:rsidRPr="0079427C">
        <w:t>5</w:t>
      </w:r>
      <w:r w:rsidRPr="0079427C">
        <w:t>, the 10-year rolling average of accounts</w:t>
      </w:r>
      <w:r w:rsidR="00DB0604" w:rsidRPr="0079427C">
        <w:t xml:space="preserve"> r</w:t>
      </w:r>
      <w:r w:rsidRPr="0079427C">
        <w:t xml:space="preserve">emained </w:t>
      </w:r>
      <w:r w:rsidR="00733947" w:rsidRPr="0079427C">
        <w:t xml:space="preserve">relatively </w:t>
      </w:r>
      <w:r w:rsidRPr="0079427C">
        <w:t>stable</w:t>
      </w:r>
      <w:r w:rsidR="00733947" w:rsidRPr="0079427C">
        <w:t xml:space="preserve"> at approximately </w:t>
      </w:r>
      <w:r w:rsidR="006F44FE" w:rsidRPr="0079427C">
        <w:t>49</w:t>
      </w:r>
      <w:r w:rsidR="00733947" w:rsidRPr="0079427C">
        <w:t>,000 accounts</w:t>
      </w:r>
      <w:r w:rsidR="006F44FE" w:rsidRPr="0079427C">
        <w:t>, a 1% decline from 30 June 2024</w:t>
      </w:r>
      <w:r w:rsidR="00733947" w:rsidRPr="0079427C">
        <w:t xml:space="preserve">. </w:t>
      </w:r>
      <w:r w:rsidRPr="0079427C">
        <w:t>T</w:t>
      </w:r>
      <w:r w:rsidR="00CC4C6F" w:rsidRPr="0079427C">
        <w:t>he 10-year rolling average of FMD account holdings increased in real terms</w:t>
      </w:r>
      <w:r w:rsidR="00091BF4" w:rsidRPr="0079427C">
        <w:rPr>
          <w:vertAlign w:val="superscript"/>
        </w:rPr>
        <w:t xml:space="preserve"> </w:t>
      </w:r>
      <w:r w:rsidR="00CC4C6F" w:rsidRPr="0079427C">
        <w:t xml:space="preserve">by </w:t>
      </w:r>
      <w:r w:rsidR="006F44FE" w:rsidRPr="0079427C">
        <w:t>1.4</w:t>
      </w:r>
      <w:r w:rsidR="00CC4C6F" w:rsidRPr="0079427C">
        <w:t xml:space="preserve">% to </w:t>
      </w:r>
      <w:r w:rsidR="006F44FE" w:rsidRPr="0079427C">
        <w:t xml:space="preserve">approximately </w:t>
      </w:r>
      <w:r w:rsidR="00CC4C6F" w:rsidRPr="0079427C">
        <w:t>$</w:t>
      </w:r>
      <w:r w:rsidR="005E781B" w:rsidRPr="0079427C">
        <w:t>7</w:t>
      </w:r>
      <w:r w:rsidR="00733947" w:rsidRPr="0079427C">
        <w:t>.</w:t>
      </w:r>
      <w:r w:rsidR="006F44FE" w:rsidRPr="0079427C">
        <w:t>6</w:t>
      </w:r>
      <w:r w:rsidR="001559EC" w:rsidRPr="0079427C">
        <w:t> </w:t>
      </w:r>
      <w:r w:rsidR="00CC4C6F" w:rsidRPr="0079427C">
        <w:t>billion</w:t>
      </w:r>
      <w:r w:rsidR="004D70E4" w:rsidRPr="0079427C">
        <w:t>.</w:t>
      </w:r>
      <w:r w:rsidR="00465588" w:rsidRPr="0079427C">
        <w:t xml:space="preserve"> </w:t>
      </w:r>
      <w:r w:rsidR="0079427C">
        <w:t>This modest growth in the rolling average is underpinned by s</w:t>
      </w:r>
      <w:r w:rsidR="004D70E4" w:rsidRPr="0079427C">
        <w:t xml:space="preserve">trong </w:t>
      </w:r>
      <w:r w:rsidR="00D04319">
        <w:t xml:space="preserve">historical </w:t>
      </w:r>
      <w:r w:rsidR="006F44FE" w:rsidRPr="0079427C">
        <w:t xml:space="preserve">broadacre </w:t>
      </w:r>
      <w:r w:rsidR="004D70E4" w:rsidRPr="0079427C">
        <w:t>farm performance</w:t>
      </w:r>
      <w:r w:rsidR="00D04319">
        <w:t>, particularly</w:t>
      </w:r>
      <w:r w:rsidR="004D70E4" w:rsidRPr="0079427C">
        <w:t xml:space="preserve"> </w:t>
      </w:r>
      <w:r w:rsidR="006F44FE" w:rsidRPr="0079427C">
        <w:t>between 2019–20 to 2022–23</w:t>
      </w:r>
      <w:r w:rsidR="00D04319">
        <w:t>,</w:t>
      </w:r>
      <w:r w:rsidR="006F44FE" w:rsidRPr="0079427C">
        <w:t xml:space="preserve"> </w:t>
      </w:r>
      <w:r w:rsidR="004D70E4" w:rsidRPr="0079427C">
        <w:t>across much of Australia</w:t>
      </w:r>
      <w:r w:rsidR="006F44FE" w:rsidRPr="0079427C">
        <w:t xml:space="preserve"> </w:t>
      </w:r>
      <w:r w:rsidR="00F150BF" w:rsidRPr="0079427C">
        <w:t>(</w:t>
      </w:r>
      <w:r w:rsidR="000A106F" w:rsidRPr="0079427C">
        <w:fldChar w:fldCharType="begin"/>
      </w:r>
      <w:r w:rsidR="000A106F" w:rsidRPr="0079427C">
        <w:instrText xml:space="preserve"> REF _Ref177120835 \h </w:instrText>
      </w:r>
      <w:r w:rsidR="00546C8F" w:rsidRPr="0079427C">
        <w:instrText xml:space="preserve"> \* MERGEFORMAT </w:instrText>
      </w:r>
      <w:r w:rsidR="000A106F" w:rsidRPr="0079427C">
        <w:fldChar w:fldCharType="separate"/>
      </w:r>
      <w:r w:rsidR="00EF6F9D">
        <w:t xml:space="preserve">Figure </w:t>
      </w:r>
      <w:r w:rsidR="00EF6F9D">
        <w:rPr>
          <w:noProof/>
        </w:rPr>
        <w:t>1</w:t>
      </w:r>
      <w:r w:rsidR="000A106F" w:rsidRPr="0079427C">
        <w:fldChar w:fldCharType="end"/>
      </w:r>
      <w:r w:rsidR="00F150BF" w:rsidRPr="0079427C">
        <w:t>)</w:t>
      </w:r>
      <w:r w:rsidR="00733F34" w:rsidRPr="0079427C">
        <w:t>.</w:t>
      </w:r>
      <w:r w:rsidR="00465588" w:rsidRPr="0079427C">
        <w:t xml:space="preserve"> </w:t>
      </w:r>
    </w:p>
    <w:p w14:paraId="73F44B5D" w14:textId="71DC52EB" w:rsidR="004D70E4" w:rsidRDefault="00334334">
      <w:r>
        <w:t>In</w:t>
      </w:r>
      <w:r w:rsidR="00733F34" w:rsidRPr="0079427C">
        <w:t xml:space="preserve"> </w:t>
      </w:r>
      <w:r w:rsidR="009D35F8">
        <w:t>comparison</w:t>
      </w:r>
      <w:r>
        <w:t xml:space="preserve"> to the 10-year rolling average</w:t>
      </w:r>
      <w:r w:rsidR="00733F34" w:rsidRPr="0079427C">
        <w:t>,</w:t>
      </w:r>
      <w:r w:rsidR="009D35F8">
        <w:t xml:space="preserve"> </w:t>
      </w:r>
      <w:r w:rsidR="009E1AC1">
        <w:t xml:space="preserve">over the 12 months to 30 June 2025 </w:t>
      </w:r>
      <w:r w:rsidR="009D35F8">
        <w:t>FMD holdings</w:t>
      </w:r>
      <w:r w:rsidR="00B32367">
        <w:t xml:space="preserve"> rose 0.9%</w:t>
      </w:r>
      <w:r w:rsidR="009D35F8">
        <w:t xml:space="preserve"> (in nominal terms)</w:t>
      </w:r>
      <w:r w:rsidR="009D775C">
        <w:t xml:space="preserve"> </w:t>
      </w:r>
      <w:r w:rsidR="008D042F">
        <w:t xml:space="preserve">to </w:t>
      </w:r>
      <w:r w:rsidR="005F66A6">
        <w:t>~</w:t>
      </w:r>
      <w:r w:rsidR="008D042F">
        <w:t>$7.1 billion</w:t>
      </w:r>
      <w:r w:rsidR="009E1AC1">
        <w:t>,</w:t>
      </w:r>
      <w:r w:rsidR="008D042F">
        <w:t xml:space="preserve"> </w:t>
      </w:r>
      <w:r w:rsidR="009D775C">
        <w:t xml:space="preserve">reversing 2023–2024’s year-on-year decline. The increase in </w:t>
      </w:r>
      <w:r>
        <w:t xml:space="preserve">holdings in </w:t>
      </w:r>
      <w:r w:rsidR="009D775C">
        <w:t xml:space="preserve">2025 coincides with a rise in broadacre farm incomes </w:t>
      </w:r>
      <w:r w:rsidR="00733F34" w:rsidRPr="0079427C">
        <w:t xml:space="preserve">(see </w:t>
      </w:r>
      <w:hyperlink r:id="rId12" w:history="1">
        <w:r w:rsidR="008C7684" w:rsidRPr="0079427C">
          <w:rPr>
            <w:rStyle w:val="Hyperlink"/>
          </w:rPr>
          <w:t xml:space="preserve">ABARES </w:t>
        </w:r>
        <w:r w:rsidR="0079427C" w:rsidRPr="0079427C">
          <w:rPr>
            <w:rStyle w:val="Hyperlink"/>
          </w:rPr>
          <w:t>Financial performance of broadacre farms</w:t>
        </w:r>
      </w:hyperlink>
      <w:r w:rsidR="008C7684" w:rsidRPr="0079427C">
        <w:t>)</w:t>
      </w:r>
      <w:r w:rsidR="00085BC9" w:rsidRPr="0079427C">
        <w:t>.</w:t>
      </w:r>
    </w:p>
    <w:p w14:paraId="167C2225" w14:textId="31C89078" w:rsidR="00DB0604" w:rsidRDefault="00DB0604">
      <w:r>
        <w:t xml:space="preserve">Note: </w:t>
      </w:r>
      <w:r w:rsidR="00EA6250">
        <w:t>T</w:t>
      </w:r>
      <w:r>
        <w:t>he number of accounts does not indicate the number of primary producers participating in the FMD Scheme as a primary producer may hold multiple FMD accounts</w:t>
      </w:r>
      <w:r w:rsidR="006564E7">
        <w:t xml:space="preserve">, including across industries and </w:t>
      </w:r>
      <w:r>
        <w:t xml:space="preserve">with different </w:t>
      </w:r>
      <w:r w:rsidR="00EA6250">
        <w:t>authorised deposit-taking institutions (</w:t>
      </w:r>
      <w:r>
        <w:t>ADIs</w:t>
      </w:r>
      <w:r w:rsidR="00EA6250">
        <w:t>)</w:t>
      </w:r>
      <w:r>
        <w:t>.</w:t>
      </w:r>
    </w:p>
    <w:p w14:paraId="059D4698" w14:textId="17A11794" w:rsidR="003A7352" w:rsidRDefault="000A106F" w:rsidP="000A106F">
      <w:pPr>
        <w:pStyle w:val="Caption"/>
      </w:pPr>
      <w:bookmarkStart w:id="0" w:name="_Ref177120835"/>
      <w:r>
        <w:t xml:space="preserve">Figure </w:t>
      </w:r>
      <w:r>
        <w:fldChar w:fldCharType="begin"/>
      </w:r>
      <w:r>
        <w:instrText xml:space="preserve"> SEQ Figure \* ARABIC </w:instrText>
      </w:r>
      <w:r>
        <w:fldChar w:fldCharType="separate"/>
      </w:r>
      <w:r w:rsidR="00EF6F9D">
        <w:rPr>
          <w:noProof/>
        </w:rPr>
        <w:t>1</w:t>
      </w:r>
      <w:r>
        <w:fldChar w:fldCharType="end"/>
      </w:r>
      <w:bookmarkEnd w:id="0"/>
      <w:r>
        <w:rPr>
          <w:noProof/>
        </w:rPr>
        <w:t>:</w:t>
      </w:r>
      <w:r>
        <w:t xml:space="preserve"> 10-year rolling average of FMD account holdings (real terms) and number of FMD accounts, at 30 June each year</w:t>
      </w:r>
    </w:p>
    <w:p w14:paraId="49FB75BB" w14:textId="26FEB650" w:rsidR="00923DBC" w:rsidRDefault="00A8206D" w:rsidP="00923DBC">
      <w:r>
        <w:rPr>
          <w:noProof/>
        </w:rPr>
        <w:drawing>
          <wp:inline distT="0" distB="0" distL="0" distR="0" wp14:anchorId="0B23FD81" wp14:editId="43F01DB6">
            <wp:extent cx="5886450" cy="4449658"/>
            <wp:effectExtent l="0" t="0" r="0" b="8255"/>
            <wp:docPr id="720034765" name="Picture 3" descr="Line graph showing 10-year rolling averages of FMD holdings (in billions, left axis) and FMD accounts (number of accounts/holders, right axis) from 2015 to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34765" name="Picture 3" descr="Line graph showing 10-year rolling averages of FMD holdings (in billions, left axis) and FMD accounts (number of accounts/holders, right axis) from 2015 to 20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5625" cy="4471712"/>
                    </a:xfrm>
                    <a:prstGeom prst="rect">
                      <a:avLst/>
                    </a:prstGeom>
                    <a:noFill/>
                  </pic:spPr>
                </pic:pic>
              </a:graphicData>
            </a:graphic>
          </wp:inline>
        </w:drawing>
      </w:r>
    </w:p>
    <w:p w14:paraId="10A109D0" w14:textId="06F19F52" w:rsidR="00D13D8A" w:rsidRDefault="00951D18" w:rsidP="00923DBC">
      <w:pPr>
        <w:pStyle w:val="FigureTableNoteSource"/>
        <w:rPr>
          <w:szCs w:val="18"/>
        </w:rPr>
      </w:pPr>
      <w:r w:rsidRPr="00106E5D">
        <w:rPr>
          <w:szCs w:val="18"/>
        </w:rPr>
        <w:t xml:space="preserve">Note: </w:t>
      </w:r>
      <w:r w:rsidRPr="00D13D8A">
        <w:rPr>
          <w:szCs w:val="18"/>
        </w:rPr>
        <w:t xml:space="preserve">Dollar </w:t>
      </w:r>
      <w:r w:rsidRPr="00106E5D">
        <w:t>values</w:t>
      </w:r>
      <w:r w:rsidRPr="00D13D8A">
        <w:rPr>
          <w:szCs w:val="18"/>
        </w:rPr>
        <w:t xml:space="preserve"> are presented in real terms (adjusted to </w:t>
      </w:r>
      <w:r w:rsidR="00BD78A6" w:rsidRPr="00D13D8A">
        <w:rPr>
          <w:szCs w:val="18"/>
        </w:rPr>
        <w:t>202</w:t>
      </w:r>
      <w:r w:rsidR="00546C8F">
        <w:rPr>
          <w:szCs w:val="18"/>
        </w:rPr>
        <w:t>4</w:t>
      </w:r>
      <w:r w:rsidRPr="00D13D8A">
        <w:rPr>
          <w:szCs w:val="18"/>
        </w:rPr>
        <w:t>–</w:t>
      </w:r>
      <w:r w:rsidR="00BD78A6" w:rsidRPr="00D13D8A">
        <w:rPr>
          <w:szCs w:val="18"/>
        </w:rPr>
        <w:t>2</w:t>
      </w:r>
      <w:r w:rsidR="00546C8F">
        <w:rPr>
          <w:szCs w:val="18"/>
        </w:rPr>
        <w:t>5</w:t>
      </w:r>
      <w:r w:rsidR="00BD78A6" w:rsidRPr="00D13D8A">
        <w:rPr>
          <w:szCs w:val="18"/>
        </w:rPr>
        <w:t xml:space="preserve"> </w:t>
      </w:r>
      <w:r w:rsidRPr="00D13D8A">
        <w:rPr>
          <w:szCs w:val="18"/>
        </w:rPr>
        <w:t xml:space="preserve">values). Adjusting to real terms removes the effect of inflation and allows financial values across different time periods to be compared in like terms. ABARES adjusts for inflation using the </w:t>
      </w:r>
      <w:hyperlink r:id="rId14" w:history="1">
        <w:r w:rsidRPr="00D13D8A">
          <w:rPr>
            <w:rStyle w:val="Hyperlink"/>
            <w:szCs w:val="18"/>
          </w:rPr>
          <w:t>consumer price index</w:t>
        </w:r>
      </w:hyperlink>
      <w:r w:rsidRPr="00D13D8A">
        <w:rPr>
          <w:szCs w:val="18"/>
        </w:rPr>
        <w:t xml:space="preserve"> </w:t>
      </w:r>
      <w:r w:rsidR="00AB56D3">
        <w:rPr>
          <w:szCs w:val="18"/>
        </w:rPr>
        <w:t>produced</w:t>
      </w:r>
      <w:r w:rsidRPr="00D13D8A">
        <w:rPr>
          <w:szCs w:val="18"/>
        </w:rPr>
        <w:t xml:space="preserve"> by the Australian </w:t>
      </w:r>
      <w:r w:rsidRPr="00106E5D">
        <w:t>Bureau</w:t>
      </w:r>
      <w:r w:rsidRPr="00D13D8A">
        <w:rPr>
          <w:szCs w:val="18"/>
        </w:rPr>
        <w:t xml:space="preserve"> of Statistics.</w:t>
      </w:r>
    </w:p>
    <w:p w14:paraId="24889BEF" w14:textId="37F5FF0B" w:rsidR="00091BF4" w:rsidRDefault="00A656D3" w:rsidP="00106E5D">
      <w:pPr>
        <w:pStyle w:val="FigureTableNoteSource"/>
        <w:rPr>
          <w:rStyle w:val="Hyperlink"/>
          <w:szCs w:val="18"/>
        </w:rPr>
      </w:pPr>
      <w:r w:rsidRPr="00106E5D">
        <w:t>Sources</w:t>
      </w:r>
      <w:r w:rsidRPr="00A656D3">
        <w:rPr>
          <w:rFonts w:cstheme="minorHAnsi"/>
          <w:szCs w:val="18"/>
        </w:rPr>
        <w:t>:</w:t>
      </w:r>
      <w:r w:rsidRPr="00A656D3">
        <w:rPr>
          <w:szCs w:val="18"/>
        </w:rPr>
        <w:t xml:space="preserve"> </w:t>
      </w:r>
      <w:hyperlink r:id="rId15" w:history="1">
        <w:r w:rsidR="00493575" w:rsidRPr="00936D07">
          <w:rPr>
            <w:rStyle w:val="Hyperlink"/>
            <w:szCs w:val="18"/>
          </w:rPr>
          <w:t xml:space="preserve">ABARES Farm </w:t>
        </w:r>
        <w:r w:rsidR="00936D07" w:rsidRPr="00936D07">
          <w:rPr>
            <w:rStyle w:val="Hyperlink"/>
            <w:szCs w:val="18"/>
          </w:rPr>
          <w:t>data</w:t>
        </w:r>
        <w:r w:rsidR="00936D07" w:rsidRPr="00936D07">
          <w:rPr>
            <w:rStyle w:val="Hyperlink"/>
          </w:rPr>
          <w:t xml:space="preserve"> portal</w:t>
        </w:r>
      </w:hyperlink>
      <w:r w:rsidR="00493575">
        <w:rPr>
          <w:szCs w:val="18"/>
        </w:rPr>
        <w:t xml:space="preserve">, </w:t>
      </w:r>
      <w:r w:rsidRPr="00A656D3">
        <w:rPr>
          <w:szCs w:val="18"/>
        </w:rPr>
        <w:t xml:space="preserve">and </w:t>
      </w:r>
      <w:hyperlink r:id="rId16" w:history="1">
        <w:r w:rsidRPr="00A656D3">
          <w:rPr>
            <w:rStyle w:val="Hyperlink"/>
            <w:szCs w:val="18"/>
          </w:rPr>
          <w:t>DAFF FMD statistics</w:t>
        </w:r>
      </w:hyperlink>
    </w:p>
    <w:p w14:paraId="36F06401" w14:textId="425529FD" w:rsidR="0006211F" w:rsidRDefault="0025765B" w:rsidP="0062708B">
      <w:pPr>
        <w:pStyle w:val="Heading2"/>
        <w:pageBreakBefore/>
        <w:numPr>
          <w:ilvl w:val="0"/>
          <w:numId w:val="0"/>
        </w:numPr>
      </w:pPr>
      <w:bookmarkStart w:id="1" w:name="_Toc430782151"/>
      <w:bookmarkStart w:id="2" w:name="_Toc511376519"/>
      <w:r>
        <w:lastRenderedPageBreak/>
        <w:t xml:space="preserve">KPI 2: </w:t>
      </w:r>
      <w:r w:rsidR="001723FB">
        <w:t>F</w:t>
      </w:r>
      <w:r>
        <w:t>arm cash income and FMD holdings</w:t>
      </w:r>
    </w:p>
    <w:p w14:paraId="46867A2C" w14:textId="34C6AD9E" w:rsidR="004875CC" w:rsidRPr="00CB325E" w:rsidRDefault="008F70A7" w:rsidP="008F70A7">
      <w:r w:rsidRPr="00CB325E">
        <w:t xml:space="preserve">For </w:t>
      </w:r>
      <w:r w:rsidR="002C2504" w:rsidRPr="00CB325E">
        <w:t>202</w:t>
      </w:r>
      <w:r w:rsidR="006673D2" w:rsidRPr="00CB325E">
        <w:t>4</w:t>
      </w:r>
      <w:r w:rsidRPr="00CB325E">
        <w:t>–</w:t>
      </w:r>
      <w:r w:rsidR="002C2504" w:rsidRPr="00CB325E">
        <w:t>2</w:t>
      </w:r>
      <w:r w:rsidR="006673D2" w:rsidRPr="00CB325E">
        <w:t>5</w:t>
      </w:r>
      <w:r w:rsidRPr="00CB325E">
        <w:t>, a</w:t>
      </w:r>
      <w:r w:rsidR="00CB325E" w:rsidRPr="00CB325E">
        <w:t xml:space="preserve"> positive </w:t>
      </w:r>
      <w:r w:rsidRPr="00CB325E">
        <w:t xml:space="preserve">relationship between changes in </w:t>
      </w:r>
      <w:r w:rsidR="007C4F07" w:rsidRPr="00CB325E">
        <w:t>farm cash income (</w:t>
      </w:r>
      <w:r w:rsidRPr="00CB325E">
        <w:t>FCI</w:t>
      </w:r>
      <w:r w:rsidR="007C4F07" w:rsidRPr="00CB325E">
        <w:t>)</w:t>
      </w:r>
      <w:r w:rsidRPr="00CB325E">
        <w:t xml:space="preserve"> and FMD holdings was observed </w:t>
      </w:r>
      <w:r w:rsidR="00CF4937">
        <w:t xml:space="preserve">for the </w:t>
      </w:r>
      <w:r w:rsidR="00CB325E" w:rsidRPr="00CB325E">
        <w:t>cropping</w:t>
      </w:r>
      <w:r w:rsidR="00CF4937">
        <w:t xml:space="preserve"> </w:t>
      </w:r>
      <w:r w:rsidR="00CD46AB">
        <w:t xml:space="preserve">and dairy </w:t>
      </w:r>
      <w:r w:rsidR="00CF4937">
        <w:t>industr</w:t>
      </w:r>
      <w:r w:rsidR="00CD46AB">
        <w:t>ies</w:t>
      </w:r>
      <w:r w:rsidR="00CB325E" w:rsidRPr="00CB325E">
        <w:t xml:space="preserve"> only. All other industries displayed a negative ratio, where FMD holdings fell despite </w:t>
      </w:r>
      <w:r w:rsidR="00BA194B">
        <w:t>considerable</w:t>
      </w:r>
      <w:r w:rsidR="00CB325E" w:rsidRPr="00CB325E">
        <w:t xml:space="preserve"> increases in average </w:t>
      </w:r>
      <w:r w:rsidR="00094AF0">
        <w:t>FCIs</w:t>
      </w:r>
      <w:r w:rsidR="00CB325E" w:rsidRPr="00CB325E">
        <w:t xml:space="preserve"> across measured industries </w:t>
      </w:r>
      <w:r w:rsidR="00C65874" w:rsidRPr="00CB325E">
        <w:t>(</w:t>
      </w:r>
      <w:r w:rsidR="000A106F" w:rsidRPr="00CB325E">
        <w:fldChar w:fldCharType="begin"/>
      </w:r>
      <w:r w:rsidR="000A106F" w:rsidRPr="00CB325E">
        <w:instrText xml:space="preserve"> REF _Ref177120917 \h </w:instrText>
      </w:r>
      <w:r w:rsidR="00084B76" w:rsidRPr="00CB325E">
        <w:instrText xml:space="preserve"> \* MERGEFORMAT </w:instrText>
      </w:r>
      <w:r w:rsidR="000A106F" w:rsidRPr="00CB325E">
        <w:fldChar w:fldCharType="separate"/>
      </w:r>
      <w:r w:rsidR="00EF6F9D" w:rsidRPr="00634771">
        <w:t xml:space="preserve">Table </w:t>
      </w:r>
      <w:r w:rsidR="00EF6F9D">
        <w:rPr>
          <w:noProof/>
        </w:rPr>
        <w:t>1</w:t>
      </w:r>
      <w:r w:rsidR="000A106F" w:rsidRPr="00CB325E">
        <w:fldChar w:fldCharType="end"/>
      </w:r>
      <w:r w:rsidR="00C65874" w:rsidRPr="00CB325E">
        <w:t>)</w:t>
      </w:r>
      <w:r w:rsidR="00871456" w:rsidRPr="00CB325E">
        <w:t>.</w:t>
      </w:r>
      <w:r w:rsidR="006673D2" w:rsidRPr="00CB325E">
        <w:t xml:space="preserve"> </w:t>
      </w:r>
    </w:p>
    <w:p w14:paraId="5136B424" w14:textId="3897AED5" w:rsidR="008F70A7" w:rsidRPr="00634771" w:rsidRDefault="000A106F" w:rsidP="000A106F">
      <w:pPr>
        <w:pStyle w:val="Caption"/>
      </w:pPr>
      <w:bookmarkStart w:id="3" w:name="_Ref177120917"/>
      <w:r w:rsidRPr="00634771">
        <w:t xml:space="preserve">Table </w:t>
      </w:r>
      <w:r w:rsidRPr="00634771">
        <w:fldChar w:fldCharType="begin"/>
      </w:r>
      <w:r w:rsidRPr="00634771">
        <w:instrText xml:space="preserve"> SEQ Table \* ARABIC </w:instrText>
      </w:r>
      <w:r w:rsidRPr="00634771">
        <w:fldChar w:fldCharType="separate"/>
      </w:r>
      <w:r w:rsidR="00EF6F9D">
        <w:rPr>
          <w:noProof/>
        </w:rPr>
        <w:t>1</w:t>
      </w:r>
      <w:r w:rsidRPr="00634771">
        <w:fldChar w:fldCharType="end"/>
      </w:r>
      <w:bookmarkEnd w:id="3"/>
      <w:r w:rsidRPr="00634771">
        <w:rPr>
          <w:noProof/>
        </w:rPr>
        <w:t>:</w:t>
      </w:r>
      <w:r w:rsidRPr="00634771">
        <w:t xml:space="preserve"> Ratio of annual percentage change in FMD holdings to annual percentage change in farm cash income (FCI), 30 June 202</w:t>
      </w:r>
      <w:r w:rsidR="00634771" w:rsidRPr="00634771">
        <w:t>5</w:t>
      </w:r>
    </w:p>
    <w:tbl>
      <w:tblPr>
        <w:tblW w:w="4923"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Description w:val="A table showing the ratio of annual pervcentage change in FMD holdings to annual percentage change in farm cash income to 30 June 2023."/>
      </w:tblPr>
      <w:tblGrid>
        <w:gridCol w:w="1524"/>
        <w:gridCol w:w="2009"/>
        <w:gridCol w:w="2788"/>
        <w:gridCol w:w="2609"/>
      </w:tblGrid>
      <w:tr w:rsidR="006435ED" w:rsidRPr="00634771" w14:paraId="38F6C5D3" w14:textId="77777777" w:rsidTr="00CD3D12">
        <w:trPr>
          <w:tblHeader/>
        </w:trPr>
        <w:tc>
          <w:tcPr>
            <w:tcW w:w="853" w:type="pct"/>
          </w:tcPr>
          <w:p w14:paraId="6E5CE8AD" w14:textId="38F3FBAA" w:rsidR="006435ED" w:rsidRPr="00634771" w:rsidRDefault="006435ED" w:rsidP="00AC4B62">
            <w:pPr>
              <w:pStyle w:val="TableHeading"/>
            </w:pPr>
            <w:r w:rsidRPr="00634771">
              <w:t>Industry</w:t>
            </w:r>
          </w:p>
        </w:tc>
        <w:tc>
          <w:tcPr>
            <w:tcW w:w="1125" w:type="pct"/>
            <w:tcMar>
              <w:left w:w="108" w:type="dxa"/>
              <w:right w:w="108" w:type="dxa"/>
            </w:tcMar>
          </w:tcPr>
          <w:p w14:paraId="7D571CC5" w14:textId="7774F642" w:rsidR="006435ED" w:rsidRPr="00634771" w:rsidRDefault="006435ED" w:rsidP="00CD3D12">
            <w:pPr>
              <w:pStyle w:val="TableHeading"/>
              <w:ind w:left="-75" w:right="-21"/>
              <w:jc w:val="right"/>
            </w:pPr>
            <w:r w:rsidRPr="00634771">
              <w:t>Annual % change in FCI</w:t>
            </w:r>
          </w:p>
        </w:tc>
        <w:tc>
          <w:tcPr>
            <w:tcW w:w="1561" w:type="pct"/>
            <w:tcMar>
              <w:left w:w="108" w:type="dxa"/>
              <w:right w:w="108" w:type="dxa"/>
            </w:tcMar>
          </w:tcPr>
          <w:p w14:paraId="11F7AF60" w14:textId="6B7EC62C" w:rsidR="006435ED" w:rsidRPr="00634771" w:rsidRDefault="006435ED">
            <w:pPr>
              <w:pStyle w:val="TableHeading"/>
              <w:jc w:val="right"/>
            </w:pPr>
            <w:r w:rsidRPr="00634771">
              <w:t>Annual % change in FMD holdings</w:t>
            </w:r>
          </w:p>
        </w:tc>
        <w:tc>
          <w:tcPr>
            <w:tcW w:w="1461" w:type="pct"/>
            <w:tcMar>
              <w:left w:w="108" w:type="dxa"/>
              <w:right w:w="108" w:type="dxa"/>
            </w:tcMar>
          </w:tcPr>
          <w:p w14:paraId="660FA873" w14:textId="14E9BE37" w:rsidR="006435ED" w:rsidRPr="00634771" w:rsidRDefault="006435ED">
            <w:pPr>
              <w:pStyle w:val="TableHeading"/>
              <w:jc w:val="right"/>
            </w:pPr>
            <w:r w:rsidRPr="00634771">
              <w:t>Ratio of annual % change in FMD holdings to annual % change in FCI</w:t>
            </w:r>
          </w:p>
        </w:tc>
      </w:tr>
      <w:tr w:rsidR="006435ED" w:rsidRPr="00634771" w14:paraId="28840E6B" w14:textId="77777777" w:rsidTr="00CD3D12">
        <w:tc>
          <w:tcPr>
            <w:tcW w:w="853" w:type="pct"/>
            <w:tcMar>
              <w:left w:w="108" w:type="dxa"/>
              <w:right w:w="108" w:type="dxa"/>
            </w:tcMar>
          </w:tcPr>
          <w:p w14:paraId="251C4A92" w14:textId="07219D04" w:rsidR="006435ED" w:rsidRPr="00634771" w:rsidRDefault="006435ED">
            <w:pPr>
              <w:pStyle w:val="TableText"/>
            </w:pPr>
            <w:r w:rsidRPr="00634771">
              <w:t>Beef</w:t>
            </w:r>
          </w:p>
        </w:tc>
        <w:tc>
          <w:tcPr>
            <w:tcW w:w="1125" w:type="pct"/>
            <w:tcMar>
              <w:left w:w="108" w:type="dxa"/>
              <w:right w:w="108" w:type="dxa"/>
            </w:tcMar>
          </w:tcPr>
          <w:p w14:paraId="49658F64" w14:textId="60470232" w:rsidR="006435ED" w:rsidRPr="00634771" w:rsidRDefault="00CF4937">
            <w:pPr>
              <w:pStyle w:val="TableText"/>
              <w:jc w:val="right"/>
            </w:pPr>
            <w:r>
              <w:t>141.5</w:t>
            </w:r>
            <w:r w:rsidRPr="00634771">
              <w:t>%</w:t>
            </w:r>
            <w:r>
              <w:t xml:space="preserve"> </w:t>
            </w:r>
          </w:p>
        </w:tc>
        <w:tc>
          <w:tcPr>
            <w:tcW w:w="1561" w:type="pct"/>
            <w:tcMar>
              <w:left w:w="108" w:type="dxa"/>
              <w:right w:w="108" w:type="dxa"/>
            </w:tcMar>
          </w:tcPr>
          <w:p w14:paraId="583ACCB0" w14:textId="1F2C336C" w:rsidR="006435ED" w:rsidRPr="00634771" w:rsidRDefault="00CF4937">
            <w:pPr>
              <w:pStyle w:val="TableText"/>
              <w:jc w:val="right"/>
            </w:pPr>
            <w:r w:rsidRPr="00634771">
              <w:t>−</w:t>
            </w:r>
            <w:r>
              <w:t>2.5</w:t>
            </w:r>
            <w:r w:rsidRPr="00634771">
              <w:t>%</w:t>
            </w:r>
          </w:p>
        </w:tc>
        <w:tc>
          <w:tcPr>
            <w:tcW w:w="1461" w:type="pct"/>
            <w:tcMar>
              <w:left w:w="108" w:type="dxa"/>
              <w:right w:w="108" w:type="dxa"/>
            </w:tcMar>
          </w:tcPr>
          <w:p w14:paraId="62CB6236" w14:textId="261A7735" w:rsidR="006435ED" w:rsidRPr="00634771" w:rsidRDefault="00173F26">
            <w:pPr>
              <w:pStyle w:val="TableText"/>
              <w:jc w:val="right"/>
            </w:pPr>
            <w:r>
              <w:t>-0.02</w:t>
            </w:r>
          </w:p>
        </w:tc>
      </w:tr>
      <w:tr w:rsidR="006435ED" w:rsidRPr="00634771" w14:paraId="5B2715ED" w14:textId="77777777" w:rsidTr="00CD3D12">
        <w:tc>
          <w:tcPr>
            <w:tcW w:w="853" w:type="pct"/>
            <w:tcMar>
              <w:left w:w="108" w:type="dxa"/>
              <w:right w:w="108" w:type="dxa"/>
            </w:tcMar>
          </w:tcPr>
          <w:p w14:paraId="7B37B251" w14:textId="42855757" w:rsidR="006435ED" w:rsidRPr="00634771" w:rsidRDefault="006435ED">
            <w:pPr>
              <w:pStyle w:val="TableText"/>
            </w:pPr>
            <w:r w:rsidRPr="00634771">
              <w:t>Sheep</w:t>
            </w:r>
          </w:p>
        </w:tc>
        <w:tc>
          <w:tcPr>
            <w:tcW w:w="1125" w:type="pct"/>
            <w:tcMar>
              <w:left w:w="108" w:type="dxa"/>
              <w:right w:w="108" w:type="dxa"/>
            </w:tcMar>
          </w:tcPr>
          <w:p w14:paraId="22C0C10B" w14:textId="420C24A8" w:rsidR="006435ED" w:rsidRPr="00634771" w:rsidRDefault="00CF4937">
            <w:pPr>
              <w:pStyle w:val="TableText"/>
              <w:jc w:val="right"/>
            </w:pPr>
            <w:r>
              <w:t xml:space="preserve"> 151.1</w:t>
            </w:r>
            <w:r w:rsidRPr="00634771">
              <w:t>%</w:t>
            </w:r>
            <w:r>
              <w:t xml:space="preserve"> </w:t>
            </w:r>
          </w:p>
        </w:tc>
        <w:tc>
          <w:tcPr>
            <w:tcW w:w="1561" w:type="pct"/>
            <w:tcMar>
              <w:left w:w="108" w:type="dxa"/>
              <w:right w:w="108" w:type="dxa"/>
            </w:tcMar>
          </w:tcPr>
          <w:p w14:paraId="57BA80F6" w14:textId="66E72416" w:rsidR="006435ED" w:rsidRPr="00634771" w:rsidRDefault="00CF4937">
            <w:pPr>
              <w:pStyle w:val="TableText"/>
              <w:jc w:val="right"/>
            </w:pPr>
            <w:r>
              <w:t>-4.4</w:t>
            </w:r>
            <w:r w:rsidRPr="00634771">
              <w:t>%</w:t>
            </w:r>
          </w:p>
        </w:tc>
        <w:tc>
          <w:tcPr>
            <w:tcW w:w="1461" w:type="pct"/>
            <w:tcMar>
              <w:left w:w="108" w:type="dxa"/>
              <w:right w:w="108" w:type="dxa"/>
            </w:tcMar>
          </w:tcPr>
          <w:p w14:paraId="28F23F86" w14:textId="6AA443F7" w:rsidR="006435ED" w:rsidRPr="00634771" w:rsidRDefault="00173F26">
            <w:pPr>
              <w:pStyle w:val="TableText"/>
              <w:jc w:val="right"/>
            </w:pPr>
            <w:r>
              <w:t>-0.03</w:t>
            </w:r>
          </w:p>
        </w:tc>
      </w:tr>
      <w:tr w:rsidR="006435ED" w:rsidRPr="00634771" w14:paraId="60569357" w14:textId="77777777" w:rsidTr="00CD3D12">
        <w:tc>
          <w:tcPr>
            <w:tcW w:w="853" w:type="pct"/>
            <w:tcMar>
              <w:left w:w="108" w:type="dxa"/>
              <w:right w:w="108" w:type="dxa"/>
            </w:tcMar>
          </w:tcPr>
          <w:p w14:paraId="40DDCD91" w14:textId="58AF3E20" w:rsidR="006435ED" w:rsidRPr="00634771" w:rsidRDefault="006435ED">
            <w:pPr>
              <w:pStyle w:val="TableText"/>
            </w:pPr>
            <w:r w:rsidRPr="00634771">
              <w:t xml:space="preserve">Cropping </w:t>
            </w:r>
            <w:r w:rsidR="00017A82" w:rsidRPr="00634771">
              <w:rPr>
                <w:vertAlign w:val="superscript"/>
              </w:rPr>
              <w:t>a</w:t>
            </w:r>
          </w:p>
        </w:tc>
        <w:tc>
          <w:tcPr>
            <w:tcW w:w="1125" w:type="pct"/>
            <w:tcMar>
              <w:left w:w="108" w:type="dxa"/>
              <w:right w:w="108" w:type="dxa"/>
            </w:tcMar>
          </w:tcPr>
          <w:p w14:paraId="18240A39" w14:textId="649125FE" w:rsidR="006435ED" w:rsidRPr="00634771" w:rsidRDefault="00CF4937">
            <w:pPr>
              <w:pStyle w:val="TableText"/>
              <w:jc w:val="right"/>
            </w:pPr>
            <w:r>
              <w:t>61.6</w:t>
            </w:r>
            <w:r w:rsidRPr="00634771">
              <w:t>%</w:t>
            </w:r>
            <w:r>
              <w:t xml:space="preserve"> </w:t>
            </w:r>
          </w:p>
        </w:tc>
        <w:tc>
          <w:tcPr>
            <w:tcW w:w="1561" w:type="pct"/>
            <w:tcMar>
              <w:left w:w="108" w:type="dxa"/>
              <w:right w:w="108" w:type="dxa"/>
            </w:tcMar>
          </w:tcPr>
          <w:p w14:paraId="39A8D851" w14:textId="2F6B74F7" w:rsidR="006435ED" w:rsidRPr="00634771" w:rsidRDefault="00CF4937">
            <w:pPr>
              <w:pStyle w:val="TableText"/>
              <w:jc w:val="right"/>
            </w:pPr>
            <w:r>
              <w:t>0.8</w:t>
            </w:r>
            <w:r w:rsidRPr="00634771">
              <w:t>%</w:t>
            </w:r>
          </w:p>
        </w:tc>
        <w:tc>
          <w:tcPr>
            <w:tcW w:w="1461" w:type="pct"/>
            <w:tcMar>
              <w:left w:w="108" w:type="dxa"/>
              <w:right w:w="108" w:type="dxa"/>
            </w:tcMar>
          </w:tcPr>
          <w:p w14:paraId="1D7F6A54" w14:textId="4901D1A9" w:rsidR="006435ED" w:rsidRPr="00634771" w:rsidRDefault="00173F26">
            <w:pPr>
              <w:pStyle w:val="TableText"/>
              <w:jc w:val="right"/>
            </w:pPr>
            <w:r>
              <w:t>0.01</w:t>
            </w:r>
          </w:p>
        </w:tc>
      </w:tr>
      <w:tr w:rsidR="006435ED" w:rsidRPr="00634771" w14:paraId="149BBAAD" w14:textId="77777777" w:rsidTr="00CD3D12">
        <w:tc>
          <w:tcPr>
            <w:tcW w:w="853" w:type="pct"/>
            <w:tcMar>
              <w:left w:w="108" w:type="dxa"/>
              <w:right w:w="108" w:type="dxa"/>
            </w:tcMar>
          </w:tcPr>
          <w:p w14:paraId="551777C7" w14:textId="40BE61A3" w:rsidR="006435ED" w:rsidRPr="00634771" w:rsidRDefault="006435ED">
            <w:pPr>
              <w:pStyle w:val="TableText"/>
            </w:pPr>
            <w:r w:rsidRPr="00634771">
              <w:t>Sheep-beef</w:t>
            </w:r>
          </w:p>
        </w:tc>
        <w:tc>
          <w:tcPr>
            <w:tcW w:w="1125" w:type="pct"/>
            <w:tcMar>
              <w:left w:w="108" w:type="dxa"/>
              <w:right w:w="108" w:type="dxa"/>
            </w:tcMar>
          </w:tcPr>
          <w:p w14:paraId="005AF359" w14:textId="3D142BEF" w:rsidR="006435ED" w:rsidRPr="00634771" w:rsidRDefault="004515EE">
            <w:pPr>
              <w:pStyle w:val="TableText"/>
              <w:jc w:val="right"/>
            </w:pPr>
            <w:r>
              <w:t>115.8</w:t>
            </w:r>
            <w:r w:rsidRPr="00634771">
              <w:t>%</w:t>
            </w:r>
          </w:p>
        </w:tc>
        <w:tc>
          <w:tcPr>
            <w:tcW w:w="1561" w:type="pct"/>
            <w:tcMar>
              <w:left w:w="108" w:type="dxa"/>
              <w:right w:w="108" w:type="dxa"/>
            </w:tcMar>
          </w:tcPr>
          <w:p w14:paraId="3C365FF2" w14:textId="49E656A0" w:rsidR="006435ED" w:rsidRPr="00634771" w:rsidRDefault="004515EE">
            <w:pPr>
              <w:pStyle w:val="TableText"/>
              <w:jc w:val="right"/>
            </w:pPr>
            <w:r>
              <w:t>-9.1</w:t>
            </w:r>
            <w:r w:rsidRPr="00634771">
              <w:t>%</w:t>
            </w:r>
          </w:p>
        </w:tc>
        <w:tc>
          <w:tcPr>
            <w:tcW w:w="1461" w:type="pct"/>
            <w:tcMar>
              <w:left w:w="108" w:type="dxa"/>
              <w:right w:w="108" w:type="dxa"/>
            </w:tcMar>
          </w:tcPr>
          <w:p w14:paraId="0D0B8CC1" w14:textId="2F505715" w:rsidR="006435ED" w:rsidRPr="00634771" w:rsidRDefault="00173F26">
            <w:pPr>
              <w:pStyle w:val="TableText"/>
              <w:jc w:val="right"/>
            </w:pPr>
            <w:r>
              <w:t>-0.08</w:t>
            </w:r>
          </w:p>
        </w:tc>
      </w:tr>
      <w:tr w:rsidR="006435ED" w:rsidRPr="00634771" w14:paraId="755256F4" w14:textId="77777777" w:rsidTr="00CD3D12">
        <w:tc>
          <w:tcPr>
            <w:tcW w:w="853" w:type="pct"/>
            <w:tcMar>
              <w:left w:w="108" w:type="dxa"/>
              <w:right w:w="108" w:type="dxa"/>
            </w:tcMar>
          </w:tcPr>
          <w:p w14:paraId="22E54FE4" w14:textId="5315A965" w:rsidR="006435ED" w:rsidRPr="00634771" w:rsidRDefault="006435ED">
            <w:pPr>
              <w:pStyle w:val="TableText"/>
            </w:pPr>
            <w:r w:rsidRPr="00634771">
              <w:t xml:space="preserve">Mixed livestock and cropping </w:t>
            </w:r>
            <w:r w:rsidR="00017A82" w:rsidRPr="00634771">
              <w:rPr>
                <w:vertAlign w:val="superscript"/>
              </w:rPr>
              <w:t>b</w:t>
            </w:r>
          </w:p>
        </w:tc>
        <w:tc>
          <w:tcPr>
            <w:tcW w:w="1125" w:type="pct"/>
            <w:tcMar>
              <w:left w:w="108" w:type="dxa"/>
              <w:right w:w="108" w:type="dxa"/>
            </w:tcMar>
          </w:tcPr>
          <w:p w14:paraId="5236AF6D" w14:textId="43278A0C" w:rsidR="006435ED" w:rsidRPr="00634771" w:rsidRDefault="004515EE">
            <w:pPr>
              <w:pStyle w:val="TableText"/>
              <w:jc w:val="right"/>
            </w:pPr>
            <w:r>
              <w:t>175.4</w:t>
            </w:r>
            <w:r w:rsidRPr="00634771">
              <w:t>%</w:t>
            </w:r>
          </w:p>
        </w:tc>
        <w:tc>
          <w:tcPr>
            <w:tcW w:w="1561" w:type="pct"/>
            <w:tcMar>
              <w:left w:w="108" w:type="dxa"/>
              <w:right w:w="108" w:type="dxa"/>
            </w:tcMar>
          </w:tcPr>
          <w:p w14:paraId="16F4BB06" w14:textId="5EE7D35C" w:rsidR="006435ED" w:rsidRPr="00634771" w:rsidRDefault="004515EE">
            <w:pPr>
              <w:pStyle w:val="TableText"/>
              <w:jc w:val="right"/>
            </w:pPr>
            <w:r>
              <w:t>-4.3</w:t>
            </w:r>
            <w:r w:rsidRPr="00634771">
              <w:t>%</w:t>
            </w:r>
          </w:p>
        </w:tc>
        <w:tc>
          <w:tcPr>
            <w:tcW w:w="1461" w:type="pct"/>
            <w:tcMar>
              <w:left w:w="108" w:type="dxa"/>
              <w:right w:w="108" w:type="dxa"/>
            </w:tcMar>
          </w:tcPr>
          <w:p w14:paraId="45B7812A" w14:textId="0691BAA6" w:rsidR="006435ED" w:rsidRPr="00634771" w:rsidRDefault="00173F26">
            <w:pPr>
              <w:pStyle w:val="TableText"/>
              <w:jc w:val="right"/>
            </w:pPr>
            <w:r>
              <w:t>-0.02</w:t>
            </w:r>
          </w:p>
        </w:tc>
      </w:tr>
      <w:tr w:rsidR="006435ED" w:rsidRPr="00634771" w14:paraId="5CF343FA" w14:textId="77777777" w:rsidTr="00CD3D12">
        <w:tc>
          <w:tcPr>
            <w:tcW w:w="853" w:type="pct"/>
            <w:tcMar>
              <w:left w:w="108" w:type="dxa"/>
              <w:right w:w="108" w:type="dxa"/>
            </w:tcMar>
          </w:tcPr>
          <w:p w14:paraId="28A5D6C4" w14:textId="3C53793E" w:rsidR="006435ED" w:rsidRPr="00634771" w:rsidRDefault="006435ED" w:rsidP="006435ED">
            <w:pPr>
              <w:pStyle w:val="TableText"/>
              <w:rPr>
                <w:b/>
                <w:bCs/>
              </w:rPr>
            </w:pPr>
            <w:r w:rsidRPr="00634771">
              <w:rPr>
                <w:b/>
                <w:bCs/>
              </w:rPr>
              <w:t>Total broadacre</w:t>
            </w:r>
            <w:r w:rsidR="00D13D8A" w:rsidRPr="00634771">
              <w:rPr>
                <w:b/>
                <w:bCs/>
              </w:rPr>
              <w:t xml:space="preserve"> </w:t>
            </w:r>
            <w:r w:rsidR="00017A82" w:rsidRPr="00634771">
              <w:rPr>
                <w:b/>
                <w:bCs/>
                <w:vertAlign w:val="superscript"/>
              </w:rPr>
              <w:t>c</w:t>
            </w:r>
          </w:p>
        </w:tc>
        <w:tc>
          <w:tcPr>
            <w:tcW w:w="1125" w:type="pct"/>
            <w:tcMar>
              <w:left w:w="108" w:type="dxa"/>
              <w:right w:w="108" w:type="dxa"/>
            </w:tcMar>
          </w:tcPr>
          <w:p w14:paraId="7D2CF5FD" w14:textId="3453FA30" w:rsidR="006435ED" w:rsidRPr="00634771" w:rsidRDefault="004515EE" w:rsidP="006435ED">
            <w:pPr>
              <w:pStyle w:val="TableText"/>
              <w:jc w:val="right"/>
            </w:pPr>
            <w:r>
              <w:t>87.2</w:t>
            </w:r>
            <w:r w:rsidRPr="00634771">
              <w:t>%</w:t>
            </w:r>
            <w:r>
              <w:t xml:space="preserve"> </w:t>
            </w:r>
          </w:p>
        </w:tc>
        <w:tc>
          <w:tcPr>
            <w:tcW w:w="1561" w:type="pct"/>
            <w:tcMar>
              <w:left w:w="108" w:type="dxa"/>
              <w:right w:w="108" w:type="dxa"/>
            </w:tcMar>
          </w:tcPr>
          <w:p w14:paraId="40E5F47B" w14:textId="14B1E0BA" w:rsidR="006435ED" w:rsidRPr="00634771" w:rsidRDefault="004515EE" w:rsidP="006435ED">
            <w:pPr>
              <w:pStyle w:val="TableText"/>
              <w:jc w:val="right"/>
            </w:pPr>
            <w:r>
              <w:t>-2.8</w:t>
            </w:r>
            <w:r w:rsidRPr="00634771">
              <w:t>%</w:t>
            </w:r>
          </w:p>
        </w:tc>
        <w:tc>
          <w:tcPr>
            <w:tcW w:w="1461" w:type="pct"/>
            <w:tcMar>
              <w:left w:w="108" w:type="dxa"/>
              <w:right w:w="108" w:type="dxa"/>
            </w:tcMar>
          </w:tcPr>
          <w:p w14:paraId="50E0D90A" w14:textId="30ADA735" w:rsidR="006435ED" w:rsidRPr="00634771" w:rsidRDefault="00173F26" w:rsidP="006435ED">
            <w:pPr>
              <w:pStyle w:val="TableText"/>
              <w:jc w:val="right"/>
            </w:pPr>
            <w:r>
              <w:t>-0.03</w:t>
            </w:r>
          </w:p>
        </w:tc>
      </w:tr>
      <w:tr w:rsidR="006435ED" w:rsidRPr="00634771" w14:paraId="4B51B538" w14:textId="77777777" w:rsidTr="00CD46AB">
        <w:tc>
          <w:tcPr>
            <w:tcW w:w="853" w:type="pct"/>
            <w:tcMar>
              <w:left w:w="108" w:type="dxa"/>
              <w:right w:w="108" w:type="dxa"/>
            </w:tcMar>
          </w:tcPr>
          <w:p w14:paraId="4183C26F" w14:textId="3B8B016E" w:rsidR="006435ED" w:rsidRPr="00634771" w:rsidRDefault="006435ED" w:rsidP="006435ED">
            <w:pPr>
              <w:pStyle w:val="TableText"/>
            </w:pPr>
            <w:r w:rsidRPr="00634771">
              <w:t>Dairy</w:t>
            </w:r>
          </w:p>
        </w:tc>
        <w:tc>
          <w:tcPr>
            <w:tcW w:w="1125" w:type="pct"/>
            <w:tcMar>
              <w:left w:w="108" w:type="dxa"/>
              <w:right w:w="108" w:type="dxa"/>
            </w:tcMar>
          </w:tcPr>
          <w:p w14:paraId="76C6E0E1" w14:textId="4C03193D" w:rsidR="006435ED" w:rsidRPr="00634771" w:rsidRDefault="00CD46AB" w:rsidP="006435ED">
            <w:pPr>
              <w:pStyle w:val="TableText"/>
              <w:jc w:val="right"/>
            </w:pPr>
            <w:r>
              <w:t>-19.7</w:t>
            </w:r>
            <w:r w:rsidR="004515EE" w:rsidRPr="00634771">
              <w:t>%</w:t>
            </w:r>
          </w:p>
        </w:tc>
        <w:tc>
          <w:tcPr>
            <w:tcW w:w="1561" w:type="pct"/>
            <w:tcMar>
              <w:left w:w="108" w:type="dxa"/>
              <w:right w:w="108" w:type="dxa"/>
            </w:tcMar>
          </w:tcPr>
          <w:p w14:paraId="46AE1FA8" w14:textId="5D67B995" w:rsidR="006435ED" w:rsidRPr="00634771" w:rsidRDefault="004515EE" w:rsidP="006435ED">
            <w:pPr>
              <w:pStyle w:val="TableText"/>
              <w:jc w:val="right"/>
            </w:pPr>
            <w:r>
              <w:t>-1.0</w:t>
            </w:r>
            <w:r w:rsidRPr="00634771">
              <w:t>%</w:t>
            </w:r>
          </w:p>
        </w:tc>
        <w:tc>
          <w:tcPr>
            <w:tcW w:w="1461" w:type="pct"/>
            <w:tcMar>
              <w:left w:w="108" w:type="dxa"/>
              <w:right w:w="108" w:type="dxa"/>
            </w:tcMar>
          </w:tcPr>
          <w:p w14:paraId="21015D0E" w14:textId="01F109C4" w:rsidR="006435ED" w:rsidRPr="00634771" w:rsidRDefault="00CD46AB" w:rsidP="006435ED">
            <w:pPr>
              <w:pStyle w:val="TableText"/>
              <w:jc w:val="right"/>
            </w:pPr>
            <w:r>
              <w:t>-0.05</w:t>
            </w:r>
          </w:p>
        </w:tc>
      </w:tr>
    </w:tbl>
    <w:p w14:paraId="01B15001" w14:textId="69AE8510" w:rsidR="00CF51F2" w:rsidRPr="00634771" w:rsidRDefault="00D0493B" w:rsidP="00CF51F2">
      <w:pPr>
        <w:pStyle w:val="FigureTableNoteSource"/>
      </w:pPr>
      <w:r w:rsidRPr="00634771">
        <w:rPr>
          <w:rStyle w:val="Strong"/>
        </w:rPr>
        <w:t>a</w:t>
      </w:r>
      <w:r w:rsidR="00A53280" w:rsidRPr="00634771">
        <w:t xml:space="preserve"> </w:t>
      </w:r>
      <w:r w:rsidR="00CF51F2" w:rsidRPr="00634771">
        <w:t>Cropping is reported as ‘grain’ in monthly FMD statistics</w:t>
      </w:r>
      <w:r w:rsidR="0050440B" w:rsidRPr="00634771">
        <w:rPr>
          <w:rStyle w:val="Strong"/>
        </w:rPr>
        <w:t xml:space="preserve"> b </w:t>
      </w:r>
      <w:r w:rsidR="0050440B" w:rsidRPr="00634771">
        <w:t>Mixed livestock and cropping is reported as ‘grain-sheep/beef’ in monthly FMD statistics</w:t>
      </w:r>
      <w:r w:rsidR="00CF51F2" w:rsidRPr="00634771">
        <w:t>.</w:t>
      </w:r>
      <w:r w:rsidR="00CF51F2" w:rsidRPr="00634771">
        <w:rPr>
          <w:rStyle w:val="Strong"/>
        </w:rPr>
        <w:t xml:space="preserve"> c</w:t>
      </w:r>
      <w:r w:rsidR="00CF51F2" w:rsidRPr="00634771">
        <w:t xml:space="preserve"> </w:t>
      </w:r>
      <w:r w:rsidR="00A53280" w:rsidRPr="00634771">
        <w:t>Broadacre comprises: beef, sheep, cropping, sheep-beef, and mixed livestock and cropping.</w:t>
      </w:r>
      <w:r w:rsidR="00CF51F2" w:rsidRPr="00634771">
        <w:t xml:space="preserve"> </w:t>
      </w:r>
    </w:p>
    <w:p w14:paraId="4A0BFBD5" w14:textId="0932AB9B" w:rsidR="00035BDF" w:rsidRPr="00084B76" w:rsidRDefault="00035BDF" w:rsidP="00A53280">
      <w:pPr>
        <w:pStyle w:val="FigureTableNoteSource"/>
        <w:rPr>
          <w:highlight w:val="yellow"/>
        </w:rPr>
      </w:pPr>
      <w:r w:rsidRPr="00634771">
        <w:t>Sources</w:t>
      </w:r>
      <w:r w:rsidRPr="00634771">
        <w:rPr>
          <w:rFonts w:cstheme="minorHAnsi"/>
          <w:szCs w:val="18"/>
        </w:rPr>
        <w:t>:</w:t>
      </w:r>
      <w:r w:rsidRPr="00634771">
        <w:rPr>
          <w:rFonts w:cstheme="minorHAnsi"/>
          <w:b/>
          <w:bCs/>
          <w:szCs w:val="18"/>
        </w:rPr>
        <w:t xml:space="preserve"> </w:t>
      </w:r>
      <w:hyperlink r:id="rId17" w:history="1">
        <w:r w:rsidR="00634771" w:rsidRPr="00634771">
          <w:rPr>
            <w:rStyle w:val="Hyperlink"/>
            <w:szCs w:val="18"/>
          </w:rPr>
          <w:t>ABARES</w:t>
        </w:r>
        <w:r w:rsidR="00634771" w:rsidRPr="00634771">
          <w:rPr>
            <w:rStyle w:val="Hyperlink"/>
          </w:rPr>
          <w:t xml:space="preserve"> Farm data portal</w:t>
        </w:r>
      </w:hyperlink>
      <w:r w:rsidRPr="00634771">
        <w:rPr>
          <w:szCs w:val="18"/>
        </w:rPr>
        <w:t xml:space="preserve">, and </w:t>
      </w:r>
      <w:hyperlink r:id="rId18" w:history="1">
        <w:r w:rsidRPr="00634771">
          <w:rPr>
            <w:rStyle w:val="Hyperlink"/>
            <w:szCs w:val="18"/>
          </w:rPr>
          <w:t>DAFF FMD statistics</w:t>
        </w:r>
      </w:hyperlink>
    </w:p>
    <w:p w14:paraId="73741D4D" w14:textId="4027986E" w:rsidR="00396457" w:rsidRPr="00396457" w:rsidRDefault="00396457" w:rsidP="00396457">
      <w:r w:rsidRPr="00396457">
        <w:t xml:space="preserve">In 2024–25, farm cash incomes (FCIs) across broadacre industries are projected to rise significantly, </w:t>
      </w:r>
      <w:r w:rsidR="000850AC">
        <w:t>particularly</w:t>
      </w:r>
      <w:r w:rsidRPr="00396457">
        <w:t xml:space="preserve"> for sheep, beef, and mixed livestock-cropping enterprises. This follows sharp declines in 2023–24, mainly due to lower farmgate prices for beef cattle and sheep.</w:t>
      </w:r>
    </w:p>
    <w:p w14:paraId="4895102D" w14:textId="63EB8D3E" w:rsidR="00396457" w:rsidRDefault="00396457" w:rsidP="00396457">
      <w:r w:rsidRPr="00396457">
        <w:t xml:space="preserve">Although incomes improved in 2025 for these sectors, they come after </w:t>
      </w:r>
      <w:r w:rsidR="00785216">
        <w:t>recent</w:t>
      </w:r>
      <w:r w:rsidRPr="00396457">
        <w:t xml:space="preserve"> years of below-average earnings</w:t>
      </w:r>
      <w:r>
        <w:t xml:space="preserve"> across </w:t>
      </w:r>
      <w:r w:rsidR="00EB3BC9">
        <w:t>most</w:t>
      </w:r>
      <w:r w:rsidR="002F78D6">
        <w:t xml:space="preserve"> </w:t>
      </w:r>
      <w:r>
        <w:t xml:space="preserve">livestock </w:t>
      </w:r>
      <w:r w:rsidR="000850AC">
        <w:t>industries</w:t>
      </w:r>
      <w:r w:rsidRPr="00396457">
        <w:t xml:space="preserve">. For </w:t>
      </w:r>
      <w:r w:rsidR="000850AC">
        <w:t>example</w:t>
      </w:r>
      <w:r w:rsidRPr="00396457">
        <w:t>, sheep farm incomes in 2024 were $51,000</w:t>
      </w:r>
      <w:r>
        <w:t xml:space="preserve"> – </w:t>
      </w:r>
      <w:r w:rsidRPr="00396457">
        <w:t>well below the 10-year average of around $123,000</w:t>
      </w:r>
      <w:r>
        <w:t xml:space="preserve"> – </w:t>
      </w:r>
      <w:r w:rsidRPr="00396457">
        <w:t xml:space="preserve">and followed an FCI of $84,000 in 2023. Similarly, beef industry FCI was $75,000 in 2024, compared to a 10-year average of $174,000. </w:t>
      </w:r>
      <w:r w:rsidR="00D5053D">
        <w:t>D</w:t>
      </w:r>
      <w:r w:rsidR="00D5053D" w:rsidRPr="00396457">
        <w:t>espite</w:t>
      </w:r>
      <w:r w:rsidR="00D5053D">
        <w:t xml:space="preserve"> </w:t>
      </w:r>
      <w:r w:rsidR="00D5053D" w:rsidRPr="00396457">
        <w:t xml:space="preserve">FCI </w:t>
      </w:r>
      <w:r w:rsidR="000850AC">
        <w:t xml:space="preserve">gains in </w:t>
      </w:r>
      <w:r w:rsidR="00D5053D">
        <w:t xml:space="preserve">2025, </w:t>
      </w:r>
      <w:r w:rsidRPr="00396457">
        <w:t xml:space="preserve">income shortfalls </w:t>
      </w:r>
      <w:r w:rsidR="00D5053D">
        <w:t xml:space="preserve">in </w:t>
      </w:r>
      <w:r w:rsidR="000850AC">
        <w:t>prior</w:t>
      </w:r>
      <w:r w:rsidR="00D5053D">
        <w:t xml:space="preserve"> years </w:t>
      </w:r>
      <w:r w:rsidRPr="00396457">
        <w:t xml:space="preserve">may have </w:t>
      </w:r>
      <w:r w:rsidR="000850AC">
        <w:t>constrained</w:t>
      </w:r>
      <w:r w:rsidRPr="00396457">
        <w:t xml:space="preserve"> </w:t>
      </w:r>
      <w:r w:rsidR="00D5053D">
        <w:t xml:space="preserve">some </w:t>
      </w:r>
      <w:r w:rsidRPr="00396457">
        <w:t xml:space="preserve">farmers’ </w:t>
      </w:r>
      <w:r w:rsidR="00A81D02">
        <w:t>capacity</w:t>
      </w:r>
      <w:r w:rsidRPr="00396457">
        <w:t xml:space="preserve"> to contribute to FMDs</w:t>
      </w:r>
      <w:r w:rsidR="000850AC">
        <w:t xml:space="preserve">, with priority given instead to </w:t>
      </w:r>
      <w:r w:rsidR="00EB3BC9">
        <w:t xml:space="preserve">debt </w:t>
      </w:r>
      <w:r w:rsidR="000850AC">
        <w:t xml:space="preserve">repayment </w:t>
      </w:r>
      <w:r w:rsidR="00EB3BC9">
        <w:t xml:space="preserve">and </w:t>
      </w:r>
      <w:r w:rsidR="00B304C7">
        <w:t>working capital needs.</w:t>
      </w:r>
    </w:p>
    <w:p w14:paraId="4F978741" w14:textId="00D00BA9" w:rsidR="00CD46AB" w:rsidRPr="00396457" w:rsidRDefault="00CD46AB" w:rsidP="00396457">
      <w:r w:rsidRPr="00CD46AB">
        <w:t>In 2025</w:t>
      </w:r>
      <w:r>
        <w:t>,</w:t>
      </w:r>
      <w:r w:rsidRPr="00CD46AB">
        <w:t xml:space="preserve"> </w:t>
      </w:r>
      <w:r>
        <w:t>the negative ratios observed between FMD holdings and FCI for most broadacre industries</w:t>
      </w:r>
      <w:r w:rsidRPr="00CD46AB">
        <w:t xml:space="preserve"> </w:t>
      </w:r>
      <w:r w:rsidR="00FB0BC8">
        <w:t xml:space="preserve">likely </w:t>
      </w:r>
      <w:r w:rsidRPr="00CD46AB">
        <w:t>reflect the regional variation in farm incomes</w:t>
      </w:r>
      <w:r>
        <w:t xml:space="preserve">, </w:t>
      </w:r>
      <w:r w:rsidRPr="00CD46AB">
        <w:t xml:space="preserve">where some regions remained affected by drought whereas others recorded </w:t>
      </w:r>
      <w:r w:rsidR="00356AAE">
        <w:t>productive</w:t>
      </w:r>
      <w:r w:rsidRPr="00CD46AB">
        <w:t xml:space="preserve"> seasonal conditions.</w:t>
      </w:r>
    </w:p>
    <w:p w14:paraId="129BEA49" w14:textId="1863DF94" w:rsidR="006C6899" w:rsidRPr="00FF38E3" w:rsidRDefault="00C508E7" w:rsidP="006C6899">
      <w:r>
        <w:t xml:space="preserve">The FMD KPIs are underpinned by </w:t>
      </w:r>
      <w:r w:rsidR="006673D2" w:rsidRPr="00FF38E3">
        <w:t>ABARES historical analysis, which</w:t>
      </w:r>
      <w:r>
        <w:t xml:space="preserve"> </w:t>
      </w:r>
      <w:r w:rsidR="006C6899" w:rsidRPr="00FF38E3">
        <w:t>test</w:t>
      </w:r>
      <w:r w:rsidR="001D0EA7">
        <w:t>ed</w:t>
      </w:r>
      <w:r w:rsidR="006C6899" w:rsidRPr="00FF38E3">
        <w:t xml:space="preserve"> the relationship between FCI and FMD hold</w:t>
      </w:r>
      <w:r w:rsidR="007E2183" w:rsidRPr="00FF38E3">
        <w:t>ing</w:t>
      </w:r>
      <w:r w:rsidR="006C6899" w:rsidRPr="00FF38E3">
        <w:t xml:space="preserve">s over time </w:t>
      </w:r>
      <w:r w:rsidR="006673D2" w:rsidRPr="00FF38E3">
        <w:t xml:space="preserve">to confirm it </w:t>
      </w:r>
      <w:r w:rsidR="006C6899" w:rsidRPr="00FF38E3">
        <w:t xml:space="preserve">is statistically significant. </w:t>
      </w:r>
      <w:r w:rsidR="00356AAE">
        <w:t xml:space="preserve">For the analysis, </w:t>
      </w:r>
      <w:r w:rsidR="00DB0604" w:rsidRPr="00FF38E3">
        <w:t>ABARES conducted a log-log linear regression on data for broadacre, cropping, mixed livestock and cropping, beef, sheep, and sheep-beef from 2002</w:t>
      </w:r>
      <w:r w:rsidR="00074404">
        <w:t xml:space="preserve"> </w:t>
      </w:r>
      <w:r w:rsidR="00074404" w:rsidRPr="00CD46AB">
        <w:t>to 2023</w:t>
      </w:r>
      <w:r w:rsidR="00DB0604" w:rsidRPr="00FF38E3">
        <w:t xml:space="preserve">. A log-log linear regression is a statistical method that finds the relationships between a dependent variable and one or more independent variables. The inputs to the linear regression model were the dependent variable (value of FMD holdings) and the independent variable (value of FCI), by industry. The FCI data for these industries are sourced </w:t>
      </w:r>
      <w:r w:rsidR="00DB0604" w:rsidRPr="00FF38E3">
        <w:lastRenderedPageBreak/>
        <w:t xml:space="preserve">from </w:t>
      </w:r>
      <w:hyperlink r:id="rId19" w:history="1">
        <w:r w:rsidR="00DB0604" w:rsidRPr="00FF38E3">
          <w:rPr>
            <w:rStyle w:val="Hyperlink"/>
          </w:rPr>
          <w:t>Australian Agricultural and Grazing Industries Survey and Australian Dairy Industry Survey</w:t>
        </w:r>
      </w:hyperlink>
      <w:r w:rsidR="00DB0604" w:rsidRPr="00FF38E3">
        <w:t>, which are run annually by ABARES. The value of FMD holdings was sourced from monthly data provided to DAFF by ADIs.</w:t>
      </w:r>
    </w:p>
    <w:p w14:paraId="562F87A6" w14:textId="1088ACAC" w:rsidR="00EA54DB" w:rsidRDefault="006C6899" w:rsidP="00F509A7">
      <w:pPr>
        <w:spacing w:after="0"/>
      </w:pPr>
      <w:r w:rsidRPr="00FF38E3">
        <w:t>The results</w:t>
      </w:r>
      <w:r w:rsidR="000C5741" w:rsidRPr="00FF38E3">
        <w:t xml:space="preserve"> </w:t>
      </w:r>
      <w:r w:rsidRPr="00FF38E3">
        <w:t>from the model</w:t>
      </w:r>
      <w:r w:rsidRPr="00FF38E3">
        <w:rPr>
          <w:color w:val="4F81BD" w:themeColor="accent1"/>
        </w:rPr>
        <w:t xml:space="preserve"> </w:t>
      </w:r>
      <w:r w:rsidRPr="00FF38E3">
        <w:t xml:space="preserve">show evidence that a positive, long-term relationship exists at the industry level, excluding dairy, between FMD holdings and FCI. </w:t>
      </w:r>
      <w:hyperlink r:id="rId20" w:history="1">
        <w:r w:rsidRPr="00FF38E3">
          <w:rPr>
            <w:rStyle w:val="Hyperlink"/>
          </w:rPr>
          <w:t>Previous ABARES analysis</w:t>
        </w:r>
      </w:hyperlink>
      <w:r w:rsidRPr="00FF38E3">
        <w:rPr>
          <w:color w:val="4F81BD" w:themeColor="accent1"/>
        </w:rPr>
        <w:t xml:space="preserve"> </w:t>
      </w:r>
      <w:r w:rsidRPr="00FF38E3">
        <w:t xml:space="preserve">highlighted that individuals use FMDs to suit their </w:t>
      </w:r>
      <w:proofErr w:type="gramStart"/>
      <w:r w:rsidRPr="00FF38E3">
        <w:t>particular circumstances</w:t>
      </w:r>
      <w:proofErr w:type="gramEnd"/>
      <w:r w:rsidRPr="00FF38E3">
        <w:t>, with usage varying by industry, location and farm size. Dairy producers typically experience more consistent cashflow than broadacre farmers, which may contribute to the way they use the FMD Scheme.</w:t>
      </w:r>
      <w:bookmarkEnd w:id="1"/>
      <w:bookmarkEnd w:id="2"/>
    </w:p>
    <w:p w14:paraId="66413AF5" w14:textId="77777777" w:rsidR="00F509A7" w:rsidRDefault="00F509A7" w:rsidP="00F509A7">
      <w:pPr>
        <w:spacing w:after="0"/>
      </w:pPr>
    </w:p>
    <w:p w14:paraId="2260AC0D" w14:textId="54C5196B" w:rsidR="00262394" w:rsidRDefault="00262394" w:rsidP="00F776B5">
      <w:pPr>
        <w:pStyle w:val="Normalsmall"/>
        <w:spacing w:before="200"/>
      </w:pPr>
      <w:r>
        <w:t xml:space="preserve">© Commonwealth of Australia </w:t>
      </w:r>
      <w:r w:rsidR="00E30DED">
        <w:t>2025</w:t>
      </w:r>
    </w:p>
    <w:p w14:paraId="51C79854" w14:textId="07C8B257" w:rsidR="00262394" w:rsidRDefault="00262394" w:rsidP="00262394">
      <w:pPr>
        <w:pStyle w:val="Normalsmall"/>
      </w:pPr>
      <w:r>
        <w:t>Unless otherwise noted, copyright (and any other intellectual property rights) in this publication is owned by the Commonwealth of Australia (referred to as the Commonwealth).</w:t>
      </w:r>
      <w:r w:rsidR="00B10817">
        <w:t xml:space="preserve"> </w:t>
      </w:r>
      <w:r>
        <w:t xml:space="preserve">All material in this publication is licensed under a </w:t>
      </w:r>
      <w:hyperlink r:id="rId21" w:history="1">
        <w:r>
          <w:rPr>
            <w:rStyle w:val="Hyperlink"/>
          </w:rPr>
          <w:t>Creative Commons Attribution 4.0 International Licence</w:t>
        </w:r>
      </w:hyperlink>
      <w:r>
        <w:t xml:space="preserve"> except content supplied by third parties, logos and the Commonwealth Coat of Arms.</w:t>
      </w:r>
    </w:p>
    <w:p w14:paraId="712BBED5" w14:textId="77777777" w:rsidR="00262394" w:rsidRDefault="00262394" w:rsidP="00262394">
      <w:pPr>
        <w:pStyle w:val="Normalsmall"/>
      </w:pPr>
      <w:r>
        <w:t xml:space="preserve">The Australian Government acting through the </w:t>
      </w:r>
      <w:r w:rsidR="007B1F92" w:rsidRPr="007B1F92">
        <w:t>Department of Agriculture, Fisheries and Forestry</w:t>
      </w:r>
      <w:r>
        <w:t xml:space="preserve"> has exercised due care and skill in preparing and compiling the information and data in this publication. Notwithstanding, the </w:t>
      </w:r>
      <w:r w:rsidR="007B1F92"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262394">
      <w:headerReference w:type="even" r:id="rId22"/>
      <w:headerReference w:type="default" r:id="rId23"/>
      <w:footerReference w:type="even" r:id="rId24"/>
      <w:footerReference w:type="default" r:id="rId25"/>
      <w:headerReference w:type="first" r:id="rId26"/>
      <w:footerReference w:type="first" r:id="rId27"/>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F87D" w14:textId="77777777" w:rsidR="008A1EC1" w:rsidRDefault="008A1EC1">
      <w:r>
        <w:separator/>
      </w:r>
    </w:p>
    <w:p w14:paraId="2141D0C4" w14:textId="77777777" w:rsidR="008A1EC1" w:rsidRDefault="008A1EC1"/>
    <w:p w14:paraId="74F2C49E" w14:textId="77777777" w:rsidR="008A1EC1" w:rsidRDefault="008A1EC1"/>
  </w:endnote>
  <w:endnote w:type="continuationSeparator" w:id="0">
    <w:p w14:paraId="32DC1E0A" w14:textId="77777777" w:rsidR="008A1EC1" w:rsidRDefault="008A1EC1">
      <w:r>
        <w:continuationSeparator/>
      </w:r>
    </w:p>
    <w:p w14:paraId="417924B9" w14:textId="77777777" w:rsidR="008A1EC1" w:rsidRDefault="008A1EC1"/>
    <w:p w14:paraId="5F82A4CC" w14:textId="77777777" w:rsidR="008A1EC1" w:rsidRDefault="008A1EC1"/>
  </w:endnote>
  <w:endnote w:type="continuationNotice" w:id="1">
    <w:p w14:paraId="3A712894" w14:textId="77777777" w:rsidR="008A1EC1" w:rsidRDefault="008A1EC1">
      <w:pPr>
        <w:pStyle w:val="Footer"/>
      </w:pPr>
    </w:p>
    <w:p w14:paraId="222E78C1" w14:textId="77777777" w:rsidR="008A1EC1" w:rsidRDefault="008A1EC1"/>
    <w:p w14:paraId="6BDB466C" w14:textId="77777777" w:rsidR="008A1EC1" w:rsidRDefault="008A1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2300" w14:textId="3A21D852" w:rsidR="00BA065D" w:rsidRDefault="00BA065D">
    <w:pPr>
      <w:pStyle w:val="Footer"/>
    </w:pPr>
    <w:r>
      <w:rPr>
        <w:noProof/>
      </w:rPr>
      <mc:AlternateContent>
        <mc:Choice Requires="wps">
          <w:drawing>
            <wp:anchor distT="0" distB="0" distL="0" distR="0" simplePos="0" relativeHeight="251662336" behindDoc="0" locked="0" layoutInCell="1" allowOverlap="1" wp14:anchorId="3F7496D5" wp14:editId="67A3F356">
              <wp:simplePos x="635" y="635"/>
              <wp:positionH relativeFrom="page">
                <wp:align>center</wp:align>
              </wp:positionH>
              <wp:positionV relativeFrom="page">
                <wp:align>bottom</wp:align>
              </wp:positionV>
              <wp:extent cx="551815" cy="404495"/>
              <wp:effectExtent l="0" t="0" r="635" b="0"/>
              <wp:wrapNone/>
              <wp:docPr id="15441209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BA900D8" w14:textId="0D922C79" w:rsidR="00BA065D" w:rsidRPr="00BA065D" w:rsidRDefault="00BA065D" w:rsidP="00BA065D">
                          <w:pPr>
                            <w:spacing w:after="0"/>
                            <w:rPr>
                              <w:rFonts w:ascii="Calibri" w:eastAsia="Calibri" w:hAnsi="Calibri" w:cs="Calibri"/>
                              <w:noProof/>
                              <w:color w:val="FF0000"/>
                              <w:sz w:val="24"/>
                              <w:szCs w:val="24"/>
                            </w:rPr>
                          </w:pPr>
                          <w:r w:rsidRPr="00BA065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7496D5"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BA900D8" w14:textId="0D922C79" w:rsidR="00BA065D" w:rsidRPr="00BA065D" w:rsidRDefault="00BA065D" w:rsidP="00BA065D">
                    <w:pPr>
                      <w:spacing w:after="0"/>
                      <w:rPr>
                        <w:rFonts w:ascii="Calibri" w:eastAsia="Calibri" w:hAnsi="Calibri" w:cs="Calibri"/>
                        <w:noProof/>
                        <w:color w:val="FF0000"/>
                        <w:sz w:val="24"/>
                        <w:szCs w:val="24"/>
                      </w:rPr>
                    </w:pPr>
                    <w:r w:rsidRPr="00BA065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0FEB" w14:textId="48DFD622" w:rsidR="002A193C" w:rsidRDefault="007B1F92">
    <w:pPr>
      <w:pStyle w:val="Footer"/>
    </w:pPr>
    <w:r w:rsidRPr="007B1F92">
      <w:t>Department of Agriculture, Fisheries and Forestry</w:t>
    </w:r>
  </w:p>
  <w:p w14:paraId="5D767F90" w14:textId="21C72AB0"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CFE8" w14:textId="07843E19" w:rsidR="002A193C" w:rsidRDefault="002A193C">
    <w:pPr>
      <w:pStyle w:val="Footer"/>
    </w:pPr>
    <w:r>
      <w:t xml:space="preserve">Department of Agriculture, </w:t>
    </w:r>
    <w:r w:rsidR="00A9002C">
      <w:t>Fisheries and Forestry</w:t>
    </w:r>
  </w:p>
  <w:p w14:paraId="771BCEDF" w14:textId="588B2CF5"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DFEA" w14:textId="77777777" w:rsidR="008A1EC1" w:rsidRDefault="008A1EC1">
      <w:r>
        <w:separator/>
      </w:r>
    </w:p>
    <w:p w14:paraId="4149D6D8" w14:textId="77777777" w:rsidR="008A1EC1" w:rsidRDefault="008A1EC1"/>
    <w:p w14:paraId="48C3F735" w14:textId="77777777" w:rsidR="008A1EC1" w:rsidRDefault="008A1EC1"/>
  </w:footnote>
  <w:footnote w:type="continuationSeparator" w:id="0">
    <w:p w14:paraId="1FC73A97" w14:textId="77777777" w:rsidR="008A1EC1" w:rsidRDefault="008A1EC1">
      <w:r>
        <w:continuationSeparator/>
      </w:r>
    </w:p>
    <w:p w14:paraId="391F8594" w14:textId="77777777" w:rsidR="008A1EC1" w:rsidRDefault="008A1EC1"/>
    <w:p w14:paraId="095446A0" w14:textId="77777777" w:rsidR="008A1EC1" w:rsidRDefault="008A1EC1"/>
  </w:footnote>
  <w:footnote w:type="continuationNotice" w:id="1">
    <w:p w14:paraId="2F1A47D1" w14:textId="77777777" w:rsidR="008A1EC1" w:rsidRDefault="008A1EC1">
      <w:pPr>
        <w:pStyle w:val="Footer"/>
      </w:pPr>
    </w:p>
    <w:p w14:paraId="1E41DDF8" w14:textId="77777777" w:rsidR="008A1EC1" w:rsidRDefault="008A1EC1"/>
    <w:p w14:paraId="5FED252F" w14:textId="77777777" w:rsidR="008A1EC1" w:rsidRDefault="008A1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C2BD" w14:textId="6B5D6645" w:rsidR="00BA065D" w:rsidRDefault="00BA065D">
    <w:pPr>
      <w:pStyle w:val="Header"/>
    </w:pPr>
    <w:r>
      <w:rPr>
        <w:noProof/>
      </w:rPr>
      <mc:AlternateContent>
        <mc:Choice Requires="wps">
          <w:drawing>
            <wp:anchor distT="0" distB="0" distL="0" distR="0" simplePos="0" relativeHeight="251659264" behindDoc="0" locked="0" layoutInCell="1" allowOverlap="1" wp14:anchorId="792958E7" wp14:editId="205F20D2">
              <wp:simplePos x="635" y="635"/>
              <wp:positionH relativeFrom="page">
                <wp:align>center</wp:align>
              </wp:positionH>
              <wp:positionV relativeFrom="page">
                <wp:align>top</wp:align>
              </wp:positionV>
              <wp:extent cx="551815" cy="404495"/>
              <wp:effectExtent l="0" t="0" r="635" b="14605"/>
              <wp:wrapNone/>
              <wp:docPr id="9604900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592024" w14:textId="2532F972" w:rsidR="00BA065D" w:rsidRPr="00BA065D" w:rsidRDefault="00BA065D" w:rsidP="00BA065D">
                          <w:pPr>
                            <w:spacing w:after="0"/>
                            <w:rPr>
                              <w:rFonts w:ascii="Calibri" w:eastAsia="Calibri" w:hAnsi="Calibri" w:cs="Calibri"/>
                              <w:noProof/>
                              <w:color w:val="FF0000"/>
                              <w:sz w:val="24"/>
                              <w:szCs w:val="24"/>
                            </w:rPr>
                          </w:pPr>
                          <w:r w:rsidRPr="00BA065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2958E7"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B592024" w14:textId="2532F972" w:rsidR="00BA065D" w:rsidRPr="00BA065D" w:rsidRDefault="00BA065D" w:rsidP="00BA065D">
                    <w:pPr>
                      <w:spacing w:after="0"/>
                      <w:rPr>
                        <w:rFonts w:ascii="Calibri" w:eastAsia="Calibri" w:hAnsi="Calibri" w:cs="Calibri"/>
                        <w:noProof/>
                        <w:color w:val="FF0000"/>
                        <w:sz w:val="24"/>
                        <w:szCs w:val="24"/>
                      </w:rPr>
                    </w:pPr>
                    <w:r w:rsidRPr="00BA065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7826" w14:textId="2D990D99" w:rsidR="002A193C" w:rsidRDefault="00221741">
    <w:pPr>
      <w:pStyle w:val="Header"/>
    </w:pPr>
    <w:r w:rsidRPr="00221741">
      <w:t>Analysis of Farm Management Deposits Scheme key performance indicators</w:t>
    </w:r>
    <w:r w:rsidR="003A7E60" w:rsidRPr="000C5741">
      <w:t xml:space="preserve">: </w:t>
    </w:r>
    <w:r w:rsidR="00E30DED" w:rsidRPr="000C5741">
      <w:t>202</w:t>
    </w:r>
    <w:r w:rsidR="00E30DED">
      <w:t>4</w:t>
    </w:r>
    <w:r w:rsidR="003A7E60" w:rsidRPr="000C5741">
      <w:t>–</w:t>
    </w:r>
    <w:r w:rsidR="00E30DED" w:rsidRPr="000C5741">
      <w:t>2</w:t>
    </w:r>
    <w:r w:rsidR="00E30DED">
      <w:t xml:space="preserve">5 </w:t>
    </w:r>
    <w:r w:rsidR="003A7E60" w:rsidRPr="000C5741">
      <w:t xml:space="preserve">findings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940D" w14:textId="1CBD4DCD" w:rsidR="002A193C" w:rsidRDefault="00D36729">
    <w:pPr>
      <w:pStyle w:val="Header"/>
      <w:jc w:val="left"/>
    </w:pPr>
    <w:r>
      <w:rPr>
        <w:noProof/>
        <w:lang w:eastAsia="en-AU"/>
      </w:rPr>
      <w:drawing>
        <wp:inline distT="0" distB="0" distL="0" distR="0" wp14:anchorId="177EB7B3" wp14:editId="255E8060">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5D96"/>
    <w:multiLevelType w:val="hybridMultilevel"/>
    <w:tmpl w:val="62E09E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6800B4"/>
    <w:multiLevelType w:val="multilevel"/>
    <w:tmpl w:val="A0241B28"/>
    <w:numStyleLink w:val="List1"/>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8B541B"/>
    <w:multiLevelType w:val="multilevel"/>
    <w:tmpl w:val="BF3294C2"/>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7268471">
    <w:abstractNumId w:val="9"/>
  </w:num>
  <w:num w:numId="2" w16cid:durableId="1355770275">
    <w:abstractNumId w:val="10"/>
  </w:num>
  <w:num w:numId="3" w16cid:durableId="1882862685">
    <w:abstractNumId w:val="3"/>
  </w:num>
  <w:num w:numId="4" w16cid:durableId="36050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6"/>
  </w:num>
  <w:num w:numId="6" w16cid:durableId="1314989398">
    <w:abstractNumId w:val="8"/>
  </w:num>
  <w:num w:numId="7" w16cid:durableId="951480071">
    <w:abstractNumId w:val="5"/>
  </w:num>
  <w:num w:numId="8" w16cid:durableId="844629787">
    <w:abstractNumId w:val="3"/>
    <w:lvlOverride w:ilvl="0">
      <w:lvl w:ilvl="0">
        <w:start w:val="1"/>
        <w:numFmt w:val="decimal"/>
        <w:pStyle w:val="Heading2"/>
        <w:lvlText w:val="%1"/>
        <w:lvlJc w:val="left"/>
        <w:pPr>
          <w:ind w:left="720" w:hanging="720"/>
        </w:pPr>
      </w:lvl>
    </w:lvlOverride>
  </w:num>
  <w:num w:numId="9" w16cid:durableId="1698308952">
    <w:abstractNumId w:val="9"/>
  </w:num>
  <w:num w:numId="10" w16cid:durableId="547035718">
    <w:abstractNumId w:val="10"/>
  </w:num>
  <w:num w:numId="11" w16cid:durableId="1145393031">
    <w:abstractNumId w:val="2"/>
  </w:num>
  <w:num w:numId="12" w16cid:durableId="919363984">
    <w:abstractNumId w:val="7"/>
  </w:num>
  <w:num w:numId="13" w16cid:durableId="645671681">
    <w:abstractNumId w:val="11"/>
  </w:num>
  <w:num w:numId="14" w16cid:durableId="599609956">
    <w:abstractNumId w:val="0"/>
  </w:num>
  <w:num w:numId="15" w16cid:durableId="465703016">
    <w:abstractNumId w:val="3"/>
    <w:lvlOverride w:ilvl="0">
      <w:lvl w:ilvl="0">
        <w:start w:val="1"/>
        <w:numFmt w:val="decimal"/>
        <w:pStyle w:val="Heading2"/>
        <w:lvlText w:val="%1"/>
        <w:lvlJc w:val="left"/>
        <w:pPr>
          <w:ind w:left="720" w:hanging="720"/>
        </w:pPr>
      </w:lvl>
    </w:lvlOverride>
  </w:num>
  <w:num w:numId="16" w16cid:durableId="2114667953">
    <w:abstractNumId w:val="3"/>
    <w:lvlOverride w:ilvl="0">
      <w:lvl w:ilvl="0">
        <w:start w:val="1"/>
        <w:numFmt w:val="decimal"/>
        <w:pStyle w:val="Heading2"/>
        <w:lvlText w:val="%1"/>
        <w:lvlJc w:val="left"/>
        <w:pPr>
          <w:ind w:left="720" w:hanging="720"/>
        </w:pPr>
      </w:lvl>
    </w:lvlOverride>
  </w:num>
  <w:num w:numId="17" w16cid:durableId="584074121">
    <w:abstractNumId w:val="3"/>
    <w:lvlOverride w:ilvl="0">
      <w:lvl w:ilvl="0">
        <w:start w:val="1"/>
        <w:numFmt w:val="decimal"/>
        <w:pStyle w:val="Heading2"/>
        <w:lvlText w:val="%1"/>
        <w:lvlJc w:val="left"/>
        <w:pPr>
          <w:ind w:left="720" w:hanging="720"/>
        </w:pPr>
      </w:lvl>
    </w:lvlOverride>
  </w:num>
  <w:num w:numId="18" w16cid:durableId="19015584">
    <w:abstractNumId w:val="1"/>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21555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8F"/>
    <w:rsid w:val="000002AA"/>
    <w:rsid w:val="0000689D"/>
    <w:rsid w:val="00017382"/>
    <w:rsid w:val="00017A82"/>
    <w:rsid w:val="00035BDF"/>
    <w:rsid w:val="000524EE"/>
    <w:rsid w:val="0006211F"/>
    <w:rsid w:val="00063291"/>
    <w:rsid w:val="00074404"/>
    <w:rsid w:val="0007672D"/>
    <w:rsid w:val="00080925"/>
    <w:rsid w:val="000839AD"/>
    <w:rsid w:val="00084B76"/>
    <w:rsid w:val="000850AC"/>
    <w:rsid w:val="00085BC9"/>
    <w:rsid w:val="00091BF4"/>
    <w:rsid w:val="00094AF0"/>
    <w:rsid w:val="000A106F"/>
    <w:rsid w:val="000A3730"/>
    <w:rsid w:val="000B2DAD"/>
    <w:rsid w:val="000B2F6E"/>
    <w:rsid w:val="000B3210"/>
    <w:rsid w:val="000C5741"/>
    <w:rsid w:val="000D6DD8"/>
    <w:rsid w:val="00106E5D"/>
    <w:rsid w:val="00112B86"/>
    <w:rsid w:val="0011478D"/>
    <w:rsid w:val="0012513E"/>
    <w:rsid w:val="00140602"/>
    <w:rsid w:val="001469D4"/>
    <w:rsid w:val="00152A1E"/>
    <w:rsid w:val="001559EC"/>
    <w:rsid w:val="00155CBC"/>
    <w:rsid w:val="001567E9"/>
    <w:rsid w:val="00166807"/>
    <w:rsid w:val="001723FB"/>
    <w:rsid w:val="00173F26"/>
    <w:rsid w:val="00183612"/>
    <w:rsid w:val="00184F03"/>
    <w:rsid w:val="00193C9A"/>
    <w:rsid w:val="001A1F79"/>
    <w:rsid w:val="001A3DE7"/>
    <w:rsid w:val="001B1009"/>
    <w:rsid w:val="001C3583"/>
    <w:rsid w:val="001C7CE6"/>
    <w:rsid w:val="001D0EA7"/>
    <w:rsid w:val="001D77BC"/>
    <w:rsid w:val="001E1C4C"/>
    <w:rsid w:val="001F2A1E"/>
    <w:rsid w:val="00201500"/>
    <w:rsid w:val="00203314"/>
    <w:rsid w:val="00204017"/>
    <w:rsid w:val="00221741"/>
    <w:rsid w:val="002310BE"/>
    <w:rsid w:val="00242BC7"/>
    <w:rsid w:val="00243B59"/>
    <w:rsid w:val="0024587F"/>
    <w:rsid w:val="00257447"/>
    <w:rsid w:val="0025765B"/>
    <w:rsid w:val="00262394"/>
    <w:rsid w:val="00264909"/>
    <w:rsid w:val="00265284"/>
    <w:rsid w:val="00265D45"/>
    <w:rsid w:val="00284A8F"/>
    <w:rsid w:val="002A193C"/>
    <w:rsid w:val="002A545D"/>
    <w:rsid w:val="002B2BCE"/>
    <w:rsid w:val="002B4651"/>
    <w:rsid w:val="002B55CA"/>
    <w:rsid w:val="002B6056"/>
    <w:rsid w:val="002C2504"/>
    <w:rsid w:val="002D7CB3"/>
    <w:rsid w:val="002E093B"/>
    <w:rsid w:val="002F0318"/>
    <w:rsid w:val="002F78D6"/>
    <w:rsid w:val="002F7D59"/>
    <w:rsid w:val="00305911"/>
    <w:rsid w:val="003142F0"/>
    <w:rsid w:val="00322F35"/>
    <w:rsid w:val="00331115"/>
    <w:rsid w:val="00334334"/>
    <w:rsid w:val="00337D5F"/>
    <w:rsid w:val="00340820"/>
    <w:rsid w:val="0034756A"/>
    <w:rsid w:val="00356AAE"/>
    <w:rsid w:val="00357095"/>
    <w:rsid w:val="00360326"/>
    <w:rsid w:val="003615BF"/>
    <w:rsid w:val="00362353"/>
    <w:rsid w:val="00365693"/>
    <w:rsid w:val="00381D23"/>
    <w:rsid w:val="00396339"/>
    <w:rsid w:val="00396457"/>
    <w:rsid w:val="003A4B4A"/>
    <w:rsid w:val="003A7352"/>
    <w:rsid w:val="003A7E60"/>
    <w:rsid w:val="003C1C9F"/>
    <w:rsid w:val="003C1CB7"/>
    <w:rsid w:val="003C3545"/>
    <w:rsid w:val="003D3CE1"/>
    <w:rsid w:val="003D44DC"/>
    <w:rsid w:val="003E2F6C"/>
    <w:rsid w:val="003E33D7"/>
    <w:rsid w:val="003F155A"/>
    <w:rsid w:val="003F67C7"/>
    <w:rsid w:val="00402404"/>
    <w:rsid w:val="00406AC2"/>
    <w:rsid w:val="00415774"/>
    <w:rsid w:val="00425AEB"/>
    <w:rsid w:val="004260FB"/>
    <w:rsid w:val="00442A01"/>
    <w:rsid w:val="004430B2"/>
    <w:rsid w:val="004515EE"/>
    <w:rsid w:val="00451E10"/>
    <w:rsid w:val="00452350"/>
    <w:rsid w:val="004604E6"/>
    <w:rsid w:val="00460750"/>
    <w:rsid w:val="00465588"/>
    <w:rsid w:val="00465C49"/>
    <w:rsid w:val="004664E9"/>
    <w:rsid w:val="004705F2"/>
    <w:rsid w:val="00473964"/>
    <w:rsid w:val="00474C59"/>
    <w:rsid w:val="00476787"/>
    <w:rsid w:val="00476D49"/>
    <w:rsid w:val="004803E4"/>
    <w:rsid w:val="0048060A"/>
    <w:rsid w:val="004837B1"/>
    <w:rsid w:val="0048569E"/>
    <w:rsid w:val="00486C20"/>
    <w:rsid w:val="004875CC"/>
    <w:rsid w:val="00490E7F"/>
    <w:rsid w:val="00493575"/>
    <w:rsid w:val="004936D2"/>
    <w:rsid w:val="004C6362"/>
    <w:rsid w:val="004C6C47"/>
    <w:rsid w:val="004D6ED3"/>
    <w:rsid w:val="004D70E4"/>
    <w:rsid w:val="004F16B3"/>
    <w:rsid w:val="004F30DA"/>
    <w:rsid w:val="004F448D"/>
    <w:rsid w:val="00501D52"/>
    <w:rsid w:val="0050440B"/>
    <w:rsid w:val="00506D05"/>
    <w:rsid w:val="00513FA6"/>
    <w:rsid w:val="0052421F"/>
    <w:rsid w:val="0053090C"/>
    <w:rsid w:val="00534156"/>
    <w:rsid w:val="00540EF0"/>
    <w:rsid w:val="00546C8F"/>
    <w:rsid w:val="0058269B"/>
    <w:rsid w:val="005B2FF0"/>
    <w:rsid w:val="005B6729"/>
    <w:rsid w:val="005D5560"/>
    <w:rsid w:val="005E0988"/>
    <w:rsid w:val="005E323D"/>
    <w:rsid w:val="005E781B"/>
    <w:rsid w:val="005F0E4D"/>
    <w:rsid w:val="005F4DF8"/>
    <w:rsid w:val="005F66A6"/>
    <w:rsid w:val="00611DA7"/>
    <w:rsid w:val="006214C0"/>
    <w:rsid w:val="00622D00"/>
    <w:rsid w:val="0062438E"/>
    <w:rsid w:val="0062708B"/>
    <w:rsid w:val="00634771"/>
    <w:rsid w:val="0063483A"/>
    <w:rsid w:val="006416D4"/>
    <w:rsid w:val="00642B42"/>
    <w:rsid w:val="006435A4"/>
    <w:rsid w:val="006435ED"/>
    <w:rsid w:val="0064380F"/>
    <w:rsid w:val="00650A8E"/>
    <w:rsid w:val="006526CC"/>
    <w:rsid w:val="00654CD4"/>
    <w:rsid w:val="006564E7"/>
    <w:rsid w:val="006673D2"/>
    <w:rsid w:val="006712CF"/>
    <w:rsid w:val="006B40A3"/>
    <w:rsid w:val="006C22AA"/>
    <w:rsid w:val="006C6899"/>
    <w:rsid w:val="006E699B"/>
    <w:rsid w:val="006F44FE"/>
    <w:rsid w:val="007002F8"/>
    <w:rsid w:val="00723675"/>
    <w:rsid w:val="00730F00"/>
    <w:rsid w:val="00733947"/>
    <w:rsid w:val="00733F34"/>
    <w:rsid w:val="00737427"/>
    <w:rsid w:val="007405CB"/>
    <w:rsid w:val="00745D6F"/>
    <w:rsid w:val="0075699F"/>
    <w:rsid w:val="00757458"/>
    <w:rsid w:val="00763828"/>
    <w:rsid w:val="00765B54"/>
    <w:rsid w:val="00765C54"/>
    <w:rsid w:val="007676A8"/>
    <w:rsid w:val="00771174"/>
    <w:rsid w:val="007722D2"/>
    <w:rsid w:val="00785216"/>
    <w:rsid w:val="0079369D"/>
    <w:rsid w:val="0079427C"/>
    <w:rsid w:val="007A1137"/>
    <w:rsid w:val="007A2B4D"/>
    <w:rsid w:val="007A79C2"/>
    <w:rsid w:val="007B1F92"/>
    <w:rsid w:val="007B7462"/>
    <w:rsid w:val="007C138A"/>
    <w:rsid w:val="007C13FB"/>
    <w:rsid w:val="007C4F07"/>
    <w:rsid w:val="007C5B94"/>
    <w:rsid w:val="007D5CD6"/>
    <w:rsid w:val="007E2183"/>
    <w:rsid w:val="007E58F6"/>
    <w:rsid w:val="008153FE"/>
    <w:rsid w:val="00816530"/>
    <w:rsid w:val="008166D5"/>
    <w:rsid w:val="00816C0C"/>
    <w:rsid w:val="0082249A"/>
    <w:rsid w:val="00831A68"/>
    <w:rsid w:val="00833933"/>
    <w:rsid w:val="008478C5"/>
    <w:rsid w:val="00847DCA"/>
    <w:rsid w:val="00860E97"/>
    <w:rsid w:val="00866822"/>
    <w:rsid w:val="008702F5"/>
    <w:rsid w:val="00871456"/>
    <w:rsid w:val="00882F8B"/>
    <w:rsid w:val="00886B80"/>
    <w:rsid w:val="008A0524"/>
    <w:rsid w:val="008A1EC1"/>
    <w:rsid w:val="008A3190"/>
    <w:rsid w:val="008A4680"/>
    <w:rsid w:val="008C7684"/>
    <w:rsid w:val="008C7D68"/>
    <w:rsid w:val="008D042F"/>
    <w:rsid w:val="008D1B48"/>
    <w:rsid w:val="008D3C3B"/>
    <w:rsid w:val="008D670E"/>
    <w:rsid w:val="008E42CC"/>
    <w:rsid w:val="008E5980"/>
    <w:rsid w:val="008F3F1F"/>
    <w:rsid w:val="008F70A7"/>
    <w:rsid w:val="0090774C"/>
    <w:rsid w:val="00911CC7"/>
    <w:rsid w:val="00913C29"/>
    <w:rsid w:val="00916414"/>
    <w:rsid w:val="00916906"/>
    <w:rsid w:val="009227C7"/>
    <w:rsid w:val="00923DBC"/>
    <w:rsid w:val="00936C89"/>
    <w:rsid w:val="00936D07"/>
    <w:rsid w:val="00947C94"/>
    <w:rsid w:val="00951D18"/>
    <w:rsid w:val="0095400C"/>
    <w:rsid w:val="009679F4"/>
    <w:rsid w:val="00984D0D"/>
    <w:rsid w:val="00986793"/>
    <w:rsid w:val="00991227"/>
    <w:rsid w:val="009B3FFC"/>
    <w:rsid w:val="009D1D1E"/>
    <w:rsid w:val="009D3093"/>
    <w:rsid w:val="009D35F8"/>
    <w:rsid w:val="009D3C55"/>
    <w:rsid w:val="009D3F20"/>
    <w:rsid w:val="009D775C"/>
    <w:rsid w:val="009E1AC1"/>
    <w:rsid w:val="009E4E95"/>
    <w:rsid w:val="00A0218E"/>
    <w:rsid w:val="00A06C6C"/>
    <w:rsid w:val="00A15F18"/>
    <w:rsid w:val="00A25682"/>
    <w:rsid w:val="00A26D23"/>
    <w:rsid w:val="00A2734D"/>
    <w:rsid w:val="00A310C0"/>
    <w:rsid w:val="00A443CD"/>
    <w:rsid w:val="00A51298"/>
    <w:rsid w:val="00A512A7"/>
    <w:rsid w:val="00A53280"/>
    <w:rsid w:val="00A56654"/>
    <w:rsid w:val="00A656D3"/>
    <w:rsid w:val="00A81D02"/>
    <w:rsid w:val="00A8206D"/>
    <w:rsid w:val="00A86048"/>
    <w:rsid w:val="00A9002C"/>
    <w:rsid w:val="00A9146E"/>
    <w:rsid w:val="00A9468B"/>
    <w:rsid w:val="00A967DD"/>
    <w:rsid w:val="00AA140E"/>
    <w:rsid w:val="00AA70E3"/>
    <w:rsid w:val="00AB0FBE"/>
    <w:rsid w:val="00AB56D3"/>
    <w:rsid w:val="00AC1AB1"/>
    <w:rsid w:val="00AC4B62"/>
    <w:rsid w:val="00AD2369"/>
    <w:rsid w:val="00AE5B6F"/>
    <w:rsid w:val="00AE5C8E"/>
    <w:rsid w:val="00AF1EB9"/>
    <w:rsid w:val="00AF46AB"/>
    <w:rsid w:val="00AF5211"/>
    <w:rsid w:val="00B01FB8"/>
    <w:rsid w:val="00B06FC6"/>
    <w:rsid w:val="00B101C2"/>
    <w:rsid w:val="00B10817"/>
    <w:rsid w:val="00B17832"/>
    <w:rsid w:val="00B24B5A"/>
    <w:rsid w:val="00B304C7"/>
    <w:rsid w:val="00B32367"/>
    <w:rsid w:val="00B35721"/>
    <w:rsid w:val="00B42F4A"/>
    <w:rsid w:val="00B43A41"/>
    <w:rsid w:val="00B46A90"/>
    <w:rsid w:val="00B51A71"/>
    <w:rsid w:val="00B5453F"/>
    <w:rsid w:val="00B656F4"/>
    <w:rsid w:val="00B854A1"/>
    <w:rsid w:val="00B901D6"/>
    <w:rsid w:val="00BA065D"/>
    <w:rsid w:val="00BA0770"/>
    <w:rsid w:val="00BA0AFF"/>
    <w:rsid w:val="00BA17D4"/>
    <w:rsid w:val="00BA194B"/>
    <w:rsid w:val="00BB1ADB"/>
    <w:rsid w:val="00BB6ACE"/>
    <w:rsid w:val="00BC1CF7"/>
    <w:rsid w:val="00BC6BA3"/>
    <w:rsid w:val="00BC7BEB"/>
    <w:rsid w:val="00BD2275"/>
    <w:rsid w:val="00BD603F"/>
    <w:rsid w:val="00BD78A6"/>
    <w:rsid w:val="00BE0566"/>
    <w:rsid w:val="00BE3575"/>
    <w:rsid w:val="00BF4127"/>
    <w:rsid w:val="00BF7A21"/>
    <w:rsid w:val="00C00AAC"/>
    <w:rsid w:val="00C0385A"/>
    <w:rsid w:val="00C05EA8"/>
    <w:rsid w:val="00C06619"/>
    <w:rsid w:val="00C131F1"/>
    <w:rsid w:val="00C207AD"/>
    <w:rsid w:val="00C2216E"/>
    <w:rsid w:val="00C31B70"/>
    <w:rsid w:val="00C3405E"/>
    <w:rsid w:val="00C41A9B"/>
    <w:rsid w:val="00C439E7"/>
    <w:rsid w:val="00C43DD5"/>
    <w:rsid w:val="00C44BF8"/>
    <w:rsid w:val="00C508E7"/>
    <w:rsid w:val="00C51E35"/>
    <w:rsid w:val="00C60DD2"/>
    <w:rsid w:val="00C65874"/>
    <w:rsid w:val="00C74A16"/>
    <w:rsid w:val="00C759F8"/>
    <w:rsid w:val="00C86B08"/>
    <w:rsid w:val="00C95905"/>
    <w:rsid w:val="00C959DB"/>
    <w:rsid w:val="00CB325E"/>
    <w:rsid w:val="00CB49A9"/>
    <w:rsid w:val="00CB4BC3"/>
    <w:rsid w:val="00CB6EC9"/>
    <w:rsid w:val="00CC4C6F"/>
    <w:rsid w:val="00CC5BB2"/>
    <w:rsid w:val="00CD3D12"/>
    <w:rsid w:val="00CD46AB"/>
    <w:rsid w:val="00CD583B"/>
    <w:rsid w:val="00CE2717"/>
    <w:rsid w:val="00CE6797"/>
    <w:rsid w:val="00CF4937"/>
    <w:rsid w:val="00CF51F2"/>
    <w:rsid w:val="00CF5A1D"/>
    <w:rsid w:val="00CF5EDF"/>
    <w:rsid w:val="00D04319"/>
    <w:rsid w:val="00D0493B"/>
    <w:rsid w:val="00D06356"/>
    <w:rsid w:val="00D13D8A"/>
    <w:rsid w:val="00D147BA"/>
    <w:rsid w:val="00D166D2"/>
    <w:rsid w:val="00D2117D"/>
    <w:rsid w:val="00D24002"/>
    <w:rsid w:val="00D27304"/>
    <w:rsid w:val="00D27C93"/>
    <w:rsid w:val="00D36729"/>
    <w:rsid w:val="00D45274"/>
    <w:rsid w:val="00D45E0E"/>
    <w:rsid w:val="00D5053D"/>
    <w:rsid w:val="00D50F36"/>
    <w:rsid w:val="00D6591C"/>
    <w:rsid w:val="00D666DC"/>
    <w:rsid w:val="00D739FA"/>
    <w:rsid w:val="00D8318E"/>
    <w:rsid w:val="00D912A7"/>
    <w:rsid w:val="00DB0604"/>
    <w:rsid w:val="00DB26EB"/>
    <w:rsid w:val="00DC0A42"/>
    <w:rsid w:val="00DD4909"/>
    <w:rsid w:val="00DD4AB8"/>
    <w:rsid w:val="00DE0A47"/>
    <w:rsid w:val="00DF3DCD"/>
    <w:rsid w:val="00E05D92"/>
    <w:rsid w:val="00E30DED"/>
    <w:rsid w:val="00E362EF"/>
    <w:rsid w:val="00E45BAF"/>
    <w:rsid w:val="00E5462B"/>
    <w:rsid w:val="00E732BE"/>
    <w:rsid w:val="00E83B88"/>
    <w:rsid w:val="00E863D5"/>
    <w:rsid w:val="00E8664C"/>
    <w:rsid w:val="00E91F7A"/>
    <w:rsid w:val="00E926D5"/>
    <w:rsid w:val="00E96B29"/>
    <w:rsid w:val="00E96E54"/>
    <w:rsid w:val="00EA2290"/>
    <w:rsid w:val="00EA4007"/>
    <w:rsid w:val="00EA508F"/>
    <w:rsid w:val="00EA54DB"/>
    <w:rsid w:val="00EA6250"/>
    <w:rsid w:val="00EB3BC9"/>
    <w:rsid w:val="00EB7656"/>
    <w:rsid w:val="00EC42B6"/>
    <w:rsid w:val="00EC6F29"/>
    <w:rsid w:val="00EF6F9D"/>
    <w:rsid w:val="00F0006B"/>
    <w:rsid w:val="00F07457"/>
    <w:rsid w:val="00F150BF"/>
    <w:rsid w:val="00F30BB5"/>
    <w:rsid w:val="00F35EE8"/>
    <w:rsid w:val="00F37BB6"/>
    <w:rsid w:val="00F509A7"/>
    <w:rsid w:val="00F637B2"/>
    <w:rsid w:val="00F637C4"/>
    <w:rsid w:val="00F65DFD"/>
    <w:rsid w:val="00F74683"/>
    <w:rsid w:val="00F776B5"/>
    <w:rsid w:val="00F90D42"/>
    <w:rsid w:val="00FB088E"/>
    <w:rsid w:val="00FB0BC8"/>
    <w:rsid w:val="00FB4106"/>
    <w:rsid w:val="00FB6115"/>
    <w:rsid w:val="00FC7C15"/>
    <w:rsid w:val="00FD117D"/>
    <w:rsid w:val="00FF3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82C1D"/>
  <w15:docId w15:val="{7C0D03A0-1786-4D29-AF63-8C10F080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340820"/>
    <w:pPr>
      <w:widowControl w:val="0"/>
      <w:spacing w:before="360"/>
      <w:contextualSpacing/>
      <w:outlineLvl w:val="0"/>
    </w:pPr>
    <w:rPr>
      <w:rFonts w:ascii="Calibri" w:eastAsiaTheme="minorHAnsi" w:hAnsi="Calibri" w:cstheme="minorBidi"/>
      <w:b/>
      <w:bCs/>
      <w:spacing w:val="5"/>
      <w:kern w:val="28"/>
      <w:sz w:val="52"/>
      <w:szCs w:val="28"/>
      <w:lang w:eastAsia="en-US"/>
    </w:rPr>
  </w:style>
  <w:style w:type="paragraph" w:styleId="Heading2">
    <w:name w:val="heading 2"/>
    <w:basedOn w:val="Normal"/>
    <w:next w:val="Normal"/>
    <w:link w:val="Heading2Char"/>
    <w:uiPriority w:val="3"/>
    <w:rsid w:val="001B1009"/>
    <w:pPr>
      <w:keepNext/>
      <w:numPr>
        <w:numId w:val="8"/>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rsid w:val="00406AC2"/>
    <w:pPr>
      <w:keepNext/>
      <w:keepLines/>
      <w:numPr>
        <w:ilvl w:val="1"/>
        <w:numId w:val="8"/>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406AC2"/>
    <w:pPr>
      <w:keepNext/>
      <w:numPr>
        <w:ilvl w:val="2"/>
        <w:numId w:val="8"/>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E96E54"/>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FB6115"/>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B6ACE"/>
    <w:rPr>
      <w:sz w:val="20"/>
      <w:szCs w:val="20"/>
    </w:rPr>
  </w:style>
  <w:style w:type="character" w:customStyle="1" w:styleId="CommentTextChar">
    <w:name w:val="Comment Text Char"/>
    <w:basedOn w:val="DefaultParagraphFont"/>
    <w:link w:val="CommentText"/>
    <w:uiPriority w:val="99"/>
    <w:rsid w:val="00BB6ACE"/>
    <w:rPr>
      <w:rFonts w:asciiTheme="minorHAnsi" w:eastAsiaTheme="minorHAnsi" w:hAnsiTheme="minorHAnsi" w:cstheme="minorBidi"/>
      <w:lang w:eastAsia="en-US"/>
    </w:rPr>
  </w:style>
  <w:style w:type="paragraph" w:styleId="Header">
    <w:name w:val="header"/>
    <w:basedOn w:val="Normal"/>
    <w:link w:val="HeaderChar"/>
    <w:uiPriority w:val="26"/>
    <w:rsid w:val="00BB6AC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BB6ACE"/>
    <w:rPr>
      <w:rFonts w:ascii="Calibri" w:eastAsiaTheme="minorHAnsi" w:hAnsi="Calibri" w:cstheme="minorBidi"/>
      <w:szCs w:val="22"/>
      <w:lang w:eastAsia="en-US"/>
    </w:rPr>
  </w:style>
  <w:style w:type="paragraph" w:styleId="Footer">
    <w:name w:val="footer"/>
    <w:basedOn w:val="Normal"/>
    <w:link w:val="FooterChar"/>
    <w:uiPriority w:val="27"/>
    <w:rsid w:val="00BB6ACE"/>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BB6AC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340820"/>
    <w:rPr>
      <w:rFonts w:ascii="Calibri" w:eastAsiaTheme="minorHAnsi" w:hAnsi="Calibri" w:cstheme="minorBidi"/>
      <w:b/>
      <w:bCs/>
      <w:spacing w:val="5"/>
      <w:kern w:val="28"/>
      <w:sz w:val="52"/>
      <w:szCs w:val="28"/>
      <w:lang w:eastAsia="en-US"/>
    </w:rPr>
  </w:style>
  <w:style w:type="character" w:customStyle="1" w:styleId="Heading2Char">
    <w:name w:val="Heading 2 Char"/>
    <w:basedOn w:val="DefaultParagraphFont"/>
    <w:link w:val="Heading2"/>
    <w:uiPriority w:val="3"/>
    <w:rsid w:val="001B1009"/>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sid w:val="00406AC2"/>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406AC2"/>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E96E54"/>
    <w:rPr>
      <w:rFonts w:ascii="Calibri" w:eastAsiaTheme="minorHAnsi" w:hAnsi="Calibri" w:cstheme="minorBidi"/>
      <w:b/>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BB6ACE"/>
    <w:pPr>
      <w:numPr>
        <w:numId w:val="9"/>
      </w:numPr>
      <w:spacing w:before="120" w:after="120"/>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BB6ACE"/>
    <w:pPr>
      <w:numPr>
        <w:ilvl w:val="1"/>
        <w:numId w:val="9"/>
      </w:numPr>
      <w:spacing w:before="120" w:after="120"/>
      <w:contextualSpacing/>
    </w:pPr>
  </w:style>
  <w:style w:type="paragraph" w:styleId="ListNumber">
    <w:name w:val="List Number"/>
    <w:basedOn w:val="Normal"/>
    <w:uiPriority w:val="9"/>
    <w:qFormat/>
    <w:rsid w:val="00BB6ACE"/>
    <w:pPr>
      <w:numPr>
        <w:numId w:val="10"/>
      </w:numPr>
      <w:tabs>
        <w:tab w:val="left" w:pos="142"/>
      </w:tabs>
      <w:spacing w:before="120" w:after="120"/>
    </w:pPr>
  </w:style>
  <w:style w:type="paragraph" w:styleId="ListNumber2">
    <w:name w:val="List Number 2"/>
    <w:uiPriority w:val="10"/>
    <w:qFormat/>
    <w:rsid w:val="00BB6ACE"/>
    <w:pPr>
      <w:numPr>
        <w:ilvl w:val="1"/>
        <w:numId w:val="10"/>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BB6ACE"/>
    <w:pPr>
      <w:numPr>
        <w:ilvl w:val="2"/>
        <w:numId w:val="10"/>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1">
    <w:name w:val="Table Bullet 1"/>
    <w:basedOn w:val="TableText"/>
    <w:uiPriority w:val="15"/>
    <w:qFormat/>
    <w:rsid w:val="003D3CE1"/>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A56654"/>
    <w:pPr>
      <w:spacing w:after="120" w:line="276" w:lineRule="auto"/>
    </w:pPr>
    <w:rPr>
      <w:rFonts w:asciiTheme="minorHAnsi" w:eastAsiaTheme="minorHAnsi" w:hAnsiTheme="minorHAnsi" w:cstheme="minorBidi"/>
      <w:sz w:val="16"/>
      <w:szCs w:val="18"/>
      <w:lang w:eastAsia="en-US"/>
    </w:rPr>
  </w:style>
  <w:style w:type="paragraph" w:styleId="ListBullet3">
    <w:name w:val="List Bullet 3"/>
    <w:basedOn w:val="Normal"/>
    <w:uiPriority w:val="99"/>
    <w:rsid w:val="00BB6ACE"/>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E1C4C"/>
    <w:pPr>
      <w:numPr>
        <w:numId w:val="12"/>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1"/>
    <w:qFormat/>
    <w:rsid w:val="003D3CE1"/>
    <w:pPr>
      <w:numPr>
        <w:numId w:val="11"/>
      </w:numPr>
      <w:tabs>
        <w:tab w:val="num" w:pos="462"/>
      </w:tabs>
      <w:ind w:left="604" w:hanging="445"/>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FB6115"/>
    <w:rPr>
      <w:rFonts w:asciiTheme="minorHAnsi" w:eastAsiaTheme="majorEastAsia" w:hAnsiTheme="minorHAnsi" w:cstheme="majorBidi"/>
      <w:i/>
      <w:color w:val="59621D"/>
      <w:szCs w:val="22"/>
      <w:lang w:eastAsia="en-US"/>
    </w:rPr>
  </w:style>
  <w:style w:type="paragraph" w:styleId="Revision">
    <w:name w:val="Revision"/>
    <w:hidden/>
    <w:uiPriority w:val="99"/>
    <w:semiHidden/>
    <w:rsid w:val="00D0493B"/>
    <w:rPr>
      <w:rFonts w:asciiTheme="minorHAnsi" w:eastAsiaTheme="minorHAnsi" w:hAnsiTheme="minorHAnsi" w:cstheme="minorBidi"/>
      <w:sz w:val="22"/>
      <w:szCs w:val="22"/>
      <w:lang w:eastAsia="en-US"/>
    </w:rPr>
  </w:style>
  <w:style w:type="character" w:customStyle="1" w:styleId="cf01">
    <w:name w:val="cf01"/>
    <w:basedOn w:val="DefaultParagraphFont"/>
    <w:rsid w:val="00C43DD5"/>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39061821">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1262">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88125">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0120880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agriculture.gov.au/agriculture-land/farm-food-drought/drought/assistance/fmd/statistic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creativecommons.org/licenses/by/4.0/legalcode" TargetMode="External"/><Relationship Id="rId7" Type="http://schemas.openxmlformats.org/officeDocument/2006/relationships/settings" Target="settings.xml"/><Relationship Id="rId12" Type="http://schemas.openxmlformats.org/officeDocument/2006/relationships/hyperlink" Target="https://www.agriculture.gov.au/abares/research-topics/surveys/financial-performance-broadacre-farms" TargetMode="External"/><Relationship Id="rId17" Type="http://schemas.openxmlformats.org/officeDocument/2006/relationships/hyperlink" Target="https://www.agriculture.gov.au/abares/data/farm-data-porta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griculture.gov.au/agriculture-land/farm-food-drought/drought/assistance/fmd/statistics" TargetMode="External"/><Relationship Id="rId20" Type="http://schemas.openxmlformats.org/officeDocument/2006/relationships/hyperlink" Target="https://daff.ent.sirsidynix.net.au/client/en_AU/search/asset/103334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agriculture-land/farm-food-drought/drought/assistance/fmd/review"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griculture.gov.au/abares/data/farm-data-porta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griculture.gov.au/abares/data/farm-data-port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statistics/economy/price-indexes-and-inflation/consumer-price-index-australia"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5ab392c7a5806ba5623cf975181d763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75acfa4c1058d42c593a4e6e4216899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358E638D-0481-4821-B053-FB596DD3BABB}">
  <ds:schemaRefs>
    <ds:schemaRef ds:uri="http://schemas.openxmlformats.org/officeDocument/2006/bibliography"/>
  </ds:schemaRefs>
</ds:datastoreItem>
</file>

<file path=customXml/itemProps4.xml><?xml version="1.0" encoding="utf-8"?>
<ds:datastoreItem xmlns:ds="http://schemas.openxmlformats.org/officeDocument/2006/customXml" ds:itemID="{F35F6084-2D18-4FC7-A5FF-AF5DFFE24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Short_document_template</Template>
  <TotalTime>15</TotalTime>
  <Pages>4</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Analysis of Farm Management Deposits Scheme key performance indicators - 2024-25 findings</vt:lpstr>
    </vt:vector>
  </TitlesOfParts>
  <Company/>
  <LinksUpToDate>false</LinksUpToDate>
  <CharactersWithSpaces>9043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Farm Management Deposits Scheme key performance indicators - 2024-25 findings</dc:title>
  <dc:subject/>
  <dc:creator>Department of Agriculture, Fisheries and Forestry</dc:creator>
  <cp:keywords/>
  <dc:description/>
  <cp:revision>13</cp:revision>
  <cp:lastPrinted>2025-09-24T04:48:00Z</cp:lastPrinted>
  <dcterms:created xsi:type="dcterms:W3CDTF">2025-09-15T01:29:00Z</dcterms:created>
  <dcterms:modified xsi:type="dcterms:W3CDTF">2025-11-04T02:36:00Z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_DocHome">
    <vt:i4>986778056</vt:i4>
  </property>
  <property fmtid="{D5CDD505-2E9C-101B-9397-08002B2CF9AE}" pid="4" name="ClassificationContentMarkingHeaderShapeIds">
    <vt:lpwstr>d5fbc35,393fea10,230286a4</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6f239088,5c096a83,7e765535</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2024-09-03T05:41:23Z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e233dc3c-2b9c-4c5e-a4f5-9caf93a57338</vt:lpwstr>
  </property>
  <property fmtid="{D5CDD505-2E9C-101B-9397-08002B2CF9AE}" pid="16" name="MSIP_Label_933d8be6-3c40-4052-87a2-9c2adcba8759_ContentBits">
    <vt:lpwstr>3</vt:lpwstr>
  </property>
  <property fmtid="{D5CDD505-2E9C-101B-9397-08002B2CF9AE}" pid="17" name="MediaServiceImageTags">
    <vt:lpwstr/>
  </property>
</Properties>
</file>