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5DE50" w14:textId="77777777" w:rsidR="00AE356F" w:rsidRDefault="00AE356F" w:rsidP="00296383">
      <w:pPr>
        <w:pStyle w:val="Heading1"/>
        <w:spacing w:before="2040"/>
      </w:pPr>
      <w:r w:rsidRPr="00741861">
        <w:t>Australian and New Zealand Standard Diagnostic Procedure (ANZSDP) for White Spot Syndrome Virus</w:t>
      </w:r>
    </w:p>
    <w:p w14:paraId="0942D522" w14:textId="4466AFFA" w:rsidR="00371F5F" w:rsidRDefault="00371F5F" w:rsidP="00371F5F">
      <w:pPr>
        <w:pStyle w:val="Author"/>
      </w:pPr>
      <w:r w:rsidRPr="00A3595C">
        <w:t>N Moody and P Mohr</w:t>
      </w:r>
    </w:p>
    <w:p w14:paraId="63F72F26" w14:textId="77777777" w:rsidR="00371F5F" w:rsidRDefault="00371F5F" w:rsidP="00371F5F">
      <w:pPr>
        <w:pStyle w:val="AuthorOrganisationAffiliation"/>
      </w:pPr>
      <w:r>
        <w:t>CSIRO</w:t>
      </w:r>
    </w:p>
    <w:p w14:paraId="28922283" w14:textId="77777777" w:rsidR="00371F5F" w:rsidRDefault="00371F5F" w:rsidP="00AE356F">
      <w:pPr>
        <w:pStyle w:val="Normalsmall"/>
      </w:pPr>
    </w:p>
    <w:p w14:paraId="068537E0" w14:textId="16674E13" w:rsidR="00AE356F" w:rsidRDefault="00AE356F" w:rsidP="00AE356F">
      <w:pPr>
        <w:pStyle w:val="Normalsmall"/>
      </w:pPr>
      <w:r w:rsidRPr="00371F5F">
        <w:br w:type="page"/>
      </w:r>
      <w:r>
        <w:lastRenderedPageBreak/>
        <w:t xml:space="preserve">© </w:t>
      </w:r>
      <w:r w:rsidR="0072729E" w:rsidRPr="0072729E">
        <w:t>Department of Agriculture, Fisheries and Forestry</w:t>
      </w:r>
      <w:r w:rsidR="0072729E">
        <w:t xml:space="preserve"> (DAFF)</w:t>
      </w:r>
      <w:r w:rsidR="006F54FF">
        <w:t xml:space="preserve"> </w:t>
      </w:r>
      <w:r>
        <w:t>2022</w:t>
      </w:r>
    </w:p>
    <w:p w14:paraId="3FBD5043" w14:textId="77777777" w:rsidR="00AE356F" w:rsidRDefault="00AE356F" w:rsidP="00AE356F">
      <w:pPr>
        <w:pStyle w:val="Normalsmall"/>
        <w:rPr>
          <w:rStyle w:val="Strong"/>
        </w:rPr>
      </w:pPr>
      <w:r>
        <w:rPr>
          <w:rStyle w:val="Strong"/>
        </w:rPr>
        <w:t>Ownership of intellectual property rights</w:t>
      </w:r>
    </w:p>
    <w:p w14:paraId="5CBCE38B" w14:textId="77777777" w:rsidR="00AE356F" w:rsidRDefault="00AE356F" w:rsidP="00AE356F">
      <w:pPr>
        <w:pStyle w:val="Normalsmall"/>
      </w:pPr>
      <w:r>
        <w:t>Unless otherwise noted, copyright (and any other intellectual property rights) in this publication is owned by the Commonwealth of Australia (referred to as the Commonwealth).</w:t>
      </w:r>
    </w:p>
    <w:p w14:paraId="55723718" w14:textId="77777777" w:rsidR="00AE356F" w:rsidRDefault="00AE356F" w:rsidP="00AE356F">
      <w:pPr>
        <w:pStyle w:val="Normalsmall"/>
        <w:rPr>
          <w:rStyle w:val="Strong"/>
        </w:rPr>
      </w:pPr>
      <w:r>
        <w:rPr>
          <w:rStyle w:val="Strong"/>
        </w:rPr>
        <w:t>Creative Commons licence</w:t>
      </w:r>
    </w:p>
    <w:p w14:paraId="19B86744" w14:textId="77777777" w:rsidR="00AE356F" w:rsidRDefault="00AE356F" w:rsidP="00AE356F">
      <w:pPr>
        <w:pStyle w:val="Normalsmall"/>
      </w:pPr>
      <w:r>
        <w:t xml:space="preserve">All material in this publication is licensed under a </w:t>
      </w:r>
      <w:hyperlink r:id="rId11" w:history="1">
        <w:r>
          <w:rPr>
            <w:rStyle w:val="Hyperlink"/>
          </w:rPr>
          <w:t>Creative Commons Attribution 4.0 International Licence</w:t>
        </w:r>
      </w:hyperlink>
      <w:r>
        <w:t xml:space="preserve"> except content supplied by third parties, logos and the Commonwealth Coat of Arms.</w:t>
      </w:r>
    </w:p>
    <w:p w14:paraId="525E637C" w14:textId="35A5B9FC" w:rsidR="00AE356F" w:rsidRPr="00364A4A" w:rsidRDefault="00AE356F" w:rsidP="00AE356F">
      <w:pPr>
        <w:pStyle w:val="Normalsmall"/>
      </w:pPr>
      <w:r>
        <w:t xml:space="preserve">Inquiries about the licence and any use of this document should be </w:t>
      </w:r>
      <w:r w:rsidRPr="00364A4A">
        <w:t xml:space="preserve">emailed to </w:t>
      </w:r>
      <w:r w:rsidR="00296383">
        <w:t>copyright@aff.gov.au</w:t>
      </w:r>
      <w:r w:rsidRPr="00364A4A">
        <w:t>.</w:t>
      </w:r>
    </w:p>
    <w:p w14:paraId="0A1B6657" w14:textId="77777777" w:rsidR="00AE356F" w:rsidRPr="00364A4A" w:rsidRDefault="00AE356F" w:rsidP="00AE356F">
      <w:pPr>
        <w:pStyle w:val="Normalsmall"/>
      </w:pPr>
      <w:r w:rsidRPr="00364A4A">
        <w:rPr>
          <w:noProof/>
          <w:lang w:eastAsia="en-AU"/>
        </w:rPr>
        <w:drawing>
          <wp:inline distT="0" distB="0" distL="0" distR="0" wp14:anchorId="13E26854" wp14:editId="75A5EC87">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831C65C" w14:textId="77777777" w:rsidR="00AE356F" w:rsidRPr="00364A4A" w:rsidRDefault="00AE356F" w:rsidP="00AE356F">
      <w:pPr>
        <w:pStyle w:val="Normalsmall"/>
        <w:rPr>
          <w:rStyle w:val="Strong"/>
        </w:rPr>
      </w:pPr>
      <w:r w:rsidRPr="00364A4A">
        <w:rPr>
          <w:rStyle w:val="Strong"/>
        </w:rPr>
        <w:t>Cataloguing data</w:t>
      </w:r>
    </w:p>
    <w:p w14:paraId="08939E74" w14:textId="63D54549" w:rsidR="00AE356F" w:rsidRDefault="00AE356F" w:rsidP="00AE356F">
      <w:pPr>
        <w:pStyle w:val="Normalsmall"/>
      </w:pPr>
      <w:r w:rsidRPr="00364A4A">
        <w:t xml:space="preserve">This publication (and any material sourced from it) should be attributed as: </w:t>
      </w:r>
      <w:r w:rsidR="0072729E">
        <w:t>DAFF</w:t>
      </w:r>
      <w:r w:rsidRPr="00741861">
        <w:t xml:space="preserve"> 2022, </w:t>
      </w:r>
      <w:r w:rsidRPr="00741861">
        <w:rPr>
          <w:i/>
        </w:rPr>
        <w:t>Australian and New Zealand Standard Diagnostic Procedure (ANZSDP) for White Spot Syndrome Virus</w:t>
      </w:r>
      <w:r>
        <w:t xml:space="preserve">, </w:t>
      </w:r>
      <w:r w:rsidR="00040BE2" w:rsidRPr="0072729E">
        <w:t>Department of Agriculture, Fisheries and Forestry</w:t>
      </w:r>
      <w:r w:rsidRPr="001E59C1">
        <w:t xml:space="preserve">, </w:t>
      </w:r>
      <w:r w:rsidR="00040BE2">
        <w:t>Canberra</w:t>
      </w:r>
      <w:r w:rsidRPr="001E59C1">
        <w:t xml:space="preserve">, </w:t>
      </w:r>
      <w:r w:rsidR="001E59C1" w:rsidRPr="001E59C1">
        <w:t>December</w:t>
      </w:r>
      <w:r w:rsidRPr="001E59C1">
        <w:t>. CC BY 4.0.</w:t>
      </w:r>
    </w:p>
    <w:p w14:paraId="22327241" w14:textId="7CBCA19B" w:rsidR="00AE356F" w:rsidRDefault="00AE356F" w:rsidP="00AE356F">
      <w:pPr>
        <w:pStyle w:val="Normalsmall"/>
      </w:pPr>
      <w:r>
        <w:t xml:space="preserve">This </w:t>
      </w:r>
      <w:r w:rsidRPr="00364A4A">
        <w:t>publication is available at</w:t>
      </w:r>
      <w:r w:rsidR="002143FB">
        <w:t>:</w:t>
      </w:r>
      <w:r w:rsidRPr="00364A4A">
        <w:t xml:space="preserve"> </w:t>
      </w:r>
      <w:hyperlink r:id="rId13" w:history="1">
        <w:r w:rsidR="00296383" w:rsidRPr="00FA24DE">
          <w:rPr>
            <w:rStyle w:val="Hyperlink"/>
          </w:rPr>
          <w:t>https://www.agriculture.gov.au/agriculture-land/animal/health/laboratories/procedures/anzsdp/white-spot-disease</w:t>
        </w:r>
      </w:hyperlink>
      <w:r w:rsidR="00296383">
        <w:t xml:space="preserve"> </w:t>
      </w:r>
    </w:p>
    <w:p w14:paraId="0455DE3D" w14:textId="77777777" w:rsidR="00AE356F" w:rsidRDefault="00AE356F" w:rsidP="00AE356F">
      <w:pPr>
        <w:pStyle w:val="Normalsmall"/>
        <w:spacing w:after="0"/>
      </w:pPr>
      <w:r w:rsidRPr="00DE0AAE">
        <w:t>Department of Agriculture, Fisheries and Forestry</w:t>
      </w:r>
    </w:p>
    <w:p w14:paraId="6D3B8D98" w14:textId="77777777" w:rsidR="00AE356F" w:rsidRPr="00364A4A" w:rsidRDefault="00AE356F" w:rsidP="00AE356F">
      <w:pPr>
        <w:pStyle w:val="Normalsmall"/>
        <w:spacing w:after="0"/>
      </w:pPr>
      <w:r w:rsidRPr="00364A4A">
        <w:t>GPO Box 858 Canberra ACT 2601</w:t>
      </w:r>
    </w:p>
    <w:p w14:paraId="20B3EC58" w14:textId="77777777" w:rsidR="00AE356F" w:rsidRPr="00364A4A" w:rsidRDefault="00AE356F" w:rsidP="00AE356F">
      <w:pPr>
        <w:pStyle w:val="Normalsmall"/>
        <w:spacing w:after="0"/>
      </w:pPr>
      <w:r w:rsidRPr="00364A4A">
        <w:t>Telephone 1800 900 090</w:t>
      </w:r>
    </w:p>
    <w:p w14:paraId="139C6537" w14:textId="77777777" w:rsidR="000F7610" w:rsidRDefault="00AE356F" w:rsidP="000F7610">
      <w:pPr>
        <w:pStyle w:val="Normalsmall"/>
        <w:rPr>
          <w:rStyle w:val="Hyperlink"/>
        </w:rPr>
      </w:pPr>
      <w:r w:rsidRPr="00364A4A">
        <w:t xml:space="preserve">Web </w:t>
      </w:r>
      <w:hyperlink r:id="rId14" w:history="1">
        <w:r w:rsidRPr="00364A4A">
          <w:rPr>
            <w:rStyle w:val="Hyperlink"/>
          </w:rPr>
          <w:t>agriculture.gov.au</w:t>
        </w:r>
      </w:hyperlink>
    </w:p>
    <w:p w14:paraId="7700B9CD" w14:textId="77777777" w:rsidR="000F7610" w:rsidRDefault="000F7610" w:rsidP="000F7610">
      <w:pPr>
        <w:pStyle w:val="Normalsmall"/>
      </w:pPr>
      <w:r>
        <w:t>CSIRO Australian Centre for Disease Preparedness</w:t>
      </w:r>
      <w:r>
        <w:br/>
        <w:t>Private Bag 24, East Geelong, VIC 3220</w:t>
      </w:r>
      <w:r>
        <w:br/>
      </w:r>
      <w:hyperlink r:id="rId15" w:history="1">
        <w:r w:rsidRPr="00C255D5">
          <w:rPr>
            <w:rStyle w:val="Hyperlink"/>
          </w:rPr>
          <w:t>nick.moody@csiro.au</w:t>
        </w:r>
      </w:hyperlink>
    </w:p>
    <w:p w14:paraId="3D22DA2B" w14:textId="68008525" w:rsidR="000F7610" w:rsidRPr="000F7610" w:rsidRDefault="000F7610" w:rsidP="000F7610">
      <w:pPr>
        <w:pStyle w:val="Normalsmall"/>
        <w:rPr>
          <w:color w:val="165788"/>
          <w:u w:val="single"/>
        </w:rPr>
      </w:pPr>
      <w:r>
        <w:t>CSIRO Australian Centre for Disease Preparedness</w:t>
      </w:r>
      <w:r>
        <w:br/>
        <w:t>Private Bag 24, East Geelong, VIC 3220</w:t>
      </w:r>
      <w:r>
        <w:br/>
      </w:r>
      <w:hyperlink r:id="rId16" w:history="1">
        <w:r w:rsidRPr="00C255D5">
          <w:rPr>
            <w:rStyle w:val="Hyperlink"/>
          </w:rPr>
          <w:t>peter.mohr@csiro.au</w:t>
        </w:r>
      </w:hyperlink>
      <w:r>
        <w:t xml:space="preserve"> </w:t>
      </w:r>
    </w:p>
    <w:p w14:paraId="6258A2D8" w14:textId="77777777" w:rsidR="00AE356F" w:rsidRDefault="00AE356F" w:rsidP="00AE356F">
      <w:pPr>
        <w:pStyle w:val="Normalsmall"/>
      </w:pPr>
      <w:r w:rsidRPr="00364A4A">
        <w:rPr>
          <w:rStyle w:val="Strong"/>
        </w:rPr>
        <w:t>Disclaimer</w:t>
      </w:r>
    </w:p>
    <w:p w14:paraId="7D6C1141" w14:textId="2349548F" w:rsidR="00AE356F" w:rsidRDefault="00AE356F" w:rsidP="00AE356F">
      <w:pPr>
        <w:pStyle w:val="Normalsmall"/>
      </w:pPr>
      <w:r>
        <w:t xml:space="preserve">The Australian Government acting through the </w:t>
      </w:r>
      <w:r w:rsidRPr="00DE0AAE">
        <w:t>Department of Agriculture, Fisheries and Forestry</w:t>
      </w:r>
      <w:r>
        <w:t xml:space="preserve"> has exercised due care and skill in preparing and compiling the information and data in this publication. Notwithstanding, the </w:t>
      </w:r>
      <w:r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4EA20E2E" w14:textId="77777777" w:rsidR="00363FA6" w:rsidRPr="00363FA6" w:rsidRDefault="00363FA6" w:rsidP="00363FA6">
      <w:pPr>
        <w:pStyle w:val="Normalsmall"/>
        <w:rPr>
          <w:rStyle w:val="Strong"/>
        </w:rPr>
      </w:pPr>
      <w:r w:rsidRPr="00363FA6">
        <w:rPr>
          <w:rStyle w:val="Strong"/>
        </w:rPr>
        <w:t>Acknowledgements</w:t>
      </w:r>
    </w:p>
    <w:p w14:paraId="4F3DC232" w14:textId="28A62D8A" w:rsidR="00363FA6" w:rsidRDefault="00363FA6" w:rsidP="00363FA6">
      <w:pPr>
        <w:pStyle w:val="Normalsmall"/>
      </w:pPr>
      <w:r>
        <w:t>This report was funded by the Department of Agriculture, Fisheries and Forestry</w:t>
      </w:r>
      <w:r w:rsidR="00040BE2">
        <w:t xml:space="preserve">. It was authored originally by Dr Nick Moody and Dr Peter Mohr from the CSIRO </w:t>
      </w:r>
      <w:r w:rsidR="00040BE2" w:rsidRPr="00040BE2">
        <w:t>Australian Centre for Disease Preparedness</w:t>
      </w:r>
      <w:r w:rsidR="00040BE2">
        <w:t xml:space="preserve">, </w:t>
      </w:r>
      <w:r w:rsidR="00040BE2" w:rsidRPr="00040BE2">
        <w:t xml:space="preserve">Fish Diseases Laboratory </w:t>
      </w:r>
      <w:r w:rsidR="00040BE2">
        <w:t xml:space="preserve"> </w:t>
      </w:r>
      <w:r w:rsidR="00151297">
        <w:t xml:space="preserve"> and has had </w:t>
      </w:r>
      <w:r w:rsidR="00040BE2">
        <w:t xml:space="preserve">significant </w:t>
      </w:r>
      <w:r w:rsidR="00151297">
        <w:t xml:space="preserve">technical input from the </w:t>
      </w:r>
      <w:r w:rsidR="00151297" w:rsidRPr="00151297">
        <w:t>Sub-committee on Aquatic Animal Health (SCAAH)</w:t>
      </w:r>
      <w:r w:rsidR="00151297">
        <w:t xml:space="preserve">. We thank the Animal Health Committee (AHC) for their endorsement of this document. </w:t>
      </w:r>
    </w:p>
    <w:p w14:paraId="35DEF42F" w14:textId="77777777" w:rsidR="00AE356F" w:rsidRDefault="00AE356F" w:rsidP="00AE356F">
      <w:pPr>
        <w:pStyle w:val="Normalsmall"/>
      </w:pPr>
      <w:r>
        <w:rPr>
          <w:rStyle w:val="Strong"/>
        </w:rPr>
        <w:t>Acknowledgement of Country</w:t>
      </w:r>
    </w:p>
    <w:p w14:paraId="454A756F" w14:textId="77777777" w:rsidR="00AE356F" w:rsidRDefault="00AE356F" w:rsidP="00AE356F">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5487EC4E" w14:textId="77777777" w:rsidR="00AE356F" w:rsidRDefault="00AE356F" w:rsidP="00AE356F">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rFonts w:asciiTheme="minorHAnsi" w:hAnsiTheme="minorHAnsi"/>
          <w:b/>
          <w:noProof/>
        </w:rPr>
      </w:sdtEndPr>
      <w:sdtContent>
        <w:p w14:paraId="7D814306" w14:textId="77777777" w:rsidR="00AE356F" w:rsidRDefault="00AE356F" w:rsidP="00AE356F">
          <w:pPr>
            <w:pStyle w:val="TOCHeading"/>
          </w:pPr>
          <w:r>
            <w:t>Contents</w:t>
          </w:r>
        </w:p>
        <w:p w14:paraId="3EB36B95" w14:textId="3587ED7A" w:rsidR="007C7F54" w:rsidRDefault="00AE356F">
          <w:pPr>
            <w:pStyle w:val="TOC1"/>
            <w:rPr>
              <w:rFonts w:eastAsiaTheme="minorEastAsia"/>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141701922" w:history="1">
            <w:r w:rsidR="007C7F54" w:rsidRPr="00260646">
              <w:rPr>
                <w:rStyle w:val="Hyperlink"/>
              </w:rPr>
              <w:t>Summary</w:t>
            </w:r>
            <w:r w:rsidR="007C7F54">
              <w:rPr>
                <w:webHidden/>
              </w:rPr>
              <w:tab/>
            </w:r>
            <w:r w:rsidR="007C7F54">
              <w:rPr>
                <w:webHidden/>
              </w:rPr>
              <w:fldChar w:fldCharType="begin"/>
            </w:r>
            <w:r w:rsidR="007C7F54">
              <w:rPr>
                <w:webHidden/>
              </w:rPr>
              <w:instrText xml:space="preserve"> PAGEREF _Toc141701922 \h </w:instrText>
            </w:r>
            <w:r w:rsidR="007C7F54">
              <w:rPr>
                <w:webHidden/>
              </w:rPr>
            </w:r>
            <w:r w:rsidR="007C7F54">
              <w:rPr>
                <w:webHidden/>
              </w:rPr>
              <w:fldChar w:fldCharType="separate"/>
            </w:r>
            <w:r w:rsidR="00D12BC0">
              <w:rPr>
                <w:webHidden/>
              </w:rPr>
              <w:t>v</w:t>
            </w:r>
            <w:r w:rsidR="007C7F54">
              <w:rPr>
                <w:webHidden/>
              </w:rPr>
              <w:fldChar w:fldCharType="end"/>
            </w:r>
          </w:hyperlink>
        </w:p>
        <w:p w14:paraId="0432FC6A" w14:textId="0D39C7C1" w:rsidR="007C7F54" w:rsidRDefault="0094053C">
          <w:pPr>
            <w:pStyle w:val="TOC2"/>
            <w:rPr>
              <w:rFonts w:eastAsiaTheme="minorEastAsia"/>
              <w:lang w:eastAsia="en-AU"/>
            </w:rPr>
          </w:pPr>
          <w:hyperlink w:anchor="_Toc141701923" w:history="1">
            <w:r w:rsidR="007C7F54" w:rsidRPr="00260646">
              <w:rPr>
                <w:rStyle w:val="Hyperlink"/>
              </w:rPr>
              <w:t>Status of Australia and New Zealand</w:t>
            </w:r>
            <w:r w:rsidR="007C7F54">
              <w:rPr>
                <w:webHidden/>
              </w:rPr>
              <w:tab/>
            </w:r>
            <w:r w:rsidR="007C7F54">
              <w:rPr>
                <w:webHidden/>
              </w:rPr>
              <w:fldChar w:fldCharType="begin"/>
            </w:r>
            <w:r w:rsidR="007C7F54">
              <w:rPr>
                <w:webHidden/>
              </w:rPr>
              <w:instrText xml:space="preserve"> PAGEREF _Toc141701923 \h </w:instrText>
            </w:r>
            <w:r w:rsidR="007C7F54">
              <w:rPr>
                <w:webHidden/>
              </w:rPr>
            </w:r>
            <w:r w:rsidR="007C7F54">
              <w:rPr>
                <w:webHidden/>
              </w:rPr>
              <w:fldChar w:fldCharType="separate"/>
            </w:r>
            <w:r w:rsidR="00D12BC0">
              <w:rPr>
                <w:webHidden/>
              </w:rPr>
              <w:t>v</w:t>
            </w:r>
            <w:r w:rsidR="007C7F54">
              <w:rPr>
                <w:webHidden/>
              </w:rPr>
              <w:fldChar w:fldCharType="end"/>
            </w:r>
          </w:hyperlink>
        </w:p>
        <w:p w14:paraId="330A1459" w14:textId="2BC821A6" w:rsidR="007C7F54" w:rsidRDefault="0094053C">
          <w:pPr>
            <w:pStyle w:val="TOC2"/>
            <w:rPr>
              <w:rFonts w:eastAsiaTheme="minorEastAsia"/>
              <w:lang w:eastAsia="en-AU"/>
            </w:rPr>
          </w:pPr>
          <w:hyperlink w:anchor="_Toc141701924" w:history="1">
            <w:r w:rsidR="007C7F54" w:rsidRPr="00260646">
              <w:rPr>
                <w:rStyle w:val="Hyperlink"/>
              </w:rPr>
              <w:t>How to use this document</w:t>
            </w:r>
            <w:r w:rsidR="007C7F54">
              <w:rPr>
                <w:webHidden/>
              </w:rPr>
              <w:tab/>
            </w:r>
            <w:r w:rsidR="007C7F54">
              <w:rPr>
                <w:webHidden/>
              </w:rPr>
              <w:fldChar w:fldCharType="begin"/>
            </w:r>
            <w:r w:rsidR="007C7F54">
              <w:rPr>
                <w:webHidden/>
              </w:rPr>
              <w:instrText xml:space="preserve"> PAGEREF _Toc141701924 \h </w:instrText>
            </w:r>
            <w:r w:rsidR="007C7F54">
              <w:rPr>
                <w:webHidden/>
              </w:rPr>
            </w:r>
            <w:r w:rsidR="007C7F54">
              <w:rPr>
                <w:webHidden/>
              </w:rPr>
              <w:fldChar w:fldCharType="separate"/>
            </w:r>
            <w:r w:rsidR="00D12BC0">
              <w:rPr>
                <w:webHidden/>
              </w:rPr>
              <w:t>v</w:t>
            </w:r>
            <w:r w:rsidR="007C7F54">
              <w:rPr>
                <w:webHidden/>
              </w:rPr>
              <w:fldChar w:fldCharType="end"/>
            </w:r>
          </w:hyperlink>
        </w:p>
        <w:p w14:paraId="24BB69C2" w14:textId="4CE28627" w:rsidR="007C7F54" w:rsidRDefault="0094053C">
          <w:pPr>
            <w:pStyle w:val="TOC1"/>
            <w:rPr>
              <w:rFonts w:eastAsiaTheme="minorEastAsia"/>
              <w:b w:val="0"/>
              <w:lang w:eastAsia="en-AU"/>
            </w:rPr>
          </w:pPr>
          <w:hyperlink w:anchor="_Toc141701925" w:history="1">
            <w:r w:rsidR="007C7F54" w:rsidRPr="00260646">
              <w:rPr>
                <w:rStyle w:val="Hyperlink"/>
              </w:rPr>
              <w:t>1</w:t>
            </w:r>
            <w:r w:rsidR="007C7F54">
              <w:rPr>
                <w:rFonts w:eastAsiaTheme="minorEastAsia"/>
                <w:b w:val="0"/>
                <w:lang w:eastAsia="en-AU"/>
              </w:rPr>
              <w:tab/>
            </w:r>
            <w:r w:rsidR="007C7F54" w:rsidRPr="00260646">
              <w:rPr>
                <w:rStyle w:val="Hyperlink"/>
              </w:rPr>
              <w:t>Diagnostic overview</w:t>
            </w:r>
            <w:r w:rsidR="007C7F54">
              <w:rPr>
                <w:webHidden/>
              </w:rPr>
              <w:tab/>
            </w:r>
            <w:r w:rsidR="007C7F54">
              <w:rPr>
                <w:webHidden/>
              </w:rPr>
              <w:fldChar w:fldCharType="begin"/>
            </w:r>
            <w:r w:rsidR="007C7F54">
              <w:rPr>
                <w:webHidden/>
              </w:rPr>
              <w:instrText xml:space="preserve"> PAGEREF _Toc141701925 \h </w:instrText>
            </w:r>
            <w:r w:rsidR="007C7F54">
              <w:rPr>
                <w:webHidden/>
              </w:rPr>
            </w:r>
            <w:r w:rsidR="007C7F54">
              <w:rPr>
                <w:webHidden/>
              </w:rPr>
              <w:fldChar w:fldCharType="separate"/>
            </w:r>
            <w:r w:rsidR="00D12BC0">
              <w:rPr>
                <w:webHidden/>
              </w:rPr>
              <w:t>7</w:t>
            </w:r>
            <w:r w:rsidR="007C7F54">
              <w:rPr>
                <w:webHidden/>
              </w:rPr>
              <w:fldChar w:fldCharType="end"/>
            </w:r>
          </w:hyperlink>
        </w:p>
        <w:p w14:paraId="44D4FFA2" w14:textId="4D602F23" w:rsidR="007C7F54" w:rsidRDefault="0094053C">
          <w:pPr>
            <w:pStyle w:val="TOC2"/>
            <w:tabs>
              <w:tab w:val="left" w:pos="1100"/>
            </w:tabs>
            <w:rPr>
              <w:rFonts w:eastAsiaTheme="minorEastAsia"/>
              <w:lang w:eastAsia="en-AU"/>
            </w:rPr>
          </w:pPr>
          <w:hyperlink w:anchor="_Toc141701926" w:history="1">
            <w:r w:rsidR="007C7F54" w:rsidRPr="00260646">
              <w:rPr>
                <w:rStyle w:val="Hyperlink"/>
              </w:rPr>
              <w:t>1.1</w:t>
            </w:r>
            <w:r w:rsidR="007C7F54">
              <w:rPr>
                <w:rFonts w:eastAsiaTheme="minorEastAsia"/>
                <w:lang w:eastAsia="en-AU"/>
              </w:rPr>
              <w:tab/>
            </w:r>
            <w:r w:rsidR="007C7F54" w:rsidRPr="00260646">
              <w:rPr>
                <w:rStyle w:val="Hyperlink"/>
              </w:rPr>
              <w:t>Agent factors</w:t>
            </w:r>
            <w:r w:rsidR="007C7F54">
              <w:rPr>
                <w:webHidden/>
              </w:rPr>
              <w:tab/>
            </w:r>
            <w:r w:rsidR="007C7F54">
              <w:rPr>
                <w:webHidden/>
              </w:rPr>
              <w:fldChar w:fldCharType="begin"/>
            </w:r>
            <w:r w:rsidR="007C7F54">
              <w:rPr>
                <w:webHidden/>
              </w:rPr>
              <w:instrText xml:space="preserve"> PAGEREF _Toc141701926 \h </w:instrText>
            </w:r>
            <w:r w:rsidR="007C7F54">
              <w:rPr>
                <w:webHidden/>
              </w:rPr>
            </w:r>
            <w:r w:rsidR="007C7F54">
              <w:rPr>
                <w:webHidden/>
              </w:rPr>
              <w:fldChar w:fldCharType="separate"/>
            </w:r>
            <w:r w:rsidR="00D12BC0">
              <w:rPr>
                <w:webHidden/>
              </w:rPr>
              <w:t>7</w:t>
            </w:r>
            <w:r w:rsidR="007C7F54">
              <w:rPr>
                <w:webHidden/>
              </w:rPr>
              <w:fldChar w:fldCharType="end"/>
            </w:r>
          </w:hyperlink>
        </w:p>
        <w:p w14:paraId="3A5FC09F" w14:textId="7648A390" w:rsidR="007C7F54" w:rsidRDefault="0094053C">
          <w:pPr>
            <w:pStyle w:val="TOC2"/>
            <w:tabs>
              <w:tab w:val="left" w:pos="1100"/>
            </w:tabs>
            <w:rPr>
              <w:rFonts w:eastAsiaTheme="minorEastAsia"/>
              <w:lang w:eastAsia="en-AU"/>
            </w:rPr>
          </w:pPr>
          <w:hyperlink w:anchor="_Toc141701927" w:history="1">
            <w:r w:rsidR="007C7F54" w:rsidRPr="00260646">
              <w:rPr>
                <w:rStyle w:val="Hyperlink"/>
              </w:rPr>
              <w:t>1.2</w:t>
            </w:r>
            <w:r w:rsidR="007C7F54">
              <w:rPr>
                <w:rFonts w:eastAsiaTheme="minorEastAsia"/>
                <w:lang w:eastAsia="en-AU"/>
              </w:rPr>
              <w:tab/>
            </w:r>
            <w:r w:rsidR="007C7F54" w:rsidRPr="00260646">
              <w:rPr>
                <w:rStyle w:val="Hyperlink"/>
              </w:rPr>
              <w:t>Host factors</w:t>
            </w:r>
            <w:r w:rsidR="007C7F54">
              <w:rPr>
                <w:webHidden/>
              </w:rPr>
              <w:tab/>
            </w:r>
            <w:r w:rsidR="007C7F54">
              <w:rPr>
                <w:webHidden/>
              </w:rPr>
              <w:fldChar w:fldCharType="begin"/>
            </w:r>
            <w:r w:rsidR="007C7F54">
              <w:rPr>
                <w:webHidden/>
              </w:rPr>
              <w:instrText xml:space="preserve"> PAGEREF _Toc141701927 \h </w:instrText>
            </w:r>
            <w:r w:rsidR="007C7F54">
              <w:rPr>
                <w:webHidden/>
              </w:rPr>
            </w:r>
            <w:r w:rsidR="007C7F54">
              <w:rPr>
                <w:webHidden/>
              </w:rPr>
              <w:fldChar w:fldCharType="separate"/>
            </w:r>
            <w:r w:rsidR="00D12BC0">
              <w:rPr>
                <w:webHidden/>
              </w:rPr>
              <w:t>7</w:t>
            </w:r>
            <w:r w:rsidR="007C7F54">
              <w:rPr>
                <w:webHidden/>
              </w:rPr>
              <w:fldChar w:fldCharType="end"/>
            </w:r>
          </w:hyperlink>
        </w:p>
        <w:p w14:paraId="066D5447" w14:textId="33E7E5A2" w:rsidR="007C7F54" w:rsidRDefault="0094053C">
          <w:pPr>
            <w:pStyle w:val="TOC2"/>
            <w:tabs>
              <w:tab w:val="left" w:pos="1100"/>
            </w:tabs>
            <w:rPr>
              <w:rFonts w:eastAsiaTheme="minorEastAsia"/>
              <w:lang w:eastAsia="en-AU"/>
            </w:rPr>
          </w:pPr>
          <w:hyperlink w:anchor="_Toc141701928" w:history="1">
            <w:r w:rsidR="007C7F54" w:rsidRPr="00260646">
              <w:rPr>
                <w:rStyle w:val="Hyperlink"/>
              </w:rPr>
              <w:t>1.3</w:t>
            </w:r>
            <w:r w:rsidR="007C7F54">
              <w:rPr>
                <w:rFonts w:eastAsiaTheme="minorEastAsia"/>
                <w:lang w:eastAsia="en-AU"/>
              </w:rPr>
              <w:tab/>
            </w:r>
            <w:r w:rsidR="007C7F54" w:rsidRPr="00260646">
              <w:rPr>
                <w:rStyle w:val="Hyperlink"/>
              </w:rPr>
              <w:t>Disease pattern</w:t>
            </w:r>
            <w:r w:rsidR="007C7F54">
              <w:rPr>
                <w:webHidden/>
              </w:rPr>
              <w:tab/>
            </w:r>
            <w:r w:rsidR="007C7F54">
              <w:rPr>
                <w:webHidden/>
              </w:rPr>
              <w:fldChar w:fldCharType="begin"/>
            </w:r>
            <w:r w:rsidR="007C7F54">
              <w:rPr>
                <w:webHidden/>
              </w:rPr>
              <w:instrText xml:space="preserve"> PAGEREF _Toc141701928 \h </w:instrText>
            </w:r>
            <w:r w:rsidR="007C7F54">
              <w:rPr>
                <w:webHidden/>
              </w:rPr>
            </w:r>
            <w:r w:rsidR="007C7F54">
              <w:rPr>
                <w:webHidden/>
              </w:rPr>
              <w:fldChar w:fldCharType="separate"/>
            </w:r>
            <w:r w:rsidR="00D12BC0">
              <w:rPr>
                <w:webHidden/>
              </w:rPr>
              <w:t>8</w:t>
            </w:r>
            <w:r w:rsidR="007C7F54">
              <w:rPr>
                <w:webHidden/>
              </w:rPr>
              <w:fldChar w:fldCharType="end"/>
            </w:r>
          </w:hyperlink>
        </w:p>
        <w:p w14:paraId="2B46EA55" w14:textId="4A066ACB" w:rsidR="007C7F54" w:rsidRDefault="0094053C">
          <w:pPr>
            <w:pStyle w:val="TOC2"/>
            <w:tabs>
              <w:tab w:val="left" w:pos="1100"/>
            </w:tabs>
            <w:rPr>
              <w:rFonts w:eastAsiaTheme="minorEastAsia"/>
              <w:lang w:eastAsia="en-AU"/>
            </w:rPr>
          </w:pPr>
          <w:hyperlink w:anchor="_Toc141701929" w:history="1">
            <w:r w:rsidR="007C7F54" w:rsidRPr="00260646">
              <w:rPr>
                <w:rStyle w:val="Hyperlink"/>
              </w:rPr>
              <w:t>1.4</w:t>
            </w:r>
            <w:r w:rsidR="007C7F54">
              <w:rPr>
                <w:rFonts w:eastAsiaTheme="minorEastAsia"/>
                <w:lang w:eastAsia="en-AU"/>
              </w:rPr>
              <w:tab/>
            </w:r>
            <w:r w:rsidR="007C7F54" w:rsidRPr="00260646">
              <w:rPr>
                <w:rStyle w:val="Hyperlink"/>
              </w:rPr>
              <w:t>Differential diagnosis</w:t>
            </w:r>
            <w:r w:rsidR="007C7F54">
              <w:rPr>
                <w:webHidden/>
              </w:rPr>
              <w:tab/>
            </w:r>
            <w:r w:rsidR="007C7F54">
              <w:rPr>
                <w:webHidden/>
              </w:rPr>
              <w:fldChar w:fldCharType="begin"/>
            </w:r>
            <w:r w:rsidR="007C7F54">
              <w:rPr>
                <w:webHidden/>
              </w:rPr>
              <w:instrText xml:space="preserve"> PAGEREF _Toc141701929 \h </w:instrText>
            </w:r>
            <w:r w:rsidR="007C7F54">
              <w:rPr>
                <w:webHidden/>
              </w:rPr>
            </w:r>
            <w:r w:rsidR="007C7F54">
              <w:rPr>
                <w:webHidden/>
              </w:rPr>
              <w:fldChar w:fldCharType="separate"/>
            </w:r>
            <w:r w:rsidR="00D12BC0">
              <w:rPr>
                <w:webHidden/>
              </w:rPr>
              <w:t>10</w:t>
            </w:r>
            <w:r w:rsidR="007C7F54">
              <w:rPr>
                <w:webHidden/>
              </w:rPr>
              <w:fldChar w:fldCharType="end"/>
            </w:r>
          </w:hyperlink>
        </w:p>
        <w:p w14:paraId="5A987DBE" w14:textId="565F02EF" w:rsidR="007C7F54" w:rsidRDefault="0094053C">
          <w:pPr>
            <w:pStyle w:val="TOC2"/>
            <w:tabs>
              <w:tab w:val="left" w:pos="1100"/>
            </w:tabs>
            <w:rPr>
              <w:rFonts w:eastAsiaTheme="minorEastAsia"/>
              <w:lang w:eastAsia="en-AU"/>
            </w:rPr>
          </w:pPr>
          <w:hyperlink w:anchor="_Toc141701930" w:history="1">
            <w:r w:rsidR="007C7F54" w:rsidRPr="00260646">
              <w:rPr>
                <w:rStyle w:val="Hyperlink"/>
              </w:rPr>
              <w:t>1.5</w:t>
            </w:r>
            <w:r w:rsidR="007C7F54">
              <w:rPr>
                <w:rFonts w:eastAsiaTheme="minorEastAsia"/>
                <w:lang w:eastAsia="en-AU"/>
              </w:rPr>
              <w:tab/>
            </w:r>
            <w:r w:rsidR="007C7F54" w:rsidRPr="00260646">
              <w:rPr>
                <w:rStyle w:val="Hyperlink"/>
              </w:rPr>
              <w:t>Guidance on safety and biosecurity requirements</w:t>
            </w:r>
            <w:r w:rsidR="007C7F54">
              <w:rPr>
                <w:webHidden/>
              </w:rPr>
              <w:tab/>
            </w:r>
            <w:r w:rsidR="007C7F54">
              <w:rPr>
                <w:webHidden/>
              </w:rPr>
              <w:fldChar w:fldCharType="begin"/>
            </w:r>
            <w:r w:rsidR="007C7F54">
              <w:rPr>
                <w:webHidden/>
              </w:rPr>
              <w:instrText xml:space="preserve"> PAGEREF _Toc141701930 \h </w:instrText>
            </w:r>
            <w:r w:rsidR="007C7F54">
              <w:rPr>
                <w:webHidden/>
              </w:rPr>
            </w:r>
            <w:r w:rsidR="007C7F54">
              <w:rPr>
                <w:webHidden/>
              </w:rPr>
              <w:fldChar w:fldCharType="separate"/>
            </w:r>
            <w:r w:rsidR="00D12BC0">
              <w:rPr>
                <w:webHidden/>
              </w:rPr>
              <w:t>10</w:t>
            </w:r>
            <w:r w:rsidR="007C7F54">
              <w:rPr>
                <w:webHidden/>
              </w:rPr>
              <w:fldChar w:fldCharType="end"/>
            </w:r>
          </w:hyperlink>
        </w:p>
        <w:p w14:paraId="271CCB13" w14:textId="26C9AEF3" w:rsidR="007C7F54" w:rsidRDefault="0094053C">
          <w:pPr>
            <w:pStyle w:val="TOC2"/>
            <w:tabs>
              <w:tab w:val="left" w:pos="1100"/>
            </w:tabs>
            <w:rPr>
              <w:rFonts w:eastAsiaTheme="minorEastAsia"/>
              <w:lang w:eastAsia="en-AU"/>
            </w:rPr>
          </w:pPr>
          <w:hyperlink w:anchor="_Toc141701931" w:history="1">
            <w:r w:rsidR="007C7F54" w:rsidRPr="00260646">
              <w:rPr>
                <w:rStyle w:val="Hyperlink"/>
              </w:rPr>
              <w:t>1.6</w:t>
            </w:r>
            <w:r w:rsidR="007C7F54">
              <w:rPr>
                <w:rFonts w:eastAsiaTheme="minorEastAsia"/>
                <w:lang w:eastAsia="en-AU"/>
              </w:rPr>
              <w:tab/>
            </w:r>
            <w:r w:rsidR="007C7F54" w:rsidRPr="00260646">
              <w:rPr>
                <w:rStyle w:val="Hyperlink"/>
              </w:rPr>
              <w:t>Sampling</w:t>
            </w:r>
            <w:r w:rsidR="007C7F54">
              <w:rPr>
                <w:webHidden/>
              </w:rPr>
              <w:tab/>
            </w:r>
            <w:r w:rsidR="007C7F54">
              <w:rPr>
                <w:webHidden/>
              </w:rPr>
              <w:fldChar w:fldCharType="begin"/>
            </w:r>
            <w:r w:rsidR="007C7F54">
              <w:rPr>
                <w:webHidden/>
              </w:rPr>
              <w:instrText xml:space="preserve"> PAGEREF _Toc141701931 \h </w:instrText>
            </w:r>
            <w:r w:rsidR="007C7F54">
              <w:rPr>
                <w:webHidden/>
              </w:rPr>
            </w:r>
            <w:r w:rsidR="007C7F54">
              <w:rPr>
                <w:webHidden/>
              </w:rPr>
              <w:fldChar w:fldCharType="separate"/>
            </w:r>
            <w:r w:rsidR="00D12BC0">
              <w:rPr>
                <w:webHidden/>
              </w:rPr>
              <w:t>10</w:t>
            </w:r>
            <w:r w:rsidR="007C7F54">
              <w:rPr>
                <w:webHidden/>
              </w:rPr>
              <w:fldChar w:fldCharType="end"/>
            </w:r>
          </w:hyperlink>
        </w:p>
        <w:p w14:paraId="16A764B5" w14:textId="772C6A96" w:rsidR="007C7F54" w:rsidRDefault="0094053C">
          <w:pPr>
            <w:pStyle w:val="TOC1"/>
            <w:rPr>
              <w:rFonts w:eastAsiaTheme="minorEastAsia"/>
              <w:b w:val="0"/>
              <w:lang w:eastAsia="en-AU"/>
            </w:rPr>
          </w:pPr>
          <w:hyperlink w:anchor="_Toc141701932" w:history="1">
            <w:r w:rsidR="007C7F54" w:rsidRPr="00260646">
              <w:rPr>
                <w:rStyle w:val="Hyperlink"/>
              </w:rPr>
              <w:t>2</w:t>
            </w:r>
            <w:r w:rsidR="007C7F54">
              <w:rPr>
                <w:rFonts w:eastAsiaTheme="minorEastAsia"/>
                <w:b w:val="0"/>
                <w:lang w:eastAsia="en-AU"/>
              </w:rPr>
              <w:tab/>
            </w:r>
            <w:r w:rsidR="007C7F54" w:rsidRPr="00260646">
              <w:rPr>
                <w:rStyle w:val="Hyperlink"/>
              </w:rPr>
              <w:t>Diagnostic methods</w:t>
            </w:r>
            <w:r w:rsidR="007C7F54">
              <w:rPr>
                <w:webHidden/>
              </w:rPr>
              <w:tab/>
            </w:r>
            <w:r w:rsidR="007C7F54">
              <w:rPr>
                <w:webHidden/>
              </w:rPr>
              <w:fldChar w:fldCharType="begin"/>
            </w:r>
            <w:r w:rsidR="007C7F54">
              <w:rPr>
                <w:webHidden/>
              </w:rPr>
              <w:instrText xml:space="preserve"> PAGEREF _Toc141701932 \h </w:instrText>
            </w:r>
            <w:r w:rsidR="007C7F54">
              <w:rPr>
                <w:webHidden/>
              </w:rPr>
            </w:r>
            <w:r w:rsidR="007C7F54">
              <w:rPr>
                <w:webHidden/>
              </w:rPr>
              <w:fldChar w:fldCharType="separate"/>
            </w:r>
            <w:r w:rsidR="00D12BC0">
              <w:rPr>
                <w:webHidden/>
              </w:rPr>
              <w:t>12</w:t>
            </w:r>
            <w:r w:rsidR="007C7F54">
              <w:rPr>
                <w:webHidden/>
              </w:rPr>
              <w:fldChar w:fldCharType="end"/>
            </w:r>
          </w:hyperlink>
        </w:p>
        <w:p w14:paraId="2ECF2E33" w14:textId="2B42A1B1" w:rsidR="007C7F54" w:rsidRDefault="0094053C">
          <w:pPr>
            <w:pStyle w:val="TOC2"/>
            <w:tabs>
              <w:tab w:val="left" w:pos="1100"/>
            </w:tabs>
            <w:rPr>
              <w:rFonts w:eastAsiaTheme="minorEastAsia"/>
              <w:lang w:eastAsia="en-AU"/>
            </w:rPr>
          </w:pPr>
          <w:hyperlink w:anchor="_Toc141701933" w:history="1">
            <w:r w:rsidR="007C7F54" w:rsidRPr="00260646">
              <w:rPr>
                <w:rStyle w:val="Hyperlink"/>
              </w:rPr>
              <w:t>2.1</w:t>
            </w:r>
            <w:r w:rsidR="007C7F54">
              <w:rPr>
                <w:rFonts w:eastAsiaTheme="minorEastAsia"/>
                <w:lang w:eastAsia="en-AU"/>
              </w:rPr>
              <w:tab/>
            </w:r>
            <w:r w:rsidR="007C7F54" w:rsidRPr="00260646">
              <w:rPr>
                <w:rStyle w:val="Hyperlink"/>
              </w:rPr>
              <w:t>General considerations</w:t>
            </w:r>
            <w:r w:rsidR="007C7F54">
              <w:rPr>
                <w:webHidden/>
              </w:rPr>
              <w:tab/>
            </w:r>
            <w:r w:rsidR="007C7F54">
              <w:rPr>
                <w:webHidden/>
              </w:rPr>
              <w:fldChar w:fldCharType="begin"/>
            </w:r>
            <w:r w:rsidR="007C7F54">
              <w:rPr>
                <w:webHidden/>
              </w:rPr>
              <w:instrText xml:space="preserve"> PAGEREF _Toc141701933 \h </w:instrText>
            </w:r>
            <w:r w:rsidR="007C7F54">
              <w:rPr>
                <w:webHidden/>
              </w:rPr>
            </w:r>
            <w:r w:rsidR="007C7F54">
              <w:rPr>
                <w:webHidden/>
              </w:rPr>
              <w:fldChar w:fldCharType="separate"/>
            </w:r>
            <w:r w:rsidR="00D12BC0">
              <w:rPr>
                <w:webHidden/>
              </w:rPr>
              <w:t>14</w:t>
            </w:r>
            <w:r w:rsidR="007C7F54">
              <w:rPr>
                <w:webHidden/>
              </w:rPr>
              <w:fldChar w:fldCharType="end"/>
            </w:r>
          </w:hyperlink>
        </w:p>
        <w:p w14:paraId="5D2C2814" w14:textId="14F92058" w:rsidR="007C7F54" w:rsidRDefault="0094053C">
          <w:pPr>
            <w:pStyle w:val="TOC2"/>
            <w:tabs>
              <w:tab w:val="left" w:pos="1100"/>
            </w:tabs>
            <w:rPr>
              <w:rFonts w:eastAsiaTheme="minorEastAsia"/>
              <w:lang w:eastAsia="en-AU"/>
            </w:rPr>
          </w:pPr>
          <w:hyperlink w:anchor="_Toc141701934" w:history="1">
            <w:r w:rsidR="007C7F54" w:rsidRPr="00260646">
              <w:rPr>
                <w:rStyle w:val="Hyperlink"/>
              </w:rPr>
              <w:t>2.2</w:t>
            </w:r>
            <w:r w:rsidR="007C7F54">
              <w:rPr>
                <w:rFonts w:eastAsiaTheme="minorEastAsia"/>
                <w:lang w:eastAsia="en-AU"/>
              </w:rPr>
              <w:tab/>
            </w:r>
            <w:r w:rsidR="007C7F54" w:rsidRPr="00260646">
              <w:rPr>
                <w:rStyle w:val="Hyperlink"/>
              </w:rPr>
              <w:t>Histopathology</w:t>
            </w:r>
            <w:r w:rsidR="007C7F54">
              <w:rPr>
                <w:webHidden/>
              </w:rPr>
              <w:tab/>
            </w:r>
            <w:r w:rsidR="007C7F54">
              <w:rPr>
                <w:webHidden/>
              </w:rPr>
              <w:fldChar w:fldCharType="begin"/>
            </w:r>
            <w:r w:rsidR="007C7F54">
              <w:rPr>
                <w:webHidden/>
              </w:rPr>
              <w:instrText xml:space="preserve"> PAGEREF _Toc141701934 \h </w:instrText>
            </w:r>
            <w:r w:rsidR="007C7F54">
              <w:rPr>
                <w:webHidden/>
              </w:rPr>
            </w:r>
            <w:r w:rsidR="007C7F54">
              <w:rPr>
                <w:webHidden/>
              </w:rPr>
              <w:fldChar w:fldCharType="separate"/>
            </w:r>
            <w:r w:rsidR="00D12BC0">
              <w:rPr>
                <w:webHidden/>
              </w:rPr>
              <w:t>14</w:t>
            </w:r>
            <w:r w:rsidR="007C7F54">
              <w:rPr>
                <w:webHidden/>
              </w:rPr>
              <w:fldChar w:fldCharType="end"/>
            </w:r>
          </w:hyperlink>
        </w:p>
        <w:p w14:paraId="020A6109" w14:textId="0FC7BA36" w:rsidR="007C7F54" w:rsidRDefault="0094053C">
          <w:pPr>
            <w:pStyle w:val="TOC2"/>
            <w:tabs>
              <w:tab w:val="left" w:pos="1100"/>
            </w:tabs>
            <w:rPr>
              <w:rFonts w:eastAsiaTheme="minorEastAsia"/>
              <w:lang w:eastAsia="en-AU"/>
            </w:rPr>
          </w:pPr>
          <w:hyperlink w:anchor="_Toc141701935" w:history="1">
            <w:r w:rsidR="007C7F54" w:rsidRPr="00260646">
              <w:rPr>
                <w:rStyle w:val="Hyperlink"/>
              </w:rPr>
              <w:t>2.3</w:t>
            </w:r>
            <w:r w:rsidR="007C7F54">
              <w:rPr>
                <w:rFonts w:eastAsiaTheme="minorEastAsia"/>
                <w:lang w:eastAsia="en-AU"/>
              </w:rPr>
              <w:tab/>
            </w:r>
            <w:r w:rsidR="007C7F54" w:rsidRPr="00260646">
              <w:rPr>
                <w:rStyle w:val="Hyperlink"/>
                <w:rFonts w:eastAsia="Calibri"/>
                <w:i/>
                <w:iCs/>
              </w:rPr>
              <w:t>In situ</w:t>
            </w:r>
            <w:r w:rsidR="007C7F54" w:rsidRPr="00260646">
              <w:rPr>
                <w:rStyle w:val="Hyperlink"/>
              </w:rPr>
              <w:t xml:space="preserve"> hybridisation</w:t>
            </w:r>
            <w:r w:rsidR="007C7F54">
              <w:rPr>
                <w:webHidden/>
              </w:rPr>
              <w:tab/>
            </w:r>
            <w:r w:rsidR="007C7F54">
              <w:rPr>
                <w:webHidden/>
              </w:rPr>
              <w:fldChar w:fldCharType="begin"/>
            </w:r>
            <w:r w:rsidR="007C7F54">
              <w:rPr>
                <w:webHidden/>
              </w:rPr>
              <w:instrText xml:space="preserve"> PAGEREF _Toc141701935 \h </w:instrText>
            </w:r>
            <w:r w:rsidR="007C7F54">
              <w:rPr>
                <w:webHidden/>
              </w:rPr>
            </w:r>
            <w:r w:rsidR="007C7F54">
              <w:rPr>
                <w:webHidden/>
              </w:rPr>
              <w:fldChar w:fldCharType="separate"/>
            </w:r>
            <w:r w:rsidR="00D12BC0">
              <w:rPr>
                <w:webHidden/>
              </w:rPr>
              <w:t>16</w:t>
            </w:r>
            <w:r w:rsidR="007C7F54">
              <w:rPr>
                <w:webHidden/>
              </w:rPr>
              <w:fldChar w:fldCharType="end"/>
            </w:r>
          </w:hyperlink>
        </w:p>
        <w:p w14:paraId="63393A9C" w14:textId="248A42E9" w:rsidR="007C7F54" w:rsidRDefault="0094053C">
          <w:pPr>
            <w:pStyle w:val="TOC2"/>
            <w:tabs>
              <w:tab w:val="left" w:pos="1100"/>
            </w:tabs>
            <w:rPr>
              <w:rFonts w:eastAsiaTheme="minorEastAsia"/>
              <w:lang w:eastAsia="en-AU"/>
            </w:rPr>
          </w:pPr>
          <w:hyperlink w:anchor="_Toc141701936" w:history="1">
            <w:r w:rsidR="007C7F54" w:rsidRPr="00260646">
              <w:rPr>
                <w:rStyle w:val="Hyperlink"/>
              </w:rPr>
              <w:t>2.4</w:t>
            </w:r>
            <w:r w:rsidR="007C7F54">
              <w:rPr>
                <w:rFonts w:eastAsiaTheme="minorEastAsia"/>
                <w:lang w:eastAsia="en-AU"/>
              </w:rPr>
              <w:tab/>
            </w:r>
            <w:r w:rsidR="007C7F54" w:rsidRPr="00260646">
              <w:rPr>
                <w:rStyle w:val="Hyperlink"/>
              </w:rPr>
              <w:t>Transmission electron microscopy</w:t>
            </w:r>
            <w:r w:rsidR="007C7F54">
              <w:rPr>
                <w:webHidden/>
              </w:rPr>
              <w:tab/>
            </w:r>
            <w:r w:rsidR="007C7F54">
              <w:rPr>
                <w:webHidden/>
              </w:rPr>
              <w:fldChar w:fldCharType="begin"/>
            </w:r>
            <w:r w:rsidR="007C7F54">
              <w:rPr>
                <w:webHidden/>
              </w:rPr>
              <w:instrText xml:space="preserve"> PAGEREF _Toc141701936 \h </w:instrText>
            </w:r>
            <w:r w:rsidR="007C7F54">
              <w:rPr>
                <w:webHidden/>
              </w:rPr>
            </w:r>
            <w:r w:rsidR="007C7F54">
              <w:rPr>
                <w:webHidden/>
              </w:rPr>
              <w:fldChar w:fldCharType="separate"/>
            </w:r>
            <w:r w:rsidR="00D12BC0">
              <w:rPr>
                <w:webHidden/>
              </w:rPr>
              <w:t>16</w:t>
            </w:r>
            <w:r w:rsidR="007C7F54">
              <w:rPr>
                <w:webHidden/>
              </w:rPr>
              <w:fldChar w:fldCharType="end"/>
            </w:r>
          </w:hyperlink>
        </w:p>
        <w:p w14:paraId="258A5030" w14:textId="132CF47B" w:rsidR="007C7F54" w:rsidRDefault="0094053C">
          <w:pPr>
            <w:pStyle w:val="TOC2"/>
            <w:tabs>
              <w:tab w:val="left" w:pos="1100"/>
            </w:tabs>
            <w:rPr>
              <w:rFonts w:eastAsiaTheme="minorEastAsia"/>
              <w:lang w:eastAsia="en-AU"/>
            </w:rPr>
          </w:pPr>
          <w:hyperlink w:anchor="_Toc141701937" w:history="1">
            <w:r w:rsidR="007C7F54" w:rsidRPr="00260646">
              <w:rPr>
                <w:rStyle w:val="Hyperlink"/>
                <w:rFonts w:eastAsia="Calibri"/>
              </w:rPr>
              <w:t>2.5</w:t>
            </w:r>
            <w:r w:rsidR="007C7F54">
              <w:rPr>
                <w:rFonts w:eastAsiaTheme="minorEastAsia"/>
                <w:lang w:eastAsia="en-AU"/>
              </w:rPr>
              <w:tab/>
            </w:r>
            <w:r w:rsidR="007C7F54" w:rsidRPr="00260646">
              <w:rPr>
                <w:rStyle w:val="Hyperlink"/>
                <w:rFonts w:eastAsia="Calibri"/>
              </w:rPr>
              <w:t>Molecular methods</w:t>
            </w:r>
            <w:r w:rsidR="007C7F54">
              <w:rPr>
                <w:webHidden/>
              </w:rPr>
              <w:tab/>
            </w:r>
            <w:r w:rsidR="007C7F54">
              <w:rPr>
                <w:webHidden/>
              </w:rPr>
              <w:fldChar w:fldCharType="begin"/>
            </w:r>
            <w:r w:rsidR="007C7F54">
              <w:rPr>
                <w:webHidden/>
              </w:rPr>
              <w:instrText xml:space="preserve"> PAGEREF _Toc141701937 \h </w:instrText>
            </w:r>
            <w:r w:rsidR="007C7F54">
              <w:rPr>
                <w:webHidden/>
              </w:rPr>
            </w:r>
            <w:r w:rsidR="007C7F54">
              <w:rPr>
                <w:webHidden/>
              </w:rPr>
              <w:fldChar w:fldCharType="separate"/>
            </w:r>
            <w:r w:rsidR="00D12BC0">
              <w:rPr>
                <w:webHidden/>
              </w:rPr>
              <w:t>17</w:t>
            </w:r>
            <w:r w:rsidR="007C7F54">
              <w:rPr>
                <w:webHidden/>
              </w:rPr>
              <w:fldChar w:fldCharType="end"/>
            </w:r>
          </w:hyperlink>
        </w:p>
        <w:p w14:paraId="4632FFED" w14:textId="615C07DB" w:rsidR="007C7F54" w:rsidRDefault="0094053C">
          <w:pPr>
            <w:pStyle w:val="TOC2"/>
            <w:tabs>
              <w:tab w:val="left" w:pos="1100"/>
            </w:tabs>
            <w:rPr>
              <w:rFonts w:eastAsiaTheme="minorEastAsia"/>
              <w:lang w:eastAsia="en-AU"/>
            </w:rPr>
          </w:pPr>
          <w:hyperlink w:anchor="_Toc141701938" w:history="1">
            <w:r w:rsidR="007C7F54" w:rsidRPr="00260646">
              <w:rPr>
                <w:rStyle w:val="Hyperlink"/>
              </w:rPr>
              <w:t>2.6</w:t>
            </w:r>
            <w:r w:rsidR="007C7F54">
              <w:rPr>
                <w:rFonts w:eastAsiaTheme="minorEastAsia"/>
                <w:lang w:eastAsia="en-AU"/>
              </w:rPr>
              <w:tab/>
            </w:r>
            <w:r w:rsidR="007C7F54" w:rsidRPr="00260646">
              <w:rPr>
                <w:rStyle w:val="Hyperlink"/>
              </w:rPr>
              <w:t>Polymerase Chain Reaction (PCR)</w:t>
            </w:r>
            <w:r w:rsidR="007C7F54">
              <w:rPr>
                <w:webHidden/>
              </w:rPr>
              <w:tab/>
            </w:r>
            <w:r w:rsidR="007C7F54">
              <w:rPr>
                <w:webHidden/>
              </w:rPr>
              <w:fldChar w:fldCharType="begin"/>
            </w:r>
            <w:r w:rsidR="007C7F54">
              <w:rPr>
                <w:webHidden/>
              </w:rPr>
              <w:instrText xml:space="preserve"> PAGEREF _Toc141701938 \h </w:instrText>
            </w:r>
            <w:r w:rsidR="007C7F54">
              <w:rPr>
                <w:webHidden/>
              </w:rPr>
            </w:r>
            <w:r w:rsidR="007C7F54">
              <w:rPr>
                <w:webHidden/>
              </w:rPr>
              <w:fldChar w:fldCharType="separate"/>
            </w:r>
            <w:r w:rsidR="00D12BC0">
              <w:rPr>
                <w:webHidden/>
              </w:rPr>
              <w:t>17</w:t>
            </w:r>
            <w:r w:rsidR="007C7F54">
              <w:rPr>
                <w:webHidden/>
              </w:rPr>
              <w:fldChar w:fldCharType="end"/>
            </w:r>
          </w:hyperlink>
        </w:p>
        <w:p w14:paraId="2D9113AC" w14:textId="5E50AF6A" w:rsidR="007C7F54" w:rsidRDefault="0094053C">
          <w:pPr>
            <w:pStyle w:val="TOC2"/>
            <w:tabs>
              <w:tab w:val="left" w:pos="1100"/>
            </w:tabs>
            <w:rPr>
              <w:rFonts w:eastAsiaTheme="minorEastAsia"/>
              <w:lang w:eastAsia="en-AU"/>
            </w:rPr>
          </w:pPr>
          <w:hyperlink w:anchor="_Toc141701939" w:history="1">
            <w:r w:rsidR="007C7F54" w:rsidRPr="00260646">
              <w:rPr>
                <w:rStyle w:val="Hyperlink"/>
                <w:rFonts w:eastAsia="Calibri"/>
              </w:rPr>
              <w:t>2.7</w:t>
            </w:r>
            <w:r w:rsidR="007C7F54">
              <w:rPr>
                <w:rFonts w:eastAsiaTheme="minorEastAsia"/>
                <w:lang w:eastAsia="en-AU"/>
              </w:rPr>
              <w:tab/>
            </w:r>
            <w:r w:rsidR="007C7F54" w:rsidRPr="00260646">
              <w:rPr>
                <w:rStyle w:val="Hyperlink"/>
                <w:rFonts w:eastAsia="Calibri"/>
              </w:rPr>
              <w:t>Real-time PCR methods</w:t>
            </w:r>
            <w:r w:rsidR="007C7F54">
              <w:rPr>
                <w:webHidden/>
              </w:rPr>
              <w:tab/>
            </w:r>
            <w:r w:rsidR="007C7F54">
              <w:rPr>
                <w:webHidden/>
              </w:rPr>
              <w:fldChar w:fldCharType="begin"/>
            </w:r>
            <w:r w:rsidR="007C7F54">
              <w:rPr>
                <w:webHidden/>
              </w:rPr>
              <w:instrText xml:space="preserve"> PAGEREF _Toc141701939 \h </w:instrText>
            </w:r>
            <w:r w:rsidR="007C7F54">
              <w:rPr>
                <w:webHidden/>
              </w:rPr>
            </w:r>
            <w:r w:rsidR="007C7F54">
              <w:rPr>
                <w:webHidden/>
              </w:rPr>
              <w:fldChar w:fldCharType="separate"/>
            </w:r>
            <w:r w:rsidR="00D12BC0">
              <w:rPr>
                <w:webHidden/>
              </w:rPr>
              <w:t>17</w:t>
            </w:r>
            <w:r w:rsidR="007C7F54">
              <w:rPr>
                <w:webHidden/>
              </w:rPr>
              <w:fldChar w:fldCharType="end"/>
            </w:r>
          </w:hyperlink>
        </w:p>
        <w:p w14:paraId="31AC6887" w14:textId="69748A30" w:rsidR="007C7F54" w:rsidRDefault="0094053C">
          <w:pPr>
            <w:pStyle w:val="TOC2"/>
            <w:tabs>
              <w:tab w:val="left" w:pos="1100"/>
            </w:tabs>
            <w:rPr>
              <w:rFonts w:eastAsiaTheme="minorEastAsia"/>
              <w:lang w:eastAsia="en-AU"/>
            </w:rPr>
          </w:pPr>
          <w:hyperlink w:anchor="_Toc141701940" w:history="1">
            <w:r w:rsidR="007C7F54" w:rsidRPr="00260646">
              <w:rPr>
                <w:rStyle w:val="Hyperlink"/>
                <w:rFonts w:eastAsia="Calibri"/>
              </w:rPr>
              <w:t>2.8</w:t>
            </w:r>
            <w:r w:rsidR="007C7F54">
              <w:rPr>
                <w:rFonts w:eastAsiaTheme="minorEastAsia"/>
                <w:lang w:eastAsia="en-AU"/>
              </w:rPr>
              <w:tab/>
            </w:r>
            <w:r w:rsidR="007C7F54" w:rsidRPr="00260646">
              <w:rPr>
                <w:rStyle w:val="Hyperlink"/>
                <w:rFonts w:eastAsia="Calibri"/>
              </w:rPr>
              <w:t>Conventional PCR methods</w:t>
            </w:r>
            <w:r w:rsidR="007C7F54">
              <w:rPr>
                <w:webHidden/>
              </w:rPr>
              <w:tab/>
            </w:r>
            <w:r w:rsidR="007C7F54">
              <w:rPr>
                <w:webHidden/>
              </w:rPr>
              <w:fldChar w:fldCharType="begin"/>
            </w:r>
            <w:r w:rsidR="007C7F54">
              <w:rPr>
                <w:webHidden/>
              </w:rPr>
              <w:instrText xml:space="preserve"> PAGEREF _Toc141701940 \h </w:instrText>
            </w:r>
            <w:r w:rsidR="007C7F54">
              <w:rPr>
                <w:webHidden/>
              </w:rPr>
            </w:r>
            <w:r w:rsidR="007C7F54">
              <w:rPr>
                <w:webHidden/>
              </w:rPr>
              <w:fldChar w:fldCharType="separate"/>
            </w:r>
            <w:r w:rsidR="00D12BC0">
              <w:rPr>
                <w:webHidden/>
              </w:rPr>
              <w:t>20</w:t>
            </w:r>
            <w:r w:rsidR="007C7F54">
              <w:rPr>
                <w:webHidden/>
              </w:rPr>
              <w:fldChar w:fldCharType="end"/>
            </w:r>
          </w:hyperlink>
        </w:p>
        <w:p w14:paraId="3E32E1FA" w14:textId="3D460AB3" w:rsidR="007C7F54" w:rsidRDefault="0094053C">
          <w:pPr>
            <w:pStyle w:val="TOC2"/>
            <w:tabs>
              <w:tab w:val="left" w:pos="1100"/>
            </w:tabs>
            <w:rPr>
              <w:rFonts w:eastAsiaTheme="minorEastAsia"/>
              <w:lang w:eastAsia="en-AU"/>
            </w:rPr>
          </w:pPr>
          <w:hyperlink w:anchor="_Toc141701941" w:history="1">
            <w:r w:rsidR="007C7F54" w:rsidRPr="00260646">
              <w:rPr>
                <w:rStyle w:val="Hyperlink"/>
              </w:rPr>
              <w:t>2.9</w:t>
            </w:r>
            <w:r w:rsidR="007C7F54">
              <w:rPr>
                <w:rFonts w:eastAsiaTheme="minorEastAsia"/>
                <w:lang w:eastAsia="en-AU"/>
              </w:rPr>
              <w:tab/>
            </w:r>
            <w:r w:rsidR="007C7F54" w:rsidRPr="00260646">
              <w:rPr>
                <w:rStyle w:val="Hyperlink"/>
              </w:rPr>
              <w:t>Immunological assays</w:t>
            </w:r>
            <w:r w:rsidR="007C7F54">
              <w:rPr>
                <w:webHidden/>
              </w:rPr>
              <w:tab/>
            </w:r>
            <w:r w:rsidR="007C7F54">
              <w:rPr>
                <w:webHidden/>
              </w:rPr>
              <w:fldChar w:fldCharType="begin"/>
            </w:r>
            <w:r w:rsidR="007C7F54">
              <w:rPr>
                <w:webHidden/>
              </w:rPr>
              <w:instrText xml:space="preserve"> PAGEREF _Toc141701941 \h </w:instrText>
            </w:r>
            <w:r w:rsidR="007C7F54">
              <w:rPr>
                <w:webHidden/>
              </w:rPr>
            </w:r>
            <w:r w:rsidR="007C7F54">
              <w:rPr>
                <w:webHidden/>
              </w:rPr>
              <w:fldChar w:fldCharType="separate"/>
            </w:r>
            <w:r w:rsidR="00D12BC0">
              <w:rPr>
                <w:webHidden/>
              </w:rPr>
              <w:t>21</w:t>
            </w:r>
            <w:r w:rsidR="007C7F54">
              <w:rPr>
                <w:webHidden/>
              </w:rPr>
              <w:fldChar w:fldCharType="end"/>
            </w:r>
          </w:hyperlink>
        </w:p>
        <w:p w14:paraId="411412FB" w14:textId="21C4C03D" w:rsidR="007C7F54" w:rsidRDefault="0094053C">
          <w:pPr>
            <w:pStyle w:val="TOC2"/>
            <w:tabs>
              <w:tab w:val="left" w:pos="1100"/>
            </w:tabs>
            <w:rPr>
              <w:rFonts w:eastAsiaTheme="minorEastAsia"/>
              <w:lang w:eastAsia="en-AU"/>
            </w:rPr>
          </w:pPr>
          <w:hyperlink w:anchor="_Toc141701942" w:history="1">
            <w:r w:rsidR="007C7F54" w:rsidRPr="00260646">
              <w:rPr>
                <w:rStyle w:val="Hyperlink"/>
                <w:lang w:eastAsia="ja-JP"/>
              </w:rPr>
              <w:t>2.10</w:t>
            </w:r>
            <w:r w:rsidR="007C7F54">
              <w:rPr>
                <w:rFonts w:eastAsiaTheme="minorEastAsia"/>
                <w:lang w:eastAsia="en-AU"/>
              </w:rPr>
              <w:tab/>
            </w:r>
            <w:r w:rsidR="007C7F54" w:rsidRPr="00260646">
              <w:rPr>
                <w:rStyle w:val="Hyperlink"/>
                <w:lang w:eastAsia="ja-JP"/>
              </w:rPr>
              <w:t>Bioassays</w:t>
            </w:r>
            <w:r w:rsidR="007C7F54">
              <w:rPr>
                <w:webHidden/>
              </w:rPr>
              <w:tab/>
            </w:r>
            <w:r w:rsidR="007C7F54">
              <w:rPr>
                <w:webHidden/>
              </w:rPr>
              <w:fldChar w:fldCharType="begin"/>
            </w:r>
            <w:r w:rsidR="007C7F54">
              <w:rPr>
                <w:webHidden/>
              </w:rPr>
              <w:instrText xml:space="preserve"> PAGEREF _Toc141701942 \h </w:instrText>
            </w:r>
            <w:r w:rsidR="007C7F54">
              <w:rPr>
                <w:webHidden/>
              </w:rPr>
            </w:r>
            <w:r w:rsidR="007C7F54">
              <w:rPr>
                <w:webHidden/>
              </w:rPr>
              <w:fldChar w:fldCharType="separate"/>
            </w:r>
            <w:r w:rsidR="00D12BC0">
              <w:rPr>
                <w:webHidden/>
              </w:rPr>
              <w:t>22</w:t>
            </w:r>
            <w:r w:rsidR="007C7F54">
              <w:rPr>
                <w:webHidden/>
              </w:rPr>
              <w:fldChar w:fldCharType="end"/>
            </w:r>
          </w:hyperlink>
        </w:p>
        <w:p w14:paraId="3A28F4E3" w14:textId="3846F6B6" w:rsidR="007C7F54" w:rsidRDefault="0094053C">
          <w:pPr>
            <w:pStyle w:val="TOC2"/>
            <w:tabs>
              <w:tab w:val="left" w:pos="1100"/>
            </w:tabs>
            <w:rPr>
              <w:rFonts w:eastAsiaTheme="minorEastAsia"/>
              <w:lang w:eastAsia="en-AU"/>
            </w:rPr>
          </w:pPr>
          <w:hyperlink w:anchor="_Toc141701943" w:history="1">
            <w:r w:rsidR="007C7F54" w:rsidRPr="00260646">
              <w:rPr>
                <w:rStyle w:val="Hyperlink"/>
              </w:rPr>
              <w:t>2.11</w:t>
            </w:r>
            <w:r w:rsidR="007C7F54">
              <w:rPr>
                <w:rFonts w:eastAsiaTheme="minorEastAsia"/>
                <w:lang w:eastAsia="en-AU"/>
              </w:rPr>
              <w:tab/>
            </w:r>
            <w:r w:rsidR="007C7F54" w:rsidRPr="00260646">
              <w:rPr>
                <w:rStyle w:val="Hyperlink"/>
              </w:rPr>
              <w:t>Tests recommended for surveillance to demonstrate freedom in apparently healthy populations</w:t>
            </w:r>
            <w:r w:rsidR="007C7F54">
              <w:rPr>
                <w:webHidden/>
              </w:rPr>
              <w:tab/>
            </w:r>
            <w:r w:rsidR="007C7F54">
              <w:rPr>
                <w:webHidden/>
              </w:rPr>
              <w:fldChar w:fldCharType="begin"/>
            </w:r>
            <w:r w:rsidR="007C7F54">
              <w:rPr>
                <w:webHidden/>
              </w:rPr>
              <w:instrText xml:space="preserve"> PAGEREF _Toc141701943 \h </w:instrText>
            </w:r>
            <w:r w:rsidR="007C7F54">
              <w:rPr>
                <w:webHidden/>
              </w:rPr>
            </w:r>
            <w:r w:rsidR="007C7F54">
              <w:rPr>
                <w:webHidden/>
              </w:rPr>
              <w:fldChar w:fldCharType="separate"/>
            </w:r>
            <w:r w:rsidR="00D12BC0">
              <w:rPr>
                <w:webHidden/>
              </w:rPr>
              <w:t>22</w:t>
            </w:r>
            <w:r w:rsidR="007C7F54">
              <w:rPr>
                <w:webHidden/>
              </w:rPr>
              <w:fldChar w:fldCharType="end"/>
            </w:r>
          </w:hyperlink>
        </w:p>
        <w:p w14:paraId="504769CD" w14:textId="0960C0F1" w:rsidR="007C7F54" w:rsidRDefault="0094053C">
          <w:pPr>
            <w:pStyle w:val="TOC1"/>
            <w:rPr>
              <w:rFonts w:eastAsiaTheme="minorEastAsia"/>
              <w:b w:val="0"/>
              <w:lang w:eastAsia="en-AU"/>
            </w:rPr>
          </w:pPr>
          <w:hyperlink w:anchor="_Toc141701944" w:history="1">
            <w:r w:rsidR="007C7F54" w:rsidRPr="00260646">
              <w:rPr>
                <w:rStyle w:val="Hyperlink"/>
              </w:rPr>
              <w:t>3</w:t>
            </w:r>
            <w:r w:rsidR="007C7F54">
              <w:rPr>
                <w:rFonts w:eastAsiaTheme="minorEastAsia"/>
                <w:b w:val="0"/>
                <w:lang w:eastAsia="en-AU"/>
              </w:rPr>
              <w:tab/>
            </w:r>
            <w:r w:rsidR="007C7F54" w:rsidRPr="00260646">
              <w:rPr>
                <w:rStyle w:val="Hyperlink"/>
              </w:rPr>
              <w:t>Corroborative diagnostic criteria</w:t>
            </w:r>
            <w:r w:rsidR="007C7F54">
              <w:rPr>
                <w:webHidden/>
              </w:rPr>
              <w:tab/>
            </w:r>
            <w:r w:rsidR="007C7F54">
              <w:rPr>
                <w:webHidden/>
              </w:rPr>
              <w:fldChar w:fldCharType="begin"/>
            </w:r>
            <w:r w:rsidR="007C7F54">
              <w:rPr>
                <w:webHidden/>
              </w:rPr>
              <w:instrText xml:space="preserve"> PAGEREF _Toc141701944 \h </w:instrText>
            </w:r>
            <w:r w:rsidR="007C7F54">
              <w:rPr>
                <w:webHidden/>
              </w:rPr>
            </w:r>
            <w:r w:rsidR="007C7F54">
              <w:rPr>
                <w:webHidden/>
              </w:rPr>
              <w:fldChar w:fldCharType="separate"/>
            </w:r>
            <w:r w:rsidR="00D12BC0">
              <w:rPr>
                <w:webHidden/>
              </w:rPr>
              <w:t>23</w:t>
            </w:r>
            <w:r w:rsidR="007C7F54">
              <w:rPr>
                <w:webHidden/>
              </w:rPr>
              <w:fldChar w:fldCharType="end"/>
            </w:r>
          </w:hyperlink>
        </w:p>
        <w:p w14:paraId="5EB2C64C" w14:textId="43982175" w:rsidR="007C7F54" w:rsidRDefault="0094053C">
          <w:pPr>
            <w:pStyle w:val="TOC2"/>
            <w:tabs>
              <w:tab w:val="left" w:pos="1100"/>
            </w:tabs>
            <w:rPr>
              <w:rFonts w:eastAsiaTheme="minorEastAsia"/>
              <w:lang w:eastAsia="en-AU"/>
            </w:rPr>
          </w:pPr>
          <w:hyperlink w:anchor="_Toc141701945" w:history="1">
            <w:r w:rsidR="007C7F54" w:rsidRPr="00260646">
              <w:rPr>
                <w:rStyle w:val="Hyperlink"/>
              </w:rPr>
              <w:t>3.1</w:t>
            </w:r>
            <w:r w:rsidR="007C7F54">
              <w:rPr>
                <w:rFonts w:eastAsiaTheme="minorEastAsia"/>
                <w:lang w:eastAsia="en-AU"/>
              </w:rPr>
              <w:tab/>
            </w:r>
            <w:r w:rsidR="007C7F54" w:rsidRPr="00260646">
              <w:rPr>
                <w:rStyle w:val="Hyperlink"/>
              </w:rPr>
              <w:t>Case definition</w:t>
            </w:r>
            <w:r w:rsidR="007C7F54">
              <w:rPr>
                <w:webHidden/>
              </w:rPr>
              <w:tab/>
            </w:r>
            <w:r w:rsidR="007C7F54">
              <w:rPr>
                <w:webHidden/>
              </w:rPr>
              <w:fldChar w:fldCharType="begin"/>
            </w:r>
            <w:r w:rsidR="007C7F54">
              <w:rPr>
                <w:webHidden/>
              </w:rPr>
              <w:instrText xml:space="preserve"> PAGEREF _Toc141701945 \h </w:instrText>
            </w:r>
            <w:r w:rsidR="007C7F54">
              <w:rPr>
                <w:webHidden/>
              </w:rPr>
            </w:r>
            <w:r w:rsidR="007C7F54">
              <w:rPr>
                <w:webHidden/>
              </w:rPr>
              <w:fldChar w:fldCharType="separate"/>
            </w:r>
            <w:r w:rsidR="00D12BC0">
              <w:rPr>
                <w:webHidden/>
              </w:rPr>
              <w:t>23</w:t>
            </w:r>
            <w:r w:rsidR="007C7F54">
              <w:rPr>
                <w:webHidden/>
              </w:rPr>
              <w:fldChar w:fldCharType="end"/>
            </w:r>
          </w:hyperlink>
        </w:p>
        <w:p w14:paraId="0B6E2FDF" w14:textId="7C2AA5DC" w:rsidR="007C7F54" w:rsidRDefault="0094053C">
          <w:pPr>
            <w:pStyle w:val="TOC1"/>
            <w:rPr>
              <w:rFonts w:eastAsiaTheme="minorEastAsia"/>
              <w:b w:val="0"/>
              <w:lang w:eastAsia="en-AU"/>
            </w:rPr>
          </w:pPr>
          <w:hyperlink w:anchor="_Toc141701946" w:history="1">
            <w:r w:rsidR="007C7F54" w:rsidRPr="00260646">
              <w:rPr>
                <w:rStyle w:val="Hyperlink"/>
              </w:rPr>
              <w:t>4</w:t>
            </w:r>
            <w:r w:rsidR="007C7F54">
              <w:rPr>
                <w:rFonts w:eastAsiaTheme="minorEastAsia"/>
                <w:b w:val="0"/>
                <w:lang w:eastAsia="en-AU"/>
              </w:rPr>
              <w:tab/>
            </w:r>
            <w:r w:rsidR="007C7F54" w:rsidRPr="00260646">
              <w:rPr>
                <w:rStyle w:val="Hyperlink"/>
              </w:rPr>
              <w:t>Appendix A: Reagents and kits</w:t>
            </w:r>
            <w:r w:rsidR="007C7F54">
              <w:rPr>
                <w:webHidden/>
              </w:rPr>
              <w:tab/>
            </w:r>
            <w:r w:rsidR="007C7F54">
              <w:rPr>
                <w:webHidden/>
              </w:rPr>
              <w:fldChar w:fldCharType="begin"/>
            </w:r>
            <w:r w:rsidR="007C7F54">
              <w:rPr>
                <w:webHidden/>
              </w:rPr>
              <w:instrText xml:space="preserve"> PAGEREF _Toc141701946 \h </w:instrText>
            </w:r>
            <w:r w:rsidR="007C7F54">
              <w:rPr>
                <w:webHidden/>
              </w:rPr>
            </w:r>
            <w:r w:rsidR="007C7F54">
              <w:rPr>
                <w:webHidden/>
              </w:rPr>
              <w:fldChar w:fldCharType="separate"/>
            </w:r>
            <w:r w:rsidR="00D12BC0">
              <w:rPr>
                <w:webHidden/>
              </w:rPr>
              <w:t>25</w:t>
            </w:r>
            <w:r w:rsidR="007C7F54">
              <w:rPr>
                <w:webHidden/>
              </w:rPr>
              <w:fldChar w:fldCharType="end"/>
            </w:r>
          </w:hyperlink>
        </w:p>
        <w:p w14:paraId="1D2F44D2" w14:textId="5E8E68A7" w:rsidR="007C7F54" w:rsidRDefault="0094053C">
          <w:pPr>
            <w:pStyle w:val="TOC1"/>
            <w:rPr>
              <w:rFonts w:eastAsiaTheme="minorEastAsia"/>
              <w:b w:val="0"/>
              <w:lang w:eastAsia="en-AU"/>
            </w:rPr>
          </w:pPr>
          <w:hyperlink w:anchor="_Toc141701947" w:history="1">
            <w:r w:rsidR="007C7F54" w:rsidRPr="00260646">
              <w:rPr>
                <w:rStyle w:val="Hyperlink"/>
              </w:rPr>
              <w:t>References</w:t>
            </w:r>
            <w:r w:rsidR="007C7F54">
              <w:rPr>
                <w:webHidden/>
              </w:rPr>
              <w:tab/>
            </w:r>
            <w:r w:rsidR="007C7F54">
              <w:rPr>
                <w:webHidden/>
              </w:rPr>
              <w:fldChar w:fldCharType="begin"/>
            </w:r>
            <w:r w:rsidR="007C7F54">
              <w:rPr>
                <w:webHidden/>
              </w:rPr>
              <w:instrText xml:space="preserve"> PAGEREF _Toc141701947 \h </w:instrText>
            </w:r>
            <w:r w:rsidR="007C7F54">
              <w:rPr>
                <w:webHidden/>
              </w:rPr>
            </w:r>
            <w:r w:rsidR="007C7F54">
              <w:rPr>
                <w:webHidden/>
              </w:rPr>
              <w:fldChar w:fldCharType="separate"/>
            </w:r>
            <w:r w:rsidR="00D12BC0">
              <w:rPr>
                <w:webHidden/>
              </w:rPr>
              <w:t>26</w:t>
            </w:r>
            <w:r w:rsidR="007C7F54">
              <w:rPr>
                <w:webHidden/>
              </w:rPr>
              <w:fldChar w:fldCharType="end"/>
            </w:r>
          </w:hyperlink>
        </w:p>
        <w:p w14:paraId="06716F59" w14:textId="396FF8B7" w:rsidR="00AE356F" w:rsidRDefault="00AE356F" w:rsidP="00AE356F">
          <w:r>
            <w:rPr>
              <w:b/>
              <w:noProof/>
            </w:rPr>
            <w:fldChar w:fldCharType="end"/>
          </w:r>
        </w:p>
      </w:sdtContent>
    </w:sdt>
    <w:p w14:paraId="48C966B3" w14:textId="77777777" w:rsidR="00AE356F" w:rsidRDefault="00AE356F" w:rsidP="00AE356F">
      <w:pPr>
        <w:pStyle w:val="TOCHeading2"/>
        <w:rPr>
          <w:rStyle w:val="Strong"/>
        </w:rPr>
      </w:pPr>
      <w:r>
        <w:rPr>
          <w:rStyle w:val="Strong"/>
        </w:rPr>
        <w:t>Tables</w:t>
      </w:r>
    </w:p>
    <w:p w14:paraId="24E40A95" w14:textId="1445FBF3" w:rsidR="00371F5F" w:rsidRDefault="00AE356F">
      <w:pPr>
        <w:pStyle w:val="TableofFigures"/>
        <w:tabs>
          <w:tab w:val="right" w:leader="dot" w:pos="9060"/>
        </w:tabs>
        <w:rPr>
          <w:rFonts w:eastAsiaTheme="minorEastAsia"/>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126319038" w:history="1">
        <w:r w:rsidR="00371F5F" w:rsidRPr="0073030B">
          <w:rPr>
            <w:rStyle w:val="Hyperlink"/>
            <w:noProof/>
          </w:rPr>
          <w:t>Table 1 Summary of aquatic disease preparedness and response planning documents in Australia</w:t>
        </w:r>
        <w:r w:rsidR="00371F5F">
          <w:rPr>
            <w:noProof/>
            <w:webHidden/>
          </w:rPr>
          <w:tab/>
        </w:r>
        <w:r w:rsidR="00371F5F">
          <w:rPr>
            <w:noProof/>
            <w:webHidden/>
          </w:rPr>
          <w:fldChar w:fldCharType="begin"/>
        </w:r>
        <w:r w:rsidR="00371F5F">
          <w:rPr>
            <w:noProof/>
            <w:webHidden/>
          </w:rPr>
          <w:instrText xml:space="preserve"> PAGEREF _Toc126319038 \h </w:instrText>
        </w:r>
        <w:r w:rsidR="00371F5F">
          <w:rPr>
            <w:noProof/>
            <w:webHidden/>
          </w:rPr>
        </w:r>
        <w:r w:rsidR="00371F5F">
          <w:rPr>
            <w:noProof/>
            <w:webHidden/>
          </w:rPr>
          <w:fldChar w:fldCharType="separate"/>
        </w:r>
        <w:r w:rsidR="00D12BC0">
          <w:rPr>
            <w:noProof/>
            <w:webHidden/>
          </w:rPr>
          <w:t>vi</w:t>
        </w:r>
        <w:r w:rsidR="00371F5F">
          <w:rPr>
            <w:noProof/>
            <w:webHidden/>
          </w:rPr>
          <w:fldChar w:fldCharType="end"/>
        </w:r>
      </w:hyperlink>
    </w:p>
    <w:p w14:paraId="5B76C0B8" w14:textId="2298A261" w:rsidR="00371F5F" w:rsidRDefault="0094053C">
      <w:pPr>
        <w:pStyle w:val="TableofFigures"/>
        <w:tabs>
          <w:tab w:val="right" w:leader="dot" w:pos="9060"/>
        </w:tabs>
        <w:rPr>
          <w:rFonts w:eastAsiaTheme="minorEastAsia"/>
          <w:noProof/>
          <w:lang w:eastAsia="en-AU"/>
        </w:rPr>
      </w:pPr>
      <w:hyperlink w:anchor="_Toc126319039" w:history="1">
        <w:r w:rsidR="00371F5F" w:rsidRPr="0073030B">
          <w:rPr>
            <w:rStyle w:val="Hyperlink"/>
            <w:noProof/>
          </w:rPr>
          <w:t>Table 2 Recommended diagnostic methods and their level of validation for surveillance of healthy animals and investigation of clinically affected animals</w:t>
        </w:r>
        <w:r w:rsidR="00371F5F">
          <w:rPr>
            <w:noProof/>
            <w:webHidden/>
          </w:rPr>
          <w:tab/>
        </w:r>
        <w:r w:rsidR="00371F5F">
          <w:rPr>
            <w:noProof/>
            <w:webHidden/>
          </w:rPr>
          <w:fldChar w:fldCharType="begin"/>
        </w:r>
        <w:r w:rsidR="00371F5F">
          <w:rPr>
            <w:noProof/>
            <w:webHidden/>
          </w:rPr>
          <w:instrText xml:space="preserve"> PAGEREF _Toc126319039 \h </w:instrText>
        </w:r>
        <w:r w:rsidR="00371F5F">
          <w:rPr>
            <w:noProof/>
            <w:webHidden/>
          </w:rPr>
        </w:r>
        <w:r w:rsidR="00371F5F">
          <w:rPr>
            <w:noProof/>
            <w:webHidden/>
          </w:rPr>
          <w:fldChar w:fldCharType="separate"/>
        </w:r>
        <w:r w:rsidR="00D12BC0">
          <w:rPr>
            <w:noProof/>
            <w:webHidden/>
          </w:rPr>
          <w:t>13</w:t>
        </w:r>
        <w:r w:rsidR="00371F5F">
          <w:rPr>
            <w:noProof/>
            <w:webHidden/>
          </w:rPr>
          <w:fldChar w:fldCharType="end"/>
        </w:r>
      </w:hyperlink>
    </w:p>
    <w:p w14:paraId="75CC3915" w14:textId="39883812" w:rsidR="00371F5F" w:rsidRDefault="0094053C">
      <w:pPr>
        <w:pStyle w:val="TableofFigures"/>
        <w:tabs>
          <w:tab w:val="right" w:leader="dot" w:pos="9060"/>
        </w:tabs>
        <w:rPr>
          <w:rFonts w:eastAsiaTheme="minorEastAsia"/>
          <w:noProof/>
          <w:lang w:eastAsia="en-AU"/>
        </w:rPr>
      </w:pPr>
      <w:hyperlink w:anchor="_Toc126319040" w:history="1">
        <w:r w:rsidR="00371F5F" w:rsidRPr="0073030B">
          <w:rPr>
            <w:rStyle w:val="Hyperlink"/>
            <w:noProof/>
          </w:rPr>
          <w:t>Table 3 Primer and probe sequences for the CSIRO and OIE WSSV qPCR assays</w:t>
        </w:r>
        <w:r w:rsidR="00371F5F">
          <w:rPr>
            <w:noProof/>
            <w:webHidden/>
          </w:rPr>
          <w:tab/>
        </w:r>
        <w:r w:rsidR="00371F5F">
          <w:rPr>
            <w:noProof/>
            <w:webHidden/>
          </w:rPr>
          <w:fldChar w:fldCharType="begin"/>
        </w:r>
        <w:r w:rsidR="00371F5F">
          <w:rPr>
            <w:noProof/>
            <w:webHidden/>
          </w:rPr>
          <w:instrText xml:space="preserve"> PAGEREF _Toc126319040 \h </w:instrText>
        </w:r>
        <w:r w:rsidR="00371F5F">
          <w:rPr>
            <w:noProof/>
            <w:webHidden/>
          </w:rPr>
        </w:r>
        <w:r w:rsidR="00371F5F">
          <w:rPr>
            <w:noProof/>
            <w:webHidden/>
          </w:rPr>
          <w:fldChar w:fldCharType="separate"/>
        </w:r>
        <w:r w:rsidR="00D12BC0">
          <w:rPr>
            <w:noProof/>
            <w:webHidden/>
          </w:rPr>
          <w:t>18</w:t>
        </w:r>
        <w:r w:rsidR="00371F5F">
          <w:rPr>
            <w:noProof/>
            <w:webHidden/>
          </w:rPr>
          <w:fldChar w:fldCharType="end"/>
        </w:r>
      </w:hyperlink>
    </w:p>
    <w:p w14:paraId="36B6C1E2" w14:textId="43EF0DBF" w:rsidR="00371F5F" w:rsidRDefault="0094053C">
      <w:pPr>
        <w:pStyle w:val="TableofFigures"/>
        <w:tabs>
          <w:tab w:val="right" w:leader="dot" w:pos="9060"/>
        </w:tabs>
        <w:rPr>
          <w:rFonts w:eastAsiaTheme="minorEastAsia"/>
          <w:noProof/>
          <w:lang w:eastAsia="en-AU"/>
        </w:rPr>
      </w:pPr>
      <w:hyperlink w:anchor="_Toc126319041" w:history="1">
        <w:r w:rsidR="00371F5F" w:rsidRPr="0073030B">
          <w:rPr>
            <w:rStyle w:val="Hyperlink"/>
            <w:noProof/>
          </w:rPr>
          <w:t>Table 4</w:t>
        </w:r>
        <w:r w:rsidR="00371F5F" w:rsidRPr="0073030B">
          <w:rPr>
            <w:rStyle w:val="Hyperlink"/>
            <w:rFonts w:cs="Calibri"/>
            <w:noProof/>
          </w:rPr>
          <w:t xml:space="preserve"> Primer and probe sequences for the CSIRO Shrimp EF1 qPCR</w:t>
        </w:r>
        <w:r w:rsidR="00371F5F">
          <w:rPr>
            <w:noProof/>
            <w:webHidden/>
          </w:rPr>
          <w:tab/>
        </w:r>
        <w:r w:rsidR="00371F5F">
          <w:rPr>
            <w:noProof/>
            <w:webHidden/>
          </w:rPr>
          <w:fldChar w:fldCharType="begin"/>
        </w:r>
        <w:r w:rsidR="00371F5F">
          <w:rPr>
            <w:noProof/>
            <w:webHidden/>
          </w:rPr>
          <w:instrText xml:space="preserve"> PAGEREF _Toc126319041 \h </w:instrText>
        </w:r>
        <w:r w:rsidR="00371F5F">
          <w:rPr>
            <w:noProof/>
            <w:webHidden/>
          </w:rPr>
        </w:r>
        <w:r w:rsidR="00371F5F">
          <w:rPr>
            <w:noProof/>
            <w:webHidden/>
          </w:rPr>
          <w:fldChar w:fldCharType="separate"/>
        </w:r>
        <w:r w:rsidR="00D12BC0">
          <w:rPr>
            <w:noProof/>
            <w:webHidden/>
          </w:rPr>
          <w:t>20</w:t>
        </w:r>
        <w:r w:rsidR="00371F5F">
          <w:rPr>
            <w:noProof/>
            <w:webHidden/>
          </w:rPr>
          <w:fldChar w:fldCharType="end"/>
        </w:r>
      </w:hyperlink>
    </w:p>
    <w:p w14:paraId="1C38BA45" w14:textId="27864B52" w:rsidR="00371F5F" w:rsidRDefault="0094053C">
      <w:pPr>
        <w:pStyle w:val="TableofFigures"/>
        <w:tabs>
          <w:tab w:val="right" w:leader="dot" w:pos="9060"/>
        </w:tabs>
        <w:rPr>
          <w:rFonts w:eastAsiaTheme="minorEastAsia"/>
          <w:noProof/>
          <w:lang w:eastAsia="en-AU"/>
        </w:rPr>
      </w:pPr>
      <w:hyperlink w:anchor="_Toc126319042" w:history="1">
        <w:r w:rsidR="00371F5F" w:rsidRPr="0073030B">
          <w:rPr>
            <w:rStyle w:val="Hyperlink"/>
            <w:noProof/>
          </w:rPr>
          <w:t>Table 5</w:t>
        </w:r>
        <w:r w:rsidR="00371F5F" w:rsidRPr="0073030B">
          <w:rPr>
            <w:rStyle w:val="Hyperlink"/>
            <w:noProof/>
            <w:lang w:eastAsia="ja-JP"/>
          </w:rPr>
          <w:t xml:space="preserve"> Primers used in the OIE WSSV nPCR</w:t>
        </w:r>
        <w:r w:rsidR="00371F5F">
          <w:rPr>
            <w:noProof/>
            <w:webHidden/>
          </w:rPr>
          <w:tab/>
        </w:r>
        <w:r w:rsidR="00371F5F">
          <w:rPr>
            <w:noProof/>
            <w:webHidden/>
          </w:rPr>
          <w:fldChar w:fldCharType="begin"/>
        </w:r>
        <w:r w:rsidR="00371F5F">
          <w:rPr>
            <w:noProof/>
            <w:webHidden/>
          </w:rPr>
          <w:instrText xml:space="preserve"> PAGEREF _Toc126319042 \h </w:instrText>
        </w:r>
        <w:r w:rsidR="00371F5F">
          <w:rPr>
            <w:noProof/>
            <w:webHidden/>
          </w:rPr>
        </w:r>
        <w:r w:rsidR="00371F5F">
          <w:rPr>
            <w:noProof/>
            <w:webHidden/>
          </w:rPr>
          <w:fldChar w:fldCharType="separate"/>
        </w:r>
        <w:r w:rsidR="00D12BC0">
          <w:rPr>
            <w:noProof/>
            <w:webHidden/>
          </w:rPr>
          <w:t>20</w:t>
        </w:r>
        <w:r w:rsidR="00371F5F">
          <w:rPr>
            <w:noProof/>
            <w:webHidden/>
          </w:rPr>
          <w:fldChar w:fldCharType="end"/>
        </w:r>
      </w:hyperlink>
    </w:p>
    <w:p w14:paraId="474EA143" w14:textId="502BF8F6" w:rsidR="00371F5F" w:rsidRDefault="0094053C">
      <w:pPr>
        <w:pStyle w:val="TableofFigures"/>
        <w:tabs>
          <w:tab w:val="right" w:leader="dot" w:pos="9060"/>
        </w:tabs>
        <w:rPr>
          <w:rFonts w:eastAsiaTheme="minorEastAsia"/>
          <w:noProof/>
          <w:lang w:eastAsia="en-AU"/>
        </w:rPr>
      </w:pPr>
      <w:hyperlink w:anchor="_Toc126319043" w:history="1">
        <w:r w:rsidR="00371F5F" w:rsidRPr="0073030B">
          <w:rPr>
            <w:rStyle w:val="Hyperlink"/>
            <w:noProof/>
          </w:rPr>
          <w:t>Table 6</w:t>
        </w:r>
        <w:r w:rsidR="00371F5F" w:rsidRPr="0073030B">
          <w:rPr>
            <w:rStyle w:val="Hyperlink"/>
            <w:noProof/>
            <w:lang w:eastAsia="ja-JP"/>
          </w:rPr>
          <w:t xml:space="preserve"> Primers used in the OIE Decapod PCR</w:t>
        </w:r>
        <w:r w:rsidR="00371F5F">
          <w:rPr>
            <w:noProof/>
            <w:webHidden/>
          </w:rPr>
          <w:tab/>
        </w:r>
        <w:r w:rsidR="00371F5F">
          <w:rPr>
            <w:noProof/>
            <w:webHidden/>
          </w:rPr>
          <w:fldChar w:fldCharType="begin"/>
        </w:r>
        <w:r w:rsidR="00371F5F">
          <w:rPr>
            <w:noProof/>
            <w:webHidden/>
          </w:rPr>
          <w:instrText xml:space="preserve"> PAGEREF _Toc126319043 \h </w:instrText>
        </w:r>
        <w:r w:rsidR="00371F5F">
          <w:rPr>
            <w:noProof/>
            <w:webHidden/>
          </w:rPr>
        </w:r>
        <w:r w:rsidR="00371F5F">
          <w:rPr>
            <w:noProof/>
            <w:webHidden/>
          </w:rPr>
          <w:fldChar w:fldCharType="separate"/>
        </w:r>
        <w:r w:rsidR="00D12BC0">
          <w:rPr>
            <w:noProof/>
            <w:webHidden/>
          </w:rPr>
          <w:t>21</w:t>
        </w:r>
        <w:r w:rsidR="00371F5F">
          <w:rPr>
            <w:noProof/>
            <w:webHidden/>
          </w:rPr>
          <w:fldChar w:fldCharType="end"/>
        </w:r>
      </w:hyperlink>
    </w:p>
    <w:p w14:paraId="2E8D6A06" w14:textId="5180ECAC" w:rsidR="00371F5F" w:rsidRDefault="0094053C">
      <w:pPr>
        <w:pStyle w:val="TableofFigures"/>
        <w:tabs>
          <w:tab w:val="right" w:leader="dot" w:pos="9060"/>
        </w:tabs>
        <w:rPr>
          <w:rFonts w:eastAsiaTheme="minorEastAsia"/>
          <w:noProof/>
          <w:lang w:eastAsia="en-AU"/>
        </w:rPr>
      </w:pPr>
      <w:hyperlink w:anchor="_Toc126319044" w:history="1">
        <w:r w:rsidR="00371F5F" w:rsidRPr="0073030B">
          <w:rPr>
            <w:rStyle w:val="Hyperlink"/>
            <w:noProof/>
          </w:rPr>
          <w:t>Table 7 Diagnostic performance of tests recommended for surveillance</w:t>
        </w:r>
        <w:r w:rsidR="00371F5F">
          <w:rPr>
            <w:noProof/>
            <w:webHidden/>
          </w:rPr>
          <w:tab/>
        </w:r>
        <w:r w:rsidR="00371F5F">
          <w:rPr>
            <w:noProof/>
            <w:webHidden/>
          </w:rPr>
          <w:fldChar w:fldCharType="begin"/>
        </w:r>
        <w:r w:rsidR="00371F5F">
          <w:rPr>
            <w:noProof/>
            <w:webHidden/>
          </w:rPr>
          <w:instrText xml:space="preserve"> PAGEREF _Toc126319044 \h </w:instrText>
        </w:r>
        <w:r w:rsidR="00371F5F">
          <w:rPr>
            <w:noProof/>
            <w:webHidden/>
          </w:rPr>
        </w:r>
        <w:r w:rsidR="00371F5F">
          <w:rPr>
            <w:noProof/>
            <w:webHidden/>
          </w:rPr>
          <w:fldChar w:fldCharType="separate"/>
        </w:r>
        <w:r w:rsidR="00D12BC0">
          <w:rPr>
            <w:noProof/>
            <w:webHidden/>
          </w:rPr>
          <w:t>22</w:t>
        </w:r>
        <w:r w:rsidR="00371F5F">
          <w:rPr>
            <w:noProof/>
            <w:webHidden/>
          </w:rPr>
          <w:fldChar w:fldCharType="end"/>
        </w:r>
      </w:hyperlink>
    </w:p>
    <w:p w14:paraId="48408AD4" w14:textId="02292420" w:rsidR="00AE356F" w:rsidRDefault="00AE356F" w:rsidP="00AE356F">
      <w:pPr>
        <w:pStyle w:val="TableofFigures"/>
        <w:tabs>
          <w:tab w:val="right" w:leader="dot" w:pos="9060"/>
        </w:tabs>
      </w:pPr>
      <w:r>
        <w:rPr>
          <w:noProof/>
        </w:rPr>
        <w:fldChar w:fldCharType="end"/>
      </w:r>
    </w:p>
    <w:p w14:paraId="6F1ABCA8" w14:textId="77777777" w:rsidR="00AE356F" w:rsidRDefault="00AE356F" w:rsidP="00AE356F">
      <w:pPr>
        <w:pStyle w:val="TOCHeading2"/>
        <w:rPr>
          <w:rStyle w:val="Strong"/>
        </w:rPr>
      </w:pPr>
      <w:r>
        <w:rPr>
          <w:rStyle w:val="Strong"/>
        </w:rPr>
        <w:t>Figures</w:t>
      </w:r>
    </w:p>
    <w:p w14:paraId="5B445079" w14:textId="72BBA051" w:rsidR="00371F5F" w:rsidRDefault="00AE356F">
      <w:pPr>
        <w:pStyle w:val="TableofFigures"/>
        <w:tabs>
          <w:tab w:val="right" w:leader="dot" w:pos="9060"/>
        </w:tabs>
        <w:rPr>
          <w:rFonts w:eastAsiaTheme="minorEastAsia"/>
          <w:noProof/>
          <w:lang w:eastAsia="en-AU"/>
        </w:rPr>
      </w:pPr>
      <w:r>
        <w:rPr>
          <w:rFonts w:ascii="Cambria" w:hAnsi="Cambria"/>
        </w:rPr>
        <w:fldChar w:fldCharType="begin"/>
      </w:r>
      <w:r>
        <w:instrText xml:space="preserve"> TOC \h \z \c "Figure" </w:instrText>
      </w:r>
      <w:r>
        <w:rPr>
          <w:rFonts w:ascii="Cambria" w:hAnsi="Cambria"/>
        </w:rPr>
        <w:fldChar w:fldCharType="separate"/>
      </w:r>
      <w:hyperlink w:anchor="_Toc126319045" w:history="1">
        <w:r w:rsidR="00371F5F" w:rsidRPr="003029FF">
          <w:rPr>
            <w:rStyle w:val="Hyperlink"/>
            <w:noProof/>
          </w:rPr>
          <w:t xml:space="preserve">Figure 1 WSSV-infected </w:t>
        </w:r>
        <w:r w:rsidR="00371F5F" w:rsidRPr="003029FF">
          <w:rPr>
            <w:rStyle w:val="Hyperlink"/>
            <w:i/>
            <w:iCs/>
            <w:noProof/>
          </w:rPr>
          <w:t>Penaeus monodon</w:t>
        </w:r>
        <w:r w:rsidR="00371F5F" w:rsidRPr="003029FF">
          <w:rPr>
            <w:rStyle w:val="Hyperlink"/>
            <w:noProof/>
          </w:rPr>
          <w:t xml:space="preserve"> showing necrosis of haematopoietic tissue with inclusion bodies (arrows)</w:t>
        </w:r>
        <w:r w:rsidR="00371F5F">
          <w:rPr>
            <w:noProof/>
            <w:webHidden/>
          </w:rPr>
          <w:tab/>
        </w:r>
        <w:r w:rsidR="00371F5F">
          <w:rPr>
            <w:noProof/>
            <w:webHidden/>
          </w:rPr>
          <w:fldChar w:fldCharType="begin"/>
        </w:r>
        <w:r w:rsidR="00371F5F">
          <w:rPr>
            <w:noProof/>
            <w:webHidden/>
          </w:rPr>
          <w:instrText xml:space="preserve"> PAGEREF _Toc126319045 \h </w:instrText>
        </w:r>
        <w:r w:rsidR="00371F5F">
          <w:rPr>
            <w:noProof/>
            <w:webHidden/>
          </w:rPr>
        </w:r>
        <w:r w:rsidR="00371F5F">
          <w:rPr>
            <w:noProof/>
            <w:webHidden/>
          </w:rPr>
          <w:fldChar w:fldCharType="separate"/>
        </w:r>
        <w:r w:rsidR="00D12BC0">
          <w:rPr>
            <w:noProof/>
            <w:webHidden/>
          </w:rPr>
          <w:t>16</w:t>
        </w:r>
        <w:r w:rsidR="00371F5F">
          <w:rPr>
            <w:noProof/>
            <w:webHidden/>
          </w:rPr>
          <w:fldChar w:fldCharType="end"/>
        </w:r>
      </w:hyperlink>
    </w:p>
    <w:p w14:paraId="5D357E18" w14:textId="66D00CFE" w:rsidR="00AE356F" w:rsidRDefault="00AE356F" w:rsidP="00B42877">
      <w:pPr>
        <w:pStyle w:val="Heading2"/>
        <w:numPr>
          <w:ilvl w:val="0"/>
          <w:numId w:val="0"/>
        </w:numPr>
        <w:ind w:left="720" w:hanging="720"/>
      </w:pPr>
      <w:r>
        <w:lastRenderedPageBreak/>
        <w:fldChar w:fldCharType="end"/>
      </w:r>
      <w:bookmarkStart w:id="0" w:name="_Toc430782149"/>
      <w:bookmarkStart w:id="1" w:name="_Toc141701922"/>
      <w:r w:rsidRPr="00AE356F">
        <w:t>Summary</w:t>
      </w:r>
      <w:bookmarkEnd w:id="0"/>
      <w:bookmarkEnd w:id="1"/>
    </w:p>
    <w:p w14:paraId="39342952" w14:textId="77777777" w:rsidR="00AE356F" w:rsidRPr="00216C97" w:rsidRDefault="00AE356F" w:rsidP="00AE356F">
      <w:r w:rsidRPr="00216C97">
        <w:t xml:space="preserve">White spot syndrome virus (WSSV) is the aetiological agent of white spot disease (WSD), a contagious viral disease that affects a wide range of decapod crustaceans, especially penaeid prawn species. WSSV is an enveloped, double-stranded DNA virus classified by the International Committee on Taxonomy of Viruses as the sole member of the genus </w:t>
      </w:r>
      <w:r w:rsidRPr="00216C97">
        <w:rPr>
          <w:rStyle w:val="Emphasis"/>
        </w:rPr>
        <w:t>Whispovirus</w:t>
      </w:r>
      <w:r w:rsidRPr="00216C97">
        <w:t xml:space="preserve">, in the family </w:t>
      </w:r>
      <w:r w:rsidRPr="00216C97">
        <w:rPr>
          <w:rStyle w:val="Emphasis"/>
        </w:rPr>
        <w:t>Nimaviridae</w:t>
      </w:r>
      <w:r w:rsidRPr="00216C97">
        <w:t>.</w:t>
      </w:r>
    </w:p>
    <w:p w14:paraId="21220389" w14:textId="77777777" w:rsidR="00AE356F" w:rsidRPr="00216C97" w:rsidRDefault="00AE356F" w:rsidP="00AE356F">
      <w:r w:rsidRPr="00216C97">
        <w:t xml:space="preserve">First reported in Asia in 1991, WSD is still considered the most serious threat to </w:t>
      </w:r>
      <w:r w:rsidRPr="00216C97">
        <w:rPr>
          <w:rStyle w:val="Emphasis"/>
        </w:rPr>
        <w:t>Penaeus monodon</w:t>
      </w:r>
      <w:r w:rsidRPr="00216C97">
        <w:t xml:space="preserve"> and </w:t>
      </w:r>
      <w:r w:rsidRPr="00216C97">
        <w:rPr>
          <w:rStyle w:val="Emphasis"/>
        </w:rPr>
        <w:t>P. vannamei</w:t>
      </w:r>
      <w:r w:rsidRPr="00216C97">
        <w:t xml:space="preserve"> farmers in Asia. WSSV has since spread throughout most prawn culture areas in the Indo-Pacific, the Americas and the Middle East.</w:t>
      </w:r>
    </w:p>
    <w:p w14:paraId="30EE62F5" w14:textId="7022B8C3" w:rsidR="00AE356F" w:rsidRPr="00216C97" w:rsidRDefault="00AE356F" w:rsidP="00AE356F">
      <w:r w:rsidRPr="00216C97">
        <w:t>In aquaculture, WSD outbreaks are often characterised by high and rapid mortality of infected populations. WSSV infections in farmed prawn populations frequently result in cumulative mortalities of up to 100% within 3</w:t>
      </w:r>
      <w:r w:rsidR="0009638C">
        <w:t xml:space="preserve"> to </w:t>
      </w:r>
      <w:r w:rsidRPr="00216C97">
        <w:t>10 days of the onset of clinical signs. However, sub-clinical infections are also known to occur. There is uncertainty about the extent of clinical disease that wild animals experience due to infection with WSSV.</w:t>
      </w:r>
    </w:p>
    <w:p w14:paraId="44570FB8" w14:textId="77777777" w:rsidR="00AE356F" w:rsidRPr="00216C97" w:rsidRDefault="00AE356F" w:rsidP="00AE356F">
      <w:r w:rsidRPr="00216C97">
        <w:t>Prawns suffering from WSD may display various clinical signs including lethargy, reduced food consumption and anorexia, pink to red discolouration of the body, the appearance of white spots (0.5 to 2.0 mm in diameter) on the cuticle and high mortality. However, the presence of clinical signs is variable and in farmed prawns mortality may be the only observable sign. Lesions are associated with the systematic destruction of the ectodermal and mesodermal tissues, especially the cuticular epithelium and subcuticular connective tissues.</w:t>
      </w:r>
    </w:p>
    <w:p w14:paraId="5B02E0F5" w14:textId="2F298DB8" w:rsidR="00AE356F" w:rsidRPr="00216C97" w:rsidRDefault="00AE356F" w:rsidP="00AE356F">
      <w:r w:rsidRPr="00216C97">
        <w:t xml:space="preserve">There are no clinical signs or lesions pathognomonic for WSD. White spots on the cuticle are not observed in all cases and they can also be caused by bacterial infection or environmental conditions. A presumptive diagnosis in clinically infected animals may be made on recognition of characteristic microscopic changes in tissues, but a confirmed diagnosis of WSD requires the use of </w:t>
      </w:r>
      <w:r w:rsidRPr="00D6224C">
        <w:t>polymerase chain reaction</w:t>
      </w:r>
      <w:r w:rsidRPr="00216C97">
        <w:t xml:space="preserve"> and sequence analysis or </w:t>
      </w:r>
      <w:r w:rsidRPr="00216C97">
        <w:rPr>
          <w:rStyle w:val="Emphasis"/>
        </w:rPr>
        <w:t>in-situ</w:t>
      </w:r>
      <w:r w:rsidRPr="00216C97">
        <w:t xml:space="preserve"> hybridisation (ISH).</w:t>
      </w:r>
    </w:p>
    <w:p w14:paraId="5BF754B1" w14:textId="77777777" w:rsidR="00AE356F" w:rsidRDefault="00AE356F" w:rsidP="00B42877">
      <w:pPr>
        <w:pStyle w:val="Heading3"/>
        <w:numPr>
          <w:ilvl w:val="0"/>
          <w:numId w:val="0"/>
        </w:numPr>
        <w:ind w:left="964" w:hanging="964"/>
      </w:pPr>
      <w:bookmarkStart w:id="2" w:name="_Toc141701923"/>
      <w:r>
        <w:t xml:space="preserve">Status of Australia and New </w:t>
      </w:r>
      <w:r w:rsidRPr="00AE356F">
        <w:t>Zealand</w:t>
      </w:r>
      <w:bookmarkEnd w:id="2"/>
    </w:p>
    <w:p w14:paraId="3A78E6FD" w14:textId="02EF08AB" w:rsidR="00AE356F" w:rsidRDefault="00AE356F" w:rsidP="00AE356F">
      <w:r w:rsidRPr="00AE356F">
        <w:t xml:space="preserve">White spot syndrome virus is limited to the Movement Regulated Area in south-east Queensland in Australia and is under an official control and containment program. New Zealand is considered free from WSSV. Infection with white spot syndrome virus is included in the </w:t>
      </w:r>
      <w:r w:rsidR="00752336" w:rsidRPr="00752336">
        <w:t>World Organisation for Animal Health</w:t>
      </w:r>
      <w:r w:rsidR="00752336">
        <w:t xml:space="preserve"> (WOAH; formerly </w:t>
      </w:r>
      <w:r w:rsidRPr="00AE356F">
        <w:t>OIE</w:t>
      </w:r>
      <w:r w:rsidR="00752336">
        <w:t>)</w:t>
      </w:r>
      <w:r w:rsidRPr="00AE356F">
        <w:t xml:space="preserve"> Aquatic Code and </w:t>
      </w:r>
      <w:r w:rsidR="00752336">
        <w:t>WOAH</w:t>
      </w:r>
      <w:r w:rsidRPr="00AE356F">
        <w:t xml:space="preserve"> Aquatic Manual as it is notifiable to the </w:t>
      </w:r>
      <w:r w:rsidR="00752336">
        <w:t>WOAH</w:t>
      </w:r>
      <w:r w:rsidRPr="00AE356F">
        <w:t xml:space="preserve"> (</w:t>
      </w:r>
      <w:r w:rsidR="00752336">
        <w:t xml:space="preserve">WOAH </w:t>
      </w:r>
      <w:r w:rsidR="00B42877">
        <w:t>2022</w:t>
      </w:r>
      <w:r w:rsidRPr="00AE356F">
        <w:t>).</w:t>
      </w:r>
    </w:p>
    <w:p w14:paraId="4B4245D6" w14:textId="77777777" w:rsidR="00AE356F" w:rsidRDefault="00AE356F" w:rsidP="00AE356F">
      <w:pPr>
        <w:pStyle w:val="Heading3"/>
        <w:numPr>
          <w:ilvl w:val="0"/>
          <w:numId w:val="0"/>
        </w:numPr>
        <w:ind w:left="964" w:hanging="964"/>
      </w:pPr>
      <w:bookmarkStart w:id="3" w:name="_Toc141701924"/>
      <w:r>
        <w:t>How to use this document</w:t>
      </w:r>
      <w:bookmarkEnd w:id="3"/>
    </w:p>
    <w:p w14:paraId="487DF8FC" w14:textId="237E4B1A" w:rsidR="00AE356F" w:rsidRDefault="00AE356F" w:rsidP="00AE356F">
      <w:r>
        <w:t xml:space="preserve">The ANZSDPs are diagnostic procedures and sampling techniques intended for use in Australian and New Zealand laboratories. During an outbreak investigation, they are complementary to the disease specific AQUAVETPLAN manual, which contains details of appropriate operational and management procedures. The </w:t>
      </w:r>
      <w:r w:rsidRPr="00296383">
        <w:rPr>
          <w:rStyle w:val="Emphasis"/>
        </w:rPr>
        <w:t>Aquatic Animal Diseases Significant to Australia: Identification Field Guide</w:t>
      </w:r>
      <w:r>
        <w:t xml:space="preserve"> (DAWE</w:t>
      </w:r>
      <w:r w:rsidR="00995C15">
        <w:t> </w:t>
      </w:r>
      <w:r>
        <w:t>2020) provides further information on the clinical signs, and ways to identify the disease in the field.</w:t>
      </w:r>
    </w:p>
    <w:p w14:paraId="23C5B803" w14:textId="77777777" w:rsidR="00AE356F" w:rsidRDefault="00AE356F" w:rsidP="00296383">
      <w:pPr>
        <w:keepNext/>
        <w:pageBreakBefore/>
        <w:widowControl w:val="0"/>
      </w:pPr>
      <w:r>
        <w:lastRenderedPageBreak/>
        <w:t>The objectives of an ANZSDP are to:</w:t>
      </w:r>
    </w:p>
    <w:p w14:paraId="7331041C" w14:textId="77777777" w:rsidR="00AE356F" w:rsidRDefault="00AE356F" w:rsidP="00AE356F">
      <w:pPr>
        <w:pStyle w:val="ListBullet"/>
        <w:spacing w:line="276" w:lineRule="auto"/>
      </w:pPr>
      <w:r>
        <w:t>standardise and harmonise test procedures to ensure consistency between laboratories using methods selected for their accuracy, sensitivity, specificity, and robustness</w:t>
      </w:r>
    </w:p>
    <w:p w14:paraId="3A7788C7" w14:textId="77777777" w:rsidR="00AE356F" w:rsidRDefault="00AE356F" w:rsidP="00AE356F">
      <w:pPr>
        <w:pStyle w:val="ListBullet"/>
        <w:spacing w:line="276" w:lineRule="auto"/>
      </w:pPr>
      <w:r>
        <w:t>provide standard methods that can be used in:</w:t>
      </w:r>
    </w:p>
    <w:p w14:paraId="16C715A2" w14:textId="77777777" w:rsidR="00AE356F" w:rsidRDefault="00AE356F" w:rsidP="00AE356F">
      <w:pPr>
        <w:pStyle w:val="ListBullet2"/>
        <w:spacing w:line="276" w:lineRule="auto"/>
      </w:pPr>
      <w:r>
        <w:t>external proficiency testing programs</w:t>
      </w:r>
    </w:p>
    <w:p w14:paraId="6E95AB6F" w14:textId="77777777" w:rsidR="00AE356F" w:rsidRDefault="00AE356F" w:rsidP="00AE356F">
      <w:pPr>
        <w:pStyle w:val="ListBullet2"/>
        <w:spacing w:line="276" w:lineRule="auto"/>
      </w:pPr>
      <w:r>
        <w:t>development of capability within a laboratory quality system.</w:t>
      </w:r>
    </w:p>
    <w:p w14:paraId="7EDEBB61" w14:textId="300E7920" w:rsidR="00AE356F" w:rsidRDefault="00AE356F" w:rsidP="00AE356F">
      <w:r>
        <w:t xml:space="preserve">Some ANZSDPs may include modifications to </w:t>
      </w:r>
      <w:r w:rsidR="00752336">
        <w:t>WOAH</w:t>
      </w:r>
      <w:r>
        <w:t xml:space="preserve"> requirements where specific procedures and interpretation are necessary for Australian and New Zealand circumstances.</w:t>
      </w:r>
    </w:p>
    <w:p w14:paraId="41C77465" w14:textId="5843F987" w:rsidR="00AE356F" w:rsidRDefault="00AE356F" w:rsidP="00AE356F">
      <w:pPr>
        <w:pStyle w:val="Caption"/>
      </w:pPr>
      <w:bookmarkStart w:id="4" w:name="_Ref115781940"/>
      <w:bookmarkStart w:id="5" w:name="Table1"/>
      <w:bookmarkStart w:id="6" w:name="_Toc126319038"/>
      <w:r>
        <w:t xml:space="preserve">Table </w:t>
      </w:r>
      <w:fldSimple w:instr=" SEQ Table \* ARABIC ">
        <w:r w:rsidR="00D12BC0">
          <w:rPr>
            <w:noProof/>
          </w:rPr>
          <w:t>1</w:t>
        </w:r>
      </w:fldSimple>
      <w:bookmarkStart w:id="7" w:name="_Hlk115255090"/>
      <w:bookmarkEnd w:id="4"/>
      <w:bookmarkEnd w:id="5"/>
      <w:r w:rsidRPr="00530604">
        <w:t xml:space="preserve"> </w:t>
      </w:r>
      <w:r w:rsidRPr="00216C97">
        <w:t xml:space="preserve">Summary of aquatic disease preparedness and response planning documents </w:t>
      </w:r>
      <w:bookmarkEnd w:id="7"/>
      <w:r w:rsidRPr="00216C97">
        <w:t>in Australia</w:t>
      </w:r>
      <w:bookmarkEnd w:id="6"/>
    </w:p>
    <w:tbl>
      <w:tblPr>
        <w:tblStyle w:val="LightShading1"/>
        <w:tblW w:w="5000" w:type="pct"/>
        <w:jc w:val="center"/>
        <w:tblLook w:val="06A0" w:firstRow="1" w:lastRow="0" w:firstColumn="1" w:lastColumn="0" w:noHBand="1" w:noVBand="1"/>
      </w:tblPr>
      <w:tblGrid>
        <w:gridCol w:w="3213"/>
        <w:gridCol w:w="5857"/>
      </w:tblGrid>
      <w:tr w:rsidR="00AE356F" w:rsidRPr="00216C97" w14:paraId="427B5CC0" w14:textId="77777777" w:rsidTr="00296383">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771" w:type="pct"/>
          </w:tcPr>
          <w:p w14:paraId="1BC91FC9" w14:textId="77777777" w:rsidR="00AE356F" w:rsidRPr="00216C97" w:rsidRDefault="00AE356F" w:rsidP="008F3A32">
            <w:pPr>
              <w:pStyle w:val="TableText"/>
            </w:pPr>
            <w:r w:rsidRPr="00216C97">
              <w:t>Publication</w:t>
            </w:r>
          </w:p>
        </w:tc>
        <w:tc>
          <w:tcPr>
            <w:tcW w:w="3229" w:type="pct"/>
          </w:tcPr>
          <w:p w14:paraId="0DD51460" w14:textId="77777777" w:rsidR="00AE356F" w:rsidRPr="00216C97" w:rsidRDefault="00AE356F" w:rsidP="008F3A32">
            <w:pPr>
              <w:pStyle w:val="TableText"/>
              <w:cnfStyle w:val="100000000000" w:firstRow="1" w:lastRow="0" w:firstColumn="0" w:lastColumn="0" w:oddVBand="0" w:evenVBand="0" w:oddHBand="0" w:evenHBand="0" w:firstRowFirstColumn="0" w:firstRowLastColumn="0" w:lastRowFirstColumn="0" w:lastRowLastColumn="0"/>
            </w:pPr>
            <w:r w:rsidRPr="00216C97">
              <w:t>For</w:t>
            </w:r>
          </w:p>
        </w:tc>
      </w:tr>
      <w:tr w:rsidR="00AE356F" w:rsidRPr="00216C97" w14:paraId="1AE455D9" w14:textId="77777777" w:rsidTr="00296383">
        <w:trPr>
          <w:jc w:val="center"/>
        </w:trPr>
        <w:tc>
          <w:tcPr>
            <w:cnfStyle w:val="001000000000" w:firstRow="0" w:lastRow="0" w:firstColumn="1" w:lastColumn="0" w:oddVBand="0" w:evenVBand="0" w:oddHBand="0" w:evenHBand="0" w:firstRowFirstColumn="0" w:firstRowLastColumn="0" w:lastRowFirstColumn="0" w:lastRowLastColumn="0"/>
            <w:tcW w:w="1771" w:type="pct"/>
          </w:tcPr>
          <w:p w14:paraId="11A1FC3B" w14:textId="77777777" w:rsidR="00AE356F" w:rsidRPr="00530604" w:rsidRDefault="00AE356F" w:rsidP="008F3A32">
            <w:pPr>
              <w:pStyle w:val="TableText"/>
              <w:rPr>
                <w:rStyle w:val="Strong"/>
              </w:rPr>
            </w:pPr>
            <w:r w:rsidRPr="00530604">
              <w:rPr>
                <w:rStyle w:val="Strong"/>
              </w:rPr>
              <w:t>Aquatic field guide</w:t>
            </w:r>
          </w:p>
        </w:tc>
        <w:tc>
          <w:tcPr>
            <w:tcW w:w="3229" w:type="pct"/>
          </w:tcPr>
          <w:p w14:paraId="0E562C0B" w14:textId="77777777" w:rsidR="00AE356F" w:rsidRPr="00530604" w:rsidRDefault="00AE356F" w:rsidP="008F3A32">
            <w:pPr>
              <w:pStyle w:val="TableText"/>
              <w:cnfStyle w:val="000000000000" w:firstRow="0" w:lastRow="0" w:firstColumn="0" w:lastColumn="0" w:oddVBand="0" w:evenVBand="0" w:oddHBand="0" w:evenHBand="0" w:firstRowFirstColumn="0" w:firstRowLastColumn="0" w:lastRowFirstColumn="0" w:lastRowLastColumn="0"/>
            </w:pPr>
            <w:r w:rsidRPr="00530604">
              <w:t>Information for field identification of notifiable aquatic diseases, including exotic diseases</w:t>
            </w:r>
          </w:p>
        </w:tc>
      </w:tr>
      <w:tr w:rsidR="00AE356F" w:rsidRPr="00216C97" w14:paraId="6EA1FFFA" w14:textId="77777777" w:rsidTr="00296383">
        <w:trPr>
          <w:jc w:val="center"/>
        </w:trPr>
        <w:tc>
          <w:tcPr>
            <w:cnfStyle w:val="001000000000" w:firstRow="0" w:lastRow="0" w:firstColumn="1" w:lastColumn="0" w:oddVBand="0" w:evenVBand="0" w:oddHBand="0" w:evenHBand="0" w:firstRowFirstColumn="0" w:firstRowLastColumn="0" w:lastRowFirstColumn="0" w:lastRowLastColumn="0"/>
            <w:tcW w:w="1771" w:type="pct"/>
          </w:tcPr>
          <w:p w14:paraId="44BE33FB" w14:textId="77777777" w:rsidR="00AE356F" w:rsidRPr="00530604" w:rsidRDefault="00AE356F" w:rsidP="008F3A32">
            <w:pPr>
              <w:pStyle w:val="TableText"/>
              <w:rPr>
                <w:rStyle w:val="Strong"/>
              </w:rPr>
            </w:pPr>
            <w:r w:rsidRPr="00530604">
              <w:rPr>
                <w:rStyle w:val="Strong"/>
              </w:rPr>
              <w:t>AQUAVETPLAN – disease manuals</w:t>
            </w:r>
          </w:p>
        </w:tc>
        <w:tc>
          <w:tcPr>
            <w:tcW w:w="3229" w:type="pct"/>
          </w:tcPr>
          <w:p w14:paraId="4FDD0F55" w14:textId="77777777" w:rsidR="00AE356F" w:rsidRPr="00530604" w:rsidRDefault="00AE356F" w:rsidP="008F3A32">
            <w:pPr>
              <w:pStyle w:val="TableText"/>
              <w:cnfStyle w:val="000000000000" w:firstRow="0" w:lastRow="0" w:firstColumn="0" w:lastColumn="0" w:oddVBand="0" w:evenVBand="0" w:oddHBand="0" w:evenHBand="0" w:firstRowFirstColumn="0" w:firstRowLastColumn="0" w:lastRowFirstColumn="0" w:lastRowLastColumn="0"/>
            </w:pPr>
            <w:r w:rsidRPr="00530604">
              <w:t>Specific preparedness planning for key diseases</w:t>
            </w:r>
          </w:p>
        </w:tc>
      </w:tr>
      <w:tr w:rsidR="00AE356F" w:rsidRPr="00216C97" w14:paraId="0CD671D6" w14:textId="77777777" w:rsidTr="00296383">
        <w:trPr>
          <w:jc w:val="center"/>
        </w:trPr>
        <w:tc>
          <w:tcPr>
            <w:cnfStyle w:val="001000000000" w:firstRow="0" w:lastRow="0" w:firstColumn="1" w:lastColumn="0" w:oddVBand="0" w:evenVBand="0" w:oddHBand="0" w:evenHBand="0" w:firstRowFirstColumn="0" w:firstRowLastColumn="0" w:lastRowFirstColumn="0" w:lastRowLastColumn="0"/>
            <w:tcW w:w="1771" w:type="pct"/>
          </w:tcPr>
          <w:p w14:paraId="57E5FA54" w14:textId="77777777" w:rsidR="00AE356F" w:rsidRPr="00530604" w:rsidRDefault="00AE356F" w:rsidP="008F3A32">
            <w:pPr>
              <w:pStyle w:val="TableText"/>
              <w:rPr>
                <w:rStyle w:val="Strong"/>
              </w:rPr>
            </w:pPr>
            <w:r w:rsidRPr="00530604">
              <w:rPr>
                <w:rStyle w:val="Strong"/>
              </w:rPr>
              <w:t>AQUAVETPLAN – operational procedures</w:t>
            </w:r>
          </w:p>
        </w:tc>
        <w:tc>
          <w:tcPr>
            <w:tcW w:w="3229" w:type="pct"/>
          </w:tcPr>
          <w:p w14:paraId="2CC1408F" w14:textId="77777777" w:rsidR="00AE356F" w:rsidRPr="00530604" w:rsidRDefault="00AE356F" w:rsidP="008F3A32">
            <w:pPr>
              <w:pStyle w:val="TableText"/>
              <w:cnfStyle w:val="000000000000" w:firstRow="0" w:lastRow="0" w:firstColumn="0" w:lastColumn="0" w:oddVBand="0" w:evenVBand="0" w:oddHBand="0" w:evenHBand="0" w:firstRowFirstColumn="0" w:firstRowLastColumn="0" w:lastRowFirstColumn="0" w:lastRowLastColumn="0"/>
            </w:pPr>
            <w:r w:rsidRPr="00530604">
              <w:t>Destruction/disposal/decontamination manuals for use during a disease response</w:t>
            </w:r>
          </w:p>
        </w:tc>
      </w:tr>
      <w:tr w:rsidR="00AE356F" w:rsidRPr="00216C97" w14:paraId="4D99E722" w14:textId="77777777" w:rsidTr="00296383">
        <w:trPr>
          <w:jc w:val="center"/>
        </w:trPr>
        <w:tc>
          <w:tcPr>
            <w:cnfStyle w:val="001000000000" w:firstRow="0" w:lastRow="0" w:firstColumn="1" w:lastColumn="0" w:oddVBand="0" w:evenVBand="0" w:oddHBand="0" w:evenHBand="0" w:firstRowFirstColumn="0" w:firstRowLastColumn="0" w:lastRowFirstColumn="0" w:lastRowLastColumn="0"/>
            <w:tcW w:w="1771" w:type="pct"/>
          </w:tcPr>
          <w:p w14:paraId="19D9E7F3" w14:textId="77777777" w:rsidR="00AE356F" w:rsidRPr="00530604" w:rsidRDefault="00AE356F" w:rsidP="008F3A32">
            <w:pPr>
              <w:pStyle w:val="TableText"/>
              <w:rPr>
                <w:rStyle w:val="Strong"/>
              </w:rPr>
            </w:pPr>
            <w:r w:rsidRPr="00530604">
              <w:rPr>
                <w:rStyle w:val="Strong"/>
              </w:rPr>
              <w:t>AQUAVETPLAN – management manuals</w:t>
            </w:r>
          </w:p>
        </w:tc>
        <w:tc>
          <w:tcPr>
            <w:tcW w:w="3229" w:type="pct"/>
          </w:tcPr>
          <w:p w14:paraId="57A41A83" w14:textId="77777777" w:rsidR="00AE356F" w:rsidRPr="00530604" w:rsidRDefault="00AE356F" w:rsidP="008F3A32">
            <w:pPr>
              <w:pStyle w:val="TableText"/>
              <w:cnfStyle w:val="000000000000" w:firstRow="0" w:lastRow="0" w:firstColumn="0" w:lastColumn="0" w:oddVBand="0" w:evenVBand="0" w:oddHBand="0" w:evenHBand="0" w:firstRowFirstColumn="0" w:firstRowLastColumn="0" w:lastRowFirstColumn="0" w:lastRowLastColumn="0"/>
            </w:pPr>
            <w:r w:rsidRPr="00530604">
              <w:t>Guidelines on running a disease control centre and information for enterprises to develop disease control strategies</w:t>
            </w:r>
          </w:p>
        </w:tc>
      </w:tr>
      <w:tr w:rsidR="00AE356F" w:rsidRPr="00216C97" w14:paraId="604C7DB7" w14:textId="77777777" w:rsidTr="00296383">
        <w:trPr>
          <w:jc w:val="center"/>
        </w:trPr>
        <w:tc>
          <w:tcPr>
            <w:cnfStyle w:val="001000000000" w:firstRow="0" w:lastRow="0" w:firstColumn="1" w:lastColumn="0" w:oddVBand="0" w:evenVBand="0" w:oddHBand="0" w:evenHBand="0" w:firstRowFirstColumn="0" w:firstRowLastColumn="0" w:lastRowFirstColumn="0" w:lastRowLastColumn="0"/>
            <w:tcW w:w="1771" w:type="pct"/>
          </w:tcPr>
          <w:p w14:paraId="2444F180" w14:textId="77777777" w:rsidR="00AE356F" w:rsidRPr="00530604" w:rsidRDefault="00AE356F" w:rsidP="008F3A32">
            <w:pPr>
              <w:pStyle w:val="TableText"/>
              <w:rPr>
                <w:rStyle w:val="Strong"/>
              </w:rPr>
            </w:pPr>
            <w:r w:rsidRPr="00530604">
              <w:rPr>
                <w:rStyle w:val="Strong"/>
              </w:rPr>
              <w:t>ANZSDP – pathogen specific manuals</w:t>
            </w:r>
          </w:p>
        </w:tc>
        <w:tc>
          <w:tcPr>
            <w:tcW w:w="3229" w:type="pct"/>
          </w:tcPr>
          <w:p w14:paraId="03F16F6E" w14:textId="77777777" w:rsidR="00AE356F" w:rsidRPr="00530604" w:rsidRDefault="00AE356F" w:rsidP="008F3A32">
            <w:pPr>
              <w:pStyle w:val="TableText"/>
              <w:cnfStyle w:val="000000000000" w:firstRow="0" w:lastRow="0" w:firstColumn="0" w:lastColumn="0" w:oddVBand="0" w:evenVBand="0" w:oddHBand="0" w:evenHBand="0" w:firstRowFirstColumn="0" w:firstRowLastColumn="0" w:lastRowFirstColumn="0" w:lastRowLastColumn="0"/>
            </w:pPr>
            <w:r w:rsidRPr="00530604">
              <w:t>Diagnostic procedure information and laboratory protocols that are preferred for use in Australia</w:t>
            </w:r>
          </w:p>
        </w:tc>
      </w:tr>
      <w:tr w:rsidR="00AE356F" w:rsidRPr="00216C97" w14:paraId="701B8B29" w14:textId="77777777" w:rsidTr="00296383">
        <w:trPr>
          <w:jc w:val="center"/>
        </w:trPr>
        <w:tc>
          <w:tcPr>
            <w:cnfStyle w:val="001000000000" w:firstRow="0" w:lastRow="0" w:firstColumn="1" w:lastColumn="0" w:oddVBand="0" w:evenVBand="0" w:oddHBand="0" w:evenHBand="0" w:firstRowFirstColumn="0" w:firstRowLastColumn="0" w:lastRowFirstColumn="0" w:lastRowLastColumn="0"/>
            <w:tcW w:w="1771" w:type="pct"/>
          </w:tcPr>
          <w:p w14:paraId="717FBC81" w14:textId="77777777" w:rsidR="00AE356F" w:rsidRPr="00530604" w:rsidRDefault="00AE356F" w:rsidP="008F3A32">
            <w:pPr>
              <w:pStyle w:val="TableText"/>
              <w:rPr>
                <w:rStyle w:val="Strong"/>
              </w:rPr>
            </w:pPr>
            <w:r w:rsidRPr="00530604">
              <w:rPr>
                <w:rStyle w:val="Strong"/>
              </w:rPr>
              <w:t>ANZSDP – general manuals</w:t>
            </w:r>
          </w:p>
        </w:tc>
        <w:tc>
          <w:tcPr>
            <w:tcW w:w="3229" w:type="pct"/>
          </w:tcPr>
          <w:p w14:paraId="4C6F97B3" w14:textId="77777777" w:rsidR="00AE356F" w:rsidRPr="00530604" w:rsidRDefault="00AE356F" w:rsidP="008F3A32">
            <w:pPr>
              <w:pStyle w:val="TableText"/>
              <w:cnfStyle w:val="000000000000" w:firstRow="0" w:lastRow="0" w:firstColumn="0" w:lastColumn="0" w:oddVBand="0" w:evenVBand="0" w:oddHBand="0" w:evenHBand="0" w:firstRowFirstColumn="0" w:firstRowLastColumn="0" w:lastRowFirstColumn="0" w:lastRowLastColumn="0"/>
            </w:pPr>
            <w:r w:rsidRPr="00530604">
              <w:t>Technical information on sampling, surveillance and topics related to laboratory diagnostics</w:t>
            </w:r>
          </w:p>
        </w:tc>
      </w:tr>
    </w:tbl>
    <w:p w14:paraId="6BB69BA1" w14:textId="77777777" w:rsidR="00AE356F" w:rsidRPr="00530604" w:rsidRDefault="00AE356F" w:rsidP="00AE356F">
      <w:pPr>
        <w:sectPr w:rsidR="00AE356F" w:rsidRPr="00530604">
          <w:headerReference w:type="even" r:id="rId17"/>
          <w:headerReference w:type="default" r:id="rId18"/>
          <w:footerReference w:type="default" r:id="rId19"/>
          <w:headerReference w:type="first" r:id="rId20"/>
          <w:pgSz w:w="11906" w:h="16838"/>
          <w:pgMar w:top="1418" w:right="1418" w:bottom="1418" w:left="1418" w:header="567" w:footer="283" w:gutter="0"/>
          <w:pgNumType w:fmt="lowerRoman" w:start="1"/>
          <w:cols w:space="708"/>
          <w:titlePg/>
          <w:docGrid w:linePitch="360"/>
        </w:sectPr>
      </w:pPr>
    </w:p>
    <w:p w14:paraId="577D5384" w14:textId="77777777" w:rsidR="00AE356F" w:rsidRDefault="00AE356F" w:rsidP="00AE356F">
      <w:pPr>
        <w:pStyle w:val="Heading2"/>
      </w:pPr>
      <w:bookmarkStart w:id="8" w:name="_Toc141701925"/>
      <w:r w:rsidRPr="004A3CC6">
        <w:lastRenderedPageBreak/>
        <w:t>Diagnostic overview</w:t>
      </w:r>
      <w:bookmarkEnd w:id="8"/>
    </w:p>
    <w:p w14:paraId="7DF9DBAC" w14:textId="0AE8BC83" w:rsidR="00AE356F" w:rsidRDefault="00AE356F" w:rsidP="00AE356F">
      <w:pPr>
        <w:pStyle w:val="Heading3"/>
      </w:pPr>
      <w:bookmarkStart w:id="9" w:name="_Toc141701926"/>
      <w:r>
        <w:t>Agent factors</w:t>
      </w:r>
      <w:bookmarkEnd w:id="9"/>
    </w:p>
    <w:p w14:paraId="756D44D3" w14:textId="1030FF2B" w:rsidR="00AE356F" w:rsidRDefault="00AE356F" w:rsidP="00AE356F">
      <w:pPr>
        <w:pStyle w:val="Heading4"/>
      </w:pPr>
      <w:r w:rsidRPr="004A3CC6">
        <w:t>Aetiological agent</w:t>
      </w:r>
    </w:p>
    <w:p w14:paraId="10225759" w14:textId="1D526073" w:rsidR="00AE356F" w:rsidRPr="00216C97" w:rsidRDefault="00AE356F" w:rsidP="00AE356F">
      <w:r w:rsidRPr="00216C97">
        <w:t>White spot syndrome virus (WSSV) is the aetiological agent of white spot disease (WSD). The disease affects a wide range of decapod crustaceans, especially penaeid</w:t>
      </w:r>
      <w:r w:rsidRPr="00216C97" w:rsidDel="00475865">
        <w:t xml:space="preserve"> </w:t>
      </w:r>
      <w:r w:rsidRPr="00216C97">
        <w:t>prawn species (</w:t>
      </w:r>
      <w:r w:rsidR="00752336">
        <w:t>WOAH</w:t>
      </w:r>
      <w:r w:rsidR="00B42877">
        <w:t xml:space="preserve"> 2022</w:t>
      </w:r>
      <w:r w:rsidRPr="00216C97">
        <w:t>).</w:t>
      </w:r>
    </w:p>
    <w:p w14:paraId="107D9C58" w14:textId="7CA00FE0" w:rsidR="00AE356F" w:rsidRPr="00216C97" w:rsidRDefault="00AE356F" w:rsidP="00AE356F">
      <w:r w:rsidRPr="00216C97">
        <w:t xml:space="preserve">WSSV is an enveloped, double-stranded DNA virus (Chou </w:t>
      </w:r>
      <w:r w:rsidR="00995C15">
        <w:t xml:space="preserve">et al. </w:t>
      </w:r>
      <w:r w:rsidRPr="00216C97">
        <w:t xml:space="preserve">1995; Wang </w:t>
      </w:r>
      <w:r w:rsidR="00995C15">
        <w:t xml:space="preserve">et al. </w:t>
      </w:r>
      <w:r w:rsidRPr="00216C97">
        <w:t xml:space="preserve">1995; Wongteerasupaya </w:t>
      </w:r>
      <w:r w:rsidR="00995C15">
        <w:t xml:space="preserve">et al. </w:t>
      </w:r>
      <w:r w:rsidRPr="00216C97">
        <w:t xml:space="preserve">1995). It is a member of the genus </w:t>
      </w:r>
      <w:r w:rsidRPr="00216C97">
        <w:rPr>
          <w:rStyle w:val="Emphasis"/>
        </w:rPr>
        <w:t>Whispovirus</w:t>
      </w:r>
      <w:r w:rsidRPr="00216C97">
        <w:t xml:space="preserve"> in the family </w:t>
      </w:r>
      <w:r w:rsidRPr="00216C97">
        <w:rPr>
          <w:rStyle w:val="Emphasis"/>
        </w:rPr>
        <w:t xml:space="preserve">Nimaviridae </w:t>
      </w:r>
      <w:r w:rsidRPr="00216C97">
        <w:t xml:space="preserve">(Lo </w:t>
      </w:r>
      <w:r w:rsidR="00995C15">
        <w:t xml:space="preserve">et al. </w:t>
      </w:r>
      <w:r w:rsidRPr="00216C97">
        <w:t>2011). WSSV virions are ovoid or ellipsoid to bacilliform in shape measuring 120</w:t>
      </w:r>
      <w:r w:rsidR="00F54301">
        <w:t xml:space="preserve"> to </w:t>
      </w:r>
      <w:r w:rsidRPr="00216C97">
        <w:t>150</w:t>
      </w:r>
      <w:r w:rsidR="00F54301">
        <w:t> </w:t>
      </w:r>
      <w:r w:rsidRPr="00216C97">
        <w:t>nm in diameter and 270</w:t>
      </w:r>
      <w:r w:rsidR="00F54301">
        <w:t xml:space="preserve"> to </w:t>
      </w:r>
      <w:r w:rsidRPr="00216C97">
        <w:t>290</w:t>
      </w:r>
      <w:r w:rsidR="00F54301">
        <w:t> </w:t>
      </w:r>
      <w:r w:rsidRPr="00216C97">
        <w:t xml:space="preserve">nm in length, sometimes with a flagella-like appendage at one end (Lo </w:t>
      </w:r>
      <w:r w:rsidR="00995C15">
        <w:t>et al.</w:t>
      </w:r>
      <w:r w:rsidRPr="00216C97">
        <w:t>2011).</w:t>
      </w:r>
    </w:p>
    <w:p w14:paraId="3DE3997C" w14:textId="17A26E25" w:rsidR="00AE356F" w:rsidRPr="00216C97" w:rsidRDefault="00AE356F" w:rsidP="00AE356F">
      <w:r w:rsidRPr="00216C97">
        <w:t>When WSSV first appeared in multiple regions, it was given multiple names</w:t>
      </w:r>
      <w:r>
        <w:t xml:space="preserve"> </w:t>
      </w:r>
      <w:r w:rsidRPr="00216C97">
        <w:t xml:space="preserve">before WSSV was recognised as the generic virus name (Lightner 2011; Lo </w:t>
      </w:r>
      <w:r w:rsidR="00995C15">
        <w:t xml:space="preserve">et al. </w:t>
      </w:r>
      <w:r w:rsidRPr="00216C97">
        <w:t xml:space="preserve">2011). Various geographical strains of WSSV with genotypic variations have been identified, but all are classified as a single species of WSSV (Nakano </w:t>
      </w:r>
      <w:r w:rsidR="00995C15">
        <w:t xml:space="preserve">et al. </w:t>
      </w:r>
      <w:r w:rsidRPr="00216C97">
        <w:t xml:space="preserve">1994; Wongteerasupaya </w:t>
      </w:r>
      <w:r w:rsidR="00995C15">
        <w:t xml:space="preserve">et al. </w:t>
      </w:r>
      <w:r w:rsidRPr="00216C97">
        <w:t>2003; Marks </w:t>
      </w:r>
      <w:r w:rsidR="00995C15">
        <w:t xml:space="preserve">et al. </w:t>
      </w:r>
      <w:r w:rsidRPr="00216C97">
        <w:t xml:space="preserve">2004; Lo </w:t>
      </w:r>
      <w:r w:rsidR="00995C15">
        <w:t xml:space="preserve">et al. </w:t>
      </w:r>
      <w:r w:rsidRPr="00216C97">
        <w:t>2011; Oakey and Smith 2018).</w:t>
      </w:r>
    </w:p>
    <w:p w14:paraId="2B95B388" w14:textId="77777777" w:rsidR="00AE356F" w:rsidRPr="00216C97" w:rsidRDefault="00AE356F" w:rsidP="00AE356F">
      <w:pPr>
        <w:pStyle w:val="Heading4"/>
      </w:pPr>
      <w:r w:rsidRPr="00216C97">
        <w:t>Survival and stability inside host tissues</w:t>
      </w:r>
    </w:p>
    <w:p w14:paraId="291523D3" w14:textId="306FC4DE" w:rsidR="00AE356F" w:rsidRPr="00216C97" w:rsidRDefault="00AE356F" w:rsidP="00AE356F">
      <w:r w:rsidRPr="00216C97">
        <w:t xml:space="preserve">WSSV can remain infectious in host tissues following prolonged exposure to freezing temperatures </w:t>
      </w:r>
      <w:r w:rsidRPr="00E47DDD">
        <w:t>(– 20° to –70</w:t>
      </w:r>
      <w:r w:rsidRPr="00216C97">
        <w:t xml:space="preserve">°C) (Lightner </w:t>
      </w:r>
      <w:r w:rsidR="00995C15">
        <w:t xml:space="preserve">et al. </w:t>
      </w:r>
      <w:r w:rsidRPr="00216C97">
        <w:t xml:space="preserve">1997b; Wang </w:t>
      </w:r>
      <w:r w:rsidR="00995C15">
        <w:t xml:space="preserve">et al. </w:t>
      </w:r>
      <w:r w:rsidRPr="00216C97">
        <w:t xml:space="preserve">1997; Wang </w:t>
      </w:r>
      <w:r w:rsidR="00995C15">
        <w:t xml:space="preserve">et al. </w:t>
      </w:r>
      <w:r w:rsidRPr="00216C97">
        <w:t xml:space="preserve">1999a; Nunan </w:t>
      </w:r>
      <w:r w:rsidR="00995C15">
        <w:t xml:space="preserve">et al. </w:t>
      </w:r>
      <w:r w:rsidRPr="00216C97">
        <w:t xml:space="preserve">1998; Scott-Orr </w:t>
      </w:r>
      <w:r w:rsidR="00995C15">
        <w:t xml:space="preserve">et al. </w:t>
      </w:r>
      <w:r w:rsidRPr="00216C97">
        <w:t xml:space="preserve">2017; John </w:t>
      </w:r>
      <w:r w:rsidR="00995C15">
        <w:t xml:space="preserve">et al. </w:t>
      </w:r>
      <w:r w:rsidRPr="00216C97">
        <w:t xml:space="preserve">2010; Reddy </w:t>
      </w:r>
      <w:r w:rsidR="00995C15">
        <w:t xml:space="preserve">et al. </w:t>
      </w:r>
      <w:r w:rsidRPr="00216C97">
        <w:t xml:space="preserve">2010). Experimental trials conducted using infectious materials obtained from prawn carcasses suggests that WSSV can remain infective for </w:t>
      </w:r>
      <w:r w:rsidR="00D501F5">
        <w:t>6</w:t>
      </w:r>
      <w:r w:rsidRPr="00216C97">
        <w:t xml:space="preserve"> days at 25.5°C to 28.8°C (Wang </w:t>
      </w:r>
      <w:r w:rsidR="00995C15">
        <w:t xml:space="preserve">et al. </w:t>
      </w:r>
      <w:r w:rsidRPr="00216C97">
        <w:t xml:space="preserve">2002). However, a separate study suggests the virus can remain infective for at least 14 days in prawn heads at 27°C and for at least 28 days in prawn tails at the same temperature (Prior </w:t>
      </w:r>
      <w:r w:rsidR="00995C15">
        <w:t xml:space="preserve">et al. </w:t>
      </w:r>
      <w:r w:rsidRPr="00216C97">
        <w:t>2000).</w:t>
      </w:r>
    </w:p>
    <w:p w14:paraId="2B0C3111" w14:textId="4F43EB4E" w:rsidR="00AE356F" w:rsidRPr="00216C97" w:rsidRDefault="00AE356F" w:rsidP="00AE356F">
      <w:pPr>
        <w:pStyle w:val="Heading4"/>
      </w:pPr>
      <w:r w:rsidRPr="00216C97">
        <w:t>Survival and stability outside the host</w:t>
      </w:r>
    </w:p>
    <w:p w14:paraId="0DC323BC" w14:textId="65F46400" w:rsidR="00AE356F" w:rsidRPr="00216C97" w:rsidRDefault="00AE356F" w:rsidP="00AE356F">
      <w:r w:rsidRPr="00216C97">
        <w:t xml:space="preserve">WSSV can remain infectious in sterile seawater for up to 30 days at 30°C and 120 days at 15°C under laboratory conditions (Momoyama </w:t>
      </w:r>
      <w:r w:rsidR="00995C15">
        <w:t xml:space="preserve">et al. </w:t>
      </w:r>
      <w:r w:rsidRPr="00216C97">
        <w:t xml:space="preserve">1998) and for 3 to 4 days in ponds (Nakano </w:t>
      </w:r>
      <w:r w:rsidR="00995C15">
        <w:t xml:space="preserve">et al. </w:t>
      </w:r>
      <w:r w:rsidRPr="00216C97">
        <w:t xml:space="preserve">1998). An experimental study found WSSV was viable and infectious in seawater for 12 days at 27 ppt, pH 7.5 and 30°C to 32°C (Kumar </w:t>
      </w:r>
      <w:r w:rsidR="00995C15">
        <w:t xml:space="preserve">et al. </w:t>
      </w:r>
      <w:r w:rsidRPr="00216C97">
        <w:t>2013).</w:t>
      </w:r>
    </w:p>
    <w:p w14:paraId="123E8C83" w14:textId="6205EC72" w:rsidR="00AE356F" w:rsidRPr="00216C97" w:rsidRDefault="00AE356F" w:rsidP="00AE356F">
      <w:pPr>
        <w:pStyle w:val="Heading3"/>
      </w:pPr>
      <w:bookmarkStart w:id="10" w:name="_Toc87004653"/>
      <w:bookmarkStart w:id="11" w:name="_Toc141701927"/>
      <w:r w:rsidRPr="00216C97">
        <w:t>Host factors</w:t>
      </w:r>
      <w:bookmarkEnd w:id="10"/>
      <w:bookmarkEnd w:id="11"/>
    </w:p>
    <w:p w14:paraId="04A12D53" w14:textId="77777777" w:rsidR="00AE356F" w:rsidRPr="00216C97" w:rsidRDefault="00AE356F" w:rsidP="00AE356F">
      <w:pPr>
        <w:pStyle w:val="Heading4"/>
      </w:pPr>
      <w:r w:rsidRPr="00216C97">
        <w:t>Susceptible species</w:t>
      </w:r>
    </w:p>
    <w:p w14:paraId="36547151" w14:textId="580CC447" w:rsidR="00AE356F" w:rsidRPr="00216C97" w:rsidRDefault="00AE356F" w:rsidP="00AE356F">
      <w:r w:rsidRPr="00216C97">
        <w:t xml:space="preserve">Decapod crustaceans (order Decapoda), including prawns, crabs, crayfish and lobsters from marine, brackish and freshwater sources are considered susceptible to infection with WSSV (Stentiford </w:t>
      </w:r>
      <w:r w:rsidR="00995C15">
        <w:t xml:space="preserve">et al. </w:t>
      </w:r>
      <w:r w:rsidRPr="00216C97">
        <w:t xml:space="preserve">2009; Pradeep </w:t>
      </w:r>
      <w:r w:rsidR="00995C15">
        <w:t xml:space="preserve">et al. </w:t>
      </w:r>
      <w:r w:rsidRPr="00216C97">
        <w:t xml:space="preserve">2012; </w:t>
      </w:r>
      <w:r w:rsidR="00752336">
        <w:t>WOAH</w:t>
      </w:r>
      <w:r w:rsidR="00B42877">
        <w:t xml:space="preserve"> 2022</w:t>
      </w:r>
      <w:r w:rsidRPr="00216C97">
        <w:t>).</w:t>
      </w:r>
    </w:p>
    <w:p w14:paraId="608BF1B0" w14:textId="0D14BDD2" w:rsidR="00AE356F" w:rsidRPr="00216C97" w:rsidRDefault="00AE356F" w:rsidP="00AE356F">
      <w:pPr>
        <w:pStyle w:val="Heading4"/>
      </w:pPr>
      <w:r w:rsidRPr="00216C97">
        <w:t>Likelihood of infection by species, host life stage, population or sub-populations</w:t>
      </w:r>
    </w:p>
    <w:p w14:paraId="73C3CECA" w14:textId="22C4BA8A" w:rsidR="00AE356F" w:rsidRPr="00216C97" w:rsidRDefault="00AE356F" w:rsidP="00AE356F">
      <w:r w:rsidRPr="00216C97">
        <w:t>All life stages of prawns, from eggs to broodstock, are susceptible to infection with WSSV (Lightner</w:t>
      </w:r>
      <w:r w:rsidR="00995C15">
        <w:t xml:space="preserve"> </w:t>
      </w:r>
      <w:r w:rsidRPr="00216C97">
        <w:t xml:space="preserve">1998; Stentiford </w:t>
      </w:r>
      <w:r w:rsidR="00995C15">
        <w:t xml:space="preserve">et al. </w:t>
      </w:r>
      <w:r w:rsidRPr="00216C97">
        <w:t xml:space="preserve">2009). In </w:t>
      </w:r>
      <w:r w:rsidRPr="00216C97">
        <w:rPr>
          <w:rStyle w:val="Emphasis"/>
        </w:rPr>
        <w:t>P. vannamei</w:t>
      </w:r>
      <w:r w:rsidRPr="00216C97">
        <w:t xml:space="preserve">, susceptibility to WSSV increases after post larvae day 30, possibly due to genetic, physiological or etiological characteristics (Perez </w:t>
      </w:r>
      <w:r w:rsidR="00995C15">
        <w:t xml:space="preserve">et al. </w:t>
      </w:r>
      <w:r w:rsidRPr="00216C97">
        <w:t>2005).</w:t>
      </w:r>
    </w:p>
    <w:p w14:paraId="39E12421" w14:textId="77777777" w:rsidR="00AE356F" w:rsidRPr="00216C97" w:rsidRDefault="00AE356F" w:rsidP="00AE356F">
      <w:pPr>
        <w:pStyle w:val="Heading4"/>
      </w:pPr>
      <w:r w:rsidRPr="00216C97">
        <w:lastRenderedPageBreak/>
        <w:t>Reservoir hosts</w:t>
      </w:r>
    </w:p>
    <w:p w14:paraId="0D33CC80" w14:textId="44CA4469" w:rsidR="00AE356F" w:rsidRPr="00216C97" w:rsidRDefault="00AE356F" w:rsidP="00AE356F">
      <w:r w:rsidRPr="00216C97">
        <w:t xml:space="preserve">A wide range of decapod crustaceans, including crabs and lobsters, are known to be reservoir hosts of WSSV (Lo </w:t>
      </w:r>
      <w:r w:rsidR="00995C15">
        <w:t xml:space="preserve">et al. </w:t>
      </w:r>
      <w:r w:rsidRPr="00216C97">
        <w:t xml:space="preserve">1996a; Escobedo-Bonilla </w:t>
      </w:r>
      <w:r w:rsidR="00995C15">
        <w:t xml:space="preserve">et al. </w:t>
      </w:r>
      <w:r w:rsidRPr="00216C97">
        <w:t xml:space="preserve">2008; Stentiford </w:t>
      </w:r>
      <w:r w:rsidR="00995C15">
        <w:t xml:space="preserve">et al. </w:t>
      </w:r>
      <w:r w:rsidRPr="00216C97">
        <w:t xml:space="preserve">2009; Pradeep </w:t>
      </w:r>
      <w:r w:rsidR="00995C15">
        <w:t xml:space="preserve">et al. </w:t>
      </w:r>
      <w:r w:rsidRPr="00216C97">
        <w:t xml:space="preserve">2012). In bioassays with </w:t>
      </w:r>
      <w:r w:rsidRPr="00216C97">
        <w:rPr>
          <w:rStyle w:val="Emphasis"/>
        </w:rPr>
        <w:t>P. monodon</w:t>
      </w:r>
      <w:r w:rsidRPr="00216C97">
        <w:t xml:space="preserve"> fed WSSV-infected crab and lobster tissues, clinical signs of WSD and mortality occurred in the prawns within </w:t>
      </w:r>
      <w:r w:rsidR="000D3DAB">
        <w:t>2</w:t>
      </w:r>
      <w:r w:rsidRPr="00216C97">
        <w:t xml:space="preserve"> to </w:t>
      </w:r>
      <w:r w:rsidR="000D3DAB">
        <w:t>4</w:t>
      </w:r>
      <w:r w:rsidRPr="00216C97">
        <w:t xml:space="preserve"> days (Rajendran </w:t>
      </w:r>
      <w:r w:rsidR="00995C15">
        <w:t xml:space="preserve">et al. </w:t>
      </w:r>
      <w:r w:rsidRPr="00216C97">
        <w:t>1999).</w:t>
      </w:r>
    </w:p>
    <w:p w14:paraId="1738FB0E" w14:textId="0279A322" w:rsidR="00AE356F" w:rsidRPr="00216C97" w:rsidRDefault="00AE356F" w:rsidP="00AE356F">
      <w:r w:rsidRPr="00216C97">
        <w:t xml:space="preserve">Non-decapod species, such as copepods, rotifers, polychaete worms (such as </w:t>
      </w:r>
      <w:r w:rsidRPr="00216C97">
        <w:rPr>
          <w:rStyle w:val="Emphasis"/>
        </w:rPr>
        <w:t>Marphysa gravelyi</w:t>
      </w:r>
      <w:r w:rsidRPr="00216C97">
        <w:t xml:space="preserve">, </w:t>
      </w:r>
      <w:r w:rsidRPr="00216C97">
        <w:rPr>
          <w:rStyle w:val="Emphasis"/>
        </w:rPr>
        <w:t>Pereneis nuntia</w:t>
      </w:r>
      <w:r w:rsidRPr="00216C97">
        <w:t xml:space="preserve"> and </w:t>
      </w:r>
      <w:r w:rsidRPr="00216C97">
        <w:rPr>
          <w:rStyle w:val="Emphasis"/>
        </w:rPr>
        <w:t>Dendronereis</w:t>
      </w:r>
      <w:r w:rsidRPr="00216C97">
        <w:t xml:space="preserve"> spp.), marine molluscs, sea slaters and aquatic insect larvae have been shown to act as mechanical carriers for WSSV (Lo </w:t>
      </w:r>
      <w:r w:rsidR="00995C15">
        <w:t xml:space="preserve">et al. </w:t>
      </w:r>
      <w:r w:rsidRPr="00216C97">
        <w:t xml:space="preserve">1996a; Yan </w:t>
      </w:r>
      <w:r w:rsidR="00995C15">
        <w:t xml:space="preserve">et al. </w:t>
      </w:r>
      <w:r w:rsidRPr="00216C97">
        <w:t xml:space="preserve">2004; Desrina </w:t>
      </w:r>
      <w:r w:rsidR="00995C15">
        <w:t xml:space="preserve">et al. </w:t>
      </w:r>
      <w:r w:rsidRPr="00216C97">
        <w:t xml:space="preserve">2013; Haryadi </w:t>
      </w:r>
      <w:r w:rsidR="00995C15">
        <w:t xml:space="preserve">et al. </w:t>
      </w:r>
      <w:r w:rsidRPr="00216C97">
        <w:t xml:space="preserve">2015; Laoaroon </w:t>
      </w:r>
      <w:r w:rsidR="00995C15">
        <w:t xml:space="preserve">et al. </w:t>
      </w:r>
      <w:r w:rsidRPr="00216C97">
        <w:t xml:space="preserve">2005; Vijayan </w:t>
      </w:r>
      <w:r w:rsidR="00995C15">
        <w:t xml:space="preserve">et al. </w:t>
      </w:r>
      <w:r w:rsidRPr="00216C97">
        <w:t xml:space="preserve">2005; Flegel 2006; Escobedo-Bonilla </w:t>
      </w:r>
      <w:r w:rsidR="00995C15">
        <w:t xml:space="preserve">et al. </w:t>
      </w:r>
      <w:r w:rsidRPr="00216C97">
        <w:t xml:space="preserve">2008; Desrina </w:t>
      </w:r>
      <w:r w:rsidR="00995C15">
        <w:t xml:space="preserve">et al. </w:t>
      </w:r>
      <w:r w:rsidRPr="00216C97">
        <w:t xml:space="preserve">2013; Haryadi </w:t>
      </w:r>
      <w:r w:rsidR="00995C15">
        <w:t xml:space="preserve">et al. </w:t>
      </w:r>
      <w:r w:rsidRPr="00216C97">
        <w:t xml:space="preserve">2015; Wang </w:t>
      </w:r>
      <w:r w:rsidR="00995C15">
        <w:t xml:space="preserve">et al. </w:t>
      </w:r>
      <w:r w:rsidRPr="00216C97">
        <w:t xml:space="preserve">2017). The detection of WSSV in prawn pond soil suggests that it too may act as a reservoir for the virus (Natividad </w:t>
      </w:r>
      <w:r w:rsidR="00995C15">
        <w:t xml:space="preserve">et al. </w:t>
      </w:r>
      <w:r w:rsidRPr="00216C97">
        <w:t xml:space="preserve">2008; Kumar </w:t>
      </w:r>
      <w:r w:rsidR="00995C15">
        <w:t xml:space="preserve">et al. </w:t>
      </w:r>
      <w:r w:rsidRPr="00216C97">
        <w:t>2013).</w:t>
      </w:r>
    </w:p>
    <w:p w14:paraId="0004168A" w14:textId="74280EC6" w:rsidR="00AE356F" w:rsidRPr="00216C97" w:rsidRDefault="00AE356F" w:rsidP="00AE356F">
      <w:pPr>
        <w:pStyle w:val="Heading3"/>
      </w:pPr>
      <w:bookmarkStart w:id="12" w:name="_Toc87004654"/>
      <w:bookmarkStart w:id="13" w:name="_Toc141701928"/>
      <w:r w:rsidRPr="00216C97">
        <w:t>Disease pattern</w:t>
      </w:r>
      <w:bookmarkEnd w:id="12"/>
      <w:bookmarkEnd w:id="13"/>
    </w:p>
    <w:p w14:paraId="37E1666E" w14:textId="65806BFF" w:rsidR="00AE356F" w:rsidRPr="00216C97" w:rsidRDefault="00AE356F" w:rsidP="00AE356F">
      <w:pPr>
        <w:pStyle w:val="Heading4"/>
      </w:pPr>
      <w:r w:rsidRPr="00216C97">
        <w:t>Mortality, morbidity and prevalence</w:t>
      </w:r>
    </w:p>
    <w:p w14:paraId="5D234993" w14:textId="1E660501" w:rsidR="00AE356F" w:rsidRPr="00216C97" w:rsidRDefault="00AE356F" w:rsidP="00AE356F">
      <w:r w:rsidRPr="00216C97">
        <w:t>Prevalence of WSSV ranges from less than 1% in infected wild populations to up to 100% in farmed populations (</w:t>
      </w:r>
      <w:r w:rsidR="00752336">
        <w:t>WOAH</w:t>
      </w:r>
      <w:r w:rsidR="00B42877">
        <w:t xml:space="preserve"> 2022</w:t>
      </w:r>
      <w:r w:rsidRPr="00216C97">
        <w:t>). WSD outbreaks in farmed prawns are often characterised by high morbidity followed by high and rapid mortality.</w:t>
      </w:r>
    </w:p>
    <w:p w14:paraId="2DCA7C46" w14:textId="443D5C7C" w:rsidR="00AE356F" w:rsidRPr="00216C97" w:rsidRDefault="00AE356F" w:rsidP="00AE356F">
      <w:r w:rsidRPr="00216C97">
        <w:t xml:space="preserve">WSSV infections in farmed prawns frequently result in cumulative mortalities of up to 100% within 3 to 10 days of the onset of clinical signs (Chou </w:t>
      </w:r>
      <w:r w:rsidR="00995C15">
        <w:t xml:space="preserve">et al. </w:t>
      </w:r>
      <w:r w:rsidRPr="00216C97">
        <w:t xml:space="preserve">1995; Inouye </w:t>
      </w:r>
      <w:r w:rsidR="00995C15">
        <w:t xml:space="preserve">et al. </w:t>
      </w:r>
      <w:r w:rsidRPr="00216C97">
        <w:t xml:space="preserve">1994; Lightner 1996a; Wongteerasupaya </w:t>
      </w:r>
      <w:r w:rsidR="00995C15">
        <w:t xml:space="preserve">et al. </w:t>
      </w:r>
      <w:r w:rsidRPr="00216C97">
        <w:t xml:space="preserve">1995b). However, subclinical disease has been observed, with occasional mortality only (Tsai </w:t>
      </w:r>
      <w:r w:rsidR="00995C15">
        <w:t xml:space="preserve">et al. </w:t>
      </w:r>
      <w:r w:rsidRPr="00216C97">
        <w:t>1999).</w:t>
      </w:r>
    </w:p>
    <w:p w14:paraId="4C0E442C" w14:textId="77777777" w:rsidR="00AE356F" w:rsidRPr="00216C97" w:rsidRDefault="00AE356F" w:rsidP="00AE356F">
      <w:pPr>
        <w:pStyle w:val="Heading4"/>
      </w:pPr>
      <w:r w:rsidRPr="00216C97">
        <w:t>Clinical signs</w:t>
      </w:r>
    </w:p>
    <w:p w14:paraId="78C5F5C7" w14:textId="0BCAC589" w:rsidR="00AE356F" w:rsidRPr="00216C97" w:rsidRDefault="00AE356F" w:rsidP="00AE356F">
      <w:r w:rsidRPr="00216C97">
        <w:t>Prawns suffering from WSD may display various clinical signs including lethargy, reduced food consumption</w:t>
      </w:r>
      <w:r>
        <w:t>,</w:t>
      </w:r>
      <w:r w:rsidRPr="00216C97">
        <w:t xml:space="preserve"> anorexia, pink to red discolouration of the body, the appearance of white spots (0.5 to 2.0 mm in diameter) on the cuticle and high mortality (Momoyama et al 1994; Takahashi </w:t>
      </w:r>
      <w:r w:rsidR="00995C15">
        <w:t xml:space="preserve">et al. </w:t>
      </w:r>
      <w:r w:rsidRPr="00216C97">
        <w:t xml:space="preserve">1994; Chou </w:t>
      </w:r>
      <w:r w:rsidR="00995C15">
        <w:t xml:space="preserve">et al. </w:t>
      </w:r>
      <w:r w:rsidRPr="00216C97">
        <w:t xml:space="preserve">1995; Wang </w:t>
      </w:r>
      <w:r w:rsidR="00995C15">
        <w:t xml:space="preserve">et al. </w:t>
      </w:r>
      <w:r w:rsidRPr="00216C97">
        <w:t xml:space="preserve">1995; Durand </w:t>
      </w:r>
      <w:r w:rsidR="00995C15">
        <w:t xml:space="preserve">et al. </w:t>
      </w:r>
      <w:r w:rsidRPr="00216C97">
        <w:t>1996, Lightner 1996a). The white spots are the result of calcified deposits by the cuticular epidermis (Lightner 1996b). WSD-affected prawns often swim near the surface of ponds. However, prawns suffering from WSD may also display very few clinical signs.</w:t>
      </w:r>
    </w:p>
    <w:p w14:paraId="5D72B9DE" w14:textId="2269B5AE" w:rsidR="00AE356F" w:rsidRPr="00216C97" w:rsidRDefault="00AE356F" w:rsidP="00AE356F">
      <w:r w:rsidRPr="00216C97">
        <w:t xml:space="preserve">Clinical signs of WSD are not pathognomonic and the characteristic white spots may be caused by bacterial infections (possibly </w:t>
      </w:r>
      <w:r w:rsidRPr="00216C97">
        <w:rPr>
          <w:rStyle w:val="Emphasis"/>
        </w:rPr>
        <w:t>Bacillus subtilis</w:t>
      </w:r>
      <w:r w:rsidRPr="00216C97">
        <w:t xml:space="preserve">) (Wang </w:t>
      </w:r>
      <w:r w:rsidR="00995C15">
        <w:t xml:space="preserve">et al. </w:t>
      </w:r>
      <w:r w:rsidRPr="00216C97">
        <w:t xml:space="preserve">2000) and environmental stressors (such as high alkalinity) and are often absent in WSD-affected prawns (Wang </w:t>
      </w:r>
      <w:r w:rsidR="00995C15">
        <w:t xml:space="preserve">et al. </w:t>
      </w:r>
      <w:r w:rsidRPr="00216C97">
        <w:t>2000; Flegel</w:t>
      </w:r>
      <w:r w:rsidR="00995C15">
        <w:t xml:space="preserve"> </w:t>
      </w:r>
      <w:r w:rsidRPr="00216C97">
        <w:t xml:space="preserve">2006; Hossain </w:t>
      </w:r>
      <w:r w:rsidR="00995C15">
        <w:t xml:space="preserve">et al. </w:t>
      </w:r>
      <w:r w:rsidRPr="00216C97">
        <w:t xml:space="preserve">2015; </w:t>
      </w:r>
      <w:r w:rsidR="00752336">
        <w:t>WOAH</w:t>
      </w:r>
      <w:r w:rsidRPr="00216C97">
        <w:t xml:space="preserve"> 20</w:t>
      </w:r>
      <w:r w:rsidR="00B42877">
        <w:t>22</w:t>
      </w:r>
      <w:r w:rsidRPr="00216C97">
        <w:t>). The presence of clinical signs is variable and in some prawns the only observable sign is mortality.</w:t>
      </w:r>
    </w:p>
    <w:p w14:paraId="452C0FCD" w14:textId="77777777" w:rsidR="00AE356F" w:rsidRPr="00216C97" w:rsidRDefault="00AE356F" w:rsidP="00AE356F">
      <w:pPr>
        <w:pStyle w:val="Heading4"/>
      </w:pPr>
      <w:r w:rsidRPr="00216C97">
        <w:t>Pathology</w:t>
      </w:r>
    </w:p>
    <w:p w14:paraId="68E1F180" w14:textId="2E54EA09" w:rsidR="00AE356F" w:rsidRPr="00216C97" w:rsidRDefault="00AE356F" w:rsidP="00AE356F">
      <w:r w:rsidRPr="00216C97">
        <w:t>WSSV-infected prawns may have a loosened attachment of the carapace with the underlying cuticular epithelium, delayed clotting of haemolymph and excessive fouling of the gills (</w:t>
      </w:r>
      <w:r w:rsidR="00752336">
        <w:t>WOAH</w:t>
      </w:r>
      <w:r w:rsidR="00B42877">
        <w:t xml:space="preserve"> 2022</w:t>
      </w:r>
      <w:r w:rsidRPr="00216C97">
        <w:t xml:space="preserve">). Lesions are often associated with systemic destruction of the ectodermal and mesodermal tissues, including but not restricted to, the gills, cuticular epithelium, haemocytes, nervous tissue, antennal gland, lymphoid organ, muscle, midgut, hindgut, haemopoietic tissue and subcuticular connective tissue (Chang </w:t>
      </w:r>
      <w:r w:rsidR="00995C15">
        <w:t xml:space="preserve">et al. </w:t>
      </w:r>
      <w:r w:rsidRPr="00216C97">
        <w:t xml:space="preserve">1996; Di Leonardo </w:t>
      </w:r>
      <w:r w:rsidR="00995C15">
        <w:t xml:space="preserve">et al. </w:t>
      </w:r>
      <w:r w:rsidRPr="00216C97">
        <w:t xml:space="preserve">2005; Durand </w:t>
      </w:r>
      <w:r w:rsidR="00995C15">
        <w:t xml:space="preserve">et al. </w:t>
      </w:r>
      <w:r w:rsidRPr="00216C97">
        <w:t xml:space="preserve">1996; Lo </w:t>
      </w:r>
      <w:r w:rsidR="00995C15">
        <w:t xml:space="preserve">et al. </w:t>
      </w:r>
      <w:r w:rsidRPr="00216C97">
        <w:t xml:space="preserve">1997; Wang </w:t>
      </w:r>
      <w:r w:rsidR="00995C15">
        <w:t xml:space="preserve">et al. </w:t>
      </w:r>
      <w:r w:rsidRPr="00216C97">
        <w:t xml:space="preserve">1995; Wang </w:t>
      </w:r>
      <w:r w:rsidR="00995C15">
        <w:t xml:space="preserve">et al. </w:t>
      </w:r>
      <w:r w:rsidRPr="00216C97">
        <w:t xml:space="preserve">1999; Wongteerasupaya </w:t>
      </w:r>
      <w:r w:rsidR="00995C15">
        <w:t xml:space="preserve">et al. </w:t>
      </w:r>
      <w:r w:rsidRPr="00216C97">
        <w:t>1995b).</w:t>
      </w:r>
    </w:p>
    <w:p w14:paraId="3EFAA18D" w14:textId="7E429CE3" w:rsidR="00AE356F" w:rsidRPr="00216C97" w:rsidRDefault="00AE356F" w:rsidP="00AE356F">
      <w:r w:rsidRPr="00216C97">
        <w:lastRenderedPageBreak/>
        <w:t xml:space="preserve">Histological signs of infection with WSSV include hypertrophied nuclei containing eosinophilic to basophilic inclusions and marginalised chromatin in tissues of ectodermal and mesodermal origin (Chang </w:t>
      </w:r>
      <w:r w:rsidR="00995C15">
        <w:t xml:space="preserve">et al. </w:t>
      </w:r>
      <w:r w:rsidRPr="00216C97">
        <w:t xml:space="preserve">1996; Lightner 1996b; Lightner </w:t>
      </w:r>
      <w:r w:rsidR="00995C15">
        <w:t xml:space="preserve">et al. </w:t>
      </w:r>
      <w:r w:rsidRPr="00216C97">
        <w:t xml:space="preserve">1997b; Wongteerasupaya </w:t>
      </w:r>
      <w:r w:rsidR="00995C15">
        <w:t xml:space="preserve">et al. </w:t>
      </w:r>
      <w:r w:rsidRPr="00216C97">
        <w:t>1995b). This is mostly seen in the cuticular epithelial cells and connective tissue cells (Lightner, 1996b). These intracellular inclusions can be seen in squash mounts of gills and subcuticular tissues.</w:t>
      </w:r>
    </w:p>
    <w:p w14:paraId="30148733" w14:textId="4CA1CEA9" w:rsidR="00AE356F" w:rsidRPr="00216C97" w:rsidRDefault="00AE356F" w:rsidP="00AE356F">
      <w:r w:rsidRPr="00216C97">
        <w:t xml:space="preserve">Multifocal necrosis associated with pyknotic and karyorrhectic nuclei and tissue disorganisation become evident as the infection advances (Chang </w:t>
      </w:r>
      <w:r w:rsidR="00995C15">
        <w:t xml:space="preserve">et al. </w:t>
      </w:r>
      <w:r w:rsidRPr="00216C97">
        <w:t xml:space="preserve">1996; Wang </w:t>
      </w:r>
      <w:r w:rsidR="00995C15">
        <w:t xml:space="preserve">et al. </w:t>
      </w:r>
      <w:r w:rsidRPr="00216C97">
        <w:t xml:space="preserve">1997; Wongteerasupaya </w:t>
      </w:r>
      <w:r w:rsidR="00995C15">
        <w:t xml:space="preserve">et al. </w:t>
      </w:r>
      <w:r w:rsidRPr="00216C97">
        <w:t>1995a).</w:t>
      </w:r>
    </w:p>
    <w:p w14:paraId="08D74A22" w14:textId="77777777" w:rsidR="00AE356F" w:rsidRPr="00216C97" w:rsidRDefault="00AE356F" w:rsidP="00AE356F">
      <w:pPr>
        <w:pStyle w:val="Heading4"/>
      </w:pPr>
      <w:r w:rsidRPr="00216C97">
        <w:t>Transmission of the virus</w:t>
      </w:r>
    </w:p>
    <w:p w14:paraId="24BEC9D7" w14:textId="34621704" w:rsidR="00622CD2" w:rsidRPr="00216C97" w:rsidRDefault="00622CD2" w:rsidP="00622CD2">
      <w:r w:rsidRPr="00216C97">
        <w:t xml:space="preserve">Infection may be clinical or sub-clinical. In active infections, clinical signs are evident within 2 to 7 days, while sub-clinical infections may continue for extended periods. The transition from sub-clinical to clinical WSD is generally short, possibly as short as a few hours (Lo and Kou 1998). Transition may be triggered by stressors such as spawning (Hsu </w:t>
      </w:r>
      <w:r w:rsidR="00995C15">
        <w:t xml:space="preserve">et al. </w:t>
      </w:r>
      <w:r w:rsidRPr="00216C97">
        <w:t xml:space="preserve">1999) or environmental parameters including rainfall, temperature, and salinity (Karunasagar </w:t>
      </w:r>
      <w:r w:rsidR="00995C15">
        <w:t xml:space="preserve">et al. </w:t>
      </w:r>
      <w:r w:rsidRPr="00216C97">
        <w:t>1997; Peinado-Guevara and Lopez-Meyer</w:t>
      </w:r>
      <w:r w:rsidR="00995C15">
        <w:t xml:space="preserve"> </w:t>
      </w:r>
      <w:r w:rsidRPr="00216C97">
        <w:t xml:space="preserve">2006; Korkut </w:t>
      </w:r>
      <w:r w:rsidR="00995C15">
        <w:t xml:space="preserve">et al. </w:t>
      </w:r>
      <w:r w:rsidRPr="00216C97">
        <w:t>2018).</w:t>
      </w:r>
    </w:p>
    <w:p w14:paraId="4652021D" w14:textId="556E7E4C" w:rsidR="00622CD2" w:rsidRPr="00216C97" w:rsidRDefault="00622CD2" w:rsidP="00622CD2">
      <w:r w:rsidRPr="00216C97">
        <w:t xml:space="preserve">Horizontal transmission of WSSV can occur by ingestion of infected tissue (Chang </w:t>
      </w:r>
      <w:r w:rsidR="00995C15">
        <w:t xml:space="preserve">et al. </w:t>
      </w:r>
      <w:r w:rsidRPr="00216C97">
        <w:t xml:space="preserve">1996; Wang </w:t>
      </w:r>
      <w:r w:rsidR="00995C15">
        <w:t xml:space="preserve">et al. </w:t>
      </w:r>
      <w:r w:rsidRPr="00216C97">
        <w:t xml:space="preserve">1999b) or immersion in infected water (Chou </w:t>
      </w:r>
      <w:r w:rsidR="00995C15">
        <w:t xml:space="preserve">et al. </w:t>
      </w:r>
      <w:r w:rsidRPr="00216C97">
        <w:t xml:space="preserve">1995; Kanchanaphum </w:t>
      </w:r>
      <w:r w:rsidR="00995C15">
        <w:t xml:space="preserve">et al. </w:t>
      </w:r>
      <w:r w:rsidRPr="00216C97">
        <w:t xml:space="preserve">1998; Wang </w:t>
      </w:r>
      <w:r w:rsidR="00995C15">
        <w:t xml:space="preserve">et al. </w:t>
      </w:r>
      <w:r w:rsidRPr="00216C97">
        <w:t xml:space="preserve">1997). Ingestion has been shown to be a more effective transmission route than immersion in viral extract or cohabitation (Soto </w:t>
      </w:r>
      <w:r w:rsidR="00995C15">
        <w:t xml:space="preserve">et al. </w:t>
      </w:r>
      <w:r w:rsidRPr="00216C97">
        <w:t xml:space="preserve">2001; Perez </w:t>
      </w:r>
      <w:r w:rsidR="00995C15">
        <w:t xml:space="preserve">et al. </w:t>
      </w:r>
      <w:r w:rsidRPr="00216C97">
        <w:t xml:space="preserve">2005). Dead and moribund prawns are a significant source of WSSV transmission (Lo &amp; Kou 1998; Soto </w:t>
      </w:r>
      <w:r w:rsidR="00995C15">
        <w:t xml:space="preserve">et al. </w:t>
      </w:r>
      <w:r w:rsidRPr="00216C97">
        <w:t xml:space="preserve">2001) as they shed viral particles into the water, and their infected tissues are ingested by other prawns. Experimentally, WSSV can also be transmitted by injection of infected inoculum (Takahashi </w:t>
      </w:r>
      <w:r w:rsidR="00995C15">
        <w:t xml:space="preserve">et al. </w:t>
      </w:r>
      <w:r w:rsidRPr="00216C97">
        <w:t xml:space="preserve">1994; Momoyama </w:t>
      </w:r>
      <w:r w:rsidR="00995C15">
        <w:t xml:space="preserve">et al. </w:t>
      </w:r>
      <w:r w:rsidRPr="00216C97">
        <w:t xml:space="preserve">1998; Nunan </w:t>
      </w:r>
      <w:r w:rsidR="00995C15">
        <w:t xml:space="preserve">et al. </w:t>
      </w:r>
      <w:r w:rsidRPr="00216C97">
        <w:t xml:space="preserve">1998; Balasubramanian </w:t>
      </w:r>
      <w:r w:rsidR="00995C15">
        <w:t xml:space="preserve">et al. </w:t>
      </w:r>
      <w:r w:rsidRPr="00216C97">
        <w:t>2006).</w:t>
      </w:r>
    </w:p>
    <w:p w14:paraId="5327F78A" w14:textId="36607243" w:rsidR="00622CD2" w:rsidRPr="00216C97" w:rsidRDefault="00622CD2" w:rsidP="00622CD2">
      <w:r w:rsidRPr="00216C97">
        <w:t xml:space="preserve">Vertical transmission can also occur, with WSSV DNA detected in the reproductive organs of infected prawns by PCR analysis (Lo </w:t>
      </w:r>
      <w:r w:rsidR="00995C15">
        <w:t xml:space="preserve">et al. </w:t>
      </w:r>
      <w:r w:rsidRPr="00216C97">
        <w:t xml:space="preserve">1997) and in the eggs, nauplii and post-larvae of WSSV-positive broodstock (Hsu </w:t>
      </w:r>
      <w:r w:rsidR="00995C15">
        <w:t xml:space="preserve">et al. </w:t>
      </w:r>
      <w:r w:rsidRPr="00216C97">
        <w:t xml:space="preserve">1999; Peng </w:t>
      </w:r>
      <w:r w:rsidR="00995C15">
        <w:t xml:space="preserve">et al. </w:t>
      </w:r>
      <w:r w:rsidRPr="00216C97">
        <w:t xml:space="preserve">2001; Tsai </w:t>
      </w:r>
      <w:r w:rsidR="00995C15">
        <w:t xml:space="preserve">et al. </w:t>
      </w:r>
      <w:r w:rsidRPr="00216C97">
        <w:t>1999).</w:t>
      </w:r>
    </w:p>
    <w:p w14:paraId="2EC61765" w14:textId="56765387" w:rsidR="00AE356F" w:rsidRPr="00216C97" w:rsidRDefault="00AE356F" w:rsidP="00AE356F">
      <w:pPr>
        <w:pStyle w:val="Heading4"/>
      </w:pPr>
      <w:r w:rsidRPr="00216C97">
        <w:t>Environmental and management factors</w:t>
      </w:r>
    </w:p>
    <w:p w14:paraId="3F2598D5" w14:textId="7721E5B9" w:rsidR="00995C15" w:rsidRPr="00216C97" w:rsidRDefault="00995C15" w:rsidP="00995C15">
      <w:r w:rsidRPr="00216C97">
        <w:t>The introduction of WSSV into new areas is most often attributed to the movement of live broodstock and post-larvae (Takahashi et al, 1994; Lightner et al., 1997b; Stentiford et al, 2009).</w:t>
      </w:r>
    </w:p>
    <w:p w14:paraId="2064E9AA" w14:textId="572AD718" w:rsidR="00995C15" w:rsidRPr="00216C97" w:rsidRDefault="00995C15" w:rsidP="00995C15">
      <w:r w:rsidRPr="00216C97">
        <w:t>The importation of frozen prawns is considered a route of introduction through the reprocessing of imported prawns at processing plants and release of untreated wastes into coastal water and landfills, the use of imported prawns as bait by fishermen and the use of imported prawns as food for the maintenance of aquaculture ponds (Humphrey 1995). Several studies have shown that WSSV remains viable and infectious in frozen prawns, and WSSV-infected prawns are thought to be responsible for the introduction of WSSV into the USA and possibly Europe (Lightner et al, 1997a; Lightner et al., 1997b; Nunan et al, 1998; Durand et al., 2000; Reville et al, 2005; Hasson et al, 2006; Reddy, et al, 2010; Bateman 2014).</w:t>
      </w:r>
    </w:p>
    <w:p w14:paraId="5A64E0C5" w14:textId="404CEF55" w:rsidR="00995C15" w:rsidRPr="00216C97" w:rsidRDefault="00995C15" w:rsidP="00995C15">
      <w:r w:rsidRPr="00216C97">
        <w:t>Other possible pathways include prawn eating gulls and seabirds (Lightner, 1997b) and natural dispersion of either wild infected prawns or carrier hosts (Galaviz-Silva et al, 2004; Tang et al, 2013).</w:t>
      </w:r>
    </w:p>
    <w:p w14:paraId="3AC6C813" w14:textId="5C60BF38" w:rsidR="00AE356F" w:rsidRPr="00216C97" w:rsidRDefault="00AE356F" w:rsidP="00AE356F">
      <w:pPr>
        <w:pStyle w:val="Heading4"/>
      </w:pPr>
      <w:r w:rsidRPr="00216C97">
        <w:t>Geographical distribution</w:t>
      </w:r>
    </w:p>
    <w:p w14:paraId="6AF67906" w14:textId="7C8021A3" w:rsidR="00995C15" w:rsidRPr="00216C97" w:rsidRDefault="00995C15" w:rsidP="00995C15">
      <w:bookmarkStart w:id="14" w:name="_Toc87004655"/>
      <w:r w:rsidRPr="00216C97">
        <w:t>Outbreaks of disease caused by infection with WSSV were first reported in the People’s Republic of China, Taiwan and Japan between 1991 and 1993 (Chou et al</w:t>
      </w:r>
      <w:r>
        <w:t>,</w:t>
      </w:r>
      <w:r w:rsidRPr="00216C97">
        <w:t xml:space="preserve"> 1995; Inouye et al.</w:t>
      </w:r>
      <w:r>
        <w:t>,</w:t>
      </w:r>
      <w:r w:rsidRPr="00216C97">
        <w:t xml:space="preserve"> 1994; Momoyama et al</w:t>
      </w:r>
      <w:r>
        <w:t>,</w:t>
      </w:r>
      <w:r w:rsidRPr="00216C97">
        <w:t xml:space="preserve"> 1994; Takahashi et al</w:t>
      </w:r>
      <w:r>
        <w:t>,</w:t>
      </w:r>
      <w:r w:rsidRPr="00216C97">
        <w:t xml:space="preserve"> 1994; Escobedo-Bonilla et al</w:t>
      </w:r>
      <w:r>
        <w:t>,</w:t>
      </w:r>
      <w:r w:rsidRPr="00216C97">
        <w:t xml:space="preserve"> 2008). Subsequently, it has spread </w:t>
      </w:r>
      <w:r w:rsidRPr="00216C97">
        <w:lastRenderedPageBreak/>
        <w:t>throughout Asia (Flegel</w:t>
      </w:r>
      <w:r>
        <w:t>,</w:t>
      </w:r>
      <w:r w:rsidRPr="00216C97">
        <w:t xml:space="preserve"> 2006), the Americas (Escobedo-Bonilla</w:t>
      </w:r>
      <w:r>
        <w:t>,</w:t>
      </w:r>
      <w:r w:rsidRPr="00216C97">
        <w:t xml:space="preserve"> 2016; Lightner</w:t>
      </w:r>
      <w:r>
        <w:t>,</w:t>
      </w:r>
      <w:r w:rsidRPr="00216C97">
        <w:t xml:space="preserve"> 2011), the Mediterranean (Sten</w:t>
      </w:r>
      <w:r>
        <w:t>ti</w:t>
      </w:r>
      <w:r w:rsidRPr="00216C97">
        <w:t xml:space="preserve">ford </w:t>
      </w:r>
      <w:r>
        <w:t>&amp;</w:t>
      </w:r>
      <w:r w:rsidRPr="00216C97">
        <w:t xml:space="preserve"> Lightner, 2011), the Middle East (Yap, 2011) and Africa (Le Groumellec</w:t>
      </w:r>
      <w:r>
        <w:t>,</w:t>
      </w:r>
      <w:r w:rsidRPr="00216C97">
        <w:t xml:space="preserve"> 2012). Most recently, WSSV was detected during an outbreak in south-east Queensland, Australia. </w:t>
      </w:r>
      <w:bookmarkStart w:id="15" w:name="_Hlk75160289"/>
      <w:r>
        <w:t>WSSV is under an</w:t>
      </w:r>
      <w:r w:rsidRPr="00216C97">
        <w:t xml:space="preserve"> official control and containment program (Queensland Department of Agriculture and Fisheries, 2021).</w:t>
      </w:r>
      <w:bookmarkEnd w:id="15"/>
    </w:p>
    <w:p w14:paraId="65A4C9F1" w14:textId="77777777" w:rsidR="00AE356F" w:rsidRPr="00216C97" w:rsidRDefault="00AE356F" w:rsidP="00AE356F">
      <w:pPr>
        <w:pStyle w:val="Heading3"/>
      </w:pPr>
      <w:bookmarkStart w:id="16" w:name="_Toc141701929"/>
      <w:r w:rsidRPr="00216C97">
        <w:t>Differential diagnosis</w:t>
      </w:r>
      <w:bookmarkEnd w:id="14"/>
      <w:bookmarkEnd w:id="16"/>
    </w:p>
    <w:p w14:paraId="782DA686" w14:textId="65A29C59" w:rsidR="00BD6C67" w:rsidRPr="00216C97" w:rsidRDefault="00BD6C67" w:rsidP="00BD6C67">
      <w:bookmarkStart w:id="17" w:name="_Toc87004656"/>
      <w:r w:rsidRPr="00216C97">
        <w:rPr>
          <w:lang w:eastAsia="ja-JP"/>
        </w:rPr>
        <w:t xml:space="preserve">In addition to WSSV, other exotic viruses should be included on the differential diagnostic list for unexplained mass mortalities in penaeid species farmed in Australia. The exotic pathogens that should be included in initial screening are </w:t>
      </w:r>
      <w:r w:rsidRPr="00216C97">
        <w:t xml:space="preserve">yellow head virus genotype 1 (YHV1), Taura syndrome virus (TSV), Decapod iridescent virus 1 (DIV1) and Infectious myonecrosis virus (IMNV). The endemic pathogen to be included is gill-associated virus (GAV, or yellowhead genotype 2 (YHV2)). Further information on diseases with a similar presentation to WSD is contained in the </w:t>
      </w:r>
      <w:hyperlink r:id="rId21" w:history="1">
        <w:r w:rsidRPr="00C1674C">
          <w:rPr>
            <w:rStyle w:val="Hyperlink"/>
          </w:rPr>
          <w:t>Aquatic Animal Diseases Significant to Australia: Identification Field Guide</w:t>
        </w:r>
      </w:hyperlink>
      <w:r w:rsidRPr="00216C97">
        <w:t xml:space="preserve"> (DAWE 2020) and the WSSV AQUAVETPLAN (</w:t>
      </w:r>
      <w:r>
        <w:fldChar w:fldCharType="begin"/>
      </w:r>
      <w:r>
        <w:instrText xml:space="preserve"> REF _Ref115781940 \h </w:instrText>
      </w:r>
      <w:r>
        <w:fldChar w:fldCharType="separate"/>
      </w:r>
      <w:r w:rsidR="00D12BC0">
        <w:t xml:space="preserve">Table </w:t>
      </w:r>
      <w:r w:rsidR="00D12BC0">
        <w:rPr>
          <w:noProof/>
        </w:rPr>
        <w:t>1</w:t>
      </w:r>
      <w:r>
        <w:fldChar w:fldCharType="end"/>
      </w:r>
      <w:r w:rsidRPr="00216C97">
        <w:t>).</w:t>
      </w:r>
    </w:p>
    <w:p w14:paraId="30B7BE96" w14:textId="77777777" w:rsidR="00AE356F" w:rsidRPr="00216C97" w:rsidRDefault="00AE356F" w:rsidP="00AE356F">
      <w:pPr>
        <w:pStyle w:val="Heading3"/>
      </w:pPr>
      <w:bookmarkStart w:id="18" w:name="_Toc141701930"/>
      <w:r w:rsidRPr="00216C97">
        <w:t>Guidance on safety and biosecurity requirements</w:t>
      </w:r>
      <w:bookmarkEnd w:id="17"/>
      <w:bookmarkEnd w:id="18"/>
    </w:p>
    <w:p w14:paraId="7E3B1912" w14:textId="15C79758" w:rsidR="00C1674C" w:rsidRPr="00216C97" w:rsidRDefault="00C1674C" w:rsidP="00C1674C">
      <w:bookmarkStart w:id="19" w:name="_Toc87004657"/>
      <w:r w:rsidRPr="00216C97">
        <w:t>The WSSV restricted area in south-east Queensland is under an official control and eradication program (Queensland Department of Agriculture and Fisheries 2021). Outside the restricted area of Australia, WSSV is considered exotic and WSSV is exotic to New Zealand. Appropriate laboratory containment is required to minimise the biosecurity risk of spreading outside of the laboratory environment, and regulatory requirements involving handling of infectious materials or amplification of infectious agents must be met. Laboratory activities involving amplification of unfixed decapod material, suspected or confirmed to be infected with WSSV in a laboratory facility should only be handled at Physical Containment Level (PC) 3.</w:t>
      </w:r>
    </w:p>
    <w:p w14:paraId="5A737448" w14:textId="77777777" w:rsidR="00AE356F" w:rsidRPr="00216C97" w:rsidRDefault="00AE356F" w:rsidP="00AE356F">
      <w:pPr>
        <w:pStyle w:val="Heading3"/>
      </w:pPr>
      <w:bookmarkStart w:id="20" w:name="_Toc141701931"/>
      <w:r w:rsidRPr="00216C97">
        <w:t>Sampling</w:t>
      </w:r>
      <w:bookmarkEnd w:id="19"/>
      <w:bookmarkEnd w:id="20"/>
    </w:p>
    <w:p w14:paraId="7CBC9579" w14:textId="77777777" w:rsidR="00C1674C" w:rsidRPr="00216C97" w:rsidRDefault="00C1674C" w:rsidP="00C1674C">
      <w:pPr>
        <w:pStyle w:val="Heading4"/>
      </w:pPr>
      <w:r w:rsidRPr="00216C97">
        <w:t xml:space="preserve">Selection of populations and individual </w:t>
      </w:r>
      <w:r w:rsidRPr="00C1674C">
        <w:t>specimens</w:t>
      </w:r>
    </w:p>
    <w:p w14:paraId="52A9772D" w14:textId="491DDD4D" w:rsidR="00C049B7" w:rsidRDefault="00D305C7" w:rsidP="00C1674C">
      <w:r>
        <w:t>To</w:t>
      </w:r>
      <w:r w:rsidR="00C1674C" w:rsidRPr="00216C97">
        <w:t xml:space="preserve"> confirm WSSV in diseased prawns,</w:t>
      </w:r>
      <w:r w:rsidR="00C049B7">
        <w:t xml:space="preserve"> the sampler must </w:t>
      </w:r>
      <w:r w:rsidR="0049156C">
        <w:t xml:space="preserve">collect </w:t>
      </w:r>
      <w:r w:rsidR="00C049B7">
        <w:t>at least:</w:t>
      </w:r>
    </w:p>
    <w:p w14:paraId="1EDDA572" w14:textId="59EA5CD0" w:rsidR="00435090" w:rsidRDefault="00C1674C" w:rsidP="00C049B7">
      <w:pPr>
        <w:pStyle w:val="ListBullet"/>
        <w:rPr>
          <w:lang w:eastAsia="ja-JP"/>
        </w:rPr>
      </w:pPr>
      <w:r w:rsidRPr="00216C97">
        <w:t>1</w:t>
      </w:r>
      <w:r w:rsidRPr="00216C97">
        <w:rPr>
          <w:spacing w:val="-1"/>
        </w:rPr>
        <w:t>0</w:t>
      </w:r>
      <w:r w:rsidRPr="00216C97">
        <w:t>0</w:t>
      </w:r>
      <w:r w:rsidRPr="00216C97">
        <w:rPr>
          <w:spacing w:val="24"/>
        </w:rPr>
        <w:t xml:space="preserve"> </w:t>
      </w:r>
      <w:r w:rsidRPr="00216C97">
        <w:t>representative</w:t>
      </w:r>
      <w:r w:rsidRPr="00216C97">
        <w:rPr>
          <w:spacing w:val="23"/>
        </w:rPr>
        <w:t xml:space="preserve"> </w:t>
      </w:r>
      <w:r w:rsidRPr="00216C97">
        <w:t>larval</w:t>
      </w:r>
      <w:r w:rsidR="00435090">
        <w:t xml:space="preserve"> </w:t>
      </w:r>
      <w:r w:rsidRPr="00216C97">
        <w:t>to</w:t>
      </w:r>
      <w:r w:rsidRPr="00216C97">
        <w:rPr>
          <w:spacing w:val="24"/>
        </w:rPr>
        <w:t xml:space="preserve"> </w:t>
      </w:r>
      <w:r w:rsidRPr="00216C97">
        <w:rPr>
          <w:spacing w:val="-2"/>
        </w:rPr>
        <w:t>p</w:t>
      </w:r>
      <w:r w:rsidRPr="00216C97">
        <w:rPr>
          <w:spacing w:val="1"/>
        </w:rPr>
        <w:t>o</w:t>
      </w:r>
      <w:r w:rsidRPr="00216C97">
        <w:rPr>
          <w:spacing w:val="-1"/>
        </w:rPr>
        <w:t>s</w:t>
      </w:r>
      <w:r w:rsidRPr="00216C97">
        <w:t>t</w:t>
      </w:r>
      <w:r w:rsidR="00337E10">
        <w:t>-</w:t>
      </w:r>
      <w:r w:rsidR="00E47DDD">
        <w:t xml:space="preserve">larval stage </w:t>
      </w:r>
      <w:r w:rsidRPr="00216C97">
        <w:t>prawns</w:t>
      </w:r>
      <w:r w:rsidR="00435090">
        <w:t>,</w:t>
      </w:r>
      <w:r w:rsidRPr="00216C97">
        <w:rPr>
          <w:spacing w:val="18"/>
        </w:rPr>
        <w:t xml:space="preserve"> </w:t>
      </w:r>
      <w:r w:rsidRPr="00216C97">
        <w:t>or</w:t>
      </w:r>
    </w:p>
    <w:p w14:paraId="474AFC57" w14:textId="2CD5DAA4" w:rsidR="00B54C1D" w:rsidRDefault="00C1674C" w:rsidP="00C049B7">
      <w:pPr>
        <w:pStyle w:val="ListBullet"/>
        <w:rPr>
          <w:lang w:eastAsia="ja-JP"/>
        </w:rPr>
      </w:pPr>
      <w:r w:rsidRPr="00216C97">
        <w:t>10</w:t>
      </w:r>
      <w:r w:rsidRPr="00216C97">
        <w:rPr>
          <w:spacing w:val="18"/>
        </w:rPr>
        <w:t xml:space="preserve"> </w:t>
      </w:r>
      <w:r w:rsidRPr="00216C97">
        <w:t>r</w:t>
      </w:r>
      <w:r w:rsidRPr="00216C97">
        <w:rPr>
          <w:spacing w:val="-1"/>
        </w:rPr>
        <w:t>e</w:t>
      </w:r>
      <w:r w:rsidRPr="00216C97">
        <w:t>presentative</w:t>
      </w:r>
      <w:r w:rsidRPr="00216C97">
        <w:rPr>
          <w:spacing w:val="17"/>
        </w:rPr>
        <w:t xml:space="preserve"> </w:t>
      </w:r>
      <w:r w:rsidRPr="00216C97">
        <w:t>juveni</w:t>
      </w:r>
      <w:r w:rsidRPr="00E47DDD">
        <w:t>le</w:t>
      </w:r>
      <w:r w:rsidRPr="00E47DDD">
        <w:rPr>
          <w:spacing w:val="18"/>
        </w:rPr>
        <w:t xml:space="preserve"> </w:t>
      </w:r>
      <w:r w:rsidRPr="00E47DDD">
        <w:rPr>
          <w:spacing w:val="-1"/>
        </w:rPr>
        <w:t>t</w:t>
      </w:r>
      <w:r w:rsidRPr="00E47DDD">
        <w:t>o</w:t>
      </w:r>
      <w:r w:rsidRPr="00E47DDD">
        <w:rPr>
          <w:spacing w:val="19"/>
        </w:rPr>
        <w:t xml:space="preserve"> </w:t>
      </w:r>
      <w:r w:rsidRPr="00E47DDD">
        <w:rPr>
          <w:spacing w:val="-1"/>
        </w:rPr>
        <w:t>a</w:t>
      </w:r>
      <w:r w:rsidRPr="00E47DDD">
        <w:t>dult</w:t>
      </w:r>
      <w:r w:rsidRPr="00E47DDD">
        <w:rPr>
          <w:spacing w:val="18"/>
        </w:rPr>
        <w:t xml:space="preserve">-stage </w:t>
      </w:r>
      <w:r w:rsidRPr="00E47DDD">
        <w:t>prawns</w:t>
      </w:r>
      <w:r w:rsidR="00B54C1D">
        <w:t>.</w:t>
      </w:r>
    </w:p>
    <w:p w14:paraId="4A0588B3" w14:textId="444762C8" w:rsidR="00C1674C" w:rsidRPr="00216C97" w:rsidRDefault="00585E24" w:rsidP="00B54C1D">
      <w:pPr>
        <w:rPr>
          <w:lang w:eastAsia="ja-JP"/>
        </w:rPr>
      </w:pPr>
      <w:r w:rsidRPr="00E47DDD">
        <w:t>Samples must be</w:t>
      </w:r>
      <w:r w:rsidR="00C1674C" w:rsidRPr="00216C97">
        <w:t xml:space="preserve"> submitted to the</w:t>
      </w:r>
      <w:r w:rsidR="00BF31FB">
        <w:t xml:space="preserve"> relevant </w:t>
      </w:r>
      <w:r w:rsidR="00C1674C" w:rsidRPr="00216C97">
        <w:t>state</w:t>
      </w:r>
      <w:r w:rsidR="00855CAB">
        <w:t xml:space="preserve"> or </w:t>
      </w:r>
      <w:r w:rsidR="00C1674C" w:rsidRPr="00216C97">
        <w:t xml:space="preserve">territory veterinary diagnostic laboratory. The selected prawns should have signs </w:t>
      </w:r>
      <w:r w:rsidR="00C1674C" w:rsidRPr="00216C97">
        <w:rPr>
          <w:lang w:eastAsia="ja-JP"/>
        </w:rPr>
        <w:t>consistent with infection with WSSV and numbers should be sufficient for laboratory testing for each epidemiological unit (</w:t>
      </w:r>
      <w:r w:rsidR="00752336">
        <w:rPr>
          <w:lang w:eastAsia="ja-JP"/>
        </w:rPr>
        <w:t>WOAH 2022</w:t>
      </w:r>
      <w:r w:rsidR="00C1674C" w:rsidRPr="00216C97">
        <w:rPr>
          <w:lang w:eastAsia="ja-JP"/>
        </w:rPr>
        <w:t>).</w:t>
      </w:r>
    </w:p>
    <w:p w14:paraId="515A1C0F" w14:textId="26DBAD42" w:rsidR="00C1674C" w:rsidRPr="00216C97" w:rsidRDefault="00C1674C" w:rsidP="00C1674C">
      <w:pPr>
        <w:rPr>
          <w:lang w:eastAsia="ja-JP"/>
        </w:rPr>
      </w:pPr>
      <w:r w:rsidRPr="00216C97">
        <w:rPr>
          <w:lang w:eastAsia="ja-JP"/>
        </w:rPr>
        <w:t>For surveillance to demonstrate freedom</w:t>
      </w:r>
      <w:r>
        <w:rPr>
          <w:lang w:eastAsia="ja-JP"/>
        </w:rPr>
        <w:t>,</w:t>
      </w:r>
      <w:r w:rsidRPr="00216C97">
        <w:rPr>
          <w:lang w:eastAsia="ja-JP"/>
        </w:rPr>
        <w:t xml:space="preserve"> </w:t>
      </w:r>
      <w:r>
        <w:rPr>
          <w:lang w:eastAsia="ja-JP"/>
        </w:rPr>
        <w:t xml:space="preserve">surveys should be designed in accordance with </w:t>
      </w:r>
      <w:hyperlink r:id="rId22" w:history="1">
        <w:r w:rsidRPr="00C1674C">
          <w:rPr>
            <w:rStyle w:val="Hyperlink"/>
            <w:lang w:eastAsia="ja-JP"/>
          </w:rPr>
          <w:t>Chapter 1.4 of the WOAH Aquatic Code</w:t>
        </w:r>
      </w:hyperlink>
      <w:r>
        <w:rPr>
          <w:lang w:eastAsia="ja-JP"/>
        </w:rPr>
        <w:t xml:space="preserve"> (</w:t>
      </w:r>
      <w:r w:rsidR="00752336">
        <w:rPr>
          <w:lang w:eastAsia="ja-JP"/>
        </w:rPr>
        <w:t>WOAH 2022</w:t>
      </w:r>
      <w:r>
        <w:rPr>
          <w:lang w:eastAsia="ja-JP"/>
        </w:rPr>
        <w:t>).</w:t>
      </w:r>
    </w:p>
    <w:p w14:paraId="784E771E" w14:textId="77777777" w:rsidR="00AE356F" w:rsidRPr="00216C97" w:rsidRDefault="00AE356F" w:rsidP="00AE356F">
      <w:pPr>
        <w:pStyle w:val="Heading4"/>
      </w:pPr>
      <w:r w:rsidRPr="00216C97">
        <w:t>Suitable tissue samples for DNA extraction</w:t>
      </w:r>
    </w:p>
    <w:p w14:paraId="753CACE9" w14:textId="73D45803" w:rsidR="00AE356F" w:rsidRPr="00216C97" w:rsidRDefault="00AE356F" w:rsidP="00AE356F">
      <w:pPr>
        <w:rPr>
          <w:lang w:eastAsia="ja-JP"/>
        </w:rPr>
      </w:pPr>
      <w:r w:rsidRPr="00216C97">
        <w:rPr>
          <w:lang w:eastAsia="ja-JP"/>
        </w:rPr>
        <w:t>Wherever possible, material for testing should be collected from live or moribund prawns, to minimise degradation of the tissue and viral DNA. Preferred tissues are the gill, pleopod or cuticular epithelium (</w:t>
      </w:r>
      <w:r w:rsidR="00752336">
        <w:rPr>
          <w:lang w:eastAsia="ja-JP"/>
        </w:rPr>
        <w:t>WOAH 2022</w:t>
      </w:r>
      <w:r w:rsidRPr="00216C97">
        <w:rPr>
          <w:lang w:eastAsia="ja-JP"/>
        </w:rPr>
        <w:t>). However, muscle tissue or swab samples from muscle tissue are also suitable (Department of Agriculture and Water Resources 2017). Whole larvae or post-larvae will also suffice.</w:t>
      </w:r>
    </w:p>
    <w:p w14:paraId="33C25FF4" w14:textId="43B4DFAB" w:rsidR="00AE356F" w:rsidRPr="00216C97" w:rsidRDefault="00AE356F" w:rsidP="00AE356F">
      <w:pPr>
        <w:pStyle w:val="Heading4"/>
        <w:rPr>
          <w:lang w:eastAsia="ja-JP"/>
        </w:rPr>
      </w:pPr>
      <w:r w:rsidRPr="00216C97">
        <w:rPr>
          <w:lang w:eastAsia="ja-JP"/>
        </w:rPr>
        <w:lastRenderedPageBreak/>
        <w:t>Samples or tissues that are not suitable for pathogen detection</w:t>
      </w:r>
    </w:p>
    <w:p w14:paraId="42E7F07A" w14:textId="39266CFE" w:rsidR="00AE356F" w:rsidRPr="00216C97" w:rsidRDefault="00AE356F" w:rsidP="00AE356F">
      <w:pPr>
        <w:rPr>
          <w:lang w:eastAsia="ja-JP"/>
        </w:rPr>
      </w:pPr>
      <w:r w:rsidRPr="00216C97">
        <w:rPr>
          <w:lang w:eastAsia="ja-JP"/>
        </w:rPr>
        <w:t>Prawn eyes, eye</w:t>
      </w:r>
      <w:r w:rsidR="00D52642">
        <w:rPr>
          <w:lang w:eastAsia="ja-JP"/>
        </w:rPr>
        <w:t xml:space="preserve"> </w:t>
      </w:r>
      <w:r w:rsidRPr="00216C97">
        <w:rPr>
          <w:lang w:eastAsia="ja-JP"/>
        </w:rPr>
        <w:t>stalks and internal organs in the head, in particular the hepatopancreas, should be avoided as they are known to contain PCR inhibitors.</w:t>
      </w:r>
    </w:p>
    <w:p w14:paraId="5701542E" w14:textId="77777777" w:rsidR="00AE356F" w:rsidRPr="00216C97" w:rsidRDefault="00AE356F" w:rsidP="00AE356F">
      <w:pPr>
        <w:pStyle w:val="Heading4"/>
      </w:pPr>
      <w:r w:rsidRPr="00216C97">
        <w:rPr>
          <w:lang w:eastAsia="ja-JP"/>
        </w:rPr>
        <w:t>Preservation of samples for submission</w:t>
      </w:r>
    </w:p>
    <w:p w14:paraId="02852BD4" w14:textId="19410D14" w:rsidR="00C1674C" w:rsidRPr="00475EE4" w:rsidRDefault="00C1674C" w:rsidP="00475EE4">
      <w:r w:rsidRPr="00475EE4">
        <w:t>Where</w:t>
      </w:r>
      <w:r w:rsidRPr="00E47DDD">
        <w:t xml:space="preserve"> </w:t>
      </w:r>
      <w:r w:rsidRPr="00475EE4">
        <w:t>possible,</w:t>
      </w:r>
      <w:r w:rsidRPr="00E47DDD">
        <w:t xml:space="preserve"> </w:t>
      </w:r>
      <w:r w:rsidRPr="00475EE4">
        <w:t>live or moribund prawns</w:t>
      </w:r>
      <w:r w:rsidRPr="00E47DDD">
        <w:t xml:space="preserve"> </w:t>
      </w:r>
      <w:r w:rsidRPr="00475EE4">
        <w:t>should</w:t>
      </w:r>
      <w:r w:rsidRPr="00E47DDD">
        <w:t xml:space="preserve"> </w:t>
      </w:r>
      <w:r w:rsidRPr="00475EE4">
        <w:t>be</w:t>
      </w:r>
      <w:r w:rsidRPr="00E47DDD">
        <w:t xml:space="preserve"> </w:t>
      </w:r>
      <w:r w:rsidRPr="00475EE4">
        <w:t>anaesthetised</w:t>
      </w:r>
      <w:r w:rsidRPr="00E47DDD">
        <w:t xml:space="preserve"> </w:t>
      </w:r>
      <w:r w:rsidRPr="00475EE4">
        <w:t>by</w:t>
      </w:r>
      <w:r w:rsidRPr="00E47DDD">
        <w:t xml:space="preserve"> </w:t>
      </w:r>
      <w:r w:rsidRPr="00475EE4">
        <w:t>a</w:t>
      </w:r>
      <w:r w:rsidRPr="00E47DDD">
        <w:t xml:space="preserve"> </w:t>
      </w:r>
      <w:r w:rsidRPr="00475EE4">
        <w:t>brief</w:t>
      </w:r>
      <w:r w:rsidRPr="00E47DDD">
        <w:t xml:space="preserve"> </w:t>
      </w:r>
      <w:r w:rsidRPr="00475EE4">
        <w:t>period</w:t>
      </w:r>
      <w:r w:rsidRPr="00E47DDD">
        <w:t xml:space="preserve"> </w:t>
      </w:r>
      <w:r w:rsidRPr="00475EE4">
        <w:t>of chilling (not</w:t>
      </w:r>
      <w:r w:rsidRPr="00E47DDD">
        <w:t xml:space="preserve"> </w:t>
      </w:r>
      <w:r w:rsidRPr="00475EE4">
        <w:t xml:space="preserve">freezing) before being sampled. For histological analysis, fixed tissues are required. For molecular testing, fresh, frozen or ethanol-fixed tissues can be submitted. If there is any delay in the submission of fresh samples, they may be frozen and stored at </w:t>
      </w:r>
      <w:r w:rsidR="00D52642" w:rsidRPr="00475EE4">
        <w:t>−</w:t>
      </w:r>
      <w:r w:rsidRPr="00475EE4">
        <w:t>20°C or lower.</w:t>
      </w:r>
    </w:p>
    <w:p w14:paraId="49EF0FB3" w14:textId="50EAE9BB" w:rsidR="00C1674C" w:rsidRPr="00475EE4" w:rsidRDefault="00C1674C" w:rsidP="00475EE4">
      <w:r w:rsidRPr="00475EE4">
        <w:t>For histological examination, Davidsons Fixative</w:t>
      </w:r>
      <w:r w:rsidR="00151297">
        <w:t xml:space="preserve"> (</w:t>
      </w:r>
      <w:hyperlink w:anchor="_Appendix_A:_Reagents" w:history="1">
        <w:r w:rsidR="00151297" w:rsidRPr="00151297">
          <w:rPr>
            <w:rStyle w:val="Hyperlink"/>
          </w:rPr>
          <w:t>Appendix A: Reagents and kits</w:t>
        </w:r>
      </w:hyperlink>
      <w:r w:rsidR="00151297">
        <w:t>)</w:t>
      </w:r>
      <w:r w:rsidRPr="00475EE4">
        <w:t xml:space="preserve"> should be used. For</w:t>
      </w:r>
      <w:r w:rsidRPr="00BC437D">
        <w:t xml:space="preserve"> </w:t>
      </w:r>
      <w:r w:rsidRPr="00475EE4">
        <w:t>larvae</w:t>
      </w:r>
      <w:r w:rsidRPr="00BC437D">
        <w:t xml:space="preserve"> </w:t>
      </w:r>
      <w:r w:rsidRPr="00475EE4">
        <w:t>and</w:t>
      </w:r>
      <w:r w:rsidRPr="00BC437D">
        <w:t xml:space="preserve"> </w:t>
      </w:r>
      <w:r w:rsidRPr="00475EE4">
        <w:t>postlarvae,</w:t>
      </w:r>
      <w:r w:rsidRPr="00BC437D">
        <w:t xml:space="preserve"> </w:t>
      </w:r>
      <w:r w:rsidRPr="00475EE4">
        <w:t>immerse</w:t>
      </w:r>
      <w:r w:rsidRPr="00BC437D">
        <w:t xml:space="preserve"> </w:t>
      </w:r>
      <w:r w:rsidRPr="00475EE4">
        <w:t>live</w:t>
      </w:r>
      <w:r w:rsidRPr="00BC437D">
        <w:t xml:space="preserve"> </w:t>
      </w:r>
      <w:r w:rsidRPr="00475EE4">
        <w:t>animals</w:t>
      </w:r>
      <w:r w:rsidRPr="00BC437D">
        <w:t xml:space="preserve"> </w:t>
      </w:r>
      <w:r w:rsidRPr="00475EE4">
        <w:t>directly</w:t>
      </w:r>
      <w:r w:rsidRPr="00BC437D">
        <w:t xml:space="preserve"> </w:t>
      </w:r>
      <w:r w:rsidRPr="00475EE4">
        <w:t>in</w:t>
      </w:r>
      <w:r w:rsidRPr="00BC437D">
        <w:t xml:space="preserve"> </w:t>
      </w:r>
      <w:r w:rsidRPr="00475EE4">
        <w:t>a</w:t>
      </w:r>
      <w:r w:rsidRPr="00BC437D">
        <w:t xml:space="preserve"> </w:t>
      </w:r>
      <w:r w:rsidRPr="00475EE4">
        <w:t>minimum</w:t>
      </w:r>
      <w:r w:rsidRPr="00BC437D">
        <w:t xml:space="preserve"> </w:t>
      </w:r>
      <w:r w:rsidRPr="00475EE4">
        <w:t>of</w:t>
      </w:r>
      <w:r w:rsidRPr="00BC437D">
        <w:t xml:space="preserve"> </w:t>
      </w:r>
      <w:r w:rsidRPr="00475EE4">
        <w:t>10 volu</w:t>
      </w:r>
      <w:r w:rsidRPr="00BC437D">
        <w:t>m</w:t>
      </w:r>
      <w:r w:rsidRPr="00475EE4">
        <w:t>es of fixative. For juvenile and adult prawns the head should be removed and injected at multiple sites with fixative then placed in a</w:t>
      </w:r>
      <w:r w:rsidRPr="00BC437D">
        <w:t xml:space="preserve"> </w:t>
      </w:r>
      <w:r w:rsidRPr="00475EE4">
        <w:t>minimum</w:t>
      </w:r>
      <w:r w:rsidRPr="00BC437D">
        <w:t xml:space="preserve"> </w:t>
      </w:r>
      <w:r w:rsidRPr="00475EE4">
        <w:t>of</w:t>
      </w:r>
      <w:r w:rsidRPr="00BC437D">
        <w:t xml:space="preserve"> </w:t>
      </w:r>
      <w:r w:rsidRPr="00475EE4">
        <w:t>10</w:t>
      </w:r>
      <w:r w:rsidR="003D0B59" w:rsidRPr="00475EE4">
        <w:t> </w:t>
      </w:r>
      <w:r w:rsidRPr="00475EE4">
        <w:t>volu</w:t>
      </w:r>
      <w:r w:rsidRPr="00BC437D">
        <w:t>m</w:t>
      </w:r>
      <w:r w:rsidRPr="00475EE4">
        <w:t>es of fixative. If ISH is required</w:t>
      </w:r>
      <w:r w:rsidR="003D0B59" w:rsidRPr="00475EE4">
        <w:t>,</w:t>
      </w:r>
      <w:r w:rsidRPr="00475EE4">
        <w:t xml:space="preserve"> the Davidsons Fixative should be replaced with 70% ethanol after 48</w:t>
      </w:r>
      <w:r w:rsidR="003D0B59" w:rsidRPr="00475EE4">
        <w:t> </w:t>
      </w:r>
      <w:r w:rsidRPr="00475EE4">
        <w:t>hours.</w:t>
      </w:r>
    </w:p>
    <w:p w14:paraId="733A1BE5" w14:textId="2684F649" w:rsidR="00C1674C" w:rsidRPr="00475EE4" w:rsidRDefault="00C1674C" w:rsidP="00475EE4">
      <w:r w:rsidRPr="00475EE4">
        <w:t>For molecular testing, 70</w:t>
      </w:r>
      <w:r w:rsidR="00475EE4" w:rsidRPr="00475EE4">
        <w:t xml:space="preserve"> to </w:t>
      </w:r>
      <w:r w:rsidRPr="00475EE4">
        <w:t>80% (v/v) ethanol (analytical grade ethanol, not technical grade) should be used. For</w:t>
      </w:r>
      <w:r w:rsidRPr="00BC437D">
        <w:t xml:space="preserve"> </w:t>
      </w:r>
      <w:r w:rsidRPr="00475EE4">
        <w:t>larvae</w:t>
      </w:r>
      <w:r w:rsidRPr="00BC437D">
        <w:t xml:space="preserve"> </w:t>
      </w:r>
      <w:r w:rsidRPr="00475EE4">
        <w:t>and</w:t>
      </w:r>
      <w:r w:rsidRPr="00BC437D">
        <w:t xml:space="preserve"> </w:t>
      </w:r>
      <w:r w:rsidRPr="00475EE4">
        <w:t>post</w:t>
      </w:r>
      <w:r w:rsidR="00AE48F7">
        <w:t>-</w:t>
      </w:r>
      <w:r w:rsidRPr="00475EE4">
        <w:t>larvae,</w:t>
      </w:r>
      <w:r w:rsidRPr="00BC437D">
        <w:t xml:space="preserve"> </w:t>
      </w:r>
      <w:r w:rsidRPr="00475EE4">
        <w:t>immerse</w:t>
      </w:r>
      <w:r w:rsidRPr="00BC437D">
        <w:t xml:space="preserve"> </w:t>
      </w:r>
      <w:r w:rsidRPr="00475EE4">
        <w:t>live</w:t>
      </w:r>
      <w:r w:rsidRPr="00BC437D">
        <w:t xml:space="preserve"> </w:t>
      </w:r>
      <w:r w:rsidRPr="00475EE4">
        <w:t>animals</w:t>
      </w:r>
      <w:r w:rsidRPr="00BC437D">
        <w:t xml:space="preserve"> </w:t>
      </w:r>
      <w:r w:rsidRPr="00475EE4">
        <w:t>directly</w:t>
      </w:r>
      <w:r w:rsidRPr="00BC437D">
        <w:t xml:space="preserve"> </w:t>
      </w:r>
      <w:r w:rsidRPr="00475EE4">
        <w:t>in</w:t>
      </w:r>
      <w:r w:rsidRPr="00BC437D">
        <w:t xml:space="preserve"> </w:t>
      </w:r>
      <w:r w:rsidRPr="00475EE4">
        <w:t>a</w:t>
      </w:r>
      <w:r w:rsidRPr="00BC437D">
        <w:t xml:space="preserve"> </w:t>
      </w:r>
      <w:r w:rsidRPr="00475EE4">
        <w:t>minimum</w:t>
      </w:r>
      <w:r w:rsidRPr="00BC437D">
        <w:t xml:space="preserve"> </w:t>
      </w:r>
      <w:r w:rsidRPr="00475EE4">
        <w:t>of</w:t>
      </w:r>
      <w:r w:rsidRPr="00BC437D">
        <w:t xml:space="preserve"> </w:t>
      </w:r>
      <w:r w:rsidRPr="00475EE4">
        <w:t>10 volu</w:t>
      </w:r>
      <w:r w:rsidRPr="00BC437D">
        <w:t>m</w:t>
      </w:r>
      <w:r w:rsidRPr="00475EE4">
        <w:t>es of fixative. For live juvenile</w:t>
      </w:r>
      <w:r w:rsidRPr="00BC437D">
        <w:t xml:space="preserve"> </w:t>
      </w:r>
      <w:r w:rsidRPr="00475EE4">
        <w:t>and</w:t>
      </w:r>
      <w:r w:rsidRPr="00BC437D">
        <w:t xml:space="preserve"> </w:t>
      </w:r>
      <w:r w:rsidRPr="00475EE4">
        <w:t>adult</w:t>
      </w:r>
      <w:r w:rsidRPr="00BC437D">
        <w:t xml:space="preserve"> </w:t>
      </w:r>
      <w:r w:rsidRPr="00475EE4">
        <w:t>prawns,</w:t>
      </w:r>
      <w:r w:rsidRPr="00BC437D">
        <w:t xml:space="preserve"> </w:t>
      </w:r>
      <w:r w:rsidRPr="00475EE4">
        <w:t>dissect</w:t>
      </w:r>
      <w:r w:rsidRPr="00BC437D">
        <w:t xml:space="preserve"> </w:t>
      </w:r>
      <w:r w:rsidRPr="00475EE4">
        <w:t>either</w:t>
      </w:r>
      <w:r w:rsidRPr="00BC437D">
        <w:t xml:space="preserve"> </w:t>
      </w:r>
      <w:r w:rsidRPr="00475EE4">
        <w:t>gill</w:t>
      </w:r>
      <w:r w:rsidRPr="00BC437D">
        <w:t xml:space="preserve"> </w:t>
      </w:r>
      <w:r w:rsidRPr="00475EE4">
        <w:t>tissue</w:t>
      </w:r>
      <w:r w:rsidRPr="00BC437D">
        <w:t xml:space="preserve"> </w:t>
      </w:r>
      <w:r w:rsidRPr="00475EE4">
        <w:t>(whole filaments)</w:t>
      </w:r>
      <w:r w:rsidRPr="00BC437D">
        <w:t xml:space="preserve"> </w:t>
      </w:r>
      <w:r w:rsidRPr="00475EE4">
        <w:t>or</w:t>
      </w:r>
      <w:r w:rsidRPr="00BC437D">
        <w:t xml:space="preserve"> </w:t>
      </w:r>
      <w:r w:rsidRPr="00475EE4">
        <w:t>pleopods</w:t>
      </w:r>
      <w:r w:rsidRPr="00BC437D">
        <w:t xml:space="preserve"> </w:t>
      </w:r>
      <w:r w:rsidRPr="00475EE4">
        <w:t>and</w:t>
      </w:r>
      <w:r w:rsidRPr="00BC437D">
        <w:t xml:space="preserve"> </w:t>
      </w:r>
      <w:r w:rsidRPr="00475EE4">
        <w:t>immediately pl</w:t>
      </w:r>
      <w:r w:rsidRPr="00BC437D">
        <w:t>a</w:t>
      </w:r>
      <w:r w:rsidRPr="00475EE4">
        <w:t>ce the samples into a minim</w:t>
      </w:r>
      <w:r w:rsidRPr="00BC437D">
        <w:t>u</w:t>
      </w:r>
      <w:r w:rsidRPr="00475EE4">
        <w:t xml:space="preserve">m </w:t>
      </w:r>
      <w:r w:rsidRPr="00BC437D">
        <w:t>o</w:t>
      </w:r>
      <w:r w:rsidRPr="00475EE4">
        <w:t>f 10 v</w:t>
      </w:r>
      <w:r w:rsidRPr="00BC437D">
        <w:t>o</w:t>
      </w:r>
      <w:r w:rsidRPr="00475EE4">
        <w:t>l</w:t>
      </w:r>
      <w:r w:rsidRPr="00BC437D">
        <w:t>u</w:t>
      </w:r>
      <w:r w:rsidRPr="00475EE4">
        <w:t xml:space="preserve">mes </w:t>
      </w:r>
      <w:r w:rsidRPr="00BC437D">
        <w:t>o</w:t>
      </w:r>
      <w:r w:rsidRPr="00475EE4">
        <w:t xml:space="preserve">f fixative. After 24 hours fixation, </w:t>
      </w:r>
      <w:r w:rsidR="00C26D1C" w:rsidRPr="00475EE4">
        <w:t>most of</w:t>
      </w:r>
      <w:r w:rsidRPr="00475EE4">
        <w:t xml:space="preserve"> the ethanol can be poured off, and the tissues are kept at ambient temperature for submission.</w:t>
      </w:r>
    </w:p>
    <w:p w14:paraId="150D9823" w14:textId="55E90418" w:rsidR="00AE356F" w:rsidRPr="00216C97" w:rsidRDefault="00AE356F" w:rsidP="00AE356F">
      <w:pPr>
        <w:pStyle w:val="Heading4"/>
        <w:rPr>
          <w:lang w:eastAsia="ja-JP"/>
        </w:rPr>
      </w:pPr>
      <w:r w:rsidRPr="00216C97">
        <w:rPr>
          <w:lang w:eastAsia="ja-JP"/>
        </w:rPr>
        <w:t>Pooling of samples</w:t>
      </w:r>
    </w:p>
    <w:p w14:paraId="456A2B44" w14:textId="14F3857B" w:rsidR="00AE356F" w:rsidRDefault="00A10C4C" w:rsidP="00AE356F">
      <w:pPr>
        <w:rPr>
          <w:lang w:eastAsia="ja-JP"/>
        </w:rPr>
      </w:pPr>
      <w:r>
        <w:rPr>
          <w:lang w:eastAsia="ja-JP"/>
        </w:rPr>
        <w:t>F</w:t>
      </w:r>
      <w:r w:rsidRPr="00216C97">
        <w:rPr>
          <w:lang w:eastAsia="ja-JP"/>
        </w:rPr>
        <w:t>or the detection of WSSV in post-larvae</w:t>
      </w:r>
      <w:r>
        <w:rPr>
          <w:lang w:eastAsia="ja-JP"/>
        </w:rPr>
        <w:t>,</w:t>
      </w:r>
      <w:r w:rsidRPr="00216C97">
        <w:rPr>
          <w:lang w:eastAsia="ja-JP"/>
        </w:rPr>
        <w:t xml:space="preserve"> </w:t>
      </w:r>
      <w:r>
        <w:rPr>
          <w:lang w:eastAsia="ja-JP"/>
        </w:rPr>
        <w:t>a</w:t>
      </w:r>
      <w:r w:rsidR="00C1674C" w:rsidRPr="00216C97">
        <w:rPr>
          <w:lang w:eastAsia="ja-JP"/>
        </w:rPr>
        <w:t xml:space="preserve"> pooled sample of whole post-larvae should be used to obtain sufficient material for nucleic acid extraction and molecular testing. </w:t>
      </w:r>
      <w:r>
        <w:t xml:space="preserve">For the detection of WSSV </w:t>
      </w:r>
      <w:r w:rsidR="00C06F6B">
        <w:t xml:space="preserve">in </w:t>
      </w:r>
      <w:r>
        <w:t xml:space="preserve">samples from larger life stages, </w:t>
      </w:r>
      <w:r w:rsidR="00F6207E">
        <w:t>pools of samples</w:t>
      </w:r>
      <w:r>
        <w:t xml:space="preserve"> from</w:t>
      </w:r>
      <w:r w:rsidR="00F6207E">
        <w:t xml:space="preserve"> up to 5</w:t>
      </w:r>
      <w:r>
        <w:t xml:space="preserve"> individual animals may be </w:t>
      </w:r>
      <w:r w:rsidR="00F6207E">
        <w:t>used</w:t>
      </w:r>
      <w:r>
        <w:t xml:space="preserve"> if the impact of pooling on diagnostic sensitivity has been determined</w:t>
      </w:r>
      <w:r w:rsidR="00C06F6B">
        <w:t xml:space="preserve"> for the purpose of use</w:t>
      </w:r>
      <w:r>
        <w:t>.</w:t>
      </w:r>
    </w:p>
    <w:p w14:paraId="5C3F44C0" w14:textId="251A37DB" w:rsidR="00AE356F" w:rsidRPr="00216C97" w:rsidRDefault="00AE356F" w:rsidP="00AE356F">
      <w:pPr>
        <w:pStyle w:val="Heading2"/>
      </w:pPr>
      <w:bookmarkStart w:id="21" w:name="_Toc87004658"/>
      <w:bookmarkStart w:id="22" w:name="_Toc141701932"/>
      <w:bookmarkStart w:id="23" w:name="_Hlk115340930"/>
      <w:r w:rsidRPr="00216C97">
        <w:lastRenderedPageBreak/>
        <w:t>Diagnostic methods</w:t>
      </w:r>
      <w:bookmarkEnd w:id="21"/>
      <w:bookmarkEnd w:id="22"/>
    </w:p>
    <w:p w14:paraId="023D5BAF" w14:textId="2E9B55D8" w:rsidR="00AE356F" w:rsidRDefault="00AE356F" w:rsidP="00BC437D">
      <w:pPr>
        <w:rPr>
          <w:b/>
          <w:bCs/>
          <w:lang w:eastAsia="ja-JP"/>
        </w:rPr>
      </w:pPr>
      <w:r w:rsidRPr="00216C97">
        <w:rPr>
          <w:lang w:eastAsia="ja-JP"/>
        </w:rPr>
        <w:t xml:space="preserve">In a suspected outbreak of WSD that is affecting any species of crustacean, PCR should be used initially as it provides the most rapid turnaround required to make a presumptive diagnosis. The standard approach is to screen with real-time PCR (qPCR) with confirmation of positives by conventional PCR and sequence analysis of amplicons. This is </w:t>
      </w:r>
      <w:r w:rsidRPr="00BC437D">
        <w:t>generally possible with clinically affected prawns but may not always be possible with apparently health</w:t>
      </w:r>
      <w:r w:rsidR="00BC437D" w:rsidRPr="00BC437D">
        <w:t>y</w:t>
      </w:r>
      <w:r w:rsidRPr="00216C97">
        <w:rPr>
          <w:lang w:eastAsia="ja-JP"/>
        </w:rPr>
        <w:t xml:space="preserve"> prawns, due to the higher C</w:t>
      </w:r>
      <w:r w:rsidRPr="00216C97">
        <w:rPr>
          <w:vertAlign w:val="subscript"/>
          <w:lang w:eastAsia="ja-JP"/>
        </w:rPr>
        <w:t>T</w:t>
      </w:r>
      <w:r w:rsidRPr="00216C97">
        <w:rPr>
          <w:lang w:eastAsia="ja-JP"/>
        </w:rPr>
        <w:t xml:space="preserve"> values obtained. Depending on samples collected, PCR testing may also be undertaken concurrently with histology and </w:t>
      </w:r>
      <w:r w:rsidRPr="009F6EB5">
        <w:rPr>
          <w:lang w:eastAsia="ja-JP"/>
        </w:rPr>
        <w:t>ISH</w:t>
      </w:r>
      <w:r w:rsidRPr="00216C97">
        <w:rPr>
          <w:lang w:eastAsia="ja-JP"/>
        </w:rPr>
        <w:t>. A definitive association can then be made between the presence of WSSV and observed histopathological tissue changes characteristic of WSD.</w:t>
      </w:r>
    </w:p>
    <w:p w14:paraId="2F13ADE7" w14:textId="5114CA38" w:rsidR="00B84641" w:rsidRDefault="00B84641" w:rsidP="00B84641">
      <w:pPr>
        <w:rPr>
          <w:lang w:eastAsia="ja-JP"/>
        </w:rPr>
      </w:pPr>
      <w:r w:rsidRPr="00B84641">
        <w:rPr>
          <w:lang w:eastAsia="ja-JP"/>
        </w:rPr>
        <w:fldChar w:fldCharType="begin"/>
      </w:r>
      <w:r w:rsidRPr="00B84641">
        <w:rPr>
          <w:lang w:eastAsia="ja-JP"/>
        </w:rPr>
        <w:instrText xml:space="preserve"> REF _Ref115785752 \h </w:instrText>
      </w:r>
      <w:r>
        <w:rPr>
          <w:lang w:eastAsia="ja-JP"/>
        </w:rPr>
        <w:instrText xml:space="preserve"> \* MERGEFORMAT </w:instrText>
      </w:r>
      <w:r w:rsidRPr="00B84641">
        <w:rPr>
          <w:lang w:eastAsia="ja-JP"/>
        </w:rPr>
      </w:r>
      <w:r w:rsidRPr="00B84641">
        <w:rPr>
          <w:lang w:eastAsia="ja-JP"/>
        </w:rPr>
        <w:fldChar w:fldCharType="separate"/>
      </w:r>
      <w:r w:rsidR="00D12BC0" w:rsidRPr="00036CDA">
        <w:t xml:space="preserve">Table </w:t>
      </w:r>
      <w:r w:rsidR="00D12BC0">
        <w:rPr>
          <w:noProof/>
        </w:rPr>
        <w:t>2</w:t>
      </w:r>
      <w:r w:rsidRPr="00B84641">
        <w:rPr>
          <w:lang w:eastAsia="ja-JP"/>
        </w:rPr>
        <w:fldChar w:fldCharType="end"/>
      </w:r>
      <w:r>
        <w:rPr>
          <w:lang w:eastAsia="ja-JP"/>
        </w:rPr>
        <w:t xml:space="preserve"> shows r</w:t>
      </w:r>
      <w:r w:rsidRPr="00B84641">
        <w:rPr>
          <w:lang w:eastAsia="ja-JP"/>
        </w:rPr>
        <w:t>ecommended diagnostic methods and their level of validation for surveillance of healthy animals and investigation of clinically affected animals</w:t>
      </w:r>
      <w:r>
        <w:rPr>
          <w:lang w:eastAsia="ja-JP"/>
        </w:rPr>
        <w:t xml:space="preserve">. For each recommended assay, a qualitative rating for the purpose of use is provided. The ratings are determined based on multiple performance and operational factors relevant to application of an assay for a defined purpose. These factors include appropriate diagnostic performance characteristics, level of assay validation, availability, cost, timeliness, and sample throughput and operability. For a specific purpose of use, assays in </w:t>
      </w:r>
      <w:r>
        <w:rPr>
          <w:lang w:eastAsia="ja-JP"/>
        </w:rPr>
        <w:fldChar w:fldCharType="begin"/>
      </w:r>
      <w:r>
        <w:rPr>
          <w:lang w:eastAsia="ja-JP"/>
        </w:rPr>
        <w:instrText xml:space="preserve"> REF _Ref115785752 \h </w:instrText>
      </w:r>
      <w:r>
        <w:rPr>
          <w:lang w:eastAsia="ja-JP"/>
        </w:rPr>
      </w:r>
      <w:r>
        <w:rPr>
          <w:lang w:eastAsia="ja-JP"/>
        </w:rPr>
        <w:fldChar w:fldCharType="separate"/>
      </w:r>
      <w:r w:rsidR="00D12BC0" w:rsidRPr="00036CDA">
        <w:t xml:space="preserve">Table </w:t>
      </w:r>
      <w:r w:rsidR="00D12BC0">
        <w:rPr>
          <w:noProof/>
        </w:rPr>
        <w:t>2</w:t>
      </w:r>
      <w:r>
        <w:rPr>
          <w:lang w:eastAsia="ja-JP"/>
        </w:rPr>
        <w:fldChar w:fldCharType="end"/>
      </w:r>
      <w:r>
        <w:rPr>
          <w:lang w:eastAsia="ja-JP"/>
        </w:rPr>
        <w:t xml:space="preserve"> are rated as:</w:t>
      </w:r>
    </w:p>
    <w:p w14:paraId="748BDD43" w14:textId="0B9172BD" w:rsidR="00E93ED1" w:rsidRDefault="00E93ED1" w:rsidP="00BC437D">
      <w:pPr>
        <w:pStyle w:val="ListBullet"/>
        <w:rPr>
          <w:lang w:eastAsia="ja-JP"/>
        </w:rPr>
      </w:pPr>
      <w:r>
        <w:rPr>
          <w:lang w:eastAsia="ja-JP"/>
        </w:rPr>
        <w:t>Optimal</w:t>
      </w:r>
      <w:r w:rsidR="00B84641">
        <w:rPr>
          <w:lang w:eastAsia="ja-JP"/>
        </w:rPr>
        <w:t xml:space="preserve"> </w:t>
      </w:r>
      <w:r>
        <w:rPr>
          <w:lang w:eastAsia="ja-JP"/>
        </w:rPr>
        <w:t>–</w:t>
      </w:r>
      <w:r w:rsidR="00B84641">
        <w:rPr>
          <w:lang w:eastAsia="ja-JP"/>
        </w:rPr>
        <w:t xml:space="preserve"> Methods are most suitable with desirable performance and operational characteristics.</w:t>
      </w:r>
    </w:p>
    <w:p w14:paraId="13753FBC" w14:textId="73533ABD" w:rsidR="00B84641" w:rsidRDefault="00E93ED1" w:rsidP="00BC437D">
      <w:pPr>
        <w:pStyle w:val="ListBullet"/>
        <w:rPr>
          <w:lang w:eastAsia="ja-JP"/>
        </w:rPr>
      </w:pPr>
      <w:r>
        <w:rPr>
          <w:lang w:eastAsia="ja-JP"/>
        </w:rPr>
        <w:t>Acceptable</w:t>
      </w:r>
      <w:r w:rsidR="00B84641">
        <w:rPr>
          <w:lang w:eastAsia="ja-JP"/>
        </w:rPr>
        <w:t xml:space="preserve"> </w:t>
      </w:r>
      <w:r>
        <w:rPr>
          <w:lang w:eastAsia="ja-JP"/>
        </w:rPr>
        <w:t>–</w:t>
      </w:r>
      <w:r w:rsidR="00B84641">
        <w:rPr>
          <w:lang w:eastAsia="ja-JP"/>
        </w:rPr>
        <w:t xml:space="preserve"> Methods are suitable with acceptable performance and operational characteristics under most circumstances.</w:t>
      </w:r>
    </w:p>
    <w:p w14:paraId="141ACA0B" w14:textId="1AE670F5" w:rsidR="00B84641" w:rsidRDefault="00E93ED1" w:rsidP="00BC437D">
      <w:pPr>
        <w:pStyle w:val="ListBullet"/>
        <w:rPr>
          <w:lang w:eastAsia="ja-JP"/>
        </w:rPr>
      </w:pPr>
      <w:r>
        <w:rPr>
          <w:lang w:eastAsia="ja-JP"/>
        </w:rPr>
        <w:t>Limited</w:t>
      </w:r>
      <w:r w:rsidR="00B84641">
        <w:rPr>
          <w:lang w:eastAsia="ja-JP"/>
        </w:rPr>
        <w:t xml:space="preserve"> </w:t>
      </w:r>
      <w:r>
        <w:rPr>
          <w:lang w:eastAsia="ja-JP"/>
        </w:rPr>
        <w:t>–</w:t>
      </w:r>
      <w:r w:rsidR="00B84641">
        <w:rPr>
          <w:lang w:eastAsia="ja-JP"/>
        </w:rPr>
        <w:t xml:space="preserve"> Methods are suitable, but performance or operational characteristics may limit application under some circumstances.</w:t>
      </w:r>
    </w:p>
    <w:p w14:paraId="09475D1E" w14:textId="0D04C675" w:rsidR="00B84641" w:rsidRDefault="001E1A37" w:rsidP="00E93ED1">
      <w:pPr>
        <w:pStyle w:val="ListBullet"/>
        <w:rPr>
          <w:lang w:eastAsia="ja-JP"/>
        </w:rPr>
      </w:pPr>
      <w:r>
        <w:rPr>
          <w:lang w:eastAsia="ja-JP"/>
        </w:rPr>
        <w:t>n/a</w:t>
      </w:r>
      <w:r w:rsidR="00E93ED1">
        <w:rPr>
          <w:lang w:eastAsia="ja-JP"/>
        </w:rPr>
        <w:t xml:space="preserve"> – </w:t>
      </w:r>
      <w:r w:rsidR="00B84641">
        <w:rPr>
          <w:lang w:eastAsia="ja-JP"/>
        </w:rPr>
        <w:t>Not appropriate for this purpose.</w:t>
      </w:r>
    </w:p>
    <w:p w14:paraId="29EA19A0" w14:textId="77777777" w:rsidR="00D56A03" w:rsidRDefault="00D56A03" w:rsidP="00D56A03">
      <w:pPr>
        <w:sectPr w:rsidR="00D56A03" w:rsidSect="00D56A03">
          <w:pgSz w:w="11906" w:h="16838"/>
          <w:pgMar w:top="1418" w:right="1418" w:bottom="1418" w:left="1418" w:header="567" w:footer="283" w:gutter="0"/>
          <w:cols w:space="708"/>
          <w:docGrid w:linePitch="360"/>
        </w:sectPr>
      </w:pPr>
    </w:p>
    <w:p w14:paraId="06F30B90" w14:textId="7214AEF7" w:rsidR="00AE356F" w:rsidRDefault="00AE356F" w:rsidP="00BC437D">
      <w:pPr>
        <w:pStyle w:val="Caption"/>
        <w:pageBreakBefore/>
      </w:pPr>
      <w:bookmarkStart w:id="24" w:name="_Ref115785752"/>
      <w:bookmarkStart w:id="25" w:name="_Toc126319039"/>
      <w:bookmarkEnd w:id="23"/>
      <w:r w:rsidRPr="00036CDA">
        <w:lastRenderedPageBreak/>
        <w:t xml:space="preserve">Table </w:t>
      </w:r>
      <w:fldSimple w:instr=" SEQ Table \* ARABIC ">
        <w:r w:rsidR="00D12BC0">
          <w:rPr>
            <w:noProof/>
          </w:rPr>
          <w:t>2</w:t>
        </w:r>
      </w:fldSimple>
      <w:bookmarkEnd w:id="24"/>
      <w:r w:rsidRPr="00036CDA" w:rsidDel="00F10C10">
        <w:t xml:space="preserve"> </w:t>
      </w:r>
      <w:bookmarkStart w:id="26" w:name="_Hlk126241354"/>
      <w:r w:rsidRPr="00036CDA">
        <w:t>Recommended diagnostic methods and their level of validation for surveillance of healthy animals and investigation of clinically affected animals</w:t>
      </w:r>
      <w:bookmarkEnd w:id="26"/>
      <w:bookmarkEnd w:id="25"/>
    </w:p>
    <w:tbl>
      <w:tblPr>
        <w:tblW w:w="5000" w:type="pct"/>
        <w:jc w:val="center"/>
        <w:tblBorders>
          <w:top w:val="single" w:sz="4" w:space="0" w:color="auto"/>
          <w:bottom w:val="single" w:sz="4" w:space="0" w:color="auto"/>
          <w:insideH w:val="single" w:sz="4" w:space="0" w:color="auto"/>
        </w:tblBorders>
        <w:tblCellMar>
          <w:left w:w="96" w:type="dxa"/>
          <w:right w:w="96" w:type="dxa"/>
        </w:tblCellMar>
        <w:tblLook w:val="0000" w:firstRow="0" w:lastRow="0" w:firstColumn="0" w:lastColumn="0" w:noHBand="0" w:noVBand="0"/>
      </w:tblPr>
      <w:tblGrid>
        <w:gridCol w:w="1744"/>
        <w:gridCol w:w="1184"/>
        <w:gridCol w:w="1184"/>
        <w:gridCol w:w="1184"/>
        <w:gridCol w:w="535"/>
        <w:gridCol w:w="1185"/>
        <w:gridCol w:w="1185"/>
        <w:gridCol w:w="1185"/>
        <w:gridCol w:w="535"/>
        <w:gridCol w:w="1185"/>
        <w:gridCol w:w="1185"/>
        <w:gridCol w:w="1185"/>
        <w:gridCol w:w="526"/>
      </w:tblGrid>
      <w:tr w:rsidR="00E93ED1" w:rsidRPr="00216C97" w14:paraId="2876E2FA" w14:textId="77777777" w:rsidTr="00036CDA">
        <w:trPr>
          <w:cantSplit/>
          <w:tblHeader/>
          <w:jc w:val="center"/>
        </w:trPr>
        <w:tc>
          <w:tcPr>
            <w:tcW w:w="623" w:type="pct"/>
            <w:vMerge w:val="restart"/>
          </w:tcPr>
          <w:p w14:paraId="6DF10CB9" w14:textId="74F62801" w:rsidR="00C1674C" w:rsidRPr="002C723D" w:rsidRDefault="00C1674C" w:rsidP="00036CDA">
            <w:pPr>
              <w:pStyle w:val="TableHeading"/>
            </w:pPr>
            <w:bookmarkStart w:id="27" w:name="_Hlk115784960"/>
            <w:r w:rsidRPr="002C723D">
              <w:t>Method</w:t>
            </w:r>
          </w:p>
        </w:tc>
        <w:tc>
          <w:tcPr>
            <w:tcW w:w="1460" w:type="pct"/>
            <w:gridSpan w:val="4"/>
          </w:tcPr>
          <w:p w14:paraId="5381F5CA" w14:textId="77777777" w:rsidR="00C1674C" w:rsidRPr="002C723D" w:rsidRDefault="00C1674C" w:rsidP="00036CDA">
            <w:pPr>
              <w:pStyle w:val="TableHeading"/>
            </w:pPr>
            <w:r w:rsidRPr="002C723D">
              <w:t>Surveillance of apparently healthy animals</w:t>
            </w:r>
          </w:p>
        </w:tc>
        <w:tc>
          <w:tcPr>
            <w:tcW w:w="1460" w:type="pct"/>
            <w:gridSpan w:val="4"/>
          </w:tcPr>
          <w:p w14:paraId="3BBF2578" w14:textId="77777777" w:rsidR="00C1674C" w:rsidRPr="002C723D" w:rsidRDefault="00C1674C" w:rsidP="00036CDA">
            <w:pPr>
              <w:pStyle w:val="TableHeading"/>
            </w:pPr>
            <w:r w:rsidRPr="002C723D">
              <w:t>Presumptive diagnosis of clinically affected animals</w:t>
            </w:r>
          </w:p>
        </w:tc>
        <w:tc>
          <w:tcPr>
            <w:tcW w:w="1458" w:type="pct"/>
            <w:gridSpan w:val="4"/>
          </w:tcPr>
          <w:p w14:paraId="2F0D3354" w14:textId="1709282F" w:rsidR="00C1674C" w:rsidRPr="002C723D" w:rsidRDefault="00C1674C" w:rsidP="00036CDA">
            <w:pPr>
              <w:pStyle w:val="TableHeading"/>
            </w:pPr>
            <w:r w:rsidRPr="002C723D">
              <w:t>Confirmatory diagnosis of a suspect result from surveillance or presumptive diagnosis</w:t>
            </w:r>
            <w:r w:rsidR="004B6C5D">
              <w:rPr>
                <w:vertAlign w:val="superscript"/>
              </w:rPr>
              <w:t xml:space="preserve"> a</w:t>
            </w:r>
          </w:p>
        </w:tc>
      </w:tr>
      <w:tr w:rsidR="001E1A37" w:rsidRPr="00216C97" w14:paraId="488F8C13" w14:textId="77777777" w:rsidTr="00036CDA">
        <w:trPr>
          <w:cantSplit/>
          <w:tblHeader/>
          <w:jc w:val="center"/>
        </w:trPr>
        <w:tc>
          <w:tcPr>
            <w:tcW w:w="623" w:type="pct"/>
            <w:vMerge/>
          </w:tcPr>
          <w:p w14:paraId="73EE52E7" w14:textId="77777777" w:rsidR="00C1674C" w:rsidRPr="00301368" w:rsidRDefault="00C1674C" w:rsidP="00036CDA">
            <w:pPr>
              <w:pStyle w:val="TableHeading"/>
            </w:pPr>
          </w:p>
        </w:tc>
        <w:tc>
          <w:tcPr>
            <w:tcW w:w="423" w:type="pct"/>
          </w:tcPr>
          <w:p w14:paraId="18EF7011" w14:textId="2A466643" w:rsidR="00C1674C" w:rsidRPr="00301368" w:rsidRDefault="00C1674C" w:rsidP="00036CDA">
            <w:pPr>
              <w:pStyle w:val="TableHeading"/>
            </w:pPr>
            <w:r w:rsidRPr="00301368">
              <w:t>Early life stages</w:t>
            </w:r>
            <w:r w:rsidR="004B6C5D">
              <w:t xml:space="preserve"> </w:t>
            </w:r>
            <w:r w:rsidR="004B6C5D">
              <w:rPr>
                <w:vertAlign w:val="superscript"/>
              </w:rPr>
              <w:t>b</w:t>
            </w:r>
          </w:p>
        </w:tc>
        <w:tc>
          <w:tcPr>
            <w:tcW w:w="423" w:type="pct"/>
          </w:tcPr>
          <w:p w14:paraId="34AAF14D" w14:textId="744AFCD6" w:rsidR="00C1674C" w:rsidRPr="00301368" w:rsidRDefault="00C1674C" w:rsidP="00036CDA">
            <w:pPr>
              <w:pStyle w:val="TableHeading"/>
            </w:pPr>
            <w:r w:rsidRPr="00301368">
              <w:t>Juveniles</w:t>
            </w:r>
            <w:r w:rsidR="004B6C5D">
              <w:t xml:space="preserve"> </w:t>
            </w:r>
            <w:r w:rsidR="004B6C5D">
              <w:rPr>
                <w:vertAlign w:val="superscript"/>
              </w:rPr>
              <w:t>b</w:t>
            </w:r>
          </w:p>
        </w:tc>
        <w:tc>
          <w:tcPr>
            <w:tcW w:w="423" w:type="pct"/>
          </w:tcPr>
          <w:p w14:paraId="1CF7E87F" w14:textId="77777777" w:rsidR="00C1674C" w:rsidRPr="00301368" w:rsidRDefault="00C1674C" w:rsidP="00036CDA">
            <w:pPr>
              <w:pStyle w:val="TableHeading"/>
            </w:pPr>
            <w:r w:rsidRPr="00301368">
              <w:t>Adults</w:t>
            </w:r>
          </w:p>
        </w:tc>
        <w:tc>
          <w:tcPr>
            <w:tcW w:w="191" w:type="pct"/>
          </w:tcPr>
          <w:p w14:paraId="6D9F1B96" w14:textId="77777777" w:rsidR="00C1674C" w:rsidRPr="00301368" w:rsidRDefault="00C1674C" w:rsidP="00036CDA">
            <w:pPr>
              <w:pStyle w:val="TableHeading"/>
            </w:pPr>
            <w:r w:rsidRPr="00301368">
              <w:t>LV</w:t>
            </w:r>
          </w:p>
        </w:tc>
        <w:tc>
          <w:tcPr>
            <w:tcW w:w="423" w:type="pct"/>
          </w:tcPr>
          <w:p w14:paraId="0BF24654" w14:textId="43D61FF2" w:rsidR="00C1674C" w:rsidRPr="00301368" w:rsidRDefault="00C1674C" w:rsidP="00036CDA">
            <w:pPr>
              <w:pStyle w:val="TableHeading"/>
            </w:pPr>
            <w:r w:rsidRPr="00301368">
              <w:t>Early life stages</w:t>
            </w:r>
            <w:r w:rsidR="004B6C5D">
              <w:t xml:space="preserve"> </w:t>
            </w:r>
            <w:r w:rsidR="004B6C5D">
              <w:rPr>
                <w:vertAlign w:val="superscript"/>
              </w:rPr>
              <w:t>b</w:t>
            </w:r>
          </w:p>
        </w:tc>
        <w:tc>
          <w:tcPr>
            <w:tcW w:w="423" w:type="pct"/>
          </w:tcPr>
          <w:p w14:paraId="6880A94E" w14:textId="089472D1" w:rsidR="00C1674C" w:rsidRPr="00301368" w:rsidRDefault="00C1674C" w:rsidP="00036CDA">
            <w:pPr>
              <w:pStyle w:val="TableHeading"/>
            </w:pPr>
            <w:r w:rsidRPr="00301368">
              <w:t>Juveniles</w:t>
            </w:r>
            <w:r w:rsidR="004B6C5D">
              <w:rPr>
                <w:vertAlign w:val="superscript"/>
              </w:rPr>
              <w:t xml:space="preserve"> b</w:t>
            </w:r>
          </w:p>
        </w:tc>
        <w:tc>
          <w:tcPr>
            <w:tcW w:w="423" w:type="pct"/>
          </w:tcPr>
          <w:p w14:paraId="2AEBF64B" w14:textId="77777777" w:rsidR="00C1674C" w:rsidRPr="00301368" w:rsidRDefault="00C1674C" w:rsidP="00036CDA">
            <w:pPr>
              <w:pStyle w:val="TableHeading"/>
            </w:pPr>
            <w:r w:rsidRPr="00301368">
              <w:t>Adults</w:t>
            </w:r>
          </w:p>
        </w:tc>
        <w:tc>
          <w:tcPr>
            <w:tcW w:w="191" w:type="pct"/>
          </w:tcPr>
          <w:p w14:paraId="395476BC" w14:textId="77777777" w:rsidR="00C1674C" w:rsidRPr="00301368" w:rsidRDefault="00C1674C" w:rsidP="00036CDA">
            <w:pPr>
              <w:pStyle w:val="TableHeading"/>
            </w:pPr>
            <w:r w:rsidRPr="00301368">
              <w:t>LV</w:t>
            </w:r>
          </w:p>
        </w:tc>
        <w:tc>
          <w:tcPr>
            <w:tcW w:w="423" w:type="pct"/>
          </w:tcPr>
          <w:p w14:paraId="785BDBD1" w14:textId="42055E9E" w:rsidR="00C1674C" w:rsidRPr="00301368" w:rsidRDefault="00C1674C" w:rsidP="00036CDA">
            <w:pPr>
              <w:pStyle w:val="TableHeading"/>
            </w:pPr>
            <w:r w:rsidRPr="00301368">
              <w:t>Early life stages</w:t>
            </w:r>
            <w:r w:rsidR="004B6C5D">
              <w:t xml:space="preserve"> </w:t>
            </w:r>
            <w:r w:rsidR="004B6C5D">
              <w:rPr>
                <w:vertAlign w:val="superscript"/>
              </w:rPr>
              <w:t>b</w:t>
            </w:r>
          </w:p>
        </w:tc>
        <w:tc>
          <w:tcPr>
            <w:tcW w:w="423" w:type="pct"/>
          </w:tcPr>
          <w:p w14:paraId="770CD2BD" w14:textId="630BB10F" w:rsidR="00C1674C" w:rsidRPr="00301368" w:rsidRDefault="00C1674C" w:rsidP="00036CDA">
            <w:pPr>
              <w:pStyle w:val="TableHeading"/>
            </w:pPr>
            <w:r w:rsidRPr="00301368">
              <w:t>Juveniles</w:t>
            </w:r>
            <w:r w:rsidR="004B6C5D">
              <w:t xml:space="preserve"> </w:t>
            </w:r>
            <w:r w:rsidR="004B6C5D">
              <w:rPr>
                <w:vertAlign w:val="superscript"/>
              </w:rPr>
              <w:t>b</w:t>
            </w:r>
          </w:p>
        </w:tc>
        <w:tc>
          <w:tcPr>
            <w:tcW w:w="423" w:type="pct"/>
          </w:tcPr>
          <w:p w14:paraId="41FD9991" w14:textId="77777777" w:rsidR="00C1674C" w:rsidRPr="00301368" w:rsidRDefault="00C1674C" w:rsidP="00036CDA">
            <w:pPr>
              <w:pStyle w:val="TableHeading"/>
            </w:pPr>
            <w:r w:rsidRPr="00301368">
              <w:t>Adults</w:t>
            </w:r>
          </w:p>
        </w:tc>
        <w:tc>
          <w:tcPr>
            <w:tcW w:w="189" w:type="pct"/>
          </w:tcPr>
          <w:p w14:paraId="38F921B9" w14:textId="77777777" w:rsidR="00C1674C" w:rsidRPr="00301368" w:rsidRDefault="00C1674C" w:rsidP="00036CDA">
            <w:pPr>
              <w:pStyle w:val="TableHeading"/>
            </w:pPr>
            <w:r w:rsidRPr="00301368">
              <w:t>LV</w:t>
            </w:r>
          </w:p>
        </w:tc>
      </w:tr>
      <w:tr w:rsidR="00E93ED1" w:rsidRPr="00216C97" w14:paraId="52A4220C" w14:textId="77777777" w:rsidTr="00036CDA">
        <w:trPr>
          <w:jc w:val="center"/>
        </w:trPr>
        <w:tc>
          <w:tcPr>
            <w:tcW w:w="623" w:type="pct"/>
          </w:tcPr>
          <w:p w14:paraId="45FD94E3" w14:textId="5294683C" w:rsidR="00E93ED1" w:rsidRPr="00BC437D" w:rsidRDefault="00E93ED1" w:rsidP="00BC437D">
            <w:pPr>
              <w:pStyle w:val="TableText"/>
              <w:rPr>
                <w:rStyle w:val="Strong"/>
              </w:rPr>
            </w:pPr>
            <w:r w:rsidRPr="00BC437D">
              <w:rPr>
                <w:rStyle w:val="Strong"/>
              </w:rPr>
              <w:t>Histopathology</w:t>
            </w:r>
            <w:r w:rsidR="004B6C5D" w:rsidRPr="00BC437D">
              <w:rPr>
                <w:rStyle w:val="Strong"/>
              </w:rPr>
              <w:t xml:space="preserve"> </w:t>
            </w:r>
            <w:r w:rsidR="004B6C5D" w:rsidRPr="00BC437D">
              <w:rPr>
                <w:rStyle w:val="Strong"/>
                <w:vertAlign w:val="superscript"/>
              </w:rPr>
              <w:t>c</w:t>
            </w:r>
          </w:p>
        </w:tc>
        <w:tc>
          <w:tcPr>
            <w:tcW w:w="423" w:type="pct"/>
            <w:shd w:val="clear" w:color="auto" w:fill="auto"/>
          </w:tcPr>
          <w:p w14:paraId="2C459618" w14:textId="36BC38C3" w:rsidR="00E93ED1" w:rsidRPr="00301368" w:rsidRDefault="001E1A37" w:rsidP="00036CDA">
            <w:pPr>
              <w:pStyle w:val="TableText"/>
              <w:rPr>
                <w:szCs w:val="18"/>
              </w:rPr>
            </w:pPr>
            <w:r>
              <w:rPr>
                <w:lang w:eastAsia="ja-JP"/>
              </w:rPr>
              <w:t>n/a</w:t>
            </w:r>
          </w:p>
        </w:tc>
        <w:tc>
          <w:tcPr>
            <w:tcW w:w="423" w:type="pct"/>
            <w:shd w:val="clear" w:color="auto" w:fill="auto"/>
          </w:tcPr>
          <w:p w14:paraId="049BD118" w14:textId="50CBEDB7" w:rsidR="00E93ED1" w:rsidRPr="00301368" w:rsidRDefault="0018019E" w:rsidP="00036CDA">
            <w:pPr>
              <w:pStyle w:val="TableText"/>
              <w:rPr>
                <w:szCs w:val="18"/>
              </w:rPr>
            </w:pPr>
            <w:r>
              <w:rPr>
                <w:lang w:eastAsia="ja-JP"/>
              </w:rPr>
              <w:t>n</w:t>
            </w:r>
            <w:r w:rsidR="001E1A37">
              <w:rPr>
                <w:lang w:eastAsia="ja-JP"/>
              </w:rPr>
              <w:t>/a</w:t>
            </w:r>
          </w:p>
        </w:tc>
        <w:tc>
          <w:tcPr>
            <w:tcW w:w="423" w:type="pct"/>
          </w:tcPr>
          <w:p w14:paraId="68B125F0" w14:textId="23292808" w:rsidR="00E93ED1" w:rsidRPr="00301368" w:rsidRDefault="00E93ED1" w:rsidP="00036CDA">
            <w:pPr>
              <w:pStyle w:val="TableText"/>
              <w:rPr>
                <w:b/>
                <w:szCs w:val="18"/>
              </w:rPr>
            </w:pPr>
            <w:r>
              <w:rPr>
                <w:lang w:eastAsia="ja-JP"/>
              </w:rPr>
              <w:t>Limited</w:t>
            </w:r>
          </w:p>
        </w:tc>
        <w:tc>
          <w:tcPr>
            <w:tcW w:w="191" w:type="pct"/>
          </w:tcPr>
          <w:p w14:paraId="6F094612" w14:textId="77777777" w:rsidR="00E93ED1" w:rsidRPr="00301368" w:rsidRDefault="00E93ED1" w:rsidP="00036CDA">
            <w:pPr>
              <w:pStyle w:val="TableText"/>
              <w:rPr>
                <w:b/>
                <w:szCs w:val="18"/>
              </w:rPr>
            </w:pPr>
            <w:r w:rsidRPr="00301368">
              <w:rPr>
                <w:szCs w:val="18"/>
              </w:rPr>
              <w:t>2</w:t>
            </w:r>
          </w:p>
        </w:tc>
        <w:tc>
          <w:tcPr>
            <w:tcW w:w="423" w:type="pct"/>
          </w:tcPr>
          <w:p w14:paraId="51D2113B" w14:textId="7CF16FF4" w:rsidR="00E93ED1" w:rsidRPr="00301368" w:rsidRDefault="00E93ED1" w:rsidP="00036CDA">
            <w:pPr>
              <w:pStyle w:val="TableText"/>
              <w:rPr>
                <w:szCs w:val="18"/>
              </w:rPr>
            </w:pPr>
            <w:r>
              <w:rPr>
                <w:lang w:eastAsia="ja-JP"/>
              </w:rPr>
              <w:t>Acceptable</w:t>
            </w:r>
          </w:p>
        </w:tc>
        <w:tc>
          <w:tcPr>
            <w:tcW w:w="423" w:type="pct"/>
          </w:tcPr>
          <w:p w14:paraId="02EBE578" w14:textId="5560D48E" w:rsidR="00E93ED1" w:rsidRPr="00301368" w:rsidRDefault="00E93ED1" w:rsidP="00036CDA">
            <w:pPr>
              <w:pStyle w:val="TableText"/>
              <w:rPr>
                <w:szCs w:val="18"/>
              </w:rPr>
            </w:pPr>
            <w:r w:rsidRPr="00E93ED1">
              <w:rPr>
                <w:szCs w:val="18"/>
              </w:rPr>
              <w:t>Optimal</w:t>
            </w:r>
          </w:p>
        </w:tc>
        <w:tc>
          <w:tcPr>
            <w:tcW w:w="423" w:type="pct"/>
          </w:tcPr>
          <w:p w14:paraId="2ECEE8B0" w14:textId="7EC74198" w:rsidR="00E93ED1" w:rsidRPr="00301368" w:rsidRDefault="00E93ED1" w:rsidP="00036CDA">
            <w:pPr>
              <w:pStyle w:val="TableText"/>
              <w:rPr>
                <w:szCs w:val="18"/>
              </w:rPr>
            </w:pPr>
            <w:r w:rsidRPr="00E93ED1">
              <w:rPr>
                <w:szCs w:val="18"/>
              </w:rPr>
              <w:t>Optimal</w:t>
            </w:r>
          </w:p>
        </w:tc>
        <w:tc>
          <w:tcPr>
            <w:tcW w:w="191" w:type="pct"/>
          </w:tcPr>
          <w:p w14:paraId="52C17557" w14:textId="77777777" w:rsidR="00E93ED1" w:rsidRPr="00301368" w:rsidRDefault="00E93ED1" w:rsidP="00036CDA">
            <w:pPr>
              <w:pStyle w:val="TableText"/>
              <w:rPr>
                <w:szCs w:val="18"/>
              </w:rPr>
            </w:pPr>
            <w:r w:rsidRPr="00301368">
              <w:rPr>
                <w:szCs w:val="18"/>
              </w:rPr>
              <w:t>3</w:t>
            </w:r>
          </w:p>
        </w:tc>
        <w:tc>
          <w:tcPr>
            <w:tcW w:w="423" w:type="pct"/>
            <w:shd w:val="clear" w:color="auto" w:fill="auto"/>
          </w:tcPr>
          <w:p w14:paraId="62BF6D6F" w14:textId="78CBDDEF" w:rsidR="00E93ED1" w:rsidRPr="00301368" w:rsidRDefault="001E1A37" w:rsidP="00036CDA">
            <w:pPr>
              <w:pStyle w:val="TableText"/>
              <w:rPr>
                <w:szCs w:val="18"/>
              </w:rPr>
            </w:pPr>
            <w:r>
              <w:rPr>
                <w:lang w:eastAsia="ja-JP"/>
              </w:rPr>
              <w:t>n/a</w:t>
            </w:r>
          </w:p>
        </w:tc>
        <w:tc>
          <w:tcPr>
            <w:tcW w:w="423" w:type="pct"/>
            <w:shd w:val="clear" w:color="auto" w:fill="auto"/>
          </w:tcPr>
          <w:p w14:paraId="64D62B91" w14:textId="2CB802EF" w:rsidR="00E93ED1" w:rsidRPr="00301368" w:rsidRDefault="001E1A37" w:rsidP="00036CDA">
            <w:pPr>
              <w:pStyle w:val="TableText"/>
              <w:rPr>
                <w:szCs w:val="18"/>
              </w:rPr>
            </w:pPr>
            <w:r>
              <w:rPr>
                <w:lang w:eastAsia="ja-JP"/>
              </w:rPr>
              <w:t>n/a</w:t>
            </w:r>
          </w:p>
        </w:tc>
        <w:tc>
          <w:tcPr>
            <w:tcW w:w="423" w:type="pct"/>
            <w:shd w:val="clear" w:color="auto" w:fill="auto"/>
          </w:tcPr>
          <w:p w14:paraId="07523744" w14:textId="1FC023AB" w:rsidR="00E93ED1" w:rsidRPr="00301368" w:rsidRDefault="001E1A37" w:rsidP="00036CDA">
            <w:pPr>
              <w:pStyle w:val="TableText"/>
              <w:rPr>
                <w:szCs w:val="18"/>
              </w:rPr>
            </w:pPr>
            <w:r>
              <w:rPr>
                <w:lang w:eastAsia="ja-JP"/>
              </w:rPr>
              <w:t>n/a</w:t>
            </w:r>
          </w:p>
        </w:tc>
        <w:tc>
          <w:tcPr>
            <w:tcW w:w="189" w:type="pct"/>
            <w:shd w:val="clear" w:color="auto" w:fill="auto"/>
          </w:tcPr>
          <w:p w14:paraId="781EDA28" w14:textId="76C1605A" w:rsidR="00E93ED1" w:rsidRPr="00301368" w:rsidRDefault="001E1A37" w:rsidP="00036CDA">
            <w:pPr>
              <w:pStyle w:val="TableText"/>
              <w:rPr>
                <w:szCs w:val="18"/>
              </w:rPr>
            </w:pPr>
            <w:r>
              <w:rPr>
                <w:lang w:eastAsia="ja-JP"/>
              </w:rPr>
              <w:t>n/a</w:t>
            </w:r>
          </w:p>
        </w:tc>
      </w:tr>
      <w:tr w:rsidR="001E1A37" w:rsidRPr="00216C97" w14:paraId="4869A031" w14:textId="77777777" w:rsidTr="00036CDA">
        <w:trPr>
          <w:jc w:val="center"/>
        </w:trPr>
        <w:tc>
          <w:tcPr>
            <w:tcW w:w="623" w:type="pct"/>
          </w:tcPr>
          <w:p w14:paraId="7DBB0763" w14:textId="77777777" w:rsidR="00E93ED1" w:rsidRPr="00301368" w:rsidRDefault="00E93ED1" w:rsidP="00036CDA">
            <w:pPr>
              <w:pStyle w:val="TableHeading"/>
            </w:pPr>
            <w:r w:rsidRPr="00301368">
              <w:t>Real-time PCR</w:t>
            </w:r>
          </w:p>
        </w:tc>
        <w:tc>
          <w:tcPr>
            <w:tcW w:w="423" w:type="pct"/>
          </w:tcPr>
          <w:p w14:paraId="0B1769CA" w14:textId="3D2C67A5" w:rsidR="00E93ED1" w:rsidRPr="00301368" w:rsidRDefault="00E93ED1" w:rsidP="00036CDA">
            <w:pPr>
              <w:pStyle w:val="TableText"/>
              <w:rPr>
                <w:b/>
                <w:szCs w:val="18"/>
              </w:rPr>
            </w:pPr>
            <w:r>
              <w:rPr>
                <w:lang w:eastAsia="ja-JP"/>
              </w:rPr>
              <w:t>Acceptable</w:t>
            </w:r>
          </w:p>
        </w:tc>
        <w:tc>
          <w:tcPr>
            <w:tcW w:w="423" w:type="pct"/>
          </w:tcPr>
          <w:p w14:paraId="1C421193" w14:textId="370158D1" w:rsidR="00E93ED1" w:rsidRPr="00301368" w:rsidRDefault="00E93ED1" w:rsidP="00036CDA">
            <w:pPr>
              <w:pStyle w:val="TableText"/>
              <w:rPr>
                <w:b/>
                <w:szCs w:val="18"/>
              </w:rPr>
            </w:pPr>
            <w:r w:rsidRPr="00E93ED1">
              <w:rPr>
                <w:szCs w:val="18"/>
              </w:rPr>
              <w:t>Optimal</w:t>
            </w:r>
          </w:p>
        </w:tc>
        <w:tc>
          <w:tcPr>
            <w:tcW w:w="423" w:type="pct"/>
          </w:tcPr>
          <w:p w14:paraId="2DA8E7CE" w14:textId="72CC2A81" w:rsidR="00E93ED1" w:rsidRPr="00301368" w:rsidRDefault="00E93ED1" w:rsidP="00036CDA">
            <w:pPr>
              <w:pStyle w:val="TableText"/>
              <w:rPr>
                <w:b/>
                <w:szCs w:val="18"/>
              </w:rPr>
            </w:pPr>
            <w:r w:rsidRPr="00E93ED1">
              <w:rPr>
                <w:szCs w:val="18"/>
              </w:rPr>
              <w:t>Optimal</w:t>
            </w:r>
          </w:p>
        </w:tc>
        <w:tc>
          <w:tcPr>
            <w:tcW w:w="191" w:type="pct"/>
          </w:tcPr>
          <w:p w14:paraId="43D1948A" w14:textId="77777777" w:rsidR="00E93ED1" w:rsidRPr="00301368" w:rsidRDefault="00E93ED1" w:rsidP="00036CDA">
            <w:pPr>
              <w:pStyle w:val="TableText"/>
              <w:rPr>
                <w:b/>
                <w:szCs w:val="18"/>
              </w:rPr>
            </w:pPr>
            <w:r w:rsidRPr="00301368">
              <w:rPr>
                <w:szCs w:val="18"/>
              </w:rPr>
              <w:t>4</w:t>
            </w:r>
          </w:p>
        </w:tc>
        <w:tc>
          <w:tcPr>
            <w:tcW w:w="423" w:type="pct"/>
          </w:tcPr>
          <w:p w14:paraId="5A3C4FA4" w14:textId="6B90EF7E" w:rsidR="00E93ED1" w:rsidRPr="00301368" w:rsidRDefault="00E93ED1" w:rsidP="00036CDA">
            <w:pPr>
              <w:pStyle w:val="TableText"/>
              <w:rPr>
                <w:szCs w:val="18"/>
              </w:rPr>
            </w:pPr>
            <w:r>
              <w:rPr>
                <w:lang w:eastAsia="ja-JP"/>
              </w:rPr>
              <w:t>Acceptable</w:t>
            </w:r>
          </w:p>
        </w:tc>
        <w:tc>
          <w:tcPr>
            <w:tcW w:w="423" w:type="pct"/>
          </w:tcPr>
          <w:p w14:paraId="56C83ACA" w14:textId="3240AAB6" w:rsidR="00E93ED1" w:rsidRPr="00301368" w:rsidRDefault="00E93ED1" w:rsidP="00036CDA">
            <w:pPr>
              <w:pStyle w:val="TableText"/>
              <w:rPr>
                <w:szCs w:val="18"/>
              </w:rPr>
            </w:pPr>
            <w:r w:rsidRPr="00E93ED1">
              <w:rPr>
                <w:szCs w:val="18"/>
              </w:rPr>
              <w:t>Optimal</w:t>
            </w:r>
          </w:p>
        </w:tc>
        <w:tc>
          <w:tcPr>
            <w:tcW w:w="423" w:type="pct"/>
          </w:tcPr>
          <w:p w14:paraId="5A844D05" w14:textId="75E1DE5B" w:rsidR="00E93ED1" w:rsidRPr="00301368" w:rsidRDefault="00E93ED1" w:rsidP="00036CDA">
            <w:pPr>
              <w:pStyle w:val="TableText"/>
              <w:rPr>
                <w:szCs w:val="18"/>
              </w:rPr>
            </w:pPr>
            <w:r w:rsidRPr="00E93ED1">
              <w:rPr>
                <w:szCs w:val="18"/>
              </w:rPr>
              <w:t>Optimal</w:t>
            </w:r>
          </w:p>
        </w:tc>
        <w:tc>
          <w:tcPr>
            <w:tcW w:w="191" w:type="pct"/>
          </w:tcPr>
          <w:p w14:paraId="208B9967" w14:textId="77777777" w:rsidR="00E93ED1" w:rsidRPr="00301368" w:rsidRDefault="00E93ED1" w:rsidP="00036CDA">
            <w:pPr>
              <w:pStyle w:val="TableText"/>
              <w:rPr>
                <w:szCs w:val="18"/>
              </w:rPr>
            </w:pPr>
            <w:r w:rsidRPr="00301368">
              <w:rPr>
                <w:szCs w:val="18"/>
              </w:rPr>
              <w:t>4</w:t>
            </w:r>
          </w:p>
        </w:tc>
        <w:tc>
          <w:tcPr>
            <w:tcW w:w="423" w:type="pct"/>
            <w:shd w:val="clear" w:color="auto" w:fill="auto"/>
          </w:tcPr>
          <w:p w14:paraId="2688BD11" w14:textId="7C53A6B0" w:rsidR="00E93ED1" w:rsidRPr="0031159C" w:rsidRDefault="00E93ED1" w:rsidP="00036CDA">
            <w:pPr>
              <w:pStyle w:val="TableText"/>
              <w:rPr>
                <w:szCs w:val="18"/>
              </w:rPr>
            </w:pPr>
            <w:r>
              <w:rPr>
                <w:lang w:eastAsia="ja-JP"/>
              </w:rPr>
              <w:t>Acceptable</w:t>
            </w:r>
          </w:p>
        </w:tc>
        <w:tc>
          <w:tcPr>
            <w:tcW w:w="423" w:type="pct"/>
            <w:shd w:val="clear" w:color="auto" w:fill="auto"/>
          </w:tcPr>
          <w:p w14:paraId="66C9F4F0" w14:textId="2713EA91" w:rsidR="00E93ED1" w:rsidRPr="0031159C" w:rsidRDefault="00E93ED1" w:rsidP="00036CDA">
            <w:pPr>
              <w:pStyle w:val="TableText"/>
              <w:rPr>
                <w:szCs w:val="18"/>
              </w:rPr>
            </w:pPr>
            <w:r w:rsidRPr="00E93ED1">
              <w:rPr>
                <w:szCs w:val="18"/>
              </w:rPr>
              <w:t>Optimal</w:t>
            </w:r>
          </w:p>
        </w:tc>
        <w:tc>
          <w:tcPr>
            <w:tcW w:w="423" w:type="pct"/>
            <w:shd w:val="clear" w:color="auto" w:fill="auto"/>
          </w:tcPr>
          <w:p w14:paraId="6CC68B21" w14:textId="751C4BE1" w:rsidR="00E93ED1" w:rsidRPr="0031159C" w:rsidRDefault="00E93ED1" w:rsidP="00036CDA">
            <w:pPr>
              <w:pStyle w:val="TableText"/>
              <w:rPr>
                <w:szCs w:val="18"/>
              </w:rPr>
            </w:pPr>
            <w:r w:rsidRPr="00E93ED1">
              <w:rPr>
                <w:szCs w:val="18"/>
              </w:rPr>
              <w:t>Optimal</w:t>
            </w:r>
          </w:p>
        </w:tc>
        <w:tc>
          <w:tcPr>
            <w:tcW w:w="189" w:type="pct"/>
            <w:shd w:val="clear" w:color="auto" w:fill="auto"/>
          </w:tcPr>
          <w:p w14:paraId="17D45911" w14:textId="77777777" w:rsidR="00E93ED1" w:rsidRPr="0031159C" w:rsidRDefault="00E93ED1" w:rsidP="00036CDA">
            <w:pPr>
              <w:pStyle w:val="TableText"/>
              <w:rPr>
                <w:szCs w:val="18"/>
              </w:rPr>
            </w:pPr>
            <w:r w:rsidRPr="002C723D">
              <w:rPr>
                <w:szCs w:val="18"/>
              </w:rPr>
              <w:t>4</w:t>
            </w:r>
          </w:p>
        </w:tc>
      </w:tr>
      <w:tr w:rsidR="00E93ED1" w:rsidRPr="00216C97" w14:paraId="25753C6D" w14:textId="77777777" w:rsidTr="00036CDA">
        <w:trPr>
          <w:jc w:val="center"/>
        </w:trPr>
        <w:tc>
          <w:tcPr>
            <w:tcW w:w="623" w:type="pct"/>
          </w:tcPr>
          <w:p w14:paraId="1733486D" w14:textId="77777777" w:rsidR="00E93ED1" w:rsidRPr="00301368" w:rsidRDefault="00E93ED1" w:rsidP="00036CDA">
            <w:pPr>
              <w:pStyle w:val="TableHeading"/>
            </w:pPr>
            <w:r w:rsidRPr="00301368">
              <w:t>Conventional PCR</w:t>
            </w:r>
          </w:p>
        </w:tc>
        <w:tc>
          <w:tcPr>
            <w:tcW w:w="423" w:type="pct"/>
          </w:tcPr>
          <w:p w14:paraId="256E4229" w14:textId="70EDB3C8" w:rsidR="00E93ED1" w:rsidRPr="00301368" w:rsidRDefault="00E93ED1" w:rsidP="00036CDA">
            <w:pPr>
              <w:pStyle w:val="TableText"/>
              <w:rPr>
                <w:b/>
                <w:szCs w:val="18"/>
              </w:rPr>
            </w:pPr>
            <w:r>
              <w:rPr>
                <w:lang w:eastAsia="ja-JP"/>
              </w:rPr>
              <w:t>Acceptable</w:t>
            </w:r>
          </w:p>
        </w:tc>
        <w:tc>
          <w:tcPr>
            <w:tcW w:w="423" w:type="pct"/>
          </w:tcPr>
          <w:p w14:paraId="11ECDA17" w14:textId="5997FCA2" w:rsidR="00E93ED1" w:rsidRPr="00301368" w:rsidRDefault="00E93ED1" w:rsidP="00036CDA">
            <w:pPr>
              <w:pStyle w:val="TableText"/>
              <w:rPr>
                <w:b/>
                <w:szCs w:val="18"/>
              </w:rPr>
            </w:pPr>
            <w:r>
              <w:rPr>
                <w:lang w:eastAsia="ja-JP"/>
              </w:rPr>
              <w:t>Acceptable</w:t>
            </w:r>
          </w:p>
        </w:tc>
        <w:tc>
          <w:tcPr>
            <w:tcW w:w="423" w:type="pct"/>
          </w:tcPr>
          <w:p w14:paraId="46776ADD" w14:textId="6A16ED46" w:rsidR="00E93ED1" w:rsidRPr="00301368" w:rsidRDefault="00E93ED1" w:rsidP="00036CDA">
            <w:pPr>
              <w:pStyle w:val="TableText"/>
              <w:rPr>
                <w:b/>
                <w:szCs w:val="18"/>
              </w:rPr>
            </w:pPr>
            <w:r>
              <w:rPr>
                <w:lang w:eastAsia="ja-JP"/>
              </w:rPr>
              <w:t>Acceptable</w:t>
            </w:r>
          </w:p>
        </w:tc>
        <w:tc>
          <w:tcPr>
            <w:tcW w:w="191" w:type="pct"/>
          </w:tcPr>
          <w:p w14:paraId="6E4B7733" w14:textId="77777777" w:rsidR="00E93ED1" w:rsidRPr="00301368" w:rsidRDefault="00E93ED1" w:rsidP="00036CDA">
            <w:pPr>
              <w:pStyle w:val="TableText"/>
              <w:rPr>
                <w:b/>
                <w:szCs w:val="18"/>
              </w:rPr>
            </w:pPr>
            <w:r w:rsidRPr="00301368">
              <w:rPr>
                <w:szCs w:val="18"/>
              </w:rPr>
              <w:t>2</w:t>
            </w:r>
          </w:p>
        </w:tc>
        <w:tc>
          <w:tcPr>
            <w:tcW w:w="423" w:type="pct"/>
          </w:tcPr>
          <w:p w14:paraId="6028D457" w14:textId="36C3C378" w:rsidR="00E93ED1" w:rsidRPr="00301368" w:rsidRDefault="00E93ED1" w:rsidP="00036CDA">
            <w:pPr>
              <w:pStyle w:val="TableText"/>
              <w:rPr>
                <w:szCs w:val="18"/>
              </w:rPr>
            </w:pPr>
            <w:r>
              <w:rPr>
                <w:lang w:eastAsia="ja-JP"/>
              </w:rPr>
              <w:t>Acceptable</w:t>
            </w:r>
          </w:p>
        </w:tc>
        <w:tc>
          <w:tcPr>
            <w:tcW w:w="423" w:type="pct"/>
          </w:tcPr>
          <w:p w14:paraId="1966EE57" w14:textId="0F2EACA9" w:rsidR="00E93ED1" w:rsidRPr="00301368" w:rsidRDefault="00E93ED1" w:rsidP="00036CDA">
            <w:pPr>
              <w:pStyle w:val="TableText"/>
              <w:rPr>
                <w:szCs w:val="18"/>
              </w:rPr>
            </w:pPr>
            <w:r>
              <w:rPr>
                <w:lang w:eastAsia="ja-JP"/>
              </w:rPr>
              <w:t>Acceptable</w:t>
            </w:r>
          </w:p>
        </w:tc>
        <w:tc>
          <w:tcPr>
            <w:tcW w:w="423" w:type="pct"/>
          </w:tcPr>
          <w:p w14:paraId="1CD24631" w14:textId="0CA28F9D" w:rsidR="00E93ED1" w:rsidRPr="00301368" w:rsidRDefault="00E93ED1" w:rsidP="00036CDA">
            <w:pPr>
              <w:pStyle w:val="TableText"/>
              <w:rPr>
                <w:szCs w:val="18"/>
              </w:rPr>
            </w:pPr>
            <w:r>
              <w:rPr>
                <w:lang w:eastAsia="ja-JP"/>
              </w:rPr>
              <w:t>Acceptable</w:t>
            </w:r>
          </w:p>
        </w:tc>
        <w:tc>
          <w:tcPr>
            <w:tcW w:w="191" w:type="pct"/>
          </w:tcPr>
          <w:p w14:paraId="49DB7D53" w14:textId="77777777" w:rsidR="00E93ED1" w:rsidRPr="00301368" w:rsidRDefault="00E93ED1" w:rsidP="00036CDA">
            <w:pPr>
              <w:pStyle w:val="TableText"/>
              <w:rPr>
                <w:szCs w:val="18"/>
              </w:rPr>
            </w:pPr>
            <w:r w:rsidRPr="00301368">
              <w:rPr>
                <w:szCs w:val="18"/>
              </w:rPr>
              <w:t>2</w:t>
            </w:r>
          </w:p>
        </w:tc>
        <w:tc>
          <w:tcPr>
            <w:tcW w:w="423" w:type="pct"/>
            <w:shd w:val="clear" w:color="auto" w:fill="auto"/>
          </w:tcPr>
          <w:p w14:paraId="0463A37C" w14:textId="05E9AF06" w:rsidR="00E93ED1" w:rsidRPr="00301368" w:rsidRDefault="001E1A37" w:rsidP="00036CDA">
            <w:pPr>
              <w:pStyle w:val="TableText"/>
              <w:rPr>
                <w:szCs w:val="18"/>
              </w:rPr>
            </w:pPr>
            <w:r>
              <w:rPr>
                <w:lang w:eastAsia="ja-JP"/>
              </w:rPr>
              <w:t>n/a</w:t>
            </w:r>
          </w:p>
        </w:tc>
        <w:tc>
          <w:tcPr>
            <w:tcW w:w="423" w:type="pct"/>
            <w:shd w:val="clear" w:color="auto" w:fill="auto"/>
          </w:tcPr>
          <w:p w14:paraId="7D8386B6" w14:textId="5ECD631F" w:rsidR="00E93ED1" w:rsidRPr="00301368" w:rsidRDefault="001E1A37" w:rsidP="00036CDA">
            <w:pPr>
              <w:pStyle w:val="TableText"/>
              <w:rPr>
                <w:szCs w:val="18"/>
              </w:rPr>
            </w:pPr>
            <w:r>
              <w:rPr>
                <w:lang w:eastAsia="ja-JP"/>
              </w:rPr>
              <w:t>n/a</w:t>
            </w:r>
          </w:p>
        </w:tc>
        <w:tc>
          <w:tcPr>
            <w:tcW w:w="423" w:type="pct"/>
            <w:shd w:val="clear" w:color="auto" w:fill="auto"/>
          </w:tcPr>
          <w:p w14:paraId="39D3FCF0" w14:textId="354690DE" w:rsidR="00E93ED1" w:rsidRPr="00301368" w:rsidRDefault="001E1A37" w:rsidP="00036CDA">
            <w:pPr>
              <w:pStyle w:val="TableText"/>
              <w:rPr>
                <w:szCs w:val="18"/>
              </w:rPr>
            </w:pPr>
            <w:r>
              <w:rPr>
                <w:lang w:eastAsia="ja-JP"/>
              </w:rPr>
              <w:t>n/a</w:t>
            </w:r>
          </w:p>
        </w:tc>
        <w:tc>
          <w:tcPr>
            <w:tcW w:w="189" w:type="pct"/>
            <w:shd w:val="clear" w:color="auto" w:fill="auto"/>
          </w:tcPr>
          <w:p w14:paraId="149B50BE" w14:textId="5B7B67A1" w:rsidR="00E93ED1" w:rsidRPr="00301368" w:rsidRDefault="001E1A37" w:rsidP="00036CDA">
            <w:pPr>
              <w:pStyle w:val="TableText"/>
              <w:rPr>
                <w:szCs w:val="18"/>
              </w:rPr>
            </w:pPr>
            <w:r>
              <w:rPr>
                <w:lang w:eastAsia="ja-JP"/>
              </w:rPr>
              <w:t>n/a</w:t>
            </w:r>
          </w:p>
        </w:tc>
      </w:tr>
      <w:tr w:rsidR="00E93ED1" w:rsidRPr="00216C97" w14:paraId="55AEDE67" w14:textId="77777777" w:rsidTr="00036CDA">
        <w:trPr>
          <w:jc w:val="center"/>
        </w:trPr>
        <w:tc>
          <w:tcPr>
            <w:tcW w:w="623" w:type="pct"/>
          </w:tcPr>
          <w:p w14:paraId="1D9BEC4E" w14:textId="77777777" w:rsidR="00E93ED1" w:rsidRPr="00301368" w:rsidRDefault="00E93ED1" w:rsidP="00036CDA">
            <w:pPr>
              <w:pStyle w:val="TableHeading"/>
            </w:pPr>
            <w:r w:rsidRPr="00301368">
              <w:t>Conventional PCR followed by amplicon sequencing</w:t>
            </w:r>
          </w:p>
        </w:tc>
        <w:tc>
          <w:tcPr>
            <w:tcW w:w="423" w:type="pct"/>
            <w:shd w:val="clear" w:color="auto" w:fill="auto"/>
          </w:tcPr>
          <w:p w14:paraId="01C5237D" w14:textId="2F31A867" w:rsidR="00E93ED1" w:rsidRPr="00301368" w:rsidRDefault="001E1A37" w:rsidP="00036CDA">
            <w:pPr>
              <w:pStyle w:val="TableText"/>
              <w:rPr>
                <w:szCs w:val="18"/>
              </w:rPr>
            </w:pPr>
            <w:r>
              <w:rPr>
                <w:lang w:eastAsia="ja-JP"/>
              </w:rPr>
              <w:t>n/a</w:t>
            </w:r>
          </w:p>
        </w:tc>
        <w:tc>
          <w:tcPr>
            <w:tcW w:w="423" w:type="pct"/>
            <w:shd w:val="clear" w:color="auto" w:fill="auto"/>
          </w:tcPr>
          <w:p w14:paraId="02EF19E7" w14:textId="600660FD" w:rsidR="00E93ED1" w:rsidRPr="00301368" w:rsidRDefault="001E1A37" w:rsidP="00036CDA">
            <w:pPr>
              <w:pStyle w:val="TableText"/>
              <w:rPr>
                <w:szCs w:val="18"/>
              </w:rPr>
            </w:pPr>
            <w:r>
              <w:rPr>
                <w:lang w:eastAsia="ja-JP"/>
              </w:rPr>
              <w:t>n/a</w:t>
            </w:r>
          </w:p>
        </w:tc>
        <w:tc>
          <w:tcPr>
            <w:tcW w:w="423" w:type="pct"/>
            <w:shd w:val="clear" w:color="auto" w:fill="auto"/>
          </w:tcPr>
          <w:p w14:paraId="29C15BD5" w14:textId="6D79478F" w:rsidR="00E93ED1" w:rsidRPr="00301368" w:rsidRDefault="001E1A37" w:rsidP="00036CDA">
            <w:pPr>
              <w:pStyle w:val="TableText"/>
              <w:rPr>
                <w:szCs w:val="18"/>
              </w:rPr>
            </w:pPr>
            <w:r>
              <w:rPr>
                <w:lang w:eastAsia="ja-JP"/>
              </w:rPr>
              <w:t>n/a</w:t>
            </w:r>
          </w:p>
        </w:tc>
        <w:tc>
          <w:tcPr>
            <w:tcW w:w="191" w:type="pct"/>
            <w:shd w:val="clear" w:color="auto" w:fill="auto"/>
          </w:tcPr>
          <w:p w14:paraId="79ECCB98" w14:textId="544C46E3" w:rsidR="00E93ED1" w:rsidRPr="00301368" w:rsidRDefault="001E1A37" w:rsidP="00036CDA">
            <w:pPr>
              <w:pStyle w:val="TableText"/>
              <w:rPr>
                <w:szCs w:val="18"/>
              </w:rPr>
            </w:pPr>
            <w:r>
              <w:rPr>
                <w:lang w:eastAsia="ja-JP"/>
              </w:rPr>
              <w:t>n/a</w:t>
            </w:r>
          </w:p>
        </w:tc>
        <w:tc>
          <w:tcPr>
            <w:tcW w:w="423" w:type="pct"/>
            <w:shd w:val="clear" w:color="auto" w:fill="auto"/>
          </w:tcPr>
          <w:p w14:paraId="0C4B7AE3" w14:textId="5E55B24F" w:rsidR="00E93ED1" w:rsidRPr="00301368" w:rsidRDefault="001E1A37" w:rsidP="00036CDA">
            <w:pPr>
              <w:pStyle w:val="TableText"/>
              <w:rPr>
                <w:szCs w:val="18"/>
              </w:rPr>
            </w:pPr>
            <w:r>
              <w:rPr>
                <w:lang w:eastAsia="ja-JP"/>
              </w:rPr>
              <w:t>n/a</w:t>
            </w:r>
          </w:p>
        </w:tc>
        <w:tc>
          <w:tcPr>
            <w:tcW w:w="423" w:type="pct"/>
            <w:shd w:val="clear" w:color="auto" w:fill="auto"/>
          </w:tcPr>
          <w:p w14:paraId="46B602E6" w14:textId="56F78CA2" w:rsidR="00E93ED1" w:rsidRPr="00301368" w:rsidRDefault="001E1A37" w:rsidP="00036CDA">
            <w:pPr>
              <w:pStyle w:val="TableText"/>
              <w:rPr>
                <w:szCs w:val="18"/>
              </w:rPr>
            </w:pPr>
            <w:r>
              <w:rPr>
                <w:lang w:eastAsia="ja-JP"/>
              </w:rPr>
              <w:t>n/a</w:t>
            </w:r>
          </w:p>
        </w:tc>
        <w:tc>
          <w:tcPr>
            <w:tcW w:w="423" w:type="pct"/>
            <w:shd w:val="clear" w:color="auto" w:fill="auto"/>
          </w:tcPr>
          <w:p w14:paraId="4F9A0061" w14:textId="21B56FA3" w:rsidR="00E93ED1" w:rsidRPr="00301368" w:rsidRDefault="001E1A37" w:rsidP="00036CDA">
            <w:pPr>
              <w:pStyle w:val="TableText"/>
              <w:rPr>
                <w:szCs w:val="18"/>
              </w:rPr>
            </w:pPr>
            <w:r>
              <w:rPr>
                <w:lang w:eastAsia="ja-JP"/>
              </w:rPr>
              <w:t>n/a</w:t>
            </w:r>
          </w:p>
        </w:tc>
        <w:tc>
          <w:tcPr>
            <w:tcW w:w="191" w:type="pct"/>
            <w:shd w:val="clear" w:color="auto" w:fill="auto"/>
          </w:tcPr>
          <w:p w14:paraId="620D665F" w14:textId="597F1783" w:rsidR="00E93ED1" w:rsidRPr="00301368" w:rsidRDefault="001E1A37" w:rsidP="00036CDA">
            <w:pPr>
              <w:pStyle w:val="TableText"/>
              <w:rPr>
                <w:szCs w:val="18"/>
              </w:rPr>
            </w:pPr>
            <w:r>
              <w:rPr>
                <w:lang w:eastAsia="ja-JP"/>
              </w:rPr>
              <w:t>n/a</w:t>
            </w:r>
          </w:p>
        </w:tc>
        <w:tc>
          <w:tcPr>
            <w:tcW w:w="423" w:type="pct"/>
            <w:shd w:val="clear" w:color="auto" w:fill="auto"/>
          </w:tcPr>
          <w:p w14:paraId="371D423F" w14:textId="6BB8B8E6" w:rsidR="00E93ED1" w:rsidRPr="00301368" w:rsidRDefault="00E93ED1" w:rsidP="00036CDA">
            <w:pPr>
              <w:pStyle w:val="TableText"/>
              <w:rPr>
                <w:szCs w:val="18"/>
              </w:rPr>
            </w:pPr>
            <w:r w:rsidRPr="00E93ED1">
              <w:rPr>
                <w:szCs w:val="18"/>
              </w:rPr>
              <w:t>Optimal</w:t>
            </w:r>
          </w:p>
        </w:tc>
        <w:tc>
          <w:tcPr>
            <w:tcW w:w="423" w:type="pct"/>
            <w:shd w:val="clear" w:color="auto" w:fill="auto"/>
          </w:tcPr>
          <w:p w14:paraId="78834EC3" w14:textId="536C20B3" w:rsidR="00E93ED1" w:rsidRPr="00301368" w:rsidRDefault="00E93ED1" w:rsidP="00036CDA">
            <w:pPr>
              <w:pStyle w:val="TableText"/>
              <w:rPr>
                <w:szCs w:val="18"/>
              </w:rPr>
            </w:pPr>
            <w:r w:rsidRPr="00E93ED1">
              <w:rPr>
                <w:szCs w:val="18"/>
              </w:rPr>
              <w:t>Optimal</w:t>
            </w:r>
          </w:p>
        </w:tc>
        <w:tc>
          <w:tcPr>
            <w:tcW w:w="423" w:type="pct"/>
            <w:shd w:val="clear" w:color="auto" w:fill="auto"/>
          </w:tcPr>
          <w:p w14:paraId="607193E9" w14:textId="762F4260" w:rsidR="00E93ED1" w:rsidRPr="00301368" w:rsidRDefault="00E93ED1" w:rsidP="00036CDA">
            <w:pPr>
              <w:pStyle w:val="TableText"/>
              <w:rPr>
                <w:szCs w:val="18"/>
              </w:rPr>
            </w:pPr>
            <w:r w:rsidRPr="00E93ED1">
              <w:rPr>
                <w:szCs w:val="18"/>
              </w:rPr>
              <w:t>Optimal</w:t>
            </w:r>
          </w:p>
        </w:tc>
        <w:tc>
          <w:tcPr>
            <w:tcW w:w="189" w:type="pct"/>
            <w:shd w:val="clear" w:color="auto" w:fill="auto"/>
          </w:tcPr>
          <w:p w14:paraId="00444244" w14:textId="77777777" w:rsidR="00E93ED1" w:rsidRPr="00301368" w:rsidRDefault="00E93ED1" w:rsidP="00036CDA">
            <w:pPr>
              <w:pStyle w:val="TableText"/>
              <w:rPr>
                <w:szCs w:val="18"/>
              </w:rPr>
            </w:pPr>
            <w:r w:rsidRPr="0031159C">
              <w:rPr>
                <w:szCs w:val="18"/>
              </w:rPr>
              <w:t>2</w:t>
            </w:r>
          </w:p>
        </w:tc>
      </w:tr>
      <w:tr w:rsidR="00E93ED1" w:rsidRPr="00216C97" w14:paraId="3CF89164" w14:textId="77777777" w:rsidTr="00036CDA">
        <w:trPr>
          <w:jc w:val="center"/>
        </w:trPr>
        <w:tc>
          <w:tcPr>
            <w:tcW w:w="623" w:type="pct"/>
          </w:tcPr>
          <w:p w14:paraId="3096FBFF" w14:textId="77777777" w:rsidR="00E93ED1" w:rsidRPr="004F47C9" w:rsidRDefault="00E93ED1" w:rsidP="00036CDA">
            <w:pPr>
              <w:pStyle w:val="TableHeading"/>
            </w:pPr>
            <w:r>
              <w:t>ISH</w:t>
            </w:r>
          </w:p>
        </w:tc>
        <w:tc>
          <w:tcPr>
            <w:tcW w:w="423" w:type="pct"/>
            <w:shd w:val="clear" w:color="auto" w:fill="auto"/>
          </w:tcPr>
          <w:p w14:paraId="2B4E410D" w14:textId="2106FC18" w:rsidR="00E93ED1" w:rsidRPr="00301368" w:rsidRDefault="001E1A37" w:rsidP="00036CDA">
            <w:pPr>
              <w:pStyle w:val="TableText"/>
              <w:rPr>
                <w:szCs w:val="18"/>
              </w:rPr>
            </w:pPr>
            <w:r>
              <w:rPr>
                <w:lang w:eastAsia="ja-JP"/>
              </w:rPr>
              <w:t>n/a</w:t>
            </w:r>
          </w:p>
        </w:tc>
        <w:tc>
          <w:tcPr>
            <w:tcW w:w="423" w:type="pct"/>
            <w:shd w:val="clear" w:color="auto" w:fill="auto"/>
          </w:tcPr>
          <w:p w14:paraId="74225A46" w14:textId="41718443" w:rsidR="00E93ED1" w:rsidRPr="00301368" w:rsidRDefault="001E1A37" w:rsidP="00036CDA">
            <w:pPr>
              <w:pStyle w:val="TableText"/>
              <w:rPr>
                <w:szCs w:val="18"/>
              </w:rPr>
            </w:pPr>
            <w:r>
              <w:rPr>
                <w:lang w:eastAsia="ja-JP"/>
              </w:rPr>
              <w:t>n/a</w:t>
            </w:r>
          </w:p>
        </w:tc>
        <w:tc>
          <w:tcPr>
            <w:tcW w:w="423" w:type="pct"/>
            <w:shd w:val="clear" w:color="auto" w:fill="auto"/>
          </w:tcPr>
          <w:p w14:paraId="64EE255D" w14:textId="6A0F0342" w:rsidR="00E93ED1" w:rsidRPr="00301368" w:rsidRDefault="001E1A37" w:rsidP="00036CDA">
            <w:pPr>
              <w:pStyle w:val="TableText"/>
              <w:rPr>
                <w:szCs w:val="18"/>
              </w:rPr>
            </w:pPr>
            <w:r>
              <w:rPr>
                <w:lang w:eastAsia="ja-JP"/>
              </w:rPr>
              <w:t>n/a</w:t>
            </w:r>
          </w:p>
        </w:tc>
        <w:tc>
          <w:tcPr>
            <w:tcW w:w="191" w:type="pct"/>
            <w:shd w:val="clear" w:color="auto" w:fill="auto"/>
          </w:tcPr>
          <w:p w14:paraId="1F1C5D65" w14:textId="71D7CB36" w:rsidR="00E93ED1" w:rsidRPr="00301368" w:rsidRDefault="001E1A37" w:rsidP="00036CDA">
            <w:pPr>
              <w:pStyle w:val="TableText"/>
              <w:rPr>
                <w:szCs w:val="18"/>
              </w:rPr>
            </w:pPr>
            <w:r>
              <w:rPr>
                <w:lang w:eastAsia="ja-JP"/>
              </w:rPr>
              <w:t>n/a</w:t>
            </w:r>
          </w:p>
        </w:tc>
        <w:tc>
          <w:tcPr>
            <w:tcW w:w="423" w:type="pct"/>
            <w:shd w:val="clear" w:color="auto" w:fill="auto"/>
          </w:tcPr>
          <w:p w14:paraId="1E37A1CB" w14:textId="0E12446E" w:rsidR="00E93ED1" w:rsidRPr="0031159C" w:rsidRDefault="00E93ED1" w:rsidP="00036CDA">
            <w:pPr>
              <w:pStyle w:val="TableText"/>
              <w:rPr>
                <w:szCs w:val="18"/>
              </w:rPr>
            </w:pPr>
            <w:r>
              <w:rPr>
                <w:lang w:eastAsia="ja-JP"/>
              </w:rPr>
              <w:t>Limited</w:t>
            </w:r>
          </w:p>
        </w:tc>
        <w:tc>
          <w:tcPr>
            <w:tcW w:w="423" w:type="pct"/>
            <w:shd w:val="clear" w:color="auto" w:fill="auto"/>
          </w:tcPr>
          <w:p w14:paraId="5746A1C4" w14:textId="6DD7E4A2" w:rsidR="00E93ED1" w:rsidRPr="0031159C" w:rsidRDefault="00E93ED1" w:rsidP="00036CDA">
            <w:pPr>
              <w:pStyle w:val="TableText"/>
              <w:rPr>
                <w:szCs w:val="18"/>
              </w:rPr>
            </w:pPr>
            <w:r>
              <w:rPr>
                <w:lang w:eastAsia="ja-JP"/>
              </w:rPr>
              <w:t>Acceptable</w:t>
            </w:r>
          </w:p>
        </w:tc>
        <w:tc>
          <w:tcPr>
            <w:tcW w:w="423" w:type="pct"/>
            <w:shd w:val="clear" w:color="auto" w:fill="auto"/>
          </w:tcPr>
          <w:p w14:paraId="4BB8BECF" w14:textId="0E6B0F4B" w:rsidR="00E93ED1" w:rsidRPr="0031159C" w:rsidRDefault="00E93ED1" w:rsidP="00036CDA">
            <w:pPr>
              <w:pStyle w:val="TableText"/>
              <w:rPr>
                <w:szCs w:val="18"/>
              </w:rPr>
            </w:pPr>
            <w:r>
              <w:rPr>
                <w:lang w:eastAsia="ja-JP"/>
              </w:rPr>
              <w:t>Acceptable</w:t>
            </w:r>
          </w:p>
        </w:tc>
        <w:tc>
          <w:tcPr>
            <w:tcW w:w="191" w:type="pct"/>
            <w:shd w:val="clear" w:color="auto" w:fill="auto"/>
          </w:tcPr>
          <w:p w14:paraId="097CE68A" w14:textId="77777777" w:rsidR="00E93ED1" w:rsidRPr="0031159C" w:rsidRDefault="00E93ED1" w:rsidP="00036CDA">
            <w:pPr>
              <w:pStyle w:val="TableText"/>
              <w:rPr>
                <w:szCs w:val="18"/>
              </w:rPr>
            </w:pPr>
            <w:r w:rsidRPr="0031159C">
              <w:rPr>
                <w:szCs w:val="18"/>
              </w:rPr>
              <w:t>1</w:t>
            </w:r>
          </w:p>
        </w:tc>
        <w:tc>
          <w:tcPr>
            <w:tcW w:w="423" w:type="pct"/>
            <w:shd w:val="clear" w:color="auto" w:fill="auto"/>
          </w:tcPr>
          <w:p w14:paraId="17A4FFB9" w14:textId="3C366E36" w:rsidR="00E93ED1" w:rsidRPr="0031159C" w:rsidRDefault="00E93ED1" w:rsidP="00036CDA">
            <w:pPr>
              <w:pStyle w:val="TableText"/>
              <w:rPr>
                <w:szCs w:val="18"/>
              </w:rPr>
            </w:pPr>
            <w:r w:rsidRPr="00E93ED1">
              <w:rPr>
                <w:szCs w:val="18"/>
              </w:rPr>
              <w:t>Limited</w:t>
            </w:r>
          </w:p>
        </w:tc>
        <w:tc>
          <w:tcPr>
            <w:tcW w:w="423" w:type="pct"/>
            <w:shd w:val="clear" w:color="auto" w:fill="auto"/>
          </w:tcPr>
          <w:p w14:paraId="2FF3098A" w14:textId="0F2EEFC7" w:rsidR="00E93ED1" w:rsidRPr="0031159C" w:rsidRDefault="00E93ED1" w:rsidP="00036CDA">
            <w:pPr>
              <w:pStyle w:val="TableText"/>
              <w:rPr>
                <w:szCs w:val="18"/>
              </w:rPr>
            </w:pPr>
            <w:r>
              <w:rPr>
                <w:lang w:eastAsia="ja-JP"/>
              </w:rPr>
              <w:t>Acceptable</w:t>
            </w:r>
          </w:p>
        </w:tc>
        <w:tc>
          <w:tcPr>
            <w:tcW w:w="423" w:type="pct"/>
            <w:shd w:val="clear" w:color="auto" w:fill="auto"/>
          </w:tcPr>
          <w:p w14:paraId="19C1C8DA" w14:textId="16B156D3" w:rsidR="00E93ED1" w:rsidRPr="0031159C" w:rsidRDefault="00E93ED1" w:rsidP="00036CDA">
            <w:pPr>
              <w:pStyle w:val="TableText"/>
              <w:rPr>
                <w:szCs w:val="18"/>
              </w:rPr>
            </w:pPr>
            <w:r>
              <w:rPr>
                <w:lang w:eastAsia="ja-JP"/>
              </w:rPr>
              <w:t>Acceptable</w:t>
            </w:r>
          </w:p>
        </w:tc>
        <w:tc>
          <w:tcPr>
            <w:tcW w:w="189" w:type="pct"/>
            <w:shd w:val="clear" w:color="auto" w:fill="auto"/>
          </w:tcPr>
          <w:p w14:paraId="3A43253E" w14:textId="77777777" w:rsidR="00E93ED1" w:rsidRPr="0031159C" w:rsidRDefault="00E93ED1" w:rsidP="00036CDA">
            <w:pPr>
              <w:pStyle w:val="TableText"/>
              <w:rPr>
                <w:szCs w:val="18"/>
              </w:rPr>
            </w:pPr>
            <w:r w:rsidRPr="0031159C">
              <w:rPr>
                <w:szCs w:val="18"/>
              </w:rPr>
              <w:t>1</w:t>
            </w:r>
          </w:p>
        </w:tc>
      </w:tr>
      <w:tr w:rsidR="00E93ED1" w:rsidRPr="00216C97" w14:paraId="482749B8" w14:textId="77777777" w:rsidTr="00036CDA">
        <w:trPr>
          <w:jc w:val="center"/>
        </w:trPr>
        <w:tc>
          <w:tcPr>
            <w:tcW w:w="623" w:type="pct"/>
          </w:tcPr>
          <w:p w14:paraId="26EE8950" w14:textId="77777777" w:rsidR="00E93ED1" w:rsidRPr="00301368" w:rsidRDefault="00E93ED1" w:rsidP="00036CDA">
            <w:pPr>
              <w:pStyle w:val="TableHeading"/>
            </w:pPr>
            <w:r w:rsidRPr="00301368">
              <w:t>Bioassay</w:t>
            </w:r>
          </w:p>
        </w:tc>
        <w:tc>
          <w:tcPr>
            <w:tcW w:w="423" w:type="pct"/>
            <w:shd w:val="clear" w:color="auto" w:fill="auto"/>
          </w:tcPr>
          <w:p w14:paraId="28168FB1" w14:textId="758F37E4" w:rsidR="00E93ED1" w:rsidRPr="00301368" w:rsidRDefault="001E1A37" w:rsidP="00036CDA">
            <w:pPr>
              <w:pStyle w:val="TableText"/>
              <w:rPr>
                <w:szCs w:val="18"/>
              </w:rPr>
            </w:pPr>
            <w:r>
              <w:rPr>
                <w:lang w:eastAsia="ja-JP"/>
              </w:rPr>
              <w:t>n/a</w:t>
            </w:r>
          </w:p>
        </w:tc>
        <w:tc>
          <w:tcPr>
            <w:tcW w:w="423" w:type="pct"/>
            <w:shd w:val="clear" w:color="auto" w:fill="auto"/>
          </w:tcPr>
          <w:p w14:paraId="049333AD" w14:textId="5FF52000" w:rsidR="00E93ED1" w:rsidRPr="00301368" w:rsidRDefault="001E1A37" w:rsidP="00036CDA">
            <w:pPr>
              <w:pStyle w:val="TableText"/>
              <w:rPr>
                <w:szCs w:val="18"/>
              </w:rPr>
            </w:pPr>
            <w:r>
              <w:rPr>
                <w:lang w:eastAsia="ja-JP"/>
              </w:rPr>
              <w:t>n/a</w:t>
            </w:r>
          </w:p>
        </w:tc>
        <w:tc>
          <w:tcPr>
            <w:tcW w:w="423" w:type="pct"/>
            <w:shd w:val="clear" w:color="auto" w:fill="auto"/>
          </w:tcPr>
          <w:p w14:paraId="1E321412" w14:textId="090D3D05" w:rsidR="00E93ED1" w:rsidRPr="00301368" w:rsidRDefault="001E1A37" w:rsidP="00036CDA">
            <w:pPr>
              <w:pStyle w:val="TableText"/>
              <w:rPr>
                <w:szCs w:val="18"/>
              </w:rPr>
            </w:pPr>
            <w:r>
              <w:rPr>
                <w:lang w:eastAsia="ja-JP"/>
              </w:rPr>
              <w:t>n/a</w:t>
            </w:r>
          </w:p>
        </w:tc>
        <w:tc>
          <w:tcPr>
            <w:tcW w:w="191" w:type="pct"/>
            <w:shd w:val="clear" w:color="auto" w:fill="auto"/>
          </w:tcPr>
          <w:p w14:paraId="0238AE11" w14:textId="4C91CBDD" w:rsidR="00E93ED1" w:rsidRPr="00301368" w:rsidRDefault="001E1A37" w:rsidP="00036CDA">
            <w:pPr>
              <w:pStyle w:val="TableText"/>
              <w:rPr>
                <w:szCs w:val="18"/>
              </w:rPr>
            </w:pPr>
            <w:r>
              <w:rPr>
                <w:lang w:eastAsia="ja-JP"/>
              </w:rPr>
              <w:t>n/a</w:t>
            </w:r>
          </w:p>
        </w:tc>
        <w:tc>
          <w:tcPr>
            <w:tcW w:w="423" w:type="pct"/>
            <w:shd w:val="clear" w:color="auto" w:fill="auto"/>
          </w:tcPr>
          <w:p w14:paraId="537A6624" w14:textId="2C5C929A" w:rsidR="00E93ED1" w:rsidRPr="00301368" w:rsidRDefault="00E93ED1" w:rsidP="00036CDA">
            <w:pPr>
              <w:pStyle w:val="TableText"/>
              <w:rPr>
                <w:szCs w:val="18"/>
              </w:rPr>
            </w:pPr>
            <w:r>
              <w:rPr>
                <w:lang w:eastAsia="ja-JP"/>
              </w:rPr>
              <w:t>Limited</w:t>
            </w:r>
          </w:p>
        </w:tc>
        <w:tc>
          <w:tcPr>
            <w:tcW w:w="423" w:type="pct"/>
            <w:shd w:val="clear" w:color="auto" w:fill="auto"/>
          </w:tcPr>
          <w:p w14:paraId="19AD541E" w14:textId="7670EF64" w:rsidR="00E93ED1" w:rsidRPr="00301368" w:rsidRDefault="00E93ED1" w:rsidP="00036CDA">
            <w:pPr>
              <w:pStyle w:val="TableText"/>
              <w:rPr>
                <w:szCs w:val="18"/>
              </w:rPr>
            </w:pPr>
            <w:r>
              <w:rPr>
                <w:lang w:eastAsia="ja-JP"/>
              </w:rPr>
              <w:t>Acceptable</w:t>
            </w:r>
          </w:p>
        </w:tc>
        <w:tc>
          <w:tcPr>
            <w:tcW w:w="423" w:type="pct"/>
            <w:shd w:val="clear" w:color="auto" w:fill="auto"/>
          </w:tcPr>
          <w:p w14:paraId="2980AFA2" w14:textId="659CBA2D" w:rsidR="00E93ED1" w:rsidRPr="00301368" w:rsidRDefault="00E93ED1" w:rsidP="00036CDA">
            <w:pPr>
              <w:pStyle w:val="TableText"/>
              <w:rPr>
                <w:szCs w:val="18"/>
              </w:rPr>
            </w:pPr>
            <w:r w:rsidRPr="00E93ED1">
              <w:rPr>
                <w:szCs w:val="18"/>
              </w:rPr>
              <w:t>Acceptable</w:t>
            </w:r>
          </w:p>
        </w:tc>
        <w:tc>
          <w:tcPr>
            <w:tcW w:w="191" w:type="pct"/>
            <w:shd w:val="clear" w:color="auto" w:fill="auto"/>
          </w:tcPr>
          <w:p w14:paraId="48DE9E30" w14:textId="77777777" w:rsidR="00E93ED1" w:rsidRPr="00301368" w:rsidRDefault="00E93ED1" w:rsidP="00036CDA">
            <w:pPr>
              <w:pStyle w:val="TableText"/>
              <w:rPr>
                <w:szCs w:val="18"/>
              </w:rPr>
            </w:pPr>
            <w:r w:rsidRPr="00301368">
              <w:rPr>
                <w:szCs w:val="18"/>
              </w:rPr>
              <w:t>1</w:t>
            </w:r>
          </w:p>
        </w:tc>
        <w:tc>
          <w:tcPr>
            <w:tcW w:w="423" w:type="pct"/>
            <w:shd w:val="clear" w:color="auto" w:fill="auto"/>
          </w:tcPr>
          <w:p w14:paraId="1F676417" w14:textId="3C8CF444" w:rsidR="00E93ED1" w:rsidRPr="00301368" w:rsidRDefault="001E1A37" w:rsidP="00036CDA">
            <w:pPr>
              <w:pStyle w:val="TableText"/>
              <w:rPr>
                <w:szCs w:val="18"/>
              </w:rPr>
            </w:pPr>
            <w:r>
              <w:rPr>
                <w:lang w:eastAsia="ja-JP"/>
              </w:rPr>
              <w:t>n/a</w:t>
            </w:r>
          </w:p>
        </w:tc>
        <w:tc>
          <w:tcPr>
            <w:tcW w:w="423" w:type="pct"/>
            <w:shd w:val="clear" w:color="auto" w:fill="auto"/>
          </w:tcPr>
          <w:p w14:paraId="5C77993A" w14:textId="7BF806F4" w:rsidR="00E93ED1" w:rsidRPr="00301368" w:rsidRDefault="001E1A37" w:rsidP="00036CDA">
            <w:pPr>
              <w:pStyle w:val="TableText"/>
              <w:rPr>
                <w:szCs w:val="18"/>
              </w:rPr>
            </w:pPr>
            <w:r>
              <w:rPr>
                <w:lang w:eastAsia="ja-JP"/>
              </w:rPr>
              <w:t>n/a</w:t>
            </w:r>
          </w:p>
        </w:tc>
        <w:tc>
          <w:tcPr>
            <w:tcW w:w="423" w:type="pct"/>
            <w:shd w:val="clear" w:color="auto" w:fill="auto"/>
          </w:tcPr>
          <w:p w14:paraId="733E1BDC" w14:textId="596F46FB" w:rsidR="00E93ED1" w:rsidRPr="00301368" w:rsidRDefault="001E1A37" w:rsidP="00036CDA">
            <w:pPr>
              <w:pStyle w:val="TableText"/>
              <w:rPr>
                <w:szCs w:val="18"/>
              </w:rPr>
            </w:pPr>
            <w:r>
              <w:rPr>
                <w:lang w:eastAsia="ja-JP"/>
              </w:rPr>
              <w:t>n/a</w:t>
            </w:r>
          </w:p>
        </w:tc>
        <w:tc>
          <w:tcPr>
            <w:tcW w:w="189" w:type="pct"/>
            <w:shd w:val="clear" w:color="auto" w:fill="auto"/>
          </w:tcPr>
          <w:p w14:paraId="30BFC64D" w14:textId="49F342B8" w:rsidR="00E93ED1" w:rsidRPr="00301368" w:rsidRDefault="001E1A37" w:rsidP="00036CDA">
            <w:pPr>
              <w:pStyle w:val="TableText"/>
              <w:rPr>
                <w:szCs w:val="18"/>
              </w:rPr>
            </w:pPr>
            <w:r>
              <w:rPr>
                <w:lang w:eastAsia="ja-JP"/>
              </w:rPr>
              <w:t>n/a</w:t>
            </w:r>
          </w:p>
        </w:tc>
      </w:tr>
      <w:tr w:rsidR="00E93ED1" w:rsidRPr="00216C97" w14:paraId="6885BD0A" w14:textId="77777777" w:rsidTr="00036CDA">
        <w:trPr>
          <w:jc w:val="center"/>
        </w:trPr>
        <w:tc>
          <w:tcPr>
            <w:tcW w:w="623" w:type="pct"/>
          </w:tcPr>
          <w:p w14:paraId="2643F834" w14:textId="77777777" w:rsidR="00E93ED1" w:rsidRPr="004F47C9" w:rsidRDefault="00E93ED1" w:rsidP="00036CDA">
            <w:pPr>
              <w:pStyle w:val="TableHeading"/>
            </w:pPr>
            <w:r>
              <w:t>Lateral f</w:t>
            </w:r>
            <w:r w:rsidRPr="00D40970">
              <w:t>low</w:t>
            </w:r>
            <w:r>
              <w:t xml:space="preserve"> assay</w:t>
            </w:r>
          </w:p>
        </w:tc>
        <w:tc>
          <w:tcPr>
            <w:tcW w:w="423" w:type="pct"/>
            <w:shd w:val="clear" w:color="auto" w:fill="auto"/>
          </w:tcPr>
          <w:p w14:paraId="1895ACFF" w14:textId="66B7CF27" w:rsidR="00E93ED1" w:rsidRPr="00301368" w:rsidRDefault="001E1A37" w:rsidP="00036CDA">
            <w:pPr>
              <w:pStyle w:val="TableText"/>
              <w:rPr>
                <w:szCs w:val="18"/>
              </w:rPr>
            </w:pPr>
            <w:r>
              <w:rPr>
                <w:lang w:eastAsia="ja-JP"/>
              </w:rPr>
              <w:t>n/a</w:t>
            </w:r>
          </w:p>
        </w:tc>
        <w:tc>
          <w:tcPr>
            <w:tcW w:w="423" w:type="pct"/>
            <w:shd w:val="clear" w:color="auto" w:fill="auto"/>
          </w:tcPr>
          <w:p w14:paraId="411A7EC4" w14:textId="7F2E2321" w:rsidR="00E93ED1" w:rsidRPr="00301368" w:rsidRDefault="001E1A37" w:rsidP="00036CDA">
            <w:pPr>
              <w:pStyle w:val="TableText"/>
              <w:rPr>
                <w:szCs w:val="18"/>
              </w:rPr>
            </w:pPr>
            <w:r>
              <w:rPr>
                <w:lang w:eastAsia="ja-JP"/>
              </w:rPr>
              <w:t>n/a</w:t>
            </w:r>
          </w:p>
        </w:tc>
        <w:tc>
          <w:tcPr>
            <w:tcW w:w="423" w:type="pct"/>
            <w:shd w:val="clear" w:color="auto" w:fill="auto"/>
          </w:tcPr>
          <w:p w14:paraId="307DEDA9" w14:textId="284C446B" w:rsidR="00E93ED1" w:rsidRPr="00301368" w:rsidRDefault="001E1A37" w:rsidP="00036CDA">
            <w:pPr>
              <w:pStyle w:val="TableText"/>
              <w:rPr>
                <w:szCs w:val="18"/>
              </w:rPr>
            </w:pPr>
            <w:r>
              <w:rPr>
                <w:lang w:eastAsia="ja-JP"/>
              </w:rPr>
              <w:t>n/a</w:t>
            </w:r>
          </w:p>
        </w:tc>
        <w:tc>
          <w:tcPr>
            <w:tcW w:w="191" w:type="pct"/>
            <w:shd w:val="clear" w:color="auto" w:fill="auto"/>
          </w:tcPr>
          <w:p w14:paraId="6A1338AB" w14:textId="14E47607" w:rsidR="00E93ED1" w:rsidRPr="00301368" w:rsidRDefault="001E1A37" w:rsidP="00036CDA">
            <w:pPr>
              <w:pStyle w:val="TableText"/>
              <w:rPr>
                <w:szCs w:val="18"/>
              </w:rPr>
            </w:pPr>
            <w:r>
              <w:rPr>
                <w:lang w:eastAsia="ja-JP"/>
              </w:rPr>
              <w:t>n/a</w:t>
            </w:r>
          </w:p>
        </w:tc>
        <w:tc>
          <w:tcPr>
            <w:tcW w:w="423" w:type="pct"/>
            <w:shd w:val="clear" w:color="auto" w:fill="auto"/>
          </w:tcPr>
          <w:p w14:paraId="7E71F4E0" w14:textId="489F2B16" w:rsidR="00E93ED1" w:rsidRPr="0031159C" w:rsidRDefault="00E93ED1" w:rsidP="00036CDA">
            <w:pPr>
              <w:pStyle w:val="TableText"/>
              <w:rPr>
                <w:szCs w:val="18"/>
              </w:rPr>
            </w:pPr>
            <w:r>
              <w:rPr>
                <w:lang w:eastAsia="ja-JP"/>
              </w:rPr>
              <w:t>Limited</w:t>
            </w:r>
          </w:p>
        </w:tc>
        <w:tc>
          <w:tcPr>
            <w:tcW w:w="423" w:type="pct"/>
            <w:shd w:val="clear" w:color="auto" w:fill="auto"/>
          </w:tcPr>
          <w:p w14:paraId="74CC1FC5" w14:textId="1D44C38F" w:rsidR="00E93ED1" w:rsidRPr="0031159C" w:rsidRDefault="00E93ED1" w:rsidP="00036CDA">
            <w:pPr>
              <w:pStyle w:val="TableText"/>
              <w:rPr>
                <w:szCs w:val="18"/>
              </w:rPr>
            </w:pPr>
            <w:r>
              <w:rPr>
                <w:lang w:eastAsia="ja-JP"/>
              </w:rPr>
              <w:t>Limited</w:t>
            </w:r>
          </w:p>
        </w:tc>
        <w:tc>
          <w:tcPr>
            <w:tcW w:w="423" w:type="pct"/>
            <w:shd w:val="clear" w:color="auto" w:fill="auto"/>
          </w:tcPr>
          <w:p w14:paraId="55EBC612" w14:textId="720F133F" w:rsidR="00E93ED1" w:rsidRPr="0031159C" w:rsidRDefault="00E93ED1" w:rsidP="00036CDA">
            <w:pPr>
              <w:pStyle w:val="TableText"/>
              <w:rPr>
                <w:szCs w:val="18"/>
              </w:rPr>
            </w:pPr>
            <w:r>
              <w:rPr>
                <w:lang w:eastAsia="ja-JP"/>
              </w:rPr>
              <w:t>Limited</w:t>
            </w:r>
          </w:p>
        </w:tc>
        <w:tc>
          <w:tcPr>
            <w:tcW w:w="191" w:type="pct"/>
            <w:shd w:val="clear" w:color="auto" w:fill="auto"/>
          </w:tcPr>
          <w:p w14:paraId="511A83F8" w14:textId="77777777" w:rsidR="00E93ED1" w:rsidRPr="0031159C" w:rsidRDefault="00E93ED1" w:rsidP="00036CDA">
            <w:pPr>
              <w:pStyle w:val="TableText"/>
              <w:rPr>
                <w:szCs w:val="18"/>
              </w:rPr>
            </w:pPr>
            <w:r w:rsidRPr="0031159C">
              <w:rPr>
                <w:szCs w:val="18"/>
              </w:rPr>
              <w:t>1</w:t>
            </w:r>
          </w:p>
        </w:tc>
        <w:tc>
          <w:tcPr>
            <w:tcW w:w="423" w:type="pct"/>
            <w:shd w:val="clear" w:color="auto" w:fill="auto"/>
          </w:tcPr>
          <w:p w14:paraId="01459C5C" w14:textId="3F3804BE" w:rsidR="00E93ED1" w:rsidRPr="0031159C" w:rsidRDefault="001E1A37" w:rsidP="00036CDA">
            <w:pPr>
              <w:pStyle w:val="TableText"/>
              <w:rPr>
                <w:szCs w:val="18"/>
              </w:rPr>
            </w:pPr>
            <w:r>
              <w:rPr>
                <w:lang w:eastAsia="ja-JP"/>
              </w:rPr>
              <w:t>n/a</w:t>
            </w:r>
          </w:p>
        </w:tc>
        <w:tc>
          <w:tcPr>
            <w:tcW w:w="423" w:type="pct"/>
            <w:shd w:val="clear" w:color="auto" w:fill="auto"/>
          </w:tcPr>
          <w:p w14:paraId="668C3209" w14:textId="7C70E102" w:rsidR="00E93ED1" w:rsidRPr="0031159C" w:rsidRDefault="001E1A37" w:rsidP="00036CDA">
            <w:pPr>
              <w:pStyle w:val="TableText"/>
              <w:rPr>
                <w:szCs w:val="18"/>
              </w:rPr>
            </w:pPr>
            <w:r>
              <w:rPr>
                <w:lang w:eastAsia="ja-JP"/>
              </w:rPr>
              <w:t>n/a</w:t>
            </w:r>
          </w:p>
        </w:tc>
        <w:tc>
          <w:tcPr>
            <w:tcW w:w="423" w:type="pct"/>
            <w:shd w:val="clear" w:color="auto" w:fill="auto"/>
          </w:tcPr>
          <w:p w14:paraId="2B688174" w14:textId="5C26C6A0" w:rsidR="00E93ED1" w:rsidRPr="0031159C" w:rsidRDefault="001E1A37" w:rsidP="00036CDA">
            <w:pPr>
              <w:pStyle w:val="TableText"/>
              <w:rPr>
                <w:szCs w:val="18"/>
              </w:rPr>
            </w:pPr>
            <w:r>
              <w:rPr>
                <w:lang w:eastAsia="ja-JP"/>
              </w:rPr>
              <w:t>n/a</w:t>
            </w:r>
          </w:p>
        </w:tc>
        <w:tc>
          <w:tcPr>
            <w:tcW w:w="189" w:type="pct"/>
            <w:shd w:val="clear" w:color="auto" w:fill="auto"/>
          </w:tcPr>
          <w:p w14:paraId="633AF995" w14:textId="6C2183A6" w:rsidR="00E93ED1" w:rsidRPr="0031159C" w:rsidRDefault="001E1A37" w:rsidP="00036CDA">
            <w:pPr>
              <w:pStyle w:val="TableText"/>
              <w:rPr>
                <w:szCs w:val="18"/>
              </w:rPr>
            </w:pPr>
            <w:r>
              <w:rPr>
                <w:lang w:eastAsia="ja-JP"/>
              </w:rPr>
              <w:t>n/a</w:t>
            </w:r>
          </w:p>
        </w:tc>
      </w:tr>
    </w:tbl>
    <w:bookmarkEnd w:id="27"/>
    <w:p w14:paraId="14B8F29D" w14:textId="7656A583" w:rsidR="004B6C5D" w:rsidRDefault="003D0B59" w:rsidP="004B6C5D">
      <w:pPr>
        <w:pStyle w:val="FigureTableNoteSource"/>
        <w:jc w:val="both"/>
        <w:rPr>
          <w:rFonts w:asciiTheme="minorHAnsi" w:hAnsiTheme="minorHAnsi" w:cstheme="minorHAnsi"/>
          <w:sz w:val="16"/>
          <w:szCs w:val="16"/>
        </w:rPr>
        <w:sectPr w:rsidR="004B6C5D" w:rsidSect="00B42877">
          <w:pgSz w:w="16838" w:h="11906" w:orient="landscape"/>
          <w:pgMar w:top="1418" w:right="1418" w:bottom="1418" w:left="1418" w:header="567" w:footer="283" w:gutter="0"/>
          <w:cols w:space="708"/>
          <w:docGrid w:linePitch="360"/>
        </w:sectPr>
      </w:pPr>
      <w:r w:rsidRPr="00BC437D">
        <w:rPr>
          <w:rFonts w:cstheme="minorHAnsi"/>
          <w:sz w:val="16"/>
          <w:szCs w:val="16"/>
        </w:rPr>
        <w:t xml:space="preserve">Note: </w:t>
      </w:r>
      <w:r w:rsidR="00D2134F" w:rsidRPr="00BC437D">
        <w:rPr>
          <w:rStyle w:val="Strong"/>
        </w:rPr>
        <w:t>LV</w:t>
      </w:r>
      <w:r w:rsidR="001E1A37" w:rsidRPr="00BC437D">
        <w:rPr>
          <w:rFonts w:cstheme="minorHAnsi"/>
          <w:sz w:val="16"/>
          <w:szCs w:val="16"/>
        </w:rPr>
        <w:t xml:space="preserve"> L</w:t>
      </w:r>
      <w:r w:rsidR="00D2134F" w:rsidRPr="00BC437D">
        <w:rPr>
          <w:rFonts w:cstheme="minorHAnsi"/>
          <w:sz w:val="16"/>
          <w:szCs w:val="16"/>
        </w:rPr>
        <w:t xml:space="preserve">evel of validation refers to the stage of validation in the </w:t>
      </w:r>
      <w:r w:rsidR="00752336" w:rsidRPr="00BC437D">
        <w:rPr>
          <w:rFonts w:cstheme="minorHAnsi"/>
          <w:sz w:val="16"/>
          <w:szCs w:val="16"/>
        </w:rPr>
        <w:t>WOAH</w:t>
      </w:r>
      <w:r w:rsidR="00D2134F" w:rsidRPr="00BC437D">
        <w:rPr>
          <w:rFonts w:cstheme="minorHAnsi"/>
          <w:sz w:val="16"/>
          <w:szCs w:val="16"/>
        </w:rPr>
        <w:t xml:space="preserve"> Pathway (chapter 1.1.2)</w:t>
      </w:r>
      <w:r w:rsidR="001E1A37" w:rsidRPr="00BC437D">
        <w:rPr>
          <w:rFonts w:cstheme="minorHAnsi"/>
          <w:sz w:val="16"/>
          <w:szCs w:val="16"/>
          <w:lang w:bidi="en-US"/>
        </w:rPr>
        <w:t>.</w:t>
      </w:r>
      <w:r w:rsidR="00D2134F" w:rsidRPr="00BC437D">
        <w:rPr>
          <w:rFonts w:cstheme="minorHAnsi"/>
          <w:sz w:val="16"/>
          <w:szCs w:val="16"/>
          <w:lang w:bidi="en-US"/>
        </w:rPr>
        <w:t xml:space="preserve"> </w:t>
      </w:r>
      <w:r w:rsidR="00D2134F" w:rsidRPr="00BC437D">
        <w:rPr>
          <w:rStyle w:val="Strong"/>
        </w:rPr>
        <w:t>PCR</w:t>
      </w:r>
      <w:r w:rsidR="001E1A37" w:rsidRPr="00BC437D">
        <w:rPr>
          <w:rFonts w:cstheme="minorHAnsi"/>
          <w:sz w:val="16"/>
          <w:szCs w:val="16"/>
        </w:rPr>
        <w:t xml:space="preserve"> P</w:t>
      </w:r>
      <w:r w:rsidR="00D2134F" w:rsidRPr="00BC437D">
        <w:rPr>
          <w:rFonts w:cstheme="minorHAnsi"/>
          <w:sz w:val="16"/>
          <w:szCs w:val="16"/>
        </w:rPr>
        <w:t>olymerase chain reaction. qPCR = real-time PCR</w:t>
      </w:r>
      <w:r w:rsidR="00515C53" w:rsidRPr="00BC437D">
        <w:rPr>
          <w:rFonts w:cstheme="minorHAnsi"/>
          <w:sz w:val="16"/>
          <w:szCs w:val="16"/>
        </w:rPr>
        <w:t>.</w:t>
      </w:r>
      <w:r w:rsidR="004B6C5D">
        <w:rPr>
          <w:rStyle w:val="Strong"/>
        </w:rPr>
        <w:t xml:space="preserve"> a </w:t>
      </w:r>
      <w:r w:rsidR="00D2134F" w:rsidRPr="00BC437D">
        <w:rPr>
          <w:rFonts w:cstheme="minorHAnsi"/>
          <w:sz w:val="16"/>
          <w:szCs w:val="16"/>
        </w:rPr>
        <w:t xml:space="preserve">For confirmatory diagnoses, methods need to be carried out in combination in accordance with Section 3. </w:t>
      </w:r>
      <w:r w:rsidR="004B6C5D" w:rsidRPr="00BC437D">
        <w:rPr>
          <w:rStyle w:val="Strong"/>
        </w:rPr>
        <w:t xml:space="preserve">b </w:t>
      </w:r>
      <w:r w:rsidR="00D2134F" w:rsidRPr="00BC437D">
        <w:rPr>
          <w:rFonts w:cstheme="minorHAnsi"/>
          <w:sz w:val="16"/>
          <w:szCs w:val="16"/>
        </w:rPr>
        <w:t>Early and juvenile life stages refer to larvae and post</w:t>
      </w:r>
      <w:r w:rsidR="004B6C5D">
        <w:rPr>
          <w:rFonts w:asciiTheme="minorHAnsi" w:hAnsiTheme="minorHAnsi" w:cstheme="minorHAnsi"/>
          <w:sz w:val="16"/>
          <w:szCs w:val="16"/>
        </w:rPr>
        <w:t>-</w:t>
      </w:r>
      <w:r w:rsidR="00D2134F" w:rsidRPr="00BC437D">
        <w:rPr>
          <w:rFonts w:cstheme="minorHAnsi"/>
          <w:sz w:val="16"/>
          <w:szCs w:val="16"/>
        </w:rPr>
        <w:t>larvae.</w:t>
      </w:r>
      <w:r w:rsidR="004B6C5D">
        <w:rPr>
          <w:rStyle w:val="Strong"/>
        </w:rPr>
        <w:t xml:space="preserve"> c</w:t>
      </w:r>
      <w:r w:rsidR="004B6C5D">
        <w:rPr>
          <w:rFonts w:asciiTheme="minorHAnsi" w:hAnsiTheme="minorHAnsi" w:cstheme="minorHAnsi"/>
          <w:sz w:val="16"/>
          <w:szCs w:val="16"/>
          <w:vertAlign w:val="superscript"/>
          <w:lang w:bidi="en-US"/>
        </w:rPr>
        <w:t xml:space="preserve"> </w:t>
      </w:r>
      <w:r w:rsidR="00D2134F" w:rsidRPr="00BC437D">
        <w:rPr>
          <w:rFonts w:asciiTheme="minorHAnsi" w:hAnsiTheme="minorHAnsi" w:cstheme="minorHAnsi"/>
          <w:sz w:val="16"/>
          <w:szCs w:val="16"/>
        </w:rPr>
        <w:t>Histopathology can be validated if the results from different operators have been statistically compared.</w:t>
      </w:r>
    </w:p>
    <w:p w14:paraId="51F4EB4A" w14:textId="77777777" w:rsidR="00AE356F" w:rsidRPr="00C85A41" w:rsidRDefault="00AE356F" w:rsidP="00AE356F">
      <w:pPr>
        <w:pStyle w:val="Heading3"/>
      </w:pPr>
      <w:bookmarkStart w:id="28" w:name="_Toc87004659"/>
      <w:bookmarkStart w:id="29" w:name="_Toc141701933"/>
      <w:r w:rsidRPr="00C85A41">
        <w:lastRenderedPageBreak/>
        <w:t>General considerations</w:t>
      </w:r>
      <w:bookmarkEnd w:id="28"/>
      <w:bookmarkEnd w:id="29"/>
    </w:p>
    <w:p w14:paraId="3BF3648D" w14:textId="0045DB4C" w:rsidR="00AE356F" w:rsidRPr="00216C97" w:rsidRDefault="00AE356F" w:rsidP="00D2134F">
      <w:r w:rsidRPr="00216C97">
        <w:t>Virus isolation on cell lines is not available for WSSV. Detection has instead focused primarily on histology and molecular methods.</w:t>
      </w:r>
    </w:p>
    <w:p w14:paraId="036559EE" w14:textId="36117552" w:rsidR="00AE356F" w:rsidRPr="00216C97" w:rsidRDefault="00AE356F" w:rsidP="00D2134F">
      <w:r w:rsidRPr="00216C97">
        <w:t xml:space="preserve">Histopathology and transmission electron microscopy (TEM) (Takahashi </w:t>
      </w:r>
      <w:r w:rsidR="00995C15">
        <w:t xml:space="preserve">et al. </w:t>
      </w:r>
      <w:r w:rsidRPr="00216C97">
        <w:t xml:space="preserve">1994; Chou </w:t>
      </w:r>
      <w:r w:rsidR="00995C15">
        <w:t xml:space="preserve">et al. </w:t>
      </w:r>
      <w:r w:rsidRPr="00216C97">
        <w:t xml:space="preserve">1995; Wongteerasupaya </w:t>
      </w:r>
      <w:r w:rsidR="00995C15">
        <w:t xml:space="preserve">et al. </w:t>
      </w:r>
      <w:r w:rsidRPr="00216C97">
        <w:t xml:space="preserve">1995b) have been used to detect WSSV along with dot blot hybridisation (Edgerton, 2004), </w:t>
      </w:r>
      <w:r w:rsidRPr="00216C97">
        <w:rPr>
          <w:rStyle w:val="Emphasis"/>
        </w:rPr>
        <w:t>in situ</w:t>
      </w:r>
      <w:r w:rsidRPr="00216C97">
        <w:t xml:space="preserve"> hybridisation (ISH) (Chang </w:t>
      </w:r>
      <w:r w:rsidR="00995C15">
        <w:t xml:space="preserve">et al. </w:t>
      </w:r>
      <w:r w:rsidRPr="00216C97">
        <w:t xml:space="preserve">1996; Durand </w:t>
      </w:r>
      <w:r w:rsidR="00995C15">
        <w:t xml:space="preserve">et al. </w:t>
      </w:r>
      <w:r w:rsidRPr="00216C97">
        <w:t xml:space="preserve">1996; Lo </w:t>
      </w:r>
      <w:r w:rsidR="00995C15">
        <w:t xml:space="preserve">et al. </w:t>
      </w:r>
      <w:r w:rsidRPr="00216C97">
        <w:t xml:space="preserve">1997; Wongteerasupaya </w:t>
      </w:r>
      <w:r w:rsidR="00995C15">
        <w:t xml:space="preserve">et al. </w:t>
      </w:r>
      <w:r w:rsidRPr="00216C97">
        <w:t xml:space="preserve">1996) and loop mediated isothermal amplification (LAMP) (Mekata </w:t>
      </w:r>
      <w:r w:rsidR="00995C15">
        <w:t xml:space="preserve">et al. </w:t>
      </w:r>
      <w:r w:rsidRPr="00216C97">
        <w:t xml:space="preserve">2009; Srisuvan </w:t>
      </w:r>
      <w:r w:rsidR="00995C15">
        <w:t xml:space="preserve">et al. </w:t>
      </w:r>
      <w:r w:rsidRPr="00216C97">
        <w:t xml:space="preserve">2013). Various antibody-based tests using either monoclonal or polyclonal antibodies against WSSV have been developed for WSSV detection (Nadala &amp; Loh 2000; Poulos </w:t>
      </w:r>
      <w:r w:rsidR="00995C15">
        <w:t xml:space="preserve">et al. </w:t>
      </w:r>
      <w:r w:rsidRPr="00216C97">
        <w:t xml:space="preserve">2001; Anil </w:t>
      </w:r>
      <w:r w:rsidR="00995C15">
        <w:t xml:space="preserve">et al. </w:t>
      </w:r>
      <w:r w:rsidRPr="00216C97">
        <w:t xml:space="preserve">2002; You </w:t>
      </w:r>
      <w:r w:rsidR="00995C15">
        <w:t xml:space="preserve">et al. </w:t>
      </w:r>
      <w:r w:rsidRPr="00216C97">
        <w:t xml:space="preserve">2002; Yoganandhan </w:t>
      </w:r>
      <w:r w:rsidR="00995C15">
        <w:t xml:space="preserve">et al. </w:t>
      </w:r>
      <w:r w:rsidRPr="00216C97">
        <w:t xml:space="preserve">2004; Sithigorngul </w:t>
      </w:r>
      <w:r w:rsidR="00995C15">
        <w:t xml:space="preserve">et al. </w:t>
      </w:r>
      <w:r w:rsidRPr="00216C97">
        <w:t xml:space="preserve">2006). Molecular methods such as qPCR (Durand &amp; Lightner 2002; Sritunyalucksana </w:t>
      </w:r>
      <w:r w:rsidR="00995C15">
        <w:t xml:space="preserve">et al. </w:t>
      </w:r>
      <w:r w:rsidRPr="00216C97">
        <w:t xml:space="preserve">2006; Mendoza-Cano &amp; Sánchez-Paz 2013) and conventional PCR (Lo </w:t>
      </w:r>
      <w:r w:rsidR="00995C15">
        <w:t xml:space="preserve">et al. </w:t>
      </w:r>
      <w:r w:rsidRPr="00216C97">
        <w:t xml:space="preserve">1996a; Lo </w:t>
      </w:r>
      <w:r w:rsidR="00995C15">
        <w:t xml:space="preserve">et al. </w:t>
      </w:r>
      <w:r w:rsidRPr="00216C97">
        <w:t xml:space="preserve">1996b; Lo </w:t>
      </w:r>
      <w:r w:rsidR="00995C15">
        <w:t xml:space="preserve">et al. </w:t>
      </w:r>
      <w:r w:rsidRPr="00216C97">
        <w:t xml:space="preserve">1997; Maeda </w:t>
      </w:r>
      <w:r w:rsidR="00995C15">
        <w:t xml:space="preserve">et al. </w:t>
      </w:r>
      <w:r w:rsidRPr="00216C97">
        <w:t>1997) are commonly used for WSSV screening and confirmatory testing.</w:t>
      </w:r>
    </w:p>
    <w:p w14:paraId="6237B7BB" w14:textId="77777777" w:rsidR="00AE356F" w:rsidRPr="00216C97" w:rsidRDefault="00AE356F" w:rsidP="00AE356F">
      <w:pPr>
        <w:pStyle w:val="Heading3"/>
      </w:pPr>
      <w:bookmarkStart w:id="30" w:name="_Toc87004660"/>
      <w:bookmarkStart w:id="31" w:name="_Toc141701934"/>
      <w:r w:rsidRPr="00216C97">
        <w:t>Histopathology</w:t>
      </w:r>
      <w:bookmarkEnd w:id="30"/>
      <w:bookmarkEnd w:id="31"/>
    </w:p>
    <w:p w14:paraId="0E906A96" w14:textId="77777777" w:rsidR="00AE356F" w:rsidRPr="00C85A41" w:rsidRDefault="00AE356F" w:rsidP="00AE356F">
      <w:pPr>
        <w:pStyle w:val="Heading4"/>
      </w:pPr>
      <w:r w:rsidRPr="00C85A41">
        <w:rPr>
          <w:rFonts w:eastAsiaTheme="minorHAnsi"/>
        </w:rPr>
        <w:t>Samples for histopathology</w:t>
      </w:r>
    </w:p>
    <w:p w14:paraId="5555B450" w14:textId="77777777" w:rsidR="00AE356F" w:rsidRPr="00C85A41" w:rsidRDefault="00AE356F" w:rsidP="00AE356F">
      <w:pPr>
        <w:pStyle w:val="Heading5"/>
      </w:pPr>
      <w:r w:rsidRPr="00C85A41">
        <w:t>Fixation</w:t>
      </w:r>
    </w:p>
    <w:p w14:paraId="53F34744" w14:textId="7B906B8C" w:rsidR="00AE356F" w:rsidRPr="00CD74B5" w:rsidRDefault="00AE356F" w:rsidP="00BC437D">
      <w:r w:rsidRPr="00CD74B5">
        <w:t>For larvae and small post</w:t>
      </w:r>
      <w:r w:rsidR="00AE06ED" w:rsidRPr="00CD74B5">
        <w:t>-</w:t>
      </w:r>
      <w:r w:rsidRPr="00CD74B5">
        <w:t xml:space="preserve">larvae, live animals can be immersed directly into Davidson’s fixative solution </w:t>
      </w:r>
      <w:hyperlink w:anchor="_Appendix_A:_Reagents" w:history="1">
        <w:r w:rsidR="00151297" w:rsidRPr="00151297">
          <w:rPr>
            <w:rStyle w:val="Hyperlink"/>
          </w:rPr>
          <w:t xml:space="preserve">(Appendix </w:t>
        </w:r>
      </w:hyperlink>
      <w:hyperlink w:anchor="_Appendix_A:_Reagents" w:history="1">
        <w:r w:rsidR="00151297" w:rsidRPr="00151297">
          <w:rPr>
            <w:rStyle w:val="Hyperlink"/>
          </w:rPr>
          <w:t>A</w:t>
        </w:r>
      </w:hyperlink>
      <w:r w:rsidR="00151297">
        <w:t xml:space="preserve">) </w:t>
      </w:r>
      <w:r w:rsidRPr="00CD74B5">
        <w:t>and left for 24 to 72 hours. For</w:t>
      </w:r>
      <w:r w:rsidRPr="00BC437D">
        <w:t xml:space="preserve"> </w:t>
      </w:r>
      <w:r w:rsidRPr="00CD74B5">
        <w:t>larger</w:t>
      </w:r>
      <w:r w:rsidRPr="00BC437D">
        <w:t xml:space="preserve"> po</w:t>
      </w:r>
      <w:r w:rsidRPr="00CD74B5">
        <w:t>st</w:t>
      </w:r>
      <w:r w:rsidR="00CD74B5">
        <w:t>-</w:t>
      </w:r>
      <w:r w:rsidRPr="00CD74B5">
        <w:t>larvae</w:t>
      </w:r>
      <w:r w:rsidRPr="00BC437D">
        <w:t xml:space="preserve"> </w:t>
      </w:r>
      <w:r w:rsidRPr="00CD74B5">
        <w:t>a</w:t>
      </w:r>
      <w:r w:rsidRPr="00BC437D">
        <w:t>n</w:t>
      </w:r>
      <w:r w:rsidRPr="00CD74B5">
        <w:t>d</w:t>
      </w:r>
      <w:r w:rsidRPr="00BC437D">
        <w:t xml:space="preserve"> </w:t>
      </w:r>
      <w:r w:rsidRPr="00CD74B5">
        <w:t>very</w:t>
      </w:r>
      <w:r w:rsidRPr="00BC437D">
        <w:t xml:space="preserve"> </w:t>
      </w:r>
      <w:r w:rsidRPr="00CD74B5">
        <w:t>small</w:t>
      </w:r>
      <w:r w:rsidRPr="00BC437D">
        <w:t xml:space="preserve"> </w:t>
      </w:r>
      <w:r w:rsidRPr="00CD74B5">
        <w:t>juven</w:t>
      </w:r>
      <w:r w:rsidRPr="00BC437D">
        <w:t>i</w:t>
      </w:r>
      <w:r w:rsidRPr="00CD74B5">
        <w:t>les,</w:t>
      </w:r>
      <w:r w:rsidRPr="00BC437D">
        <w:t xml:space="preserve"> i</w:t>
      </w:r>
      <w:r w:rsidRPr="00CD74B5">
        <w:t>ncise</w:t>
      </w:r>
      <w:r w:rsidRPr="00BC437D">
        <w:t xml:space="preserve"> </w:t>
      </w:r>
      <w:r w:rsidRPr="00CD74B5">
        <w:t>the</w:t>
      </w:r>
      <w:r w:rsidRPr="00BC437D">
        <w:t xml:space="preserve"> </w:t>
      </w:r>
      <w:r w:rsidRPr="00CD74B5">
        <w:t>cuticle</w:t>
      </w:r>
      <w:r w:rsidRPr="00BC437D">
        <w:t xml:space="preserve"> </w:t>
      </w:r>
      <w:r w:rsidRPr="00CD74B5">
        <w:t>with</w:t>
      </w:r>
      <w:r w:rsidRPr="00BC437D">
        <w:t xml:space="preserve"> </w:t>
      </w:r>
      <w:r w:rsidRPr="00CD74B5">
        <w:t>a</w:t>
      </w:r>
      <w:r w:rsidRPr="00BC437D">
        <w:t xml:space="preserve"> </w:t>
      </w:r>
      <w:r w:rsidRPr="00CD74B5">
        <w:t>need</w:t>
      </w:r>
      <w:r w:rsidRPr="00BC437D">
        <w:t>l</w:t>
      </w:r>
      <w:r w:rsidRPr="00CD74B5">
        <w:t>e before fixing. After fixation for 24</w:t>
      </w:r>
      <w:r w:rsidR="00AE06ED" w:rsidRPr="00CD74B5">
        <w:t xml:space="preserve"> to </w:t>
      </w:r>
      <w:r w:rsidRPr="00CD74B5">
        <w:t>72 hours, transfer to 70% (v/v) ethanol and transport at ambient temperature. Davidson’s fixative is a highly acidic fixative that decalcifies the shell to facilitate tissue processing and sectioning. Conventional fixative solutions, such as 10% neutral buffered formalin, do not decalcify or penetrate the shell, which results in poor fixation and difficulty in cutting sections. Precautions must be taken to avoid skin and eye contact with Davidson’s fixative solution.</w:t>
      </w:r>
    </w:p>
    <w:p w14:paraId="3701CC40" w14:textId="32E4655E" w:rsidR="00AE356F" w:rsidRPr="005A71A0" w:rsidRDefault="00AE356F" w:rsidP="005A71A0">
      <w:r w:rsidRPr="005A71A0">
        <w:t>For</w:t>
      </w:r>
      <w:r w:rsidRPr="00BC437D">
        <w:t xml:space="preserve"> </w:t>
      </w:r>
      <w:r w:rsidRPr="005A71A0">
        <w:t>juvenile</w:t>
      </w:r>
      <w:r w:rsidRPr="00BC437D">
        <w:t xml:space="preserve"> </w:t>
      </w:r>
      <w:r w:rsidRPr="005A71A0">
        <w:t>and</w:t>
      </w:r>
      <w:r w:rsidRPr="00BC437D">
        <w:t xml:space="preserve"> </w:t>
      </w:r>
      <w:r w:rsidRPr="005A71A0">
        <w:t>a</w:t>
      </w:r>
      <w:r w:rsidRPr="00BC437D">
        <w:t>d</w:t>
      </w:r>
      <w:r w:rsidRPr="005A71A0">
        <w:t>ult</w:t>
      </w:r>
      <w:r w:rsidRPr="00BC437D">
        <w:t xml:space="preserve"> </w:t>
      </w:r>
      <w:r w:rsidRPr="005A71A0">
        <w:t>prawns, after chilling or anaesthesia,</w:t>
      </w:r>
      <w:r w:rsidRPr="00BC437D">
        <w:t xml:space="preserve"> </w:t>
      </w:r>
      <w:r w:rsidRPr="005A71A0">
        <w:t>inj</w:t>
      </w:r>
      <w:r w:rsidRPr="00BC437D">
        <w:t>e</w:t>
      </w:r>
      <w:r w:rsidRPr="005A71A0">
        <w:t>ct</w:t>
      </w:r>
      <w:r w:rsidRPr="00BC437D">
        <w:t xml:space="preserve"> Da</w:t>
      </w:r>
      <w:r w:rsidRPr="005A71A0">
        <w:t>vids</w:t>
      </w:r>
      <w:r w:rsidRPr="00BC437D">
        <w:t>o</w:t>
      </w:r>
      <w:r w:rsidRPr="005A71A0">
        <w:t>n</w:t>
      </w:r>
      <w:r w:rsidRPr="00BC437D">
        <w:t>’</w:t>
      </w:r>
      <w:r w:rsidRPr="005A71A0">
        <w:t>s fixative ensuri</w:t>
      </w:r>
      <w:r w:rsidRPr="00BC437D">
        <w:t>n</w:t>
      </w:r>
      <w:r w:rsidRPr="005A71A0">
        <w:t>g that the</w:t>
      </w:r>
      <w:r w:rsidRPr="00BC437D">
        <w:t xml:space="preserve"> </w:t>
      </w:r>
      <w:r w:rsidRPr="005A71A0">
        <w:t>hepatopa</w:t>
      </w:r>
      <w:r w:rsidRPr="00BC437D">
        <w:t>n</w:t>
      </w:r>
      <w:r w:rsidRPr="005A71A0">
        <w:t>creas</w:t>
      </w:r>
      <w:r w:rsidRPr="00BC437D">
        <w:t xml:space="preserve"> </w:t>
      </w:r>
      <w:r w:rsidRPr="005A71A0">
        <w:t>is</w:t>
      </w:r>
      <w:r w:rsidRPr="00BC437D">
        <w:t xml:space="preserve"> </w:t>
      </w:r>
      <w:r w:rsidRPr="005A71A0">
        <w:t>injected</w:t>
      </w:r>
      <w:r w:rsidRPr="00BC437D">
        <w:t xml:space="preserve"> </w:t>
      </w:r>
      <w:r w:rsidRPr="005A71A0">
        <w:t>liberally first,</w:t>
      </w:r>
      <w:r w:rsidRPr="00BC437D">
        <w:t xml:space="preserve"> </w:t>
      </w:r>
      <w:r w:rsidRPr="005A71A0">
        <w:t>and</w:t>
      </w:r>
      <w:r w:rsidRPr="00BC437D">
        <w:t xml:space="preserve"> </w:t>
      </w:r>
      <w:r w:rsidRPr="005A71A0">
        <w:t>that</w:t>
      </w:r>
      <w:r w:rsidRPr="00BC437D">
        <w:t xml:space="preserve"> </w:t>
      </w:r>
      <w:r w:rsidRPr="005A71A0">
        <w:t>the</w:t>
      </w:r>
      <w:r w:rsidRPr="00BC437D">
        <w:t xml:space="preserve"> </w:t>
      </w:r>
      <w:r w:rsidRPr="005A71A0">
        <w:t>whole</w:t>
      </w:r>
      <w:r w:rsidRPr="00BC437D">
        <w:t xml:space="preserve"> </w:t>
      </w:r>
      <w:r w:rsidRPr="005A71A0">
        <w:t>spec</w:t>
      </w:r>
      <w:r w:rsidRPr="00BC437D">
        <w:t>i</w:t>
      </w:r>
      <w:r w:rsidRPr="005A71A0">
        <w:t>men</w:t>
      </w:r>
      <w:r w:rsidRPr="00BC437D">
        <w:t xml:space="preserve"> </w:t>
      </w:r>
      <w:r w:rsidRPr="005A71A0">
        <w:t>is thoroughly</w:t>
      </w:r>
      <w:r w:rsidRPr="00BC437D">
        <w:t xml:space="preserve"> i</w:t>
      </w:r>
      <w:r w:rsidRPr="005A71A0">
        <w:t>njected</w:t>
      </w:r>
      <w:r w:rsidRPr="00BC437D">
        <w:t xml:space="preserve"> </w:t>
      </w:r>
      <w:r w:rsidRPr="005A71A0">
        <w:t>ther</w:t>
      </w:r>
      <w:r w:rsidRPr="00BC437D">
        <w:t>ea</w:t>
      </w:r>
      <w:r w:rsidRPr="005A71A0">
        <w:t>fter with 5</w:t>
      </w:r>
      <w:r w:rsidR="005A71A0" w:rsidRPr="005A71A0">
        <w:t xml:space="preserve"> to </w:t>
      </w:r>
      <w:r w:rsidRPr="005A71A0">
        <w:t>10% of its body weight of fixative. If</w:t>
      </w:r>
      <w:r w:rsidRPr="00BC437D">
        <w:t xml:space="preserve"> </w:t>
      </w:r>
      <w:r w:rsidRPr="005A71A0">
        <w:t>this</w:t>
      </w:r>
      <w:r w:rsidRPr="00BC437D">
        <w:t xml:space="preserve"> </w:t>
      </w:r>
      <w:r w:rsidRPr="005A71A0">
        <w:t>is</w:t>
      </w:r>
      <w:r w:rsidRPr="00BC437D">
        <w:t xml:space="preserve"> </w:t>
      </w:r>
      <w:r w:rsidRPr="005A71A0">
        <w:t>done</w:t>
      </w:r>
      <w:r w:rsidRPr="00BC437D">
        <w:t xml:space="preserve"> </w:t>
      </w:r>
      <w:r w:rsidRPr="005A71A0">
        <w:t>pro</w:t>
      </w:r>
      <w:r w:rsidRPr="00BC437D">
        <w:t>p</w:t>
      </w:r>
      <w:r w:rsidRPr="005A71A0">
        <w:t>erly,</w:t>
      </w:r>
      <w:r w:rsidRPr="00BC437D">
        <w:t xml:space="preserve"> </w:t>
      </w:r>
      <w:r w:rsidRPr="005A71A0">
        <w:t>the</w:t>
      </w:r>
      <w:r w:rsidRPr="00BC437D">
        <w:t xml:space="preserve"> </w:t>
      </w:r>
      <w:r w:rsidRPr="005A71A0">
        <w:t>whole</w:t>
      </w:r>
      <w:r w:rsidRPr="00BC437D">
        <w:t xml:space="preserve"> </w:t>
      </w:r>
      <w:r w:rsidRPr="005A71A0">
        <w:t>body</w:t>
      </w:r>
      <w:r w:rsidRPr="00BC437D">
        <w:t xml:space="preserve"> </w:t>
      </w:r>
      <w:r w:rsidRPr="005A71A0">
        <w:t>wi</w:t>
      </w:r>
      <w:r w:rsidRPr="00BC437D">
        <w:t>l</w:t>
      </w:r>
      <w:r w:rsidRPr="005A71A0">
        <w:t>l</w:t>
      </w:r>
      <w:r w:rsidRPr="00BC437D">
        <w:t xml:space="preserve"> </w:t>
      </w:r>
      <w:r w:rsidRPr="005A71A0">
        <w:t>turn red. Next,</w:t>
      </w:r>
      <w:r w:rsidRPr="00BC437D">
        <w:t xml:space="preserve"> </w:t>
      </w:r>
      <w:r w:rsidRPr="005A71A0">
        <w:t>using</w:t>
      </w:r>
      <w:r w:rsidRPr="00BC437D">
        <w:t xml:space="preserve"> </w:t>
      </w:r>
      <w:r w:rsidRPr="005A71A0">
        <w:t>a</w:t>
      </w:r>
      <w:r w:rsidRPr="00BC437D">
        <w:t xml:space="preserve"> </w:t>
      </w:r>
      <w:r w:rsidRPr="005A71A0">
        <w:t>small</w:t>
      </w:r>
      <w:r w:rsidRPr="00BC437D">
        <w:t xml:space="preserve"> </w:t>
      </w:r>
      <w:r w:rsidRPr="005A71A0">
        <w:t>pair</w:t>
      </w:r>
      <w:r w:rsidRPr="00BC437D">
        <w:t xml:space="preserve"> </w:t>
      </w:r>
      <w:r w:rsidRPr="005A71A0">
        <w:t>of</w:t>
      </w:r>
      <w:r w:rsidRPr="00BC437D">
        <w:t xml:space="preserve"> </w:t>
      </w:r>
      <w:r w:rsidRPr="005A71A0">
        <w:t>pointed</w:t>
      </w:r>
      <w:r w:rsidRPr="00BC437D">
        <w:t xml:space="preserve"> </w:t>
      </w:r>
      <w:r w:rsidRPr="005A71A0">
        <w:t>scissors,</w:t>
      </w:r>
      <w:r w:rsidRPr="00BC437D">
        <w:t xml:space="preserve"> </w:t>
      </w:r>
      <w:r w:rsidRPr="005A71A0">
        <w:t>the</w:t>
      </w:r>
      <w:r w:rsidRPr="00BC437D">
        <w:t xml:space="preserve"> </w:t>
      </w:r>
      <w:r w:rsidRPr="005A71A0">
        <w:t>cuticle</w:t>
      </w:r>
      <w:r w:rsidRPr="00BC437D">
        <w:t xml:space="preserve"> </w:t>
      </w:r>
      <w:r w:rsidRPr="005A71A0">
        <w:t>only</w:t>
      </w:r>
      <w:r w:rsidRPr="00BC437D">
        <w:t xml:space="preserve"> </w:t>
      </w:r>
      <w:r w:rsidRPr="005A71A0">
        <w:t>should</w:t>
      </w:r>
      <w:r w:rsidRPr="00BC437D">
        <w:t xml:space="preserve"> </w:t>
      </w:r>
      <w:r w:rsidRPr="005A71A0">
        <w:t>be</w:t>
      </w:r>
      <w:r w:rsidRPr="00BC437D">
        <w:t xml:space="preserve"> </w:t>
      </w:r>
      <w:r w:rsidRPr="005A71A0">
        <w:t>cut along</w:t>
      </w:r>
      <w:r w:rsidRPr="00BC437D">
        <w:t xml:space="preserve"> </w:t>
      </w:r>
      <w:r w:rsidRPr="005A71A0">
        <w:t>the</w:t>
      </w:r>
      <w:r w:rsidRPr="00BC437D">
        <w:t xml:space="preserve"> </w:t>
      </w:r>
      <w:r w:rsidRPr="005A71A0">
        <w:t>mid-lateral</w:t>
      </w:r>
      <w:r w:rsidRPr="00BC437D">
        <w:t xml:space="preserve"> </w:t>
      </w:r>
      <w:r w:rsidRPr="005A71A0">
        <w:t>si</w:t>
      </w:r>
      <w:r w:rsidRPr="00BC437D">
        <w:t>d</w:t>
      </w:r>
      <w:r w:rsidRPr="005A71A0">
        <w:t>e</w:t>
      </w:r>
      <w:r w:rsidRPr="00BC437D">
        <w:t xml:space="preserve"> </w:t>
      </w:r>
      <w:r w:rsidRPr="005A71A0">
        <w:t>of</w:t>
      </w:r>
      <w:r w:rsidRPr="00BC437D">
        <w:t xml:space="preserve"> </w:t>
      </w:r>
      <w:r w:rsidRPr="005A71A0">
        <w:t>the</w:t>
      </w:r>
      <w:r w:rsidRPr="00BC437D">
        <w:t xml:space="preserve"> </w:t>
      </w:r>
      <w:r w:rsidRPr="005A71A0">
        <w:t>animal,</w:t>
      </w:r>
      <w:r w:rsidRPr="00BC437D">
        <w:t xml:space="preserve"> </w:t>
      </w:r>
      <w:r w:rsidRPr="005A71A0">
        <w:t>starting</w:t>
      </w:r>
      <w:r w:rsidRPr="00BC437D">
        <w:t xml:space="preserve"> </w:t>
      </w:r>
      <w:r w:rsidRPr="005A71A0">
        <w:t>at</w:t>
      </w:r>
      <w:r w:rsidRPr="00BC437D">
        <w:t xml:space="preserve"> </w:t>
      </w:r>
      <w:r w:rsidRPr="005A71A0">
        <w:t>the</w:t>
      </w:r>
      <w:r w:rsidRPr="00BC437D">
        <w:t xml:space="preserve"> </w:t>
      </w:r>
      <w:r w:rsidRPr="005A71A0">
        <w:t>sixth</w:t>
      </w:r>
      <w:r w:rsidRPr="00BC437D">
        <w:t xml:space="preserve"> </w:t>
      </w:r>
      <w:r w:rsidRPr="005A71A0">
        <w:t>abdomi</w:t>
      </w:r>
      <w:r w:rsidRPr="00BC437D">
        <w:t>na</w:t>
      </w:r>
      <w:r w:rsidRPr="005A71A0">
        <w:t>l</w:t>
      </w:r>
      <w:r w:rsidRPr="00BC437D">
        <w:t xml:space="preserve"> </w:t>
      </w:r>
      <w:r w:rsidRPr="005A71A0">
        <w:t>segment and</w:t>
      </w:r>
      <w:r w:rsidRPr="00BC437D">
        <w:t xml:space="preserve"> </w:t>
      </w:r>
      <w:r w:rsidRPr="005A71A0">
        <w:t>moving</w:t>
      </w:r>
      <w:r w:rsidRPr="00BC437D">
        <w:t xml:space="preserve"> </w:t>
      </w:r>
      <w:r w:rsidRPr="005A71A0">
        <w:t>up</w:t>
      </w:r>
      <w:r w:rsidRPr="00BC437D">
        <w:t xml:space="preserve"> </w:t>
      </w:r>
      <w:r w:rsidRPr="005A71A0">
        <w:t>to</w:t>
      </w:r>
      <w:r w:rsidRPr="00BC437D">
        <w:t xml:space="preserve"> </w:t>
      </w:r>
      <w:r w:rsidRPr="005A71A0">
        <w:t>the</w:t>
      </w:r>
      <w:r w:rsidRPr="00BC437D">
        <w:t xml:space="preserve"> </w:t>
      </w:r>
      <w:r w:rsidRPr="005A71A0">
        <w:t>b</w:t>
      </w:r>
      <w:r w:rsidRPr="00BC437D">
        <w:t>e</w:t>
      </w:r>
      <w:r w:rsidRPr="005A71A0">
        <w:t>ginning</w:t>
      </w:r>
      <w:r w:rsidRPr="00BC437D">
        <w:t xml:space="preserve"> </w:t>
      </w:r>
      <w:r w:rsidRPr="005A71A0">
        <w:t>of</w:t>
      </w:r>
      <w:r w:rsidRPr="00BC437D">
        <w:t xml:space="preserve"> </w:t>
      </w:r>
      <w:r w:rsidRPr="005A71A0">
        <w:t>the</w:t>
      </w:r>
      <w:r w:rsidRPr="00BC437D">
        <w:t xml:space="preserve"> </w:t>
      </w:r>
      <w:r w:rsidRPr="005A71A0">
        <w:t>cepha</w:t>
      </w:r>
      <w:r w:rsidRPr="00BC437D">
        <w:t>l</w:t>
      </w:r>
      <w:r w:rsidRPr="005A71A0">
        <w:t>ot</w:t>
      </w:r>
      <w:r w:rsidRPr="00BC437D">
        <w:t>ho</w:t>
      </w:r>
      <w:r w:rsidRPr="005A71A0">
        <w:t>rax,</w:t>
      </w:r>
      <w:r w:rsidRPr="00BC437D">
        <w:t xml:space="preserve"> </w:t>
      </w:r>
      <w:r w:rsidRPr="005A71A0">
        <w:t>at</w:t>
      </w:r>
      <w:r w:rsidRPr="00BC437D">
        <w:t xml:space="preserve"> </w:t>
      </w:r>
      <w:r w:rsidRPr="005A71A0">
        <w:t>w</w:t>
      </w:r>
      <w:r w:rsidRPr="00BC437D">
        <w:t>h</w:t>
      </w:r>
      <w:r w:rsidRPr="005A71A0">
        <w:t>ich</w:t>
      </w:r>
      <w:r w:rsidRPr="00BC437D">
        <w:t xml:space="preserve"> </w:t>
      </w:r>
      <w:r w:rsidRPr="005A71A0">
        <w:t>point</w:t>
      </w:r>
      <w:r w:rsidRPr="00BC437D">
        <w:t xml:space="preserve"> </w:t>
      </w:r>
      <w:r w:rsidRPr="005A71A0">
        <w:t>the</w:t>
      </w:r>
      <w:r w:rsidRPr="00BC437D">
        <w:t xml:space="preserve"> s</w:t>
      </w:r>
      <w:r w:rsidRPr="005A71A0">
        <w:t>cissors should</w:t>
      </w:r>
      <w:r w:rsidRPr="00BC437D">
        <w:t xml:space="preserve"> </w:t>
      </w:r>
      <w:r w:rsidRPr="005A71A0">
        <w:t>be</w:t>
      </w:r>
      <w:r w:rsidRPr="00BC437D">
        <w:t xml:space="preserve"> </w:t>
      </w:r>
      <w:r w:rsidRPr="005A71A0">
        <w:t>a</w:t>
      </w:r>
      <w:r w:rsidRPr="00BC437D">
        <w:t>n</w:t>
      </w:r>
      <w:r w:rsidRPr="005A71A0">
        <w:t>gled</w:t>
      </w:r>
      <w:r w:rsidRPr="00BC437D">
        <w:t xml:space="preserve"> </w:t>
      </w:r>
      <w:r w:rsidRPr="005A71A0">
        <w:t>in</w:t>
      </w:r>
      <w:r w:rsidRPr="00BC437D">
        <w:t xml:space="preserve"> </w:t>
      </w:r>
      <w:r w:rsidRPr="005A71A0">
        <w:t>to</w:t>
      </w:r>
      <w:r w:rsidRPr="00BC437D">
        <w:t xml:space="preserve"> </w:t>
      </w:r>
      <w:r w:rsidRPr="005A71A0">
        <w:t>meet</w:t>
      </w:r>
      <w:r w:rsidRPr="00BC437D">
        <w:t xml:space="preserve"> </w:t>
      </w:r>
      <w:r w:rsidRPr="005A71A0">
        <w:t>the</w:t>
      </w:r>
      <w:r w:rsidRPr="00BC437D">
        <w:t xml:space="preserve"> </w:t>
      </w:r>
      <w:r w:rsidRPr="005A71A0">
        <w:t>base</w:t>
      </w:r>
      <w:r w:rsidRPr="00BC437D">
        <w:t xml:space="preserve"> </w:t>
      </w:r>
      <w:r w:rsidRPr="005A71A0">
        <w:t>of</w:t>
      </w:r>
      <w:r w:rsidRPr="00BC437D">
        <w:t xml:space="preserve"> </w:t>
      </w:r>
      <w:r w:rsidRPr="005A71A0">
        <w:t>the</w:t>
      </w:r>
      <w:r w:rsidRPr="00BC437D">
        <w:t xml:space="preserve"> </w:t>
      </w:r>
      <w:r w:rsidRPr="005A71A0">
        <w:t>rostrum. Then</w:t>
      </w:r>
      <w:r w:rsidRPr="00BC437D">
        <w:t xml:space="preserve"> </w:t>
      </w:r>
      <w:r w:rsidRPr="005A71A0">
        <w:t>the</w:t>
      </w:r>
      <w:r w:rsidRPr="00BC437D">
        <w:t xml:space="preserve"> </w:t>
      </w:r>
      <w:r w:rsidRPr="005A71A0">
        <w:t>whole</w:t>
      </w:r>
      <w:r w:rsidRPr="00BC437D">
        <w:t xml:space="preserve"> </w:t>
      </w:r>
      <w:r w:rsidRPr="005A71A0">
        <w:t>pra</w:t>
      </w:r>
      <w:r w:rsidRPr="00BC437D">
        <w:t>w</w:t>
      </w:r>
      <w:r w:rsidRPr="005A71A0">
        <w:t>n</w:t>
      </w:r>
      <w:r w:rsidRPr="00BC437D">
        <w:t xml:space="preserve"> </w:t>
      </w:r>
      <w:r w:rsidRPr="005A71A0">
        <w:t>shou</w:t>
      </w:r>
      <w:r w:rsidRPr="00BC437D">
        <w:t>l</w:t>
      </w:r>
      <w:r w:rsidRPr="005A71A0">
        <w:t>d be</w:t>
      </w:r>
      <w:r w:rsidRPr="00BC437D">
        <w:t xml:space="preserve"> </w:t>
      </w:r>
      <w:r w:rsidRPr="005A71A0">
        <w:t>pl</w:t>
      </w:r>
      <w:r w:rsidRPr="00BC437D">
        <w:t>ac</w:t>
      </w:r>
      <w:r w:rsidRPr="005A71A0">
        <w:t>ed in</w:t>
      </w:r>
      <w:r w:rsidRPr="00BC437D">
        <w:t xml:space="preserve"> 10 </w:t>
      </w:r>
      <w:r w:rsidRPr="005A71A0">
        <w:t>v</w:t>
      </w:r>
      <w:r w:rsidRPr="00BC437D">
        <w:t>ol</w:t>
      </w:r>
      <w:r w:rsidRPr="005A71A0">
        <w:t>u</w:t>
      </w:r>
      <w:r w:rsidRPr="00BC437D">
        <w:t>m</w:t>
      </w:r>
      <w:r w:rsidRPr="005A71A0">
        <w:t>es</w:t>
      </w:r>
      <w:r w:rsidRPr="00BC437D">
        <w:t xml:space="preserve"> o</w:t>
      </w:r>
      <w:r w:rsidRPr="005A71A0">
        <w:t>f</w:t>
      </w:r>
      <w:r w:rsidRPr="00BC437D">
        <w:t xml:space="preserve"> Da</w:t>
      </w:r>
      <w:r w:rsidRPr="005A71A0">
        <w:t>vids</w:t>
      </w:r>
      <w:r w:rsidRPr="00BC437D">
        <w:t>o</w:t>
      </w:r>
      <w:r w:rsidRPr="005A71A0">
        <w:t>n</w:t>
      </w:r>
      <w:r w:rsidRPr="00BC437D">
        <w:t>’</w:t>
      </w:r>
      <w:r w:rsidRPr="005A71A0">
        <w:t>s</w:t>
      </w:r>
      <w:r w:rsidRPr="00BC437D">
        <w:t xml:space="preserve"> </w:t>
      </w:r>
      <w:r w:rsidRPr="005A71A0">
        <w:t>fix</w:t>
      </w:r>
      <w:r w:rsidRPr="00BC437D">
        <w:t>a</w:t>
      </w:r>
      <w:r w:rsidRPr="005A71A0">
        <w:t>tive</w:t>
      </w:r>
      <w:r w:rsidRPr="00BC437D">
        <w:t xml:space="preserve"> fo</w:t>
      </w:r>
      <w:r w:rsidRPr="005A71A0">
        <w:t>r</w:t>
      </w:r>
      <w:r w:rsidRPr="00BC437D">
        <w:t xml:space="preserve"> 2</w:t>
      </w:r>
      <w:r w:rsidRPr="005A71A0">
        <w:t>4</w:t>
      </w:r>
      <w:r w:rsidRPr="00BC437D">
        <w:t> ho</w:t>
      </w:r>
      <w:r w:rsidRPr="005A71A0">
        <w:t>urs</w:t>
      </w:r>
      <w:r w:rsidRPr="00BC437D">
        <w:t xml:space="preserve"> </w:t>
      </w:r>
      <w:r w:rsidRPr="005A71A0">
        <w:t>(up</w:t>
      </w:r>
      <w:r w:rsidRPr="00BC437D">
        <w:t xml:space="preserve"> </w:t>
      </w:r>
      <w:r w:rsidRPr="005A71A0">
        <w:t>to</w:t>
      </w:r>
      <w:r w:rsidRPr="00BC437D">
        <w:t xml:space="preserve"> 7</w:t>
      </w:r>
      <w:r w:rsidRPr="005A71A0">
        <w:t>2 hours</w:t>
      </w:r>
      <w:r w:rsidRPr="00BC437D">
        <w:t xml:space="preserve"> fo</w:t>
      </w:r>
      <w:r w:rsidRPr="005A71A0">
        <w:t>r</w:t>
      </w:r>
      <w:r w:rsidRPr="00BC437D">
        <w:t xml:space="preserve"> </w:t>
      </w:r>
      <w:r w:rsidRPr="005A71A0">
        <w:t>l</w:t>
      </w:r>
      <w:r w:rsidRPr="00BC437D">
        <w:t>a</w:t>
      </w:r>
      <w:r w:rsidRPr="005A71A0">
        <w:t>rger prawns),</w:t>
      </w:r>
      <w:r w:rsidRPr="00BC437D">
        <w:t xml:space="preserve"> </w:t>
      </w:r>
      <w:r w:rsidRPr="005A71A0">
        <w:t>af</w:t>
      </w:r>
      <w:r w:rsidRPr="00BC437D">
        <w:t>t</w:t>
      </w:r>
      <w:r w:rsidRPr="005A71A0">
        <w:t>er which</w:t>
      </w:r>
      <w:r w:rsidRPr="00BC437D">
        <w:t xml:space="preserve"> </w:t>
      </w:r>
      <w:r w:rsidRPr="005A71A0">
        <w:t>it</w:t>
      </w:r>
      <w:r w:rsidRPr="00BC437D">
        <w:t xml:space="preserve"> should </w:t>
      </w:r>
      <w:r w:rsidRPr="005A71A0">
        <w:t>be</w:t>
      </w:r>
      <w:r w:rsidRPr="00BC437D">
        <w:t xml:space="preserve"> </w:t>
      </w:r>
      <w:r w:rsidRPr="005A71A0">
        <w:t>tra</w:t>
      </w:r>
      <w:r w:rsidRPr="00BC437D">
        <w:t>n</w:t>
      </w:r>
      <w:r w:rsidRPr="005A71A0">
        <w:t>sferred</w:t>
      </w:r>
      <w:r w:rsidRPr="00BC437D">
        <w:t xml:space="preserve"> </w:t>
      </w:r>
      <w:r w:rsidRPr="005A71A0">
        <w:t>to</w:t>
      </w:r>
      <w:r w:rsidRPr="00BC437D">
        <w:t xml:space="preserve"> 70</w:t>
      </w:r>
      <w:r w:rsidRPr="005A71A0">
        <w:t>%</w:t>
      </w:r>
      <w:r w:rsidRPr="00BC437D">
        <w:t xml:space="preserve"> (v/v)</w:t>
      </w:r>
      <w:r w:rsidRPr="005A71A0">
        <w:t>etha</w:t>
      </w:r>
      <w:r w:rsidRPr="00BC437D">
        <w:t>no</w:t>
      </w:r>
      <w:r w:rsidRPr="005A71A0">
        <w:t>l.</w:t>
      </w:r>
    </w:p>
    <w:p w14:paraId="5B059734" w14:textId="77777777" w:rsidR="00AE356F" w:rsidRPr="00216C97" w:rsidRDefault="00AE356F" w:rsidP="00AE356F">
      <w:pPr>
        <w:rPr>
          <w:lang w:eastAsia="ja-JP"/>
        </w:rPr>
      </w:pPr>
      <w:r w:rsidRPr="00216C97">
        <w:rPr>
          <w:lang w:eastAsia="ja-JP"/>
        </w:rPr>
        <w:t>Where diagnosis is based on histology, tissues may be fixed for an unlimited time without loss of quality. However, specimens for ISH should be transferred from Davidson’s fixative to 70% (v/v) ethanol after 24 to 48 hours or they will be unsuitable for ISH.</w:t>
      </w:r>
    </w:p>
    <w:p w14:paraId="00868B93" w14:textId="77777777" w:rsidR="00AE356F" w:rsidRDefault="00AE356F" w:rsidP="00AE356F">
      <w:pPr>
        <w:jc w:val="both"/>
        <w:rPr>
          <w:lang w:eastAsia="ja-JP"/>
        </w:rPr>
      </w:pPr>
      <w:r w:rsidRPr="00216C97">
        <w:rPr>
          <w:lang w:eastAsia="ja-JP"/>
        </w:rPr>
        <w:t>Following fixation, the specimens are embedded in paraffin wax and processed and stained with Meyer’s haematoxylin and eosin (H&amp;E) using standard methods. Inclusion bodies in target tissues are suggestive of infection with WSSV.</w:t>
      </w:r>
    </w:p>
    <w:p w14:paraId="44A5262C" w14:textId="77777777" w:rsidR="00AE356F" w:rsidRPr="00C85A41" w:rsidRDefault="00AE356F" w:rsidP="00AE356F">
      <w:pPr>
        <w:pStyle w:val="Heading5"/>
      </w:pPr>
      <w:r w:rsidRPr="00C85A41">
        <w:t>Sample number</w:t>
      </w:r>
    </w:p>
    <w:p w14:paraId="0EB6406D" w14:textId="7E8B8977" w:rsidR="00AE356F" w:rsidRPr="00C968FA" w:rsidRDefault="00AE356F" w:rsidP="00BC437D">
      <w:r w:rsidRPr="00C968FA">
        <w:t>For most crustaceans, the recommended minimum number of specimens that should be collected for diagnosis is 100 for larval stages, 50 for post</w:t>
      </w:r>
      <w:r w:rsidR="00C968FA" w:rsidRPr="00C968FA">
        <w:t>-</w:t>
      </w:r>
      <w:r w:rsidRPr="00C968FA">
        <w:t>larval stages and 10 for juvenile and adult stages, with preference for individuals with patent signs of disease and/or gross lesions. The laboratory receiving the samples should be consulted if there is any doubt regarding the number of specimens to be submitted.</w:t>
      </w:r>
    </w:p>
    <w:p w14:paraId="00D25DC2" w14:textId="77777777" w:rsidR="00AE356F" w:rsidRPr="00216C97" w:rsidRDefault="00AE356F" w:rsidP="00AE356F">
      <w:pPr>
        <w:pStyle w:val="Heading5"/>
        <w:rPr>
          <w:sz w:val="24"/>
          <w:szCs w:val="24"/>
        </w:rPr>
      </w:pPr>
      <w:r w:rsidRPr="00216C97">
        <w:rPr>
          <w:sz w:val="24"/>
          <w:szCs w:val="24"/>
        </w:rPr>
        <w:lastRenderedPageBreak/>
        <w:t>Examination</w:t>
      </w:r>
    </w:p>
    <w:p w14:paraId="48BB80BA" w14:textId="77777777" w:rsidR="00D12BC0" w:rsidRPr="00C968FA" w:rsidRDefault="00AE356F" w:rsidP="00BC437D">
      <w:r w:rsidRPr="00C968FA">
        <w:t>Examine tissue sections stained with H&amp;E using standard techniques (Bell &amp; Lightner 1988; Lightner 1996) by light microscopy for the presence of moderate to high numbers of WSSV infected cells in tissues of ectodermal and mesodermal origin. These cells typically display hypertrophied nuclei with eosinophilic to basophilic central inclusions (</w:t>
      </w:r>
      <w:r w:rsidR="00D2134F" w:rsidRPr="00C968FA">
        <w:fldChar w:fldCharType="begin"/>
      </w:r>
      <w:r w:rsidR="00D2134F" w:rsidRPr="00C968FA">
        <w:instrText xml:space="preserve"> REF _Ref115785447 \h </w:instrText>
      </w:r>
      <w:r w:rsidR="00C968FA" w:rsidRPr="00C968FA">
        <w:instrText xml:space="preserve"> \* MERGEFORMAT </w:instrText>
      </w:r>
      <w:r w:rsidR="00D2134F" w:rsidRPr="00C968FA">
        <w:fldChar w:fldCharType="separate"/>
      </w:r>
    </w:p>
    <w:p w14:paraId="21638BE2" w14:textId="73A2CCEA" w:rsidR="00AE356F" w:rsidRPr="00BC437D" w:rsidRDefault="00D2134F" w:rsidP="00BC437D">
      <w:r w:rsidRPr="00C968FA">
        <w:fldChar w:fldCharType="end"/>
      </w:r>
      <w:r w:rsidR="00AE356F" w:rsidRPr="00C968FA">
        <w:t xml:space="preserve">) surrounded by marginated chromatin. Subcuticular tissues of the stomach, cephalothorax or gill are the most appropriate tissues for detecting histopathology changes characteristic of WSD (Wongteerasupaya </w:t>
      </w:r>
      <w:r w:rsidR="00995C15" w:rsidRPr="00C968FA">
        <w:t xml:space="preserve">et al. </w:t>
      </w:r>
      <w:r w:rsidR="00AE356F" w:rsidRPr="00C968FA">
        <w:t>1995).</w:t>
      </w:r>
    </w:p>
    <w:p w14:paraId="3EC5719E" w14:textId="7CBEB2F2" w:rsidR="00D2134F" w:rsidRPr="00C968FA" w:rsidRDefault="00AE356F" w:rsidP="00BC437D">
      <w:r w:rsidRPr="00C968FA">
        <w:t xml:space="preserve">Necrotic changes can also be seen in the antennal gland epithelium, lymphoid organ sheath cells and haematopoietic tissues, and in fixed phagocytes of the heart. Infected cells typically display hypertrophied nuclei containing a single intranuclear inclusion. In early stages of WSSV infection, nuclear inclusions are eosinophilic and (as an artefact of tissue preservation in Davidson’s fixative) are separated by a clear halo from the marginated chromatin. Such eosinophilic or Cowdry type A intranuclear inclusions are characteristic of infections caused by many viruses of both vertebrates and invertebrates and appear as amorphous structures surrounded by clear halos beneath the nuclear membrane. Later in infection, inclusions stain lightly to darkly basophilic and can enlarge to fill the entire nucleus (Lightner 1996; </w:t>
      </w:r>
      <w:r w:rsidR="00752336" w:rsidRPr="00C968FA">
        <w:t>WOAH 2022</w:t>
      </w:r>
      <w:r w:rsidRPr="00C968FA">
        <w:t>). This feature can be used to distinguish infection caused by WSSV from that caused by Infectious hypodermal hematopoietic necrosis virus (IHHNV), in which only Cowdry type A inclusion bodies are formed.</w:t>
      </w:r>
      <w:bookmarkStart w:id="32" w:name="_Ref115785447"/>
    </w:p>
    <w:p w14:paraId="026A0A35" w14:textId="72727068" w:rsidR="00AE356F" w:rsidRPr="00216C97" w:rsidRDefault="00D2134F" w:rsidP="00D2134F">
      <w:pPr>
        <w:pStyle w:val="Caption"/>
      </w:pPr>
      <w:bookmarkStart w:id="33" w:name="_Toc126319045"/>
      <w:bookmarkEnd w:id="32"/>
      <w:r>
        <w:lastRenderedPageBreak/>
        <w:t xml:space="preserve">Figure </w:t>
      </w:r>
      <w:fldSimple w:instr=" SEQ Figure \* ARABIC ">
        <w:r w:rsidR="00D12BC0">
          <w:rPr>
            <w:noProof/>
          </w:rPr>
          <w:t>1</w:t>
        </w:r>
      </w:fldSimple>
      <w:r>
        <w:t xml:space="preserve"> </w:t>
      </w:r>
      <w:r w:rsidR="00AE356F" w:rsidRPr="00216C97">
        <w:rPr>
          <w:bCs w:val="0"/>
          <w:szCs w:val="22"/>
        </w:rPr>
        <w:t xml:space="preserve">WSSV-infected </w:t>
      </w:r>
      <w:r w:rsidR="00AE356F" w:rsidRPr="00216C97">
        <w:rPr>
          <w:bCs w:val="0"/>
          <w:i/>
          <w:iCs/>
          <w:szCs w:val="22"/>
        </w:rPr>
        <w:t>Penaeus monodon</w:t>
      </w:r>
      <w:r w:rsidR="00AE356F" w:rsidRPr="00216C97">
        <w:rPr>
          <w:bCs w:val="0"/>
          <w:szCs w:val="22"/>
        </w:rPr>
        <w:t xml:space="preserve"> showing necrosis of haematopoietic tissue with inclusion bodies (arrows)</w:t>
      </w:r>
      <w:bookmarkEnd w:id="33"/>
    </w:p>
    <w:p w14:paraId="391646F5" w14:textId="77777777" w:rsidR="00AE356F" w:rsidRDefault="00AE356F" w:rsidP="00AE356F">
      <w:r w:rsidRPr="00216C97">
        <w:rPr>
          <w:noProof/>
        </w:rPr>
        <w:drawing>
          <wp:inline distT="0" distB="0" distL="0" distR="0" wp14:anchorId="12E60ADE" wp14:editId="56E3B0D5">
            <wp:extent cx="5759450" cy="4719955"/>
            <wp:effectExtent l="0" t="0" r="0" b="4445"/>
            <wp:docPr id="1" name="Picture 1" descr="Histopathological slide showing a WSSV-infected Panaeus monodon sample which depicts necrosis of haematopoietic tissue with basophilic staining inclusion bo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istopathological slide showing a WSSV-infected Panaeus monodon sample which depicts necrosis of haematopoietic tissue with basophilic staining inclusion bodi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4719955"/>
                    </a:xfrm>
                    <a:prstGeom prst="rect">
                      <a:avLst/>
                    </a:prstGeom>
                    <a:noFill/>
                  </pic:spPr>
                </pic:pic>
              </a:graphicData>
            </a:graphic>
          </wp:inline>
        </w:drawing>
      </w:r>
    </w:p>
    <w:p w14:paraId="26ACE539" w14:textId="1676360A" w:rsidR="00AE356F" w:rsidRPr="00C85A41" w:rsidRDefault="00AE356F" w:rsidP="00AE356F">
      <w:pPr>
        <w:pStyle w:val="Heading3"/>
      </w:pPr>
      <w:bookmarkStart w:id="34" w:name="_Toc141701935"/>
      <w:r w:rsidRPr="00C85A41">
        <w:rPr>
          <w:rStyle w:val="Emphasis"/>
          <w:rFonts w:eastAsia="Calibri"/>
        </w:rPr>
        <w:t>In situ</w:t>
      </w:r>
      <w:r w:rsidRPr="00C85A41">
        <w:t xml:space="preserve"> hybridisation</w:t>
      </w:r>
      <w:bookmarkEnd w:id="34"/>
    </w:p>
    <w:p w14:paraId="2750AB1E" w14:textId="559925D2" w:rsidR="00CE65C5" w:rsidRPr="00216C97" w:rsidRDefault="00CE65C5" w:rsidP="00CE65C5">
      <w:r w:rsidRPr="00CE65C5">
        <w:t xml:space="preserve">In situ hybridisation </w:t>
      </w:r>
      <w:r>
        <w:t>(ISH)</w:t>
      </w:r>
      <w:r w:rsidRPr="00216C97">
        <w:t xml:space="preserve"> uses a digoxigenin (DIG)-labelled RNA probe to detect WSSV in paraffin sections. Commercial WSSV kits are available and may be more suitable for a laboratory that is not undertaking ISH for WSSV.</w:t>
      </w:r>
    </w:p>
    <w:p w14:paraId="5CC167ED" w14:textId="77777777" w:rsidR="00CE65C5" w:rsidRPr="00216C97" w:rsidRDefault="00CE65C5" w:rsidP="00BC437D">
      <w:r w:rsidRPr="00216C97">
        <w:t xml:space="preserve">If WSSV is present in the tissue section, the hybridisation process will allow the DIG-labelled RNA probe, developed by </w:t>
      </w:r>
      <w:r w:rsidRPr="00216C97">
        <w:rPr>
          <w:i/>
          <w:iCs/>
        </w:rPr>
        <w:t>in vitro</w:t>
      </w:r>
      <w:r w:rsidRPr="00216C97">
        <w:t xml:space="preserve"> transcription, to bind to the complementary WSSV DNA and form a stable DNA-RNA hybrid. When an anti-DIG antibody, conjugated to alkaline phosphatase, is applied to the section and a substrate is applied, a colour reaction is observed.</w:t>
      </w:r>
    </w:p>
    <w:p w14:paraId="02BCDAA0" w14:textId="67EFD240" w:rsidR="00CE65C5" w:rsidRDefault="00CE65C5" w:rsidP="00CE65C5">
      <w:r w:rsidRPr="00216C97">
        <w:t xml:space="preserve">The detailed protocol for WSSV ISH testing, based on the protocol reported by Nunan and Lightner (1997) is described in the </w:t>
      </w:r>
      <w:r w:rsidR="00752336">
        <w:t xml:space="preserve">WOAH </w:t>
      </w:r>
      <w:r w:rsidRPr="00216C97">
        <w:t>Aquatic Manual for infection with white spot syndrome virus (</w:t>
      </w:r>
      <w:r w:rsidR="00752336">
        <w:t>WOAH 2022</w:t>
      </w:r>
      <w:r w:rsidRPr="00216C97">
        <w:t>).</w:t>
      </w:r>
    </w:p>
    <w:p w14:paraId="7FC2471F" w14:textId="236AFD2E" w:rsidR="00AE356F" w:rsidRPr="00216C97" w:rsidRDefault="00CE65C5" w:rsidP="00371F5F">
      <w:pPr>
        <w:jc w:val="both"/>
      </w:pPr>
      <w:r w:rsidRPr="00216C97">
        <w:t>The Australian Centre for Disease Preparedness (ACDP) has ISH and immunohistochemistry capability, but the methods need optimising and validating so are not described here.</w:t>
      </w:r>
    </w:p>
    <w:p w14:paraId="4303791F" w14:textId="77777777" w:rsidR="00AE356F" w:rsidRPr="00C85A41" w:rsidRDefault="00AE356F" w:rsidP="00AE356F">
      <w:pPr>
        <w:pStyle w:val="Heading3"/>
      </w:pPr>
      <w:bookmarkStart w:id="35" w:name="_Toc126133203"/>
      <w:bookmarkStart w:id="36" w:name="_Toc126245107"/>
      <w:bookmarkStart w:id="37" w:name="_Toc87004662"/>
      <w:bookmarkStart w:id="38" w:name="_Toc141701936"/>
      <w:bookmarkEnd w:id="35"/>
      <w:bookmarkEnd w:id="36"/>
      <w:r w:rsidRPr="00C85A41">
        <w:t>Transmission electron microscopy</w:t>
      </w:r>
      <w:bookmarkEnd w:id="37"/>
      <w:bookmarkEnd w:id="38"/>
    </w:p>
    <w:p w14:paraId="774A620A" w14:textId="77777777" w:rsidR="00AE356F" w:rsidRPr="00BC437D" w:rsidRDefault="00AE356F" w:rsidP="00B060DD">
      <w:r w:rsidRPr="00BC437D">
        <w:t xml:space="preserve">The most suitable tissues for TEM are subcuticular tissues, gills and pleopods. These tissues should have been screened by histology or rapid-stain tissue squashes and showed signs of hypertrophied </w:t>
      </w:r>
      <w:r w:rsidRPr="00BC437D">
        <w:lastRenderedPageBreak/>
        <w:t>nuclei and Cowdry type-A inclusions, or marginated chromatin surrounding a basophilic inclusion body.</w:t>
      </w:r>
    </w:p>
    <w:p w14:paraId="7BA01A48" w14:textId="77777777" w:rsidR="00AE356F" w:rsidRPr="00BC437D" w:rsidRDefault="00AE356F" w:rsidP="00B060DD">
      <w:r w:rsidRPr="00BC437D">
        <w:t>Tissues are fixed in a 10:1 fixative to tissue volume of 6% glutaraldehyde at 4°C and buffered with sodium cacodylate or phosphate to pH 7.0, for at least 24 hours. For long-term storage, glutaraldehyde concentration is reduced to 1%. The tissues are then fixed in 1% osmium tetroxide and stained with uranyl acetate and lead citrate.</w:t>
      </w:r>
    </w:p>
    <w:p w14:paraId="481D37B6" w14:textId="5BF2BDD6" w:rsidR="00AE356F" w:rsidRPr="00BC437D" w:rsidRDefault="00AE356F" w:rsidP="00B060DD">
      <w:r w:rsidRPr="00BC437D">
        <w:t xml:space="preserve">WSSV virions are rod-shaped to elliptical with a trilaminar envelope and measure approximately </w:t>
      </w:r>
      <w:r w:rsidRPr="00B060DD">
        <w:t>80</w:t>
      </w:r>
      <w:r w:rsidR="00BD2FC7">
        <w:t xml:space="preserve"> to </w:t>
      </w:r>
      <w:r w:rsidRPr="00B060DD">
        <w:t>120 nm × 250</w:t>
      </w:r>
      <w:r w:rsidR="00BD2FC7">
        <w:t xml:space="preserve"> to </w:t>
      </w:r>
      <w:r w:rsidRPr="00B060DD">
        <w:t>380 nm and often characterised by a flagella-like protrusion from the envelope (</w:t>
      </w:r>
      <w:r w:rsidR="00752336" w:rsidRPr="00B060DD">
        <w:t>WOAH 2022</w:t>
      </w:r>
      <w:r w:rsidRPr="00B060DD">
        <w:t>).</w:t>
      </w:r>
    </w:p>
    <w:p w14:paraId="23EF2F30" w14:textId="176FD2BD" w:rsidR="00AE356F" w:rsidRPr="00C85A41" w:rsidRDefault="00AE356F" w:rsidP="00AE356F">
      <w:pPr>
        <w:pStyle w:val="Heading3"/>
        <w:rPr>
          <w:rStyle w:val="Emphasis"/>
          <w:rFonts w:eastAsia="Calibri"/>
          <w:i w:val="0"/>
          <w:iCs w:val="0"/>
        </w:rPr>
      </w:pPr>
      <w:bookmarkStart w:id="39" w:name="_Toc87004663"/>
      <w:bookmarkStart w:id="40" w:name="_Toc141701937"/>
      <w:r w:rsidRPr="00C85A41">
        <w:rPr>
          <w:rStyle w:val="Emphasis"/>
          <w:rFonts w:eastAsia="Calibri"/>
          <w:i w:val="0"/>
          <w:iCs w:val="0"/>
        </w:rPr>
        <w:t>Molecular methods</w:t>
      </w:r>
      <w:bookmarkEnd w:id="39"/>
      <w:bookmarkEnd w:id="40"/>
    </w:p>
    <w:p w14:paraId="29F217C2" w14:textId="77777777" w:rsidR="00AE356F" w:rsidRPr="00C85A41" w:rsidRDefault="00AE356F" w:rsidP="00AE356F">
      <w:pPr>
        <w:pStyle w:val="Heading4"/>
      </w:pPr>
      <w:r w:rsidRPr="00C85A41">
        <w:t>Quality control aspects</w:t>
      </w:r>
    </w:p>
    <w:p w14:paraId="1197FDAF" w14:textId="67E77576" w:rsidR="00CE65C5" w:rsidRPr="00216C97" w:rsidRDefault="00CE65C5" w:rsidP="00CE65C5">
      <w:r w:rsidRPr="00216C97">
        <w:t>Molecular testing for pathogens on Australia’s National List of Reportable Diseases of Aquatic Animals must be operated under a quality management program accredited and audited according to the international standard ISO/IEC 17025. A quality management program will include initial evaluation of kits and reagents; validation of testing methods (</w:t>
      </w:r>
      <w:r>
        <w:fldChar w:fldCharType="begin"/>
      </w:r>
      <w:r>
        <w:instrText xml:space="preserve"> REF _Ref115785752 \h </w:instrText>
      </w:r>
      <w:r>
        <w:fldChar w:fldCharType="separate"/>
      </w:r>
      <w:r w:rsidR="00D12BC0" w:rsidRPr="00036CDA">
        <w:t xml:space="preserve">Table </w:t>
      </w:r>
      <w:r w:rsidR="00D12BC0">
        <w:rPr>
          <w:noProof/>
        </w:rPr>
        <w:t>2</w:t>
      </w:r>
      <w:r>
        <w:fldChar w:fldCharType="end"/>
      </w:r>
      <w:r w:rsidRPr="00216C97">
        <w:t>); ongoing internal evaluation through mandatory use of appropriate quality control samples; and performance monitoring through external quality assessment or proficiency testing programs.</w:t>
      </w:r>
    </w:p>
    <w:p w14:paraId="0EEBDEBF" w14:textId="77777777" w:rsidR="00CE65C5" w:rsidRPr="00216C97" w:rsidRDefault="00CE65C5" w:rsidP="00CE65C5">
      <w:r w:rsidRPr="00216C97">
        <w:t>Quality control samples (positive, negative and reagent controls) must be specified in the laboratory’s protocols and included in every run. The data generated must be recorded to monitor run-to-run performance.</w:t>
      </w:r>
    </w:p>
    <w:p w14:paraId="79250958" w14:textId="77777777" w:rsidR="00AE356F" w:rsidRPr="00C85A41" w:rsidRDefault="00AE356F" w:rsidP="00AE356F">
      <w:pPr>
        <w:pStyle w:val="Heading4"/>
      </w:pPr>
      <w:r w:rsidRPr="00C85A41">
        <w:t>DNA extraction method</w:t>
      </w:r>
    </w:p>
    <w:p w14:paraId="1CE46690" w14:textId="5ABBF586" w:rsidR="00AE356F" w:rsidRPr="00216C97" w:rsidRDefault="00AE356F" w:rsidP="00AE356F">
      <w:r w:rsidRPr="00216C97">
        <w:t>Fresh and ethanol-fixed tissues can be homogenised (e.g. bead-beating tubes) directly in lysis or extraction buffer or digested in extraction buffer, provided with commercially available DNA extraction kits. Commercially</w:t>
      </w:r>
      <w:r w:rsidR="002677BA">
        <w:t xml:space="preserve"> </w:t>
      </w:r>
      <w:r w:rsidRPr="00216C97">
        <w:t>available extraction kits (e.g. spin columns and magnetic bead platforms) should be validated or undergo equivalence testing with current validated extraction procedures, according to the laboratory’s quality system requirements, including if extraction kit chemistries change.</w:t>
      </w:r>
    </w:p>
    <w:p w14:paraId="013F63E1" w14:textId="77777777" w:rsidR="00AE356F" w:rsidRPr="00C85A41" w:rsidRDefault="00AE356F" w:rsidP="00AE356F">
      <w:pPr>
        <w:pStyle w:val="Heading3"/>
      </w:pPr>
      <w:bookmarkStart w:id="41" w:name="_Toc87004664"/>
      <w:bookmarkStart w:id="42" w:name="_Toc141701938"/>
      <w:r w:rsidRPr="00C85A41">
        <w:t>Polymerase Chain Reaction (PCR)</w:t>
      </w:r>
      <w:bookmarkEnd w:id="41"/>
      <w:bookmarkEnd w:id="42"/>
    </w:p>
    <w:p w14:paraId="77E75FBD" w14:textId="0FDC2BE0" w:rsidR="00AE356F" w:rsidRPr="00216C97" w:rsidRDefault="00AE356F" w:rsidP="00AE356F">
      <w:r w:rsidRPr="00216C97">
        <w:t>In general, qPCR methods have high sensitivity and specificity, and are most appropriate for high-throughput molecular testing. Following adequate validation (</w:t>
      </w:r>
      <w:r w:rsidR="00CE65C5">
        <w:fldChar w:fldCharType="begin"/>
      </w:r>
      <w:r w:rsidR="00CE65C5">
        <w:instrText xml:space="preserve"> REF _Ref115785752 \h </w:instrText>
      </w:r>
      <w:r w:rsidR="00CE65C5">
        <w:fldChar w:fldCharType="separate"/>
      </w:r>
      <w:r w:rsidR="00D12BC0" w:rsidRPr="00036CDA">
        <w:t xml:space="preserve">Table </w:t>
      </w:r>
      <w:r w:rsidR="00D12BC0">
        <w:rPr>
          <w:noProof/>
        </w:rPr>
        <w:t>2</w:t>
      </w:r>
      <w:r w:rsidR="00CE65C5">
        <w:fldChar w:fldCharType="end"/>
      </w:r>
      <w:r w:rsidRPr="00216C97">
        <w:t xml:space="preserve">), they can be used for direct detection of viral nucleic acids. </w:t>
      </w:r>
      <w:r w:rsidR="00CE65C5">
        <w:t>q</w:t>
      </w:r>
      <w:r w:rsidRPr="00216C97">
        <w:t>PCR can be used in surveillance of apparently healthy populations, as well as in the diagnosis of clinically affected animals, although conventional PCR and sequence analysis are required for confirmatory diagnosis.</w:t>
      </w:r>
    </w:p>
    <w:p w14:paraId="0250CDED" w14:textId="77777777" w:rsidR="00AE356F" w:rsidRPr="00216C97" w:rsidRDefault="00AE356F" w:rsidP="00AE356F">
      <w:r w:rsidRPr="00216C97">
        <w:t>Due to the highly sensitive nature of PCR tests, highly developed technical skills, use of appropriate quality controls (e.g. positive, negative extraction and no template controls) and separate work areas (e.g. mastermix preparation, nucleic acid extraction, template addition and amplification) are required to avoid cross-contamination and production of false-positive results.</w:t>
      </w:r>
    </w:p>
    <w:p w14:paraId="70F8AA47" w14:textId="77777777" w:rsidR="00AE356F" w:rsidRPr="00C85A41" w:rsidRDefault="00AE356F" w:rsidP="00AE356F">
      <w:pPr>
        <w:pStyle w:val="Heading3"/>
        <w:rPr>
          <w:rStyle w:val="Emphasis"/>
          <w:rFonts w:eastAsia="Calibri"/>
          <w:i w:val="0"/>
          <w:iCs w:val="0"/>
        </w:rPr>
      </w:pPr>
      <w:bookmarkStart w:id="43" w:name="_Toc87004665"/>
      <w:bookmarkStart w:id="44" w:name="_Toc141701939"/>
      <w:r w:rsidRPr="00C85A41">
        <w:rPr>
          <w:rStyle w:val="Emphasis"/>
          <w:rFonts w:eastAsia="Calibri"/>
          <w:i w:val="0"/>
          <w:iCs w:val="0"/>
        </w:rPr>
        <w:t>Real-time PCR methods</w:t>
      </w:r>
      <w:bookmarkEnd w:id="43"/>
      <w:bookmarkEnd w:id="44"/>
    </w:p>
    <w:p w14:paraId="0EA953F1" w14:textId="5721B31F" w:rsidR="00AE356F" w:rsidRPr="00216C97" w:rsidRDefault="00AE356F" w:rsidP="00AE356F">
      <w:pPr>
        <w:pStyle w:val="Heading4"/>
      </w:pPr>
      <w:r w:rsidRPr="00216C97">
        <w:rPr>
          <w:lang w:eastAsia="ja-JP"/>
        </w:rPr>
        <w:t xml:space="preserve">WSSV </w:t>
      </w:r>
      <w:r w:rsidR="00CE65C5">
        <w:rPr>
          <w:lang w:eastAsia="ja-JP"/>
        </w:rPr>
        <w:t>q</w:t>
      </w:r>
      <w:r w:rsidRPr="00216C97">
        <w:rPr>
          <w:lang w:eastAsia="ja-JP"/>
        </w:rPr>
        <w:t>PCR assays</w:t>
      </w:r>
    </w:p>
    <w:p w14:paraId="1716411F" w14:textId="7C8B3533" w:rsidR="00CE65C5" w:rsidRPr="00216C97" w:rsidRDefault="00CE65C5" w:rsidP="00CE65C5">
      <w:r>
        <w:t>q</w:t>
      </w:r>
      <w:r w:rsidRPr="00216C97">
        <w:t xml:space="preserve">PCR assay components (e.g. platforms, internal controls, master mixes and probe chemistries, cycling parameters etc.) may vary between laboratories; however in all cases, these methods should </w:t>
      </w:r>
      <w:r w:rsidRPr="00216C97">
        <w:lastRenderedPageBreak/>
        <w:t>be accredited to ISO 17025, or equivalent, and demonstrated to be comparable to the assays described in this ANZSDP.</w:t>
      </w:r>
    </w:p>
    <w:p w14:paraId="4BCCFF1A" w14:textId="792C0D9E" w:rsidR="00CE65C5" w:rsidRPr="00216C97" w:rsidRDefault="00CE65C5" w:rsidP="00CE65C5">
      <w:r w:rsidRPr="00216C97">
        <w:t xml:space="preserve">The TaqMan qPCR method combines amplification of target DNA by PCR with the simultaneous detection of the target by a specific labelled probe with a reporter fluorophore. The </w:t>
      </w:r>
      <w:r w:rsidR="000D3DAB">
        <w:t>2</w:t>
      </w:r>
      <w:r w:rsidRPr="00216C97">
        <w:t xml:space="preserve"> WSSV qPCR methods described herein are designed with WSSV DNA sequence-specific primers and probes that are based on conserved genome regions coding for the WSSV capsid protein. The probe further increases the specificity of the method because, in addition to the primers, this probe must also bind to the target DNA sequence.</w:t>
      </w:r>
    </w:p>
    <w:p w14:paraId="1263752B" w14:textId="5244CCF8" w:rsidR="00CE65C5" w:rsidRDefault="00CE65C5" w:rsidP="00CE65C5">
      <w:pPr>
        <w:rPr>
          <w:rFonts w:cs="Calibri"/>
        </w:rPr>
      </w:pPr>
      <w:r w:rsidRPr="00216C97">
        <w:t xml:space="preserve">The </w:t>
      </w:r>
      <w:r w:rsidR="000D3DAB">
        <w:t>2</w:t>
      </w:r>
      <w:r w:rsidRPr="00216C97">
        <w:t xml:space="preserve"> WSSV TaqMan qPCR methods described in this procedure are both recognised by the Australian Government Department of Agriculture, Fisheries and Forestry as suitable for the detection of WSSV DNA for biosecurity risk management</w:t>
      </w:r>
      <w:r w:rsidRPr="00216C97">
        <w:rPr>
          <w:bCs/>
        </w:rPr>
        <w:t xml:space="preserve"> </w:t>
      </w:r>
      <w:r>
        <w:t xml:space="preserve">The diagnostic sensitivity and diagnostic specificity of the assays differ depending on the purpose of the test (e.g. </w:t>
      </w:r>
      <w:r w:rsidRPr="00216C97">
        <w:t>detection of WSSV in clinically diseased prawns</w:t>
      </w:r>
      <w:r>
        <w:t xml:space="preserve"> or</w:t>
      </w:r>
      <w:r w:rsidRPr="00216C97">
        <w:t xml:space="preserve"> in apparently healthy prawns</w:t>
      </w:r>
      <w:r>
        <w:t>) and</w:t>
      </w:r>
      <w:r w:rsidRPr="00216C97">
        <w:t xml:space="preserve"> are </w:t>
      </w:r>
      <w:r>
        <w:t xml:space="preserve">described in </w:t>
      </w:r>
      <w:r w:rsidR="00BC437D">
        <w:rPr>
          <w:highlight w:val="yellow"/>
        </w:rPr>
        <w:fldChar w:fldCharType="begin"/>
      </w:r>
      <w:r w:rsidR="00BC437D">
        <w:instrText xml:space="preserve"> REF _Ref115786330 \h </w:instrText>
      </w:r>
      <w:r w:rsidR="00BC437D">
        <w:rPr>
          <w:highlight w:val="yellow"/>
        </w:rPr>
      </w:r>
      <w:r w:rsidR="00BC437D">
        <w:rPr>
          <w:highlight w:val="yellow"/>
        </w:rPr>
        <w:fldChar w:fldCharType="separate"/>
      </w:r>
      <w:r w:rsidR="00D12BC0" w:rsidRPr="003F35EB">
        <w:t xml:space="preserve">Table </w:t>
      </w:r>
      <w:r w:rsidR="00D12BC0">
        <w:rPr>
          <w:noProof/>
        </w:rPr>
        <w:t>7</w:t>
      </w:r>
      <w:r w:rsidR="00BC437D">
        <w:rPr>
          <w:highlight w:val="yellow"/>
        </w:rPr>
        <w:fldChar w:fldCharType="end"/>
      </w:r>
      <w:r w:rsidRPr="00BC437D">
        <w:t>.</w:t>
      </w:r>
      <w:r w:rsidRPr="00216C97">
        <w:rPr>
          <w:rFonts w:ascii="CandidaPro-Roman" w:hAnsi="CandidaPro-Roman" w:cs="CandidaPro-Roman"/>
          <w:color w:val="1B1C20"/>
          <w:sz w:val="19"/>
          <w:szCs w:val="19"/>
        </w:rPr>
        <w:t xml:space="preserve"> </w:t>
      </w:r>
      <w:r w:rsidRPr="00216C97">
        <w:rPr>
          <w:bCs/>
        </w:rPr>
        <w:t>T</w:t>
      </w:r>
      <w:r w:rsidRPr="00216C97">
        <w:rPr>
          <w:rFonts w:cs="Calibri"/>
        </w:rPr>
        <w:t>he CSIRO WSSV qPCR uses the primers and probe described by East et al.</w:t>
      </w:r>
      <w:r>
        <w:rPr>
          <w:rFonts w:cs="Calibri"/>
        </w:rPr>
        <w:t xml:space="preserve"> </w:t>
      </w:r>
      <w:r w:rsidRPr="00216C97">
        <w:rPr>
          <w:rFonts w:cs="Calibri"/>
        </w:rPr>
        <w:t>(2004)</w:t>
      </w:r>
      <w:r w:rsidRPr="00216C97">
        <w:rPr>
          <w:bCs/>
        </w:rPr>
        <w:t xml:space="preserve"> and </w:t>
      </w:r>
      <w:r w:rsidRPr="00216C97">
        <w:rPr>
          <w:rFonts w:cs="Calibri"/>
        </w:rPr>
        <w:t>Sritunyalucksana</w:t>
      </w:r>
      <w:r w:rsidRPr="00216C97">
        <w:rPr>
          <w:bCs/>
        </w:rPr>
        <w:t xml:space="preserve"> et al. (2006), </w:t>
      </w:r>
      <w:r w:rsidRPr="00216C97">
        <w:rPr>
          <w:rFonts w:cs="Calibri"/>
        </w:rPr>
        <w:t xml:space="preserve">and the OIE WSSV qPCR uses the primers and probe described by Durand and Lightner (2002) </w:t>
      </w:r>
      <w:r w:rsidRPr="00216C97">
        <w:t xml:space="preserve">outlined in the World Organisation for Animal Health (OIE) </w:t>
      </w:r>
      <w:r w:rsidRPr="00216C97">
        <w:rPr>
          <w:rStyle w:val="Emphasis"/>
        </w:rPr>
        <w:t>Manual of Diagnostic tests for Aquatic Animals</w:t>
      </w:r>
      <w:r w:rsidRPr="00216C97">
        <w:t xml:space="preserve"> (</w:t>
      </w:r>
      <w:r w:rsidR="00752336">
        <w:t>WOAH 2022</w:t>
      </w:r>
      <w:r w:rsidRPr="00216C97">
        <w:t xml:space="preserve">). </w:t>
      </w:r>
      <w:r w:rsidRPr="00216C97">
        <w:rPr>
          <w:rFonts w:cs="Calibri"/>
        </w:rPr>
        <w:t xml:space="preserve">Primers and probes are described in </w:t>
      </w:r>
      <w:r w:rsidR="00BC437D">
        <w:rPr>
          <w:rFonts w:cs="Calibri"/>
        </w:rPr>
        <w:fldChar w:fldCharType="begin"/>
      </w:r>
      <w:r w:rsidR="00BC437D">
        <w:rPr>
          <w:rFonts w:cs="Calibri"/>
        </w:rPr>
        <w:instrText xml:space="preserve"> REF _Ref126318563 \h </w:instrText>
      </w:r>
      <w:r w:rsidR="00BC437D">
        <w:rPr>
          <w:rFonts w:cs="Calibri"/>
        </w:rPr>
      </w:r>
      <w:r w:rsidR="00BC437D">
        <w:rPr>
          <w:rFonts w:cs="Calibri"/>
        </w:rPr>
        <w:fldChar w:fldCharType="separate"/>
      </w:r>
      <w:r w:rsidR="00D12BC0">
        <w:t xml:space="preserve">Table </w:t>
      </w:r>
      <w:r w:rsidR="00D12BC0">
        <w:rPr>
          <w:noProof/>
        </w:rPr>
        <w:t>3</w:t>
      </w:r>
      <w:r w:rsidR="00BC437D">
        <w:rPr>
          <w:rFonts w:cs="Calibri"/>
        </w:rPr>
        <w:fldChar w:fldCharType="end"/>
      </w:r>
      <w:r w:rsidRPr="00216C97">
        <w:rPr>
          <w:rFonts w:cs="Calibri"/>
        </w:rPr>
        <w:t>.</w:t>
      </w:r>
    </w:p>
    <w:p w14:paraId="67926853" w14:textId="20BA9145" w:rsidR="00BE6298" w:rsidRDefault="00BE6298" w:rsidP="00BE6298">
      <w:pPr>
        <w:pStyle w:val="Caption"/>
      </w:pPr>
      <w:bookmarkStart w:id="45" w:name="_Ref126318563"/>
      <w:bookmarkStart w:id="46" w:name="_Toc126319040"/>
      <w:r>
        <w:t xml:space="preserve">Table </w:t>
      </w:r>
      <w:fldSimple w:instr=" SEQ Table \* ARABIC ">
        <w:r w:rsidR="00D12BC0">
          <w:rPr>
            <w:noProof/>
          </w:rPr>
          <w:t>3</w:t>
        </w:r>
      </w:fldSimple>
      <w:bookmarkEnd w:id="45"/>
      <w:r w:rsidRPr="00C85A41">
        <w:t xml:space="preserve"> </w:t>
      </w:r>
      <w:r w:rsidRPr="00216C97">
        <w:t>Primer and probe sequences for the CSIRO and OIE WSSV qPCR assays</w:t>
      </w:r>
      <w:bookmarkEnd w:id="46"/>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128"/>
        <w:gridCol w:w="4254"/>
        <w:gridCol w:w="2688"/>
      </w:tblGrid>
      <w:tr w:rsidR="00902FB7" w:rsidRPr="00902FB7" w14:paraId="3650033C" w14:textId="77777777" w:rsidTr="00BE6298">
        <w:trPr>
          <w:cantSplit/>
          <w:tblHeader/>
        </w:trPr>
        <w:tc>
          <w:tcPr>
            <w:tcW w:w="1173" w:type="pct"/>
            <w:tcMar>
              <w:left w:w="108" w:type="dxa"/>
              <w:right w:w="108" w:type="dxa"/>
            </w:tcMar>
          </w:tcPr>
          <w:p w14:paraId="4450C55D" w14:textId="677D08F8" w:rsidR="00902FB7" w:rsidRPr="00902FB7" w:rsidRDefault="00902FB7" w:rsidP="00902FB7">
            <w:pPr>
              <w:keepNext/>
              <w:spacing w:before="60" w:after="60" w:line="240" w:lineRule="auto"/>
              <w:rPr>
                <w:b/>
                <w:sz w:val="18"/>
              </w:rPr>
            </w:pPr>
            <w:r>
              <w:rPr>
                <w:b/>
                <w:sz w:val="18"/>
              </w:rPr>
              <w:t>Assay</w:t>
            </w:r>
          </w:p>
        </w:tc>
        <w:tc>
          <w:tcPr>
            <w:tcW w:w="2345" w:type="pct"/>
            <w:tcMar>
              <w:left w:w="108" w:type="dxa"/>
              <w:right w:w="108" w:type="dxa"/>
            </w:tcMar>
          </w:tcPr>
          <w:p w14:paraId="69B06ACE" w14:textId="08872E5A" w:rsidR="00902FB7" w:rsidRPr="00902FB7" w:rsidRDefault="00902FB7" w:rsidP="00BE6298">
            <w:pPr>
              <w:keepNext/>
              <w:spacing w:before="60" w:after="60" w:line="240" w:lineRule="auto"/>
              <w:rPr>
                <w:b/>
                <w:sz w:val="18"/>
                <w:highlight w:val="yellow"/>
              </w:rPr>
            </w:pPr>
            <w:r w:rsidRPr="00902FB7">
              <w:rPr>
                <w:b/>
                <w:sz w:val="18"/>
              </w:rPr>
              <w:t>Primer/probe</w:t>
            </w:r>
          </w:p>
        </w:tc>
        <w:tc>
          <w:tcPr>
            <w:tcW w:w="1482" w:type="pct"/>
            <w:tcMar>
              <w:left w:w="108" w:type="dxa"/>
              <w:right w:w="108" w:type="dxa"/>
            </w:tcMar>
          </w:tcPr>
          <w:p w14:paraId="2FFE61DD" w14:textId="300ACBF7" w:rsidR="00902FB7" w:rsidRPr="00902FB7" w:rsidRDefault="00902FB7" w:rsidP="00902FB7">
            <w:pPr>
              <w:keepNext/>
              <w:spacing w:before="60" w:after="60" w:line="240" w:lineRule="auto"/>
              <w:rPr>
                <w:b/>
                <w:sz w:val="18"/>
              </w:rPr>
            </w:pPr>
            <w:r w:rsidRPr="00902FB7">
              <w:rPr>
                <w:b/>
                <w:sz w:val="18"/>
              </w:rPr>
              <w:t>Sequence</w:t>
            </w:r>
          </w:p>
        </w:tc>
      </w:tr>
      <w:tr w:rsidR="00902FB7" w:rsidRPr="00902FB7" w14:paraId="04E155A6" w14:textId="77777777" w:rsidTr="00BE6298">
        <w:tc>
          <w:tcPr>
            <w:tcW w:w="1173" w:type="pct"/>
            <w:vMerge w:val="restart"/>
            <w:tcMar>
              <w:left w:w="108" w:type="dxa"/>
              <w:right w:w="108" w:type="dxa"/>
            </w:tcMar>
          </w:tcPr>
          <w:p w14:paraId="3698E3EC" w14:textId="42FB50AF" w:rsidR="00902FB7" w:rsidRPr="00902FB7" w:rsidRDefault="00902FB7" w:rsidP="00BE6298">
            <w:pPr>
              <w:pStyle w:val="TableText"/>
            </w:pPr>
            <w:r w:rsidRPr="00902FB7">
              <w:t>CSIRO WSSV qPCR</w:t>
            </w:r>
          </w:p>
        </w:tc>
        <w:tc>
          <w:tcPr>
            <w:tcW w:w="2345" w:type="pct"/>
            <w:tcMar>
              <w:left w:w="108" w:type="dxa"/>
              <w:right w:w="108" w:type="dxa"/>
            </w:tcMar>
          </w:tcPr>
          <w:p w14:paraId="226CA762" w14:textId="3DF7ED53" w:rsidR="00902FB7" w:rsidRPr="00902FB7" w:rsidRDefault="00902FB7" w:rsidP="00BE6298">
            <w:pPr>
              <w:pStyle w:val="TableText"/>
            </w:pPr>
            <w:r w:rsidRPr="00216C97">
              <w:t>CSIRO WSSV-F</w:t>
            </w:r>
          </w:p>
        </w:tc>
        <w:tc>
          <w:tcPr>
            <w:tcW w:w="1482" w:type="pct"/>
            <w:tcMar>
              <w:left w:w="108" w:type="dxa"/>
              <w:right w:w="108" w:type="dxa"/>
            </w:tcMar>
          </w:tcPr>
          <w:p w14:paraId="3D5E1B7D" w14:textId="1B167005" w:rsidR="00902FB7" w:rsidRPr="00902FB7" w:rsidRDefault="00902FB7" w:rsidP="00BE6298">
            <w:pPr>
              <w:pStyle w:val="TableText"/>
            </w:pPr>
            <w:r w:rsidRPr="00902FB7">
              <w:t>5’- CCG ACG CCA AGG GAA CT -3’</w:t>
            </w:r>
          </w:p>
        </w:tc>
      </w:tr>
      <w:tr w:rsidR="00902FB7" w:rsidRPr="00902FB7" w14:paraId="39925097" w14:textId="77777777" w:rsidTr="00BE6298">
        <w:tc>
          <w:tcPr>
            <w:tcW w:w="1173" w:type="pct"/>
            <w:vMerge/>
            <w:tcMar>
              <w:left w:w="108" w:type="dxa"/>
              <w:right w:w="108" w:type="dxa"/>
            </w:tcMar>
          </w:tcPr>
          <w:p w14:paraId="53AD2B35" w14:textId="77777777" w:rsidR="00902FB7" w:rsidRPr="00902FB7" w:rsidRDefault="00902FB7" w:rsidP="00BE6298">
            <w:pPr>
              <w:pStyle w:val="TableText"/>
            </w:pPr>
          </w:p>
        </w:tc>
        <w:tc>
          <w:tcPr>
            <w:tcW w:w="2345" w:type="pct"/>
            <w:tcMar>
              <w:left w:w="108" w:type="dxa"/>
              <w:right w:w="108" w:type="dxa"/>
            </w:tcMar>
          </w:tcPr>
          <w:p w14:paraId="355F5FE7" w14:textId="6B58507B" w:rsidR="00902FB7" w:rsidRPr="00902FB7" w:rsidRDefault="00902FB7" w:rsidP="00BE6298">
            <w:pPr>
              <w:pStyle w:val="TableText"/>
            </w:pPr>
            <w:r w:rsidRPr="00216C97">
              <w:t>CSIRO WSSV-R</w:t>
            </w:r>
          </w:p>
        </w:tc>
        <w:tc>
          <w:tcPr>
            <w:tcW w:w="1482" w:type="pct"/>
            <w:tcMar>
              <w:left w:w="108" w:type="dxa"/>
              <w:right w:w="108" w:type="dxa"/>
            </w:tcMar>
          </w:tcPr>
          <w:p w14:paraId="26EEFDFB" w14:textId="46D41ED5" w:rsidR="00902FB7" w:rsidRPr="00902FB7" w:rsidRDefault="00902FB7" w:rsidP="00BE6298">
            <w:pPr>
              <w:pStyle w:val="TableText"/>
            </w:pPr>
            <w:r w:rsidRPr="00902FB7">
              <w:t>5’- TTC AGA TTC GTT ACC GTT TCC A -3’</w:t>
            </w:r>
          </w:p>
        </w:tc>
      </w:tr>
      <w:tr w:rsidR="00902FB7" w:rsidRPr="00902FB7" w14:paraId="43C9CF95" w14:textId="77777777" w:rsidTr="00D56A03">
        <w:tc>
          <w:tcPr>
            <w:tcW w:w="1173" w:type="pct"/>
            <w:vMerge/>
            <w:tcMar>
              <w:left w:w="108" w:type="dxa"/>
              <w:right w:w="108" w:type="dxa"/>
            </w:tcMar>
          </w:tcPr>
          <w:p w14:paraId="3D2A727E" w14:textId="77777777" w:rsidR="00902FB7" w:rsidRPr="00902FB7" w:rsidRDefault="00902FB7" w:rsidP="00BE6298">
            <w:pPr>
              <w:pStyle w:val="TableText"/>
            </w:pPr>
          </w:p>
        </w:tc>
        <w:tc>
          <w:tcPr>
            <w:tcW w:w="2345" w:type="pct"/>
            <w:tcMar>
              <w:left w:w="108" w:type="dxa"/>
              <w:right w:w="108" w:type="dxa"/>
            </w:tcMar>
          </w:tcPr>
          <w:p w14:paraId="20772A1C" w14:textId="36147BE4" w:rsidR="00902FB7" w:rsidRPr="00902FB7" w:rsidRDefault="00902FB7" w:rsidP="00BE6298">
            <w:pPr>
              <w:pStyle w:val="TableText"/>
            </w:pPr>
            <w:r w:rsidRPr="00216C97">
              <w:rPr>
                <w:bCs/>
              </w:rPr>
              <w:t>CSIRO WSSV probe</w:t>
            </w:r>
          </w:p>
        </w:tc>
        <w:tc>
          <w:tcPr>
            <w:tcW w:w="1482" w:type="pct"/>
            <w:tcBorders>
              <w:bottom w:val="single" w:sz="4" w:space="0" w:color="auto"/>
            </w:tcBorders>
            <w:tcMar>
              <w:left w:w="108" w:type="dxa"/>
              <w:right w:w="108" w:type="dxa"/>
            </w:tcMar>
          </w:tcPr>
          <w:p w14:paraId="169741F3" w14:textId="52AFBD9D" w:rsidR="00902FB7" w:rsidRPr="00902FB7" w:rsidRDefault="00902FB7" w:rsidP="00BE6298">
            <w:pPr>
              <w:pStyle w:val="TableText"/>
            </w:pPr>
            <w:r w:rsidRPr="00902FB7">
              <w:t>5’- 6FAM CGC TTC AGC CAT GCC AGC CG TAMRA -3’</w:t>
            </w:r>
          </w:p>
        </w:tc>
      </w:tr>
      <w:tr w:rsidR="00BE6298" w:rsidRPr="00902FB7" w14:paraId="736E272B" w14:textId="77777777" w:rsidTr="00BE6298">
        <w:tc>
          <w:tcPr>
            <w:tcW w:w="1173" w:type="pct"/>
            <w:vMerge w:val="restart"/>
            <w:tcMar>
              <w:left w:w="108" w:type="dxa"/>
              <w:right w:w="108" w:type="dxa"/>
            </w:tcMar>
          </w:tcPr>
          <w:p w14:paraId="7293E569" w14:textId="5FCC4D87" w:rsidR="00BE6298" w:rsidRPr="00902FB7" w:rsidRDefault="00BE6298" w:rsidP="00BE6298">
            <w:pPr>
              <w:pStyle w:val="TableText"/>
            </w:pPr>
            <w:r w:rsidRPr="00902FB7">
              <w:t>OIE WSSV qPCR</w:t>
            </w:r>
          </w:p>
        </w:tc>
        <w:tc>
          <w:tcPr>
            <w:tcW w:w="2345" w:type="pct"/>
            <w:tcMar>
              <w:left w:w="108" w:type="dxa"/>
              <w:right w:w="108" w:type="dxa"/>
            </w:tcMar>
          </w:tcPr>
          <w:p w14:paraId="2ED4DD04" w14:textId="421CEDB5" w:rsidR="00BE6298" w:rsidRPr="00902FB7" w:rsidRDefault="00BE6298" w:rsidP="00BE6298">
            <w:pPr>
              <w:pStyle w:val="TableText"/>
            </w:pPr>
            <w:r w:rsidRPr="00216C97">
              <w:t>OIE WSSV 1011F</w:t>
            </w:r>
          </w:p>
        </w:tc>
        <w:tc>
          <w:tcPr>
            <w:tcW w:w="1482" w:type="pct"/>
            <w:tcMar>
              <w:left w:w="108" w:type="dxa"/>
              <w:right w:w="108" w:type="dxa"/>
            </w:tcMar>
          </w:tcPr>
          <w:p w14:paraId="372F9D46" w14:textId="3B0A054E" w:rsidR="00BE6298" w:rsidRPr="00902FB7" w:rsidRDefault="00BE6298" w:rsidP="00BE6298">
            <w:pPr>
              <w:pStyle w:val="TableText"/>
            </w:pPr>
            <w:r w:rsidRPr="00902FB7">
              <w:t>5'- TGG TCC CGT CCT CAT CTC AG -3'</w:t>
            </w:r>
          </w:p>
        </w:tc>
      </w:tr>
      <w:tr w:rsidR="00BE6298" w:rsidRPr="00902FB7" w14:paraId="2971191A" w14:textId="77777777" w:rsidTr="00BE6298">
        <w:tc>
          <w:tcPr>
            <w:tcW w:w="1173" w:type="pct"/>
            <w:vMerge/>
            <w:tcMar>
              <w:left w:w="108" w:type="dxa"/>
              <w:right w:w="108" w:type="dxa"/>
            </w:tcMar>
          </w:tcPr>
          <w:p w14:paraId="63E19B9F" w14:textId="16A30060" w:rsidR="00BE6298" w:rsidRPr="00902FB7" w:rsidRDefault="00BE6298" w:rsidP="00BE6298">
            <w:pPr>
              <w:spacing w:before="60" w:after="60" w:line="240" w:lineRule="auto"/>
              <w:rPr>
                <w:sz w:val="18"/>
              </w:rPr>
            </w:pPr>
          </w:p>
        </w:tc>
        <w:tc>
          <w:tcPr>
            <w:tcW w:w="2345" w:type="pct"/>
            <w:tcMar>
              <w:left w:w="108" w:type="dxa"/>
              <w:right w:w="108" w:type="dxa"/>
            </w:tcMar>
          </w:tcPr>
          <w:p w14:paraId="611C1E77" w14:textId="6AD800E8" w:rsidR="00BE6298" w:rsidRPr="00902FB7" w:rsidRDefault="00BE6298" w:rsidP="00BE6298">
            <w:pPr>
              <w:pStyle w:val="TableText"/>
            </w:pPr>
            <w:r w:rsidRPr="00216C97">
              <w:t>OIE WSSV 1079R</w:t>
            </w:r>
          </w:p>
        </w:tc>
        <w:tc>
          <w:tcPr>
            <w:tcW w:w="1482" w:type="pct"/>
            <w:tcMar>
              <w:left w:w="108" w:type="dxa"/>
              <w:right w:w="108" w:type="dxa"/>
            </w:tcMar>
          </w:tcPr>
          <w:p w14:paraId="0EC9B72A" w14:textId="0A7A4FF0" w:rsidR="00BE6298" w:rsidRPr="00902FB7" w:rsidRDefault="00BE6298" w:rsidP="00BE6298">
            <w:pPr>
              <w:pStyle w:val="TableText"/>
            </w:pPr>
            <w:r w:rsidRPr="00902FB7">
              <w:t>5'- GCT GCC TTG CCG GAA ATT A -3'</w:t>
            </w:r>
          </w:p>
        </w:tc>
      </w:tr>
      <w:tr w:rsidR="00BE6298" w:rsidRPr="00902FB7" w14:paraId="562219EE" w14:textId="77777777" w:rsidTr="00BE6298">
        <w:tc>
          <w:tcPr>
            <w:tcW w:w="1173" w:type="pct"/>
            <w:vMerge/>
            <w:tcMar>
              <w:left w:w="108" w:type="dxa"/>
              <w:right w:w="108" w:type="dxa"/>
            </w:tcMar>
          </w:tcPr>
          <w:p w14:paraId="0596D53A" w14:textId="77777777" w:rsidR="00BE6298" w:rsidRPr="00902FB7" w:rsidRDefault="00BE6298" w:rsidP="00BE6298">
            <w:pPr>
              <w:spacing w:before="60" w:after="60" w:line="240" w:lineRule="auto"/>
              <w:rPr>
                <w:sz w:val="18"/>
              </w:rPr>
            </w:pPr>
          </w:p>
        </w:tc>
        <w:tc>
          <w:tcPr>
            <w:tcW w:w="2345" w:type="pct"/>
            <w:tcMar>
              <w:left w:w="108" w:type="dxa"/>
              <w:right w:w="108" w:type="dxa"/>
            </w:tcMar>
          </w:tcPr>
          <w:p w14:paraId="067EBD3C" w14:textId="7BA7C168" w:rsidR="00BE6298" w:rsidRPr="00902FB7" w:rsidRDefault="00BE6298" w:rsidP="00BE6298">
            <w:pPr>
              <w:pStyle w:val="TableText"/>
            </w:pPr>
            <w:r w:rsidRPr="00216C97">
              <w:t>OI</w:t>
            </w:r>
            <w:r w:rsidRPr="00902FB7">
              <w:t>E</w:t>
            </w:r>
            <w:r w:rsidRPr="00216C97">
              <w:t xml:space="preserve"> WSSV Probe</w:t>
            </w:r>
          </w:p>
        </w:tc>
        <w:tc>
          <w:tcPr>
            <w:tcW w:w="1482" w:type="pct"/>
            <w:tcMar>
              <w:left w:w="108" w:type="dxa"/>
              <w:right w:w="108" w:type="dxa"/>
            </w:tcMar>
          </w:tcPr>
          <w:p w14:paraId="472E4BE3" w14:textId="1159726C" w:rsidR="00BE6298" w:rsidRPr="00902FB7" w:rsidRDefault="00BE6298" w:rsidP="00BE6298">
            <w:pPr>
              <w:pStyle w:val="TableText"/>
            </w:pPr>
            <w:r w:rsidRPr="00902FB7">
              <w:t>5'- 6FAM AGC CAT GAA GAA TGC CGT CTA TCA CAC A TAMRA -3'</w:t>
            </w:r>
          </w:p>
        </w:tc>
      </w:tr>
    </w:tbl>
    <w:p w14:paraId="36D555A6" w14:textId="532315A7" w:rsidR="00AE356F" w:rsidRPr="00216C97" w:rsidRDefault="00AE356F" w:rsidP="00BC437D">
      <w:pPr>
        <w:spacing w:before="120"/>
      </w:pPr>
      <w:r w:rsidRPr="00216C97">
        <w:t>As implemented at ACDP (Moody et al, 2022), both assays use the following reaction and cycling conditions: each 25 µl reaction mix contains 2 µl extracted nucleic acid template, 12.5 µl TaqMan Universal PCR Master Mix (Life Technologies), a final concentration of 900</w:t>
      </w:r>
      <w:r w:rsidR="003226DC">
        <w:t> </w:t>
      </w:r>
      <w:r w:rsidRPr="00216C97">
        <w:t>nM for each primer, 250</w:t>
      </w:r>
      <w:r w:rsidR="003226DC">
        <w:t> </w:t>
      </w:r>
      <w:r w:rsidRPr="00216C97">
        <w:t>nM for the probe and molecular-grade water. PCR amplifications are programmed as follows: 1</w:t>
      </w:r>
      <w:r w:rsidR="007A4D12">
        <w:t> </w:t>
      </w:r>
      <w:r w:rsidRPr="00216C97">
        <w:t>cycle of 50</w:t>
      </w:r>
      <w:r w:rsidRPr="00216C97">
        <w:sym w:font="Symbol" w:char="F0B0"/>
      </w:r>
      <w:r w:rsidRPr="00216C97">
        <w:t>C for 2 minutes, 1 cycle of 95</w:t>
      </w:r>
      <w:r w:rsidRPr="00216C97">
        <w:sym w:font="Symbol" w:char="F0B0"/>
      </w:r>
      <w:r w:rsidRPr="00216C97">
        <w:t>C for 10 minutes followed by 45 cycles of 9</w:t>
      </w:r>
      <w:r w:rsidR="00CE65C5">
        <w:t>5</w:t>
      </w:r>
      <w:r w:rsidRPr="00216C97">
        <w:sym w:font="Symbol" w:char="F0B0"/>
      </w:r>
      <w:r w:rsidRPr="00216C97">
        <w:t>C for 15</w:t>
      </w:r>
      <w:r w:rsidR="007A4D12">
        <w:t> </w:t>
      </w:r>
      <w:r w:rsidRPr="00216C97">
        <w:t>seconds and 60</w:t>
      </w:r>
      <w:r w:rsidRPr="00216C97">
        <w:sym w:font="Symbol" w:char="F0B0"/>
      </w:r>
      <w:r w:rsidRPr="00216C97">
        <w:t>C for 60 seconds. A threshold of 0.1 is used to determine C</w:t>
      </w:r>
      <w:r w:rsidRPr="00216C97">
        <w:rPr>
          <w:vertAlign w:val="subscript"/>
        </w:rPr>
        <w:t>T</w:t>
      </w:r>
      <w:r w:rsidRPr="00216C97">
        <w:t xml:space="preserve"> value. The qPCR assays are performed in a 7500 Fast Real-Time PCR System or QuantStudio 5 Real-Time PCR System (Life Technologies) and analysed with the 7500 or QuantStudio design and analysis software, respectively.</w:t>
      </w:r>
    </w:p>
    <w:p w14:paraId="3143A3FD" w14:textId="77777777" w:rsidR="00AE356F" w:rsidRPr="00216C97" w:rsidRDefault="00AE356F" w:rsidP="00AE356F">
      <w:r w:rsidRPr="00216C97">
        <w:t>The following negative and positive controls must be included in each qPCR run:</w:t>
      </w:r>
    </w:p>
    <w:p w14:paraId="0AF6DCDB" w14:textId="77777777" w:rsidR="00AE356F" w:rsidRPr="00505DFD" w:rsidRDefault="00AE356F" w:rsidP="00AE356F">
      <w:pPr>
        <w:pStyle w:val="ListBullet"/>
        <w:spacing w:line="276" w:lineRule="auto"/>
      </w:pPr>
      <w:r w:rsidRPr="00505DFD">
        <w:t>A negative extraction control: this control is a blank sample or WSSV-negative tissue run through the extraction process, to confirm that the reagents and equipment used for the DNA extraction are free from contamination with WSSV DNA.</w:t>
      </w:r>
    </w:p>
    <w:p w14:paraId="3B837D06" w14:textId="77777777" w:rsidR="00AE356F" w:rsidRPr="00505DFD" w:rsidRDefault="00AE356F" w:rsidP="00AE356F">
      <w:pPr>
        <w:pStyle w:val="ListBullet"/>
        <w:spacing w:line="276" w:lineRule="auto"/>
      </w:pPr>
      <w:r w:rsidRPr="00505DFD">
        <w:lastRenderedPageBreak/>
        <w:t>A no template control: this control contains all the components of the qPCR reaction mixture, but no template DNA, to confirm that the reagent and equipment used for the qPCR are free from contamination with WSSV DNA.</w:t>
      </w:r>
    </w:p>
    <w:p w14:paraId="3E602340" w14:textId="77777777" w:rsidR="00AE356F" w:rsidRPr="00505DFD" w:rsidRDefault="00AE356F" w:rsidP="00AE356F">
      <w:pPr>
        <w:pStyle w:val="ListBullet"/>
        <w:spacing w:line="276" w:lineRule="auto"/>
      </w:pPr>
      <w:r w:rsidRPr="00505DFD">
        <w:t>At least one positive control for WSSV; this control consists of DNA extracted from prawn tissues confirmed to be infected by WSSV, or a plasmid or synthetic DNA containing the target WSSV DNA fragment, to confirm all the reactions components were included in the mastermix and cycling conditions were as described.</w:t>
      </w:r>
    </w:p>
    <w:p w14:paraId="09352073" w14:textId="38E1185B" w:rsidR="00AE356F" w:rsidRPr="00505DFD" w:rsidRDefault="00AE356F" w:rsidP="00AE356F">
      <w:r w:rsidRPr="00216C97">
        <w:rPr>
          <w:bCs/>
        </w:rPr>
        <w:t xml:space="preserve">For the assay and test results to be valid the following criteria must be fulfilled: All negative controls must </w:t>
      </w:r>
      <w:r w:rsidRPr="00505DFD">
        <w:t>have no evidence of typical amplification curves. Each positive control must yield a typical amplification curve and mean CT values within the acceptable range according to quality control data accumulated by the NATA accredited diagnostic laboratory.</w:t>
      </w:r>
    </w:p>
    <w:p w14:paraId="562A9938" w14:textId="77777777" w:rsidR="00AE356F" w:rsidRPr="00505DFD" w:rsidRDefault="00AE356F" w:rsidP="00AE356F">
      <w:pPr>
        <w:pStyle w:val="Heading4"/>
      </w:pPr>
      <w:r w:rsidRPr="00505DFD">
        <w:t>Interpretation of WSSV qPCR results</w:t>
      </w:r>
    </w:p>
    <w:p w14:paraId="3B44D116" w14:textId="77777777" w:rsidR="00AE356F" w:rsidRPr="00216C97" w:rsidRDefault="00AE356F" w:rsidP="00AE356F">
      <w:r w:rsidRPr="00216C97">
        <w:t>A positive WSSV qPCR result indicates the presence of a WSSV DNA fragment (targeted by the specific qPCR method applied) in the sample tested. A negative WSSV qPCR result indicates that there is no target WSSV DNA detected in the sample tested.</w:t>
      </w:r>
    </w:p>
    <w:p w14:paraId="5A16075E" w14:textId="77777777" w:rsidR="00AE356F" w:rsidRPr="00216C97" w:rsidRDefault="00AE356F" w:rsidP="00AE356F">
      <w:r w:rsidRPr="00216C97">
        <w:t>Using either the CSIRO WSSV qPCR or OIE WSSV qPCR method, the following rules must be applied for interpreting of results.</w:t>
      </w:r>
    </w:p>
    <w:p w14:paraId="1A257AD7" w14:textId="77777777" w:rsidR="00AE356F" w:rsidRPr="00216C97" w:rsidRDefault="00AE356F" w:rsidP="00AE356F">
      <w:pPr>
        <w:pStyle w:val="Heading5"/>
      </w:pPr>
      <w:r w:rsidRPr="00B113AA">
        <w:t>For initial testing</w:t>
      </w:r>
    </w:p>
    <w:p w14:paraId="2AE64DD8" w14:textId="77777777" w:rsidR="00AE356F" w:rsidRPr="00216C97" w:rsidRDefault="00AE356F" w:rsidP="00CE65C5">
      <w:pPr>
        <w:pStyle w:val="ListBullet"/>
      </w:pPr>
      <w:r w:rsidRPr="00216C97">
        <w:t>A sample that does not yield a typical amplification curve within 45 cycles is ‘negative’ for WSSV.</w:t>
      </w:r>
    </w:p>
    <w:p w14:paraId="604512BC" w14:textId="77777777" w:rsidR="00AE356F" w:rsidRPr="00216C97" w:rsidRDefault="00AE356F" w:rsidP="00CE65C5">
      <w:pPr>
        <w:pStyle w:val="ListBullet"/>
      </w:pPr>
      <w:r w:rsidRPr="00216C97">
        <w:t>A sample that generates a typical amplification curve which has crossed the threshold before 40 cycles is ‘positive’ for WSSV.</w:t>
      </w:r>
    </w:p>
    <w:p w14:paraId="54ECAA23" w14:textId="5D656884" w:rsidR="00AE356F" w:rsidRPr="00216C97" w:rsidRDefault="00AE356F" w:rsidP="00CE65C5">
      <w:pPr>
        <w:pStyle w:val="ListBullet"/>
      </w:pPr>
      <w:r w:rsidRPr="00216C97">
        <w:t xml:space="preserve">A sample that generates a typical amplification curve crossing the threshold between 40 and 45 cycles, or a sample that generates a typical amplification curve within 45 cycles but does not cross the threshold, is ‘suspect positive’ for WSSV. ‘Suspect positive’ samples must be retested within the same laboratory using one of the </w:t>
      </w:r>
      <w:r w:rsidR="000D3DAB">
        <w:t>2</w:t>
      </w:r>
      <w:r w:rsidRPr="00216C97">
        <w:t xml:space="preserve"> qPCR methods described in this procedure.</w:t>
      </w:r>
    </w:p>
    <w:p w14:paraId="1647D383" w14:textId="77777777" w:rsidR="00AE356F" w:rsidRPr="00216C97" w:rsidRDefault="00AE356F" w:rsidP="00CE65C5">
      <w:pPr>
        <w:pStyle w:val="ListBullet"/>
      </w:pPr>
      <w:r w:rsidRPr="00216C97">
        <w:t>If the result of retesting is positive or suspect positive, the sample is reported as ‘positive’, ‘suspect positive’ or ‘indeterminate’ according to laboratory reporting terminology and jurisdictional requirements.</w:t>
      </w:r>
    </w:p>
    <w:p w14:paraId="5C8A176A" w14:textId="77777777" w:rsidR="00AE356F" w:rsidRPr="00216C97" w:rsidRDefault="00AE356F" w:rsidP="00CE65C5">
      <w:pPr>
        <w:pStyle w:val="ListBullet"/>
      </w:pPr>
      <w:r w:rsidRPr="00216C97">
        <w:t>If retesting of a suspect positive produces a negative result, the sample should remain classified as suspect positive and be referred for confirmatory testing at ACDP.</w:t>
      </w:r>
    </w:p>
    <w:p w14:paraId="38B11AA5" w14:textId="77777777" w:rsidR="00AE356F" w:rsidRPr="00216C97" w:rsidRDefault="00AE356F" w:rsidP="00AE356F">
      <w:pPr>
        <w:pStyle w:val="Heading5"/>
      </w:pPr>
      <w:r w:rsidRPr="00216C97">
        <w:t>For confirmatory testing at ACDP</w:t>
      </w:r>
    </w:p>
    <w:p w14:paraId="7D57FD4F" w14:textId="77777777" w:rsidR="00AE356F" w:rsidRPr="00216C97" w:rsidRDefault="00AE356F" w:rsidP="00CE65C5">
      <w:pPr>
        <w:pStyle w:val="ListBullet"/>
      </w:pPr>
      <w:r w:rsidRPr="00216C97">
        <w:t>A sample that does not yield a typical amplification curve within 45 cycles is ‘negative’ for WSSV.</w:t>
      </w:r>
    </w:p>
    <w:p w14:paraId="47590156" w14:textId="4403E1D3" w:rsidR="00AE356F" w:rsidRPr="00216C97" w:rsidRDefault="00AE356F" w:rsidP="00CE65C5">
      <w:pPr>
        <w:pStyle w:val="ListBullet"/>
      </w:pPr>
      <w:r w:rsidRPr="00216C97">
        <w:t>A sample that generates a typical amplification curve within 45 cycles is ‘positive’ for WSSV.</w:t>
      </w:r>
    </w:p>
    <w:p w14:paraId="3C951177" w14:textId="2B85C632" w:rsidR="00AE356F" w:rsidRPr="00216C97" w:rsidRDefault="00AE356F" w:rsidP="00AE356F">
      <w:pPr>
        <w:rPr>
          <w:lang w:eastAsia="ja-JP"/>
        </w:rPr>
      </w:pPr>
      <w:r w:rsidRPr="00216C97">
        <w:rPr>
          <w:lang w:eastAsia="ja-JP"/>
        </w:rPr>
        <w:t>As WSSV is listed on Australia’s National List of Reportable Diseases of Aquatic Animals, any positive or suspect detection of WSSV must immediately be reported to the relevant authority (i.e. state</w:t>
      </w:r>
      <w:r w:rsidR="00D412AD">
        <w:rPr>
          <w:lang w:eastAsia="ja-JP"/>
        </w:rPr>
        <w:t xml:space="preserve"> or </w:t>
      </w:r>
      <w:r w:rsidRPr="00216C97">
        <w:rPr>
          <w:lang w:eastAsia="ja-JP"/>
        </w:rPr>
        <w:t xml:space="preserve">territory Chief Veterinary Officer and/or </w:t>
      </w:r>
      <w:r w:rsidRPr="003E7EF8">
        <w:rPr>
          <w:lang w:eastAsia="ja-JP"/>
        </w:rPr>
        <w:t>Director of Fisheries) and referred to ACDP for confirmatory testing.</w:t>
      </w:r>
    </w:p>
    <w:p w14:paraId="152663F5" w14:textId="77777777" w:rsidR="00AE356F" w:rsidRPr="00216C97" w:rsidRDefault="00AE356F" w:rsidP="00AE356F">
      <w:pPr>
        <w:pStyle w:val="Heading4"/>
        <w:rPr>
          <w:lang w:eastAsia="ja-JP"/>
        </w:rPr>
      </w:pPr>
      <w:r w:rsidRPr="00216C97">
        <w:rPr>
          <w:lang w:eastAsia="ja-JP"/>
        </w:rPr>
        <w:t>Shrimp EF1 Housekeeping-gene qPCR</w:t>
      </w:r>
    </w:p>
    <w:p w14:paraId="7CD56DFD" w14:textId="2E768AED" w:rsidR="00AE356F" w:rsidRPr="00216C97" w:rsidRDefault="00AE356F" w:rsidP="00AE356F">
      <w:pPr>
        <w:rPr>
          <w:lang w:eastAsia="ja-JP"/>
        </w:rPr>
      </w:pPr>
      <w:r w:rsidRPr="00216C97">
        <w:rPr>
          <w:lang w:eastAsia="ja-JP"/>
        </w:rPr>
        <w:t>A qPCR housekeeping gene assay, targeting the penaeid elongation factor 1-</w:t>
      </w:r>
      <w:r w:rsidRPr="00216C97">
        <w:rPr>
          <w:rFonts w:cs="Calibri"/>
          <w:lang w:eastAsia="ja-JP"/>
        </w:rPr>
        <w:t>α</w:t>
      </w:r>
      <w:r w:rsidRPr="00216C97">
        <w:rPr>
          <w:lang w:eastAsia="ja-JP"/>
        </w:rPr>
        <w:t>/</w:t>
      </w:r>
      <w:r w:rsidRPr="00216C97">
        <w:rPr>
          <w:rFonts w:cs="Calibri"/>
          <w:lang w:eastAsia="ja-JP"/>
        </w:rPr>
        <w:t>β</w:t>
      </w:r>
      <w:r w:rsidRPr="00216C97">
        <w:rPr>
          <w:lang w:eastAsia="ja-JP"/>
        </w:rPr>
        <w:t xml:space="preserve"> (EF1) genes, the CSIRO Shrimp EF1 qPCR, has been developed by Cowley </w:t>
      </w:r>
      <w:r w:rsidR="00995C15">
        <w:rPr>
          <w:lang w:eastAsia="ja-JP"/>
        </w:rPr>
        <w:t xml:space="preserve">et al. </w:t>
      </w:r>
      <w:r w:rsidRPr="00216C97">
        <w:rPr>
          <w:lang w:eastAsia="ja-JP"/>
        </w:rPr>
        <w:t xml:space="preserve">(2018). This assay can be used to </w:t>
      </w:r>
      <w:r w:rsidRPr="00216C97">
        <w:rPr>
          <w:lang w:eastAsia="ja-JP"/>
        </w:rPr>
        <w:lastRenderedPageBreak/>
        <w:t xml:space="preserve">confirm nucleic acids were extracted and are free of PCR inhibitors. Primer and probe sequence are described in </w:t>
      </w:r>
      <w:r w:rsidR="00CE65C5">
        <w:rPr>
          <w:lang w:eastAsia="ja-JP"/>
        </w:rPr>
        <w:fldChar w:fldCharType="begin"/>
      </w:r>
      <w:r w:rsidR="00CE65C5">
        <w:rPr>
          <w:lang w:eastAsia="ja-JP"/>
        </w:rPr>
        <w:instrText xml:space="preserve"> REF _Ref115786070 \h </w:instrText>
      </w:r>
      <w:r w:rsidR="00CE65C5">
        <w:rPr>
          <w:lang w:eastAsia="ja-JP"/>
        </w:rPr>
      </w:r>
      <w:r w:rsidR="00CE65C5">
        <w:rPr>
          <w:lang w:eastAsia="ja-JP"/>
        </w:rPr>
        <w:fldChar w:fldCharType="separate"/>
      </w:r>
      <w:r w:rsidR="00D12BC0">
        <w:t xml:space="preserve">Table </w:t>
      </w:r>
      <w:r w:rsidR="00D12BC0">
        <w:rPr>
          <w:noProof/>
        </w:rPr>
        <w:t>4</w:t>
      </w:r>
      <w:r w:rsidR="00CE65C5">
        <w:rPr>
          <w:lang w:eastAsia="ja-JP"/>
        </w:rPr>
        <w:fldChar w:fldCharType="end"/>
      </w:r>
      <w:r w:rsidRPr="00216C97">
        <w:rPr>
          <w:lang w:eastAsia="ja-JP"/>
        </w:rPr>
        <w:t>.</w:t>
      </w:r>
    </w:p>
    <w:p w14:paraId="22E987C3" w14:textId="5E7C95D5" w:rsidR="00AE356F" w:rsidRPr="00216C97" w:rsidRDefault="00AE356F" w:rsidP="00AE356F">
      <w:pPr>
        <w:pStyle w:val="Caption"/>
      </w:pPr>
      <w:bookmarkStart w:id="47" w:name="_Ref115786070"/>
      <w:bookmarkStart w:id="48" w:name="_Toc126319041"/>
      <w:r>
        <w:t xml:space="preserve">Table </w:t>
      </w:r>
      <w:fldSimple w:instr=" SEQ Table \* ARABIC ">
        <w:r w:rsidR="00D12BC0">
          <w:rPr>
            <w:noProof/>
          </w:rPr>
          <w:t>4</w:t>
        </w:r>
      </w:fldSimple>
      <w:bookmarkEnd w:id="47"/>
      <w:r w:rsidRPr="00505DFD">
        <w:rPr>
          <w:rFonts w:cs="Calibri"/>
          <w:szCs w:val="22"/>
        </w:rPr>
        <w:t xml:space="preserve"> </w:t>
      </w:r>
      <w:r w:rsidRPr="00216C97">
        <w:rPr>
          <w:rFonts w:cs="Calibri"/>
          <w:szCs w:val="22"/>
        </w:rPr>
        <w:t>Primer and probe sequences for the CSIRO Shrimp EF1 qPCR</w:t>
      </w:r>
      <w:bookmarkEnd w:id="48"/>
    </w:p>
    <w:tbl>
      <w:tblPr>
        <w:tblStyle w:val="TableGrid"/>
        <w:tblW w:w="9634" w:type="dxa"/>
        <w:tblBorders>
          <w:left w:val="none" w:sz="0" w:space="0" w:color="auto"/>
          <w:right w:val="none" w:sz="0" w:space="0" w:color="auto"/>
          <w:insideV w:val="none" w:sz="0" w:space="0" w:color="auto"/>
        </w:tblBorders>
        <w:tblLook w:val="04A0" w:firstRow="1" w:lastRow="0" w:firstColumn="1" w:lastColumn="0" w:noHBand="0" w:noVBand="1"/>
      </w:tblPr>
      <w:tblGrid>
        <w:gridCol w:w="1555"/>
        <w:gridCol w:w="1701"/>
        <w:gridCol w:w="6378"/>
      </w:tblGrid>
      <w:tr w:rsidR="00AE356F" w:rsidRPr="00216C97" w14:paraId="5D197D74" w14:textId="77777777" w:rsidTr="00BC437D">
        <w:trPr>
          <w:cantSplit/>
          <w:tblHeader/>
        </w:trPr>
        <w:tc>
          <w:tcPr>
            <w:tcW w:w="1555" w:type="dxa"/>
          </w:tcPr>
          <w:p w14:paraId="7409F943" w14:textId="77777777" w:rsidR="00AE356F" w:rsidRPr="00216C97" w:rsidRDefault="00AE356F" w:rsidP="00BC437D">
            <w:pPr>
              <w:pStyle w:val="TableHeading"/>
              <w:rPr>
                <w:lang w:eastAsia="ja-JP"/>
              </w:rPr>
            </w:pPr>
            <w:r w:rsidRPr="00216C97">
              <w:rPr>
                <w:lang w:eastAsia="ja-JP"/>
              </w:rPr>
              <w:t>Assay</w:t>
            </w:r>
          </w:p>
        </w:tc>
        <w:tc>
          <w:tcPr>
            <w:tcW w:w="1701" w:type="dxa"/>
          </w:tcPr>
          <w:p w14:paraId="3DAC6CBC" w14:textId="77777777" w:rsidR="00AE356F" w:rsidRPr="00216C97" w:rsidRDefault="00AE356F" w:rsidP="00BC437D">
            <w:pPr>
              <w:pStyle w:val="TableHeading"/>
              <w:rPr>
                <w:lang w:eastAsia="ja-JP"/>
              </w:rPr>
            </w:pPr>
            <w:r w:rsidRPr="00216C97">
              <w:rPr>
                <w:lang w:eastAsia="ja-JP"/>
              </w:rPr>
              <w:t>Primer/Probe</w:t>
            </w:r>
          </w:p>
        </w:tc>
        <w:tc>
          <w:tcPr>
            <w:tcW w:w="6378" w:type="dxa"/>
          </w:tcPr>
          <w:p w14:paraId="1AD449A2" w14:textId="77777777" w:rsidR="00AE356F" w:rsidRPr="00216C97" w:rsidRDefault="00AE356F" w:rsidP="00BC437D">
            <w:pPr>
              <w:pStyle w:val="TableHeading"/>
              <w:rPr>
                <w:lang w:eastAsia="ja-JP"/>
              </w:rPr>
            </w:pPr>
            <w:r w:rsidRPr="00216C97">
              <w:rPr>
                <w:lang w:eastAsia="ja-JP"/>
              </w:rPr>
              <w:t>Sequence</w:t>
            </w:r>
          </w:p>
        </w:tc>
      </w:tr>
      <w:tr w:rsidR="00AE356F" w:rsidRPr="00216C97" w14:paraId="332B060D" w14:textId="77777777" w:rsidTr="00BC437D">
        <w:tc>
          <w:tcPr>
            <w:tcW w:w="1555" w:type="dxa"/>
            <w:vMerge w:val="restart"/>
          </w:tcPr>
          <w:p w14:paraId="35EEAE6C" w14:textId="77777777" w:rsidR="00AE356F" w:rsidRPr="00216C97" w:rsidRDefault="00AE356F" w:rsidP="00BC437D">
            <w:pPr>
              <w:pStyle w:val="TableText"/>
              <w:rPr>
                <w:lang w:eastAsia="ja-JP"/>
              </w:rPr>
            </w:pPr>
            <w:r w:rsidRPr="00216C97">
              <w:rPr>
                <w:lang w:eastAsia="ja-JP"/>
              </w:rPr>
              <w:t>CSIRO Shrimp EF1 qPCR</w:t>
            </w:r>
          </w:p>
        </w:tc>
        <w:tc>
          <w:tcPr>
            <w:tcW w:w="1701" w:type="dxa"/>
          </w:tcPr>
          <w:p w14:paraId="20A63290" w14:textId="77777777" w:rsidR="00AE356F" w:rsidRPr="00216C97" w:rsidRDefault="00AE356F" w:rsidP="00BC437D">
            <w:pPr>
              <w:pStyle w:val="TableText"/>
              <w:rPr>
                <w:lang w:eastAsia="ja-JP"/>
              </w:rPr>
            </w:pPr>
            <w:r w:rsidRPr="00CE65C5">
              <w:t>Shrimp-EF1qF1</w:t>
            </w:r>
          </w:p>
        </w:tc>
        <w:tc>
          <w:tcPr>
            <w:tcW w:w="6378" w:type="dxa"/>
          </w:tcPr>
          <w:p w14:paraId="22EE832C" w14:textId="77777777" w:rsidR="00AE356F" w:rsidRPr="00216C97" w:rsidRDefault="00AE356F" w:rsidP="00BC437D">
            <w:pPr>
              <w:pStyle w:val="TableText"/>
              <w:rPr>
                <w:lang w:eastAsia="ja-JP"/>
              </w:rPr>
            </w:pPr>
            <w:r w:rsidRPr="00CE65C5">
              <w:t>5'-</w:t>
            </w:r>
            <w:r w:rsidRPr="00216C97">
              <w:rPr>
                <w:rFonts w:cs="Arial"/>
              </w:rPr>
              <w:t xml:space="preserve"> GGC CGT GTG GAG ACT GGT AT </w:t>
            </w:r>
            <w:r w:rsidRPr="00CE65C5">
              <w:t>-3'</w:t>
            </w:r>
          </w:p>
        </w:tc>
      </w:tr>
      <w:tr w:rsidR="00AE356F" w:rsidRPr="00216C97" w14:paraId="0DA4474F" w14:textId="77777777" w:rsidTr="00BC437D">
        <w:tc>
          <w:tcPr>
            <w:tcW w:w="1555" w:type="dxa"/>
            <w:vMerge/>
          </w:tcPr>
          <w:p w14:paraId="1493FD1D" w14:textId="77777777" w:rsidR="00AE356F" w:rsidRPr="00216C97" w:rsidRDefault="00AE356F" w:rsidP="00BC437D">
            <w:pPr>
              <w:pStyle w:val="TableText"/>
              <w:rPr>
                <w:lang w:eastAsia="ja-JP"/>
              </w:rPr>
            </w:pPr>
          </w:p>
        </w:tc>
        <w:tc>
          <w:tcPr>
            <w:tcW w:w="1701" w:type="dxa"/>
          </w:tcPr>
          <w:p w14:paraId="0C61F397" w14:textId="77777777" w:rsidR="00AE356F" w:rsidRPr="00216C97" w:rsidRDefault="00AE356F" w:rsidP="00BC437D">
            <w:pPr>
              <w:pStyle w:val="TableText"/>
              <w:rPr>
                <w:lang w:eastAsia="ja-JP"/>
              </w:rPr>
            </w:pPr>
            <w:r w:rsidRPr="00CE65C5">
              <w:t>Shrimp-EF1qR1</w:t>
            </w:r>
          </w:p>
        </w:tc>
        <w:tc>
          <w:tcPr>
            <w:tcW w:w="6378" w:type="dxa"/>
          </w:tcPr>
          <w:p w14:paraId="24CAA839" w14:textId="77777777" w:rsidR="00AE356F" w:rsidRPr="00216C97" w:rsidRDefault="00AE356F" w:rsidP="00BC437D">
            <w:pPr>
              <w:pStyle w:val="TableText"/>
              <w:rPr>
                <w:lang w:eastAsia="ja-JP"/>
              </w:rPr>
            </w:pPr>
            <w:r w:rsidRPr="00CE65C5">
              <w:t>5'-</w:t>
            </w:r>
            <w:r w:rsidRPr="00216C97">
              <w:rPr>
                <w:rFonts w:cs="Arial"/>
              </w:rPr>
              <w:t xml:space="preserve"> CGT GGT GCA TCT CCA CAG A</w:t>
            </w:r>
            <w:r w:rsidRPr="00CE65C5">
              <w:t>-3'</w:t>
            </w:r>
          </w:p>
        </w:tc>
      </w:tr>
      <w:tr w:rsidR="00AE356F" w:rsidRPr="00216C97" w14:paraId="047B229C" w14:textId="77777777" w:rsidTr="00BC437D">
        <w:tc>
          <w:tcPr>
            <w:tcW w:w="1555" w:type="dxa"/>
            <w:vMerge/>
          </w:tcPr>
          <w:p w14:paraId="725068CE" w14:textId="77777777" w:rsidR="00AE356F" w:rsidRPr="00216C97" w:rsidRDefault="00AE356F" w:rsidP="00BC437D">
            <w:pPr>
              <w:pStyle w:val="TableText"/>
              <w:rPr>
                <w:lang w:eastAsia="ja-JP"/>
              </w:rPr>
            </w:pPr>
          </w:p>
        </w:tc>
        <w:tc>
          <w:tcPr>
            <w:tcW w:w="1701" w:type="dxa"/>
          </w:tcPr>
          <w:p w14:paraId="11D18F24" w14:textId="77777777" w:rsidR="00AE356F" w:rsidRPr="00216C97" w:rsidRDefault="00AE356F" w:rsidP="00BC437D">
            <w:pPr>
              <w:pStyle w:val="TableText"/>
              <w:rPr>
                <w:lang w:eastAsia="ja-JP"/>
              </w:rPr>
            </w:pPr>
            <w:r w:rsidRPr="00216C97">
              <w:rPr>
                <w:bCs/>
              </w:rPr>
              <w:t>Shrimp-EF1qPr1</w:t>
            </w:r>
          </w:p>
        </w:tc>
        <w:tc>
          <w:tcPr>
            <w:tcW w:w="6378" w:type="dxa"/>
          </w:tcPr>
          <w:p w14:paraId="2F6D0590" w14:textId="77777777" w:rsidR="00AE356F" w:rsidRPr="00216C97" w:rsidRDefault="00AE356F" w:rsidP="00BC437D">
            <w:pPr>
              <w:pStyle w:val="TableText"/>
              <w:rPr>
                <w:lang w:eastAsia="ja-JP"/>
              </w:rPr>
            </w:pPr>
            <w:r w:rsidRPr="00216C97">
              <w:t xml:space="preserve">5'- </w:t>
            </w:r>
            <w:r w:rsidRPr="00216C97">
              <w:rPr>
                <w:b/>
                <w:bCs/>
              </w:rPr>
              <w:t>6FAM</w:t>
            </w:r>
            <w:r w:rsidRPr="00216C97">
              <w:t xml:space="preserve"> CTG AAG CCA GGT ATG GTT GTC AAC TTT GCC </w:t>
            </w:r>
            <w:r w:rsidRPr="00216C97">
              <w:rPr>
                <w:b/>
                <w:bCs/>
              </w:rPr>
              <w:t xml:space="preserve">TAMRA </w:t>
            </w:r>
            <w:r w:rsidRPr="00216C97">
              <w:t>-3'</w:t>
            </w:r>
          </w:p>
        </w:tc>
      </w:tr>
    </w:tbl>
    <w:p w14:paraId="1A865528" w14:textId="491B1FF7" w:rsidR="00AE356F" w:rsidRPr="00216C97" w:rsidRDefault="00AE356F" w:rsidP="00BC437D">
      <w:pPr>
        <w:spacing w:before="120"/>
        <w:rPr>
          <w:lang w:eastAsia="ja-JP"/>
        </w:rPr>
      </w:pPr>
      <w:r w:rsidRPr="00216C97">
        <w:rPr>
          <w:lang w:eastAsia="ja-JP"/>
        </w:rPr>
        <w:t xml:space="preserve">As implemented at ACDP, the reaction, cycling conditions and results interpretation are as for the WSSV-specific qPCR assays. The CSIRO Shrimp EF1 qPCR will detect </w:t>
      </w:r>
      <w:r w:rsidRPr="00BC437D">
        <w:rPr>
          <w:rStyle w:val="Emphasis"/>
        </w:rPr>
        <w:t>Penaeus spp</w:t>
      </w:r>
      <w:r w:rsidRPr="00216C97">
        <w:rPr>
          <w:lang w:eastAsia="ja-JP"/>
        </w:rPr>
        <w:t xml:space="preserve">., </w:t>
      </w:r>
      <w:r w:rsidRPr="00BC437D">
        <w:rPr>
          <w:rStyle w:val="Emphasis"/>
        </w:rPr>
        <w:t>Litopenaeus</w:t>
      </w:r>
      <w:r w:rsidRPr="00216C97">
        <w:rPr>
          <w:lang w:eastAsia="ja-JP"/>
        </w:rPr>
        <w:t xml:space="preserve"> spp. and </w:t>
      </w:r>
      <w:r w:rsidRPr="00BC437D">
        <w:rPr>
          <w:rStyle w:val="Emphasis"/>
        </w:rPr>
        <w:t>Melicertus latisulcatus</w:t>
      </w:r>
      <w:r w:rsidRPr="00216C97">
        <w:rPr>
          <w:lang w:eastAsia="ja-JP"/>
        </w:rPr>
        <w:t xml:space="preserve">, but will not detect DNA extracted from </w:t>
      </w:r>
      <w:r w:rsidRPr="00BC437D">
        <w:rPr>
          <w:rStyle w:val="Emphasis"/>
        </w:rPr>
        <w:t>Metapenaeus</w:t>
      </w:r>
      <w:r w:rsidRPr="00216C97">
        <w:rPr>
          <w:lang w:eastAsia="ja-JP"/>
        </w:rPr>
        <w:t xml:space="preserve"> spp., </w:t>
      </w:r>
      <w:r w:rsidRPr="00BC437D">
        <w:rPr>
          <w:rStyle w:val="Emphasis"/>
        </w:rPr>
        <w:t>Macrobrachium</w:t>
      </w:r>
      <w:r w:rsidRPr="00216C97">
        <w:rPr>
          <w:lang w:eastAsia="ja-JP"/>
        </w:rPr>
        <w:t xml:space="preserve"> spp., </w:t>
      </w:r>
      <w:r w:rsidRPr="00BC437D">
        <w:rPr>
          <w:rStyle w:val="Emphasis"/>
        </w:rPr>
        <w:t>Paratya australiensis</w:t>
      </w:r>
      <w:r w:rsidRPr="00216C97">
        <w:rPr>
          <w:lang w:eastAsia="ja-JP"/>
        </w:rPr>
        <w:t xml:space="preserve">, </w:t>
      </w:r>
      <w:r w:rsidRPr="00BC437D">
        <w:rPr>
          <w:rStyle w:val="Emphasis"/>
        </w:rPr>
        <w:t>Pleoticus muelleri</w:t>
      </w:r>
      <w:r w:rsidRPr="00216C97">
        <w:rPr>
          <w:i/>
          <w:iCs/>
          <w:lang w:eastAsia="ja-JP"/>
        </w:rPr>
        <w:t xml:space="preserve"> </w:t>
      </w:r>
      <w:r w:rsidRPr="00216C97">
        <w:rPr>
          <w:lang w:eastAsia="ja-JP"/>
        </w:rPr>
        <w:t xml:space="preserve">and other non-penaeid decapods (e.g. crabs, crayfish). For most of these species, the OIE Decapod PCR described </w:t>
      </w:r>
      <w:r w:rsidR="00BC437D">
        <w:rPr>
          <w:lang w:eastAsia="ja-JP"/>
        </w:rPr>
        <w:t>in 2.8.3</w:t>
      </w:r>
      <w:r w:rsidRPr="00216C97">
        <w:rPr>
          <w:lang w:eastAsia="ja-JP"/>
        </w:rPr>
        <w:t xml:space="preserve"> can be used.</w:t>
      </w:r>
    </w:p>
    <w:p w14:paraId="2E7D921D" w14:textId="77777777" w:rsidR="00AE356F" w:rsidRPr="00505DFD" w:rsidRDefault="00AE356F" w:rsidP="00AE356F">
      <w:pPr>
        <w:pStyle w:val="Heading3"/>
        <w:rPr>
          <w:rStyle w:val="Emphasis"/>
          <w:rFonts w:eastAsia="Calibri"/>
          <w:i w:val="0"/>
          <w:iCs w:val="0"/>
        </w:rPr>
      </w:pPr>
      <w:bookmarkStart w:id="49" w:name="_Toc87004666"/>
      <w:bookmarkStart w:id="50" w:name="_Toc141701940"/>
      <w:r w:rsidRPr="00505DFD">
        <w:rPr>
          <w:rStyle w:val="Emphasis"/>
          <w:rFonts w:eastAsia="Calibri"/>
          <w:i w:val="0"/>
          <w:iCs w:val="0"/>
        </w:rPr>
        <w:t>Conventional PCR methods</w:t>
      </w:r>
      <w:bookmarkEnd w:id="49"/>
      <w:bookmarkEnd w:id="50"/>
    </w:p>
    <w:p w14:paraId="225B1DF5" w14:textId="77777777" w:rsidR="00AE356F" w:rsidRPr="00505DFD" w:rsidRDefault="00AE356F" w:rsidP="00AE356F">
      <w:pPr>
        <w:pStyle w:val="Heading4"/>
      </w:pPr>
      <w:r w:rsidRPr="00505DFD">
        <w:t>OIE WSSV nested PCR</w:t>
      </w:r>
    </w:p>
    <w:p w14:paraId="1C98F50E" w14:textId="3CADDDB5" w:rsidR="00AE356F" w:rsidRPr="00216C97" w:rsidRDefault="00AE356F" w:rsidP="00AE356F">
      <w:pPr>
        <w:rPr>
          <w:lang w:eastAsia="ja-JP"/>
        </w:rPr>
      </w:pPr>
      <w:r w:rsidRPr="00216C97">
        <w:rPr>
          <w:lang w:eastAsia="ja-JP"/>
        </w:rPr>
        <w:t xml:space="preserve">The OIE nested PCR is based on the primer sequences described by Lo </w:t>
      </w:r>
      <w:r w:rsidR="00995C15">
        <w:rPr>
          <w:lang w:eastAsia="ja-JP"/>
        </w:rPr>
        <w:t xml:space="preserve">et al. </w:t>
      </w:r>
      <w:r w:rsidRPr="00216C97">
        <w:rPr>
          <w:lang w:eastAsia="ja-JP"/>
        </w:rPr>
        <w:t xml:space="preserve">(1996b) and amplifies a 1447 base pair (bp) sequence of viral genomic DNA in the first reaction and an internal fragment of 941 bp in the nested reaction. Primers are described in </w:t>
      </w:r>
      <w:r w:rsidR="00CE65C5">
        <w:rPr>
          <w:lang w:eastAsia="ja-JP"/>
        </w:rPr>
        <w:fldChar w:fldCharType="begin"/>
      </w:r>
      <w:r w:rsidR="00CE65C5">
        <w:rPr>
          <w:lang w:eastAsia="ja-JP"/>
        </w:rPr>
        <w:instrText xml:space="preserve"> REF _Ref115786094 \h </w:instrText>
      </w:r>
      <w:r w:rsidR="00CE65C5">
        <w:rPr>
          <w:lang w:eastAsia="ja-JP"/>
        </w:rPr>
      </w:r>
      <w:r w:rsidR="00CE65C5">
        <w:rPr>
          <w:lang w:eastAsia="ja-JP"/>
        </w:rPr>
        <w:fldChar w:fldCharType="separate"/>
      </w:r>
      <w:r w:rsidR="00D12BC0" w:rsidRPr="00C812A1">
        <w:t xml:space="preserve">Table </w:t>
      </w:r>
      <w:r w:rsidR="00D12BC0">
        <w:rPr>
          <w:noProof/>
        </w:rPr>
        <w:t>5</w:t>
      </w:r>
      <w:r w:rsidR="00CE65C5">
        <w:rPr>
          <w:lang w:eastAsia="ja-JP"/>
        </w:rPr>
        <w:fldChar w:fldCharType="end"/>
      </w:r>
      <w:r w:rsidRPr="00216C97">
        <w:rPr>
          <w:lang w:eastAsia="ja-JP"/>
        </w:rPr>
        <w:t>. Reaction products are visualised by agarose gel electrophoresis.</w:t>
      </w:r>
    </w:p>
    <w:p w14:paraId="32FDE4A4" w14:textId="28D9A2F5" w:rsidR="00AE356F" w:rsidRDefault="00AE356F" w:rsidP="00AE356F">
      <w:pPr>
        <w:pStyle w:val="Caption"/>
      </w:pPr>
      <w:bookmarkStart w:id="51" w:name="_Ref115786094"/>
      <w:bookmarkStart w:id="52" w:name="_Toc126319042"/>
      <w:r w:rsidRPr="00C812A1">
        <w:t xml:space="preserve">Table </w:t>
      </w:r>
      <w:r w:rsidRPr="00BC437D">
        <w:rPr>
          <w:highlight w:val="green"/>
        </w:rPr>
        <w:fldChar w:fldCharType="begin"/>
      </w:r>
      <w:r w:rsidRPr="00C812A1">
        <w:instrText xml:space="preserve"> SEQ Table \* ARABIC </w:instrText>
      </w:r>
      <w:r w:rsidRPr="00BC437D">
        <w:rPr>
          <w:highlight w:val="green"/>
        </w:rPr>
        <w:fldChar w:fldCharType="separate"/>
      </w:r>
      <w:r w:rsidR="00D12BC0">
        <w:rPr>
          <w:noProof/>
        </w:rPr>
        <w:t>5</w:t>
      </w:r>
      <w:r w:rsidRPr="00BC437D">
        <w:rPr>
          <w:noProof/>
          <w:highlight w:val="green"/>
        </w:rPr>
        <w:fldChar w:fldCharType="end"/>
      </w:r>
      <w:bookmarkEnd w:id="51"/>
      <w:r w:rsidRPr="00C812A1">
        <w:rPr>
          <w:lang w:eastAsia="ja-JP"/>
        </w:rPr>
        <w:t xml:space="preserve"> Primers used in the OIE WSSV nPCR</w:t>
      </w:r>
      <w:bookmarkEnd w:id="52"/>
    </w:p>
    <w:tbl>
      <w:tblPr>
        <w:tblW w:w="5000" w:type="pct"/>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2127"/>
        <w:gridCol w:w="4256"/>
        <w:gridCol w:w="2687"/>
      </w:tblGrid>
      <w:tr w:rsidR="00AE356F" w:rsidRPr="00216C97" w14:paraId="52C12EE9" w14:textId="77777777" w:rsidTr="00BC437D">
        <w:trPr>
          <w:cantSplit/>
          <w:tblHeader/>
          <w:jc w:val="center"/>
        </w:trPr>
        <w:tc>
          <w:tcPr>
            <w:tcW w:w="1173" w:type="pct"/>
          </w:tcPr>
          <w:p w14:paraId="51393727" w14:textId="77777777" w:rsidR="00AE356F" w:rsidRPr="00216C97" w:rsidRDefault="00AE356F" w:rsidP="00BC437D">
            <w:pPr>
              <w:pStyle w:val="TableHeading"/>
            </w:pPr>
            <w:r w:rsidRPr="00216C97">
              <w:t>Primer</w:t>
            </w:r>
          </w:p>
        </w:tc>
        <w:tc>
          <w:tcPr>
            <w:tcW w:w="2346" w:type="pct"/>
          </w:tcPr>
          <w:p w14:paraId="1B05A943" w14:textId="77777777" w:rsidR="00AE356F" w:rsidRPr="00216C97" w:rsidRDefault="00AE356F" w:rsidP="00BC437D">
            <w:pPr>
              <w:pStyle w:val="TableHeading"/>
            </w:pPr>
            <w:r w:rsidRPr="00216C97">
              <w:t>Sequence</w:t>
            </w:r>
          </w:p>
        </w:tc>
        <w:tc>
          <w:tcPr>
            <w:tcW w:w="1482" w:type="pct"/>
          </w:tcPr>
          <w:p w14:paraId="433B3DDD" w14:textId="77777777" w:rsidR="00AE356F" w:rsidRPr="00216C97" w:rsidRDefault="00AE356F" w:rsidP="00BC437D">
            <w:pPr>
              <w:pStyle w:val="TableHeading"/>
            </w:pPr>
            <w:r w:rsidRPr="00216C97">
              <w:t>Amplicon size</w:t>
            </w:r>
          </w:p>
        </w:tc>
      </w:tr>
      <w:tr w:rsidR="00AE356F" w:rsidRPr="00216C97" w14:paraId="5BEF05B7" w14:textId="77777777" w:rsidTr="00BC437D">
        <w:trPr>
          <w:jc w:val="center"/>
        </w:trPr>
        <w:tc>
          <w:tcPr>
            <w:tcW w:w="1173" w:type="pct"/>
          </w:tcPr>
          <w:p w14:paraId="58318280" w14:textId="77777777" w:rsidR="00AE356F" w:rsidRPr="00216C97" w:rsidRDefault="00AE356F" w:rsidP="00BC437D">
            <w:pPr>
              <w:pStyle w:val="TableText"/>
              <w:rPr>
                <w:color w:val="000000"/>
              </w:rPr>
            </w:pPr>
            <w:r w:rsidRPr="00216C97">
              <w:t>WSSV 146F1</w:t>
            </w:r>
          </w:p>
        </w:tc>
        <w:tc>
          <w:tcPr>
            <w:tcW w:w="2346" w:type="pct"/>
          </w:tcPr>
          <w:p w14:paraId="7E684AE1" w14:textId="77777777" w:rsidR="00AE356F" w:rsidRPr="00216C97" w:rsidRDefault="00AE356F" w:rsidP="00BC437D">
            <w:pPr>
              <w:pStyle w:val="TableText"/>
              <w:rPr>
                <w:color w:val="000000"/>
              </w:rPr>
            </w:pPr>
            <w:r w:rsidRPr="00216C97">
              <w:t>5’-</w:t>
            </w:r>
            <w:r w:rsidRPr="00216C97">
              <w:rPr>
                <w:caps/>
              </w:rPr>
              <w:t>act act aac ttc agc cta tct ag</w:t>
            </w:r>
            <w:r w:rsidRPr="00216C97">
              <w:t>-3’</w:t>
            </w:r>
          </w:p>
        </w:tc>
        <w:tc>
          <w:tcPr>
            <w:tcW w:w="1482" w:type="pct"/>
          </w:tcPr>
          <w:p w14:paraId="020D868A" w14:textId="77777777" w:rsidR="00AE356F" w:rsidRPr="00216C97" w:rsidRDefault="00AE356F" w:rsidP="00BC437D">
            <w:pPr>
              <w:pStyle w:val="TableText"/>
            </w:pPr>
            <w:r w:rsidRPr="00216C97">
              <w:t>1447 bp</w:t>
            </w:r>
          </w:p>
        </w:tc>
      </w:tr>
      <w:tr w:rsidR="00AE356F" w:rsidRPr="00216C97" w14:paraId="12C9C0C9" w14:textId="77777777" w:rsidTr="00BC437D">
        <w:trPr>
          <w:jc w:val="center"/>
        </w:trPr>
        <w:tc>
          <w:tcPr>
            <w:tcW w:w="1173" w:type="pct"/>
          </w:tcPr>
          <w:p w14:paraId="7BBB366A" w14:textId="77777777" w:rsidR="00AE356F" w:rsidRPr="00216C97" w:rsidRDefault="00AE356F" w:rsidP="00BC437D">
            <w:pPr>
              <w:pStyle w:val="TableText"/>
              <w:rPr>
                <w:color w:val="000000"/>
              </w:rPr>
            </w:pPr>
            <w:r w:rsidRPr="00216C97">
              <w:t>WSSV 146R1</w:t>
            </w:r>
          </w:p>
        </w:tc>
        <w:tc>
          <w:tcPr>
            <w:tcW w:w="2346" w:type="pct"/>
          </w:tcPr>
          <w:p w14:paraId="582377CB" w14:textId="77777777" w:rsidR="00AE356F" w:rsidRPr="00216C97" w:rsidRDefault="00AE356F" w:rsidP="00BC437D">
            <w:pPr>
              <w:pStyle w:val="TableText"/>
              <w:rPr>
                <w:color w:val="000000"/>
              </w:rPr>
            </w:pPr>
            <w:r w:rsidRPr="00216C97">
              <w:t>5’-</w:t>
            </w:r>
            <w:r w:rsidRPr="00216C97">
              <w:rPr>
                <w:caps/>
              </w:rPr>
              <w:t>taa tgc ggg tgt aat gtt ctt acg a</w:t>
            </w:r>
            <w:r w:rsidRPr="00216C97">
              <w:t>-3’</w:t>
            </w:r>
          </w:p>
        </w:tc>
        <w:tc>
          <w:tcPr>
            <w:tcW w:w="1482" w:type="pct"/>
          </w:tcPr>
          <w:p w14:paraId="63B7872D" w14:textId="53180FB1" w:rsidR="00AE356F" w:rsidRPr="00216C97" w:rsidRDefault="00077C8E" w:rsidP="00BC437D">
            <w:pPr>
              <w:pStyle w:val="TableText"/>
            </w:pPr>
            <w:r w:rsidRPr="00216C97">
              <w:t>1447 bp</w:t>
            </w:r>
          </w:p>
        </w:tc>
      </w:tr>
      <w:tr w:rsidR="00AE356F" w:rsidRPr="00216C97" w14:paraId="4FC727A3" w14:textId="77777777" w:rsidTr="00BC437D">
        <w:trPr>
          <w:jc w:val="center"/>
        </w:trPr>
        <w:tc>
          <w:tcPr>
            <w:tcW w:w="1173" w:type="pct"/>
          </w:tcPr>
          <w:p w14:paraId="60F5A706" w14:textId="77777777" w:rsidR="00AE356F" w:rsidRPr="00216C97" w:rsidRDefault="00AE356F" w:rsidP="00BC437D">
            <w:pPr>
              <w:pStyle w:val="TableText"/>
              <w:rPr>
                <w:color w:val="000000"/>
              </w:rPr>
            </w:pPr>
            <w:r w:rsidRPr="00216C97">
              <w:t>WSSV 146F2</w:t>
            </w:r>
          </w:p>
        </w:tc>
        <w:tc>
          <w:tcPr>
            <w:tcW w:w="2346" w:type="pct"/>
          </w:tcPr>
          <w:p w14:paraId="4B15805F" w14:textId="77777777" w:rsidR="00AE356F" w:rsidRPr="00216C97" w:rsidRDefault="00AE356F" w:rsidP="00BC437D">
            <w:pPr>
              <w:pStyle w:val="TableText"/>
              <w:rPr>
                <w:color w:val="000000"/>
              </w:rPr>
            </w:pPr>
            <w:r w:rsidRPr="00216C97">
              <w:t>5’-</w:t>
            </w:r>
            <w:r w:rsidRPr="00216C97">
              <w:rPr>
                <w:caps/>
              </w:rPr>
              <w:t>gta act gcc cct tcc atc tcc a</w:t>
            </w:r>
            <w:r w:rsidRPr="00216C97">
              <w:t>-3’</w:t>
            </w:r>
          </w:p>
        </w:tc>
        <w:tc>
          <w:tcPr>
            <w:tcW w:w="1482" w:type="pct"/>
          </w:tcPr>
          <w:p w14:paraId="12EAABA2" w14:textId="77777777" w:rsidR="00AE356F" w:rsidRPr="00216C97" w:rsidRDefault="00AE356F" w:rsidP="00BC437D">
            <w:pPr>
              <w:pStyle w:val="TableText"/>
            </w:pPr>
            <w:r w:rsidRPr="00216C97">
              <w:t>941 bp</w:t>
            </w:r>
          </w:p>
        </w:tc>
      </w:tr>
      <w:tr w:rsidR="00AE356F" w:rsidRPr="00216C97" w14:paraId="039177C2" w14:textId="77777777" w:rsidTr="00BC437D">
        <w:trPr>
          <w:jc w:val="center"/>
        </w:trPr>
        <w:tc>
          <w:tcPr>
            <w:tcW w:w="1173" w:type="pct"/>
          </w:tcPr>
          <w:p w14:paraId="2648847D" w14:textId="77777777" w:rsidR="00AE356F" w:rsidRPr="00216C97" w:rsidRDefault="00AE356F" w:rsidP="00BC437D">
            <w:pPr>
              <w:pStyle w:val="TableText"/>
              <w:rPr>
                <w:color w:val="000000"/>
              </w:rPr>
            </w:pPr>
            <w:r w:rsidRPr="00216C97">
              <w:t>WSSV 146R2</w:t>
            </w:r>
          </w:p>
        </w:tc>
        <w:tc>
          <w:tcPr>
            <w:tcW w:w="2346" w:type="pct"/>
          </w:tcPr>
          <w:p w14:paraId="470F74F2" w14:textId="77777777" w:rsidR="00AE356F" w:rsidRPr="00216C97" w:rsidRDefault="00AE356F" w:rsidP="00BC437D">
            <w:pPr>
              <w:pStyle w:val="TableText"/>
              <w:rPr>
                <w:color w:val="000000"/>
              </w:rPr>
            </w:pPr>
            <w:r w:rsidRPr="00216C97">
              <w:t>5’-</w:t>
            </w:r>
            <w:r w:rsidRPr="00216C97">
              <w:rPr>
                <w:caps/>
              </w:rPr>
              <w:t>tac ggc agc tgc tgc acc ttg t</w:t>
            </w:r>
            <w:r w:rsidRPr="00216C97">
              <w:t>-3’</w:t>
            </w:r>
          </w:p>
        </w:tc>
        <w:tc>
          <w:tcPr>
            <w:tcW w:w="1482" w:type="pct"/>
          </w:tcPr>
          <w:p w14:paraId="370630F8" w14:textId="28F9E994" w:rsidR="00AE356F" w:rsidRPr="00216C97" w:rsidRDefault="00371F5F" w:rsidP="00371F5F">
            <w:pPr>
              <w:pStyle w:val="TableText"/>
            </w:pPr>
            <w:r>
              <w:t>941 bp</w:t>
            </w:r>
          </w:p>
        </w:tc>
      </w:tr>
    </w:tbl>
    <w:p w14:paraId="14A8983E" w14:textId="78C20F71" w:rsidR="00BC437D" w:rsidRDefault="00AE356F" w:rsidP="00BC437D">
      <w:pPr>
        <w:pStyle w:val="ListBullet"/>
        <w:rPr>
          <w:lang w:eastAsia="ja-JP"/>
        </w:rPr>
      </w:pPr>
      <w:r w:rsidRPr="00216C97">
        <w:rPr>
          <w:lang w:eastAsia="ja-JP"/>
        </w:rPr>
        <w:t xml:space="preserve">As implemented at ACDP, the OIE WSSV nPCR assay uses the following reaction and cycling conditions: </w:t>
      </w:r>
      <w:r w:rsidR="00BC437D">
        <w:rPr>
          <w:lang w:eastAsia="ja-JP"/>
        </w:rPr>
        <w:t>e</w:t>
      </w:r>
      <w:r w:rsidRPr="00216C97">
        <w:rPr>
          <w:lang w:eastAsia="ja-JP"/>
        </w:rPr>
        <w:t>ach primary PCR reaction mix of 25 μl is made up of 2 µl extracted nucleic acid, 12.5</w:t>
      </w:r>
      <w:r w:rsidR="00371F5F">
        <w:rPr>
          <w:lang w:eastAsia="ja-JP"/>
        </w:rPr>
        <w:t> </w:t>
      </w:r>
      <w:r w:rsidRPr="00216C97">
        <w:rPr>
          <w:lang w:eastAsia="ja-JP"/>
        </w:rPr>
        <w:t xml:space="preserve">μl HotStarTaq Master Mix (Qiagen) and 360 nM of each primer. </w:t>
      </w:r>
    </w:p>
    <w:p w14:paraId="04396728" w14:textId="77777777" w:rsidR="00BC437D" w:rsidRPr="00371F5F" w:rsidRDefault="00AE356F" w:rsidP="00BC437D">
      <w:pPr>
        <w:pStyle w:val="ListBullet"/>
      </w:pPr>
      <w:r w:rsidRPr="00216C97">
        <w:rPr>
          <w:lang w:eastAsia="ja-JP"/>
        </w:rPr>
        <w:t>PCR amplifications are programmed as follows: 1 cycle of 95</w:t>
      </w:r>
      <w:r w:rsidRPr="00216C97">
        <w:rPr>
          <w:lang w:eastAsia="ja-JP"/>
        </w:rPr>
        <w:sym w:font="Symbol" w:char="F0B0"/>
      </w:r>
      <w:r w:rsidRPr="00216C97">
        <w:rPr>
          <w:lang w:eastAsia="ja-JP"/>
        </w:rPr>
        <w:t xml:space="preserve">C for 15 </w:t>
      </w:r>
      <w:r w:rsidRPr="00371F5F">
        <w:t>minutes followed by 40 cycles of 94</w:t>
      </w:r>
      <w:r w:rsidRPr="00371F5F">
        <w:sym w:font="Symbol" w:char="F0B0"/>
      </w:r>
      <w:r w:rsidRPr="00371F5F">
        <w:t>C for 30 seconds, 55</w:t>
      </w:r>
      <w:r w:rsidRPr="00371F5F">
        <w:sym w:font="Symbol" w:char="F0B0"/>
      </w:r>
      <w:r w:rsidRPr="00371F5F">
        <w:t>C for 30 seconds and 72</w:t>
      </w:r>
      <w:r w:rsidRPr="00371F5F">
        <w:sym w:font="Symbol" w:char="F0B0"/>
      </w:r>
      <w:r w:rsidRPr="00371F5F">
        <w:t xml:space="preserve">C for 90 seconds. </w:t>
      </w:r>
    </w:p>
    <w:p w14:paraId="27C8BC8B" w14:textId="0CB12DDE" w:rsidR="00BC437D" w:rsidRDefault="00AE356F" w:rsidP="00BC437D">
      <w:pPr>
        <w:pStyle w:val="ListBullet"/>
        <w:rPr>
          <w:lang w:eastAsia="ja-JP"/>
        </w:rPr>
      </w:pPr>
      <w:r w:rsidRPr="00216C97">
        <w:rPr>
          <w:lang w:eastAsia="ja-JP"/>
        </w:rPr>
        <w:t>After a final extension at 72</w:t>
      </w:r>
      <w:r w:rsidRPr="00216C97">
        <w:rPr>
          <w:lang w:eastAsia="ja-JP"/>
        </w:rPr>
        <w:sym w:font="Symbol" w:char="F0B0"/>
      </w:r>
      <w:r w:rsidRPr="00216C97">
        <w:rPr>
          <w:lang w:eastAsia="ja-JP"/>
        </w:rPr>
        <w:t>C for 7 minutes reactions are held at 4</w:t>
      </w:r>
      <w:r w:rsidRPr="00216C97">
        <w:rPr>
          <w:lang w:eastAsia="ja-JP"/>
        </w:rPr>
        <w:sym w:font="Symbol" w:char="F0B0"/>
      </w:r>
      <w:r w:rsidRPr="00216C97">
        <w:rPr>
          <w:lang w:eastAsia="ja-JP"/>
        </w:rPr>
        <w:t xml:space="preserve">C. </w:t>
      </w:r>
    </w:p>
    <w:p w14:paraId="7EAC02E6" w14:textId="6261D750" w:rsidR="00AE356F" w:rsidRPr="00216C97" w:rsidRDefault="00AE356F" w:rsidP="00BC437D">
      <w:pPr>
        <w:pStyle w:val="ListBullet"/>
        <w:rPr>
          <w:lang w:eastAsia="ja-JP"/>
        </w:rPr>
      </w:pPr>
      <w:r w:rsidRPr="00216C97">
        <w:rPr>
          <w:lang w:eastAsia="ja-JP"/>
        </w:rPr>
        <w:t>For the nested PCR, 2 µl of the primary PCR is added to the nested PCR master mix, which is made as described using the nested primers, with PCR amplification using the same cycling conditions as for the primary PCR.</w:t>
      </w:r>
    </w:p>
    <w:p w14:paraId="2D8B79E8" w14:textId="77777777" w:rsidR="00605A90" w:rsidRDefault="00CE65C5" w:rsidP="00CE65C5">
      <w:pPr>
        <w:rPr>
          <w:lang w:eastAsia="ja-JP"/>
        </w:rPr>
      </w:pPr>
      <w:r w:rsidRPr="00216C97">
        <w:rPr>
          <w:lang w:eastAsia="ja-JP"/>
        </w:rPr>
        <w:t>For the assay and test results to be valid</w:t>
      </w:r>
      <w:r w:rsidR="00D66856">
        <w:rPr>
          <w:lang w:eastAsia="ja-JP"/>
        </w:rPr>
        <w:t>,</w:t>
      </w:r>
      <w:r w:rsidRPr="00216C97">
        <w:rPr>
          <w:lang w:eastAsia="ja-JP"/>
        </w:rPr>
        <w:t xml:space="preserve"> the following criteria must be fulfilled:</w:t>
      </w:r>
    </w:p>
    <w:p w14:paraId="16FC1303" w14:textId="136ACEFD" w:rsidR="00605A90" w:rsidRDefault="00371F5F" w:rsidP="00605A90">
      <w:pPr>
        <w:pStyle w:val="ListBullet"/>
        <w:rPr>
          <w:lang w:eastAsia="ja-JP"/>
        </w:rPr>
      </w:pPr>
      <w:r>
        <w:rPr>
          <w:lang w:eastAsia="ja-JP"/>
        </w:rPr>
        <w:t>T</w:t>
      </w:r>
      <w:r w:rsidR="00CE65C5" w:rsidRPr="00216C97">
        <w:rPr>
          <w:lang w:eastAsia="ja-JP"/>
        </w:rPr>
        <w:t>he no template control and negative extraction control must have no evidence of specific amplicons.</w:t>
      </w:r>
    </w:p>
    <w:p w14:paraId="384E4EDB" w14:textId="77777777" w:rsidR="00605A90" w:rsidRDefault="00CE65C5" w:rsidP="00605A90">
      <w:pPr>
        <w:pStyle w:val="ListBullet"/>
        <w:rPr>
          <w:lang w:eastAsia="ja-JP"/>
        </w:rPr>
      </w:pPr>
      <w:r w:rsidRPr="00216C97">
        <w:rPr>
          <w:lang w:eastAsia="ja-JP"/>
        </w:rPr>
        <w:t>The positive control must yield a specific amplicon of 1447 bp for the primary PCR and 941 bp for the nested PCR.</w:t>
      </w:r>
    </w:p>
    <w:p w14:paraId="6C9912E5" w14:textId="0CB33475" w:rsidR="00CE65C5" w:rsidRPr="00216C97" w:rsidRDefault="00CE65C5" w:rsidP="00371F5F">
      <w:pPr>
        <w:pStyle w:val="ListBullet"/>
        <w:rPr>
          <w:lang w:eastAsia="ja-JP"/>
        </w:rPr>
      </w:pPr>
      <w:r w:rsidRPr="00216C97">
        <w:rPr>
          <w:lang w:eastAsia="ja-JP"/>
        </w:rPr>
        <w:lastRenderedPageBreak/>
        <w:t xml:space="preserve">Test samples with amplicons of the expected size of 1447 bp for the primary PCR and/or 941 bp for the nested PCR are considered test positive. </w:t>
      </w:r>
      <w:r>
        <w:rPr>
          <w:lang w:eastAsia="ja-JP"/>
        </w:rPr>
        <w:t>S</w:t>
      </w:r>
      <w:r w:rsidRPr="00216C97">
        <w:rPr>
          <w:lang w:eastAsia="ja-JP"/>
        </w:rPr>
        <w:t>equencing of amplicons</w:t>
      </w:r>
      <w:r>
        <w:rPr>
          <w:lang w:eastAsia="ja-JP"/>
        </w:rPr>
        <w:t xml:space="preserve"> is performed as described in section</w:t>
      </w:r>
      <w:r w:rsidR="00371F5F">
        <w:rPr>
          <w:lang w:eastAsia="ja-JP"/>
        </w:rPr>
        <w:t>2.8.2</w:t>
      </w:r>
      <w:r w:rsidRPr="00216C97">
        <w:rPr>
          <w:lang w:eastAsia="ja-JP"/>
        </w:rPr>
        <w:t>.</w:t>
      </w:r>
    </w:p>
    <w:p w14:paraId="74C8319B" w14:textId="6B135180" w:rsidR="00AE356F" w:rsidRPr="00216C97" w:rsidRDefault="00CE65C5" w:rsidP="00AE356F">
      <w:pPr>
        <w:rPr>
          <w:bCs/>
          <w:lang w:eastAsia="ja-JP"/>
        </w:rPr>
      </w:pPr>
      <w:r w:rsidRPr="00216C97">
        <w:rPr>
          <w:lang w:eastAsia="ja-JP"/>
        </w:rPr>
        <w:t>As WSSV is listed on Australia’s National List of Reportable Diseases of Aquatic Animals, any positive or suspect detection of WSSV must immediately be reported to the relevant authority (i.e. state</w:t>
      </w:r>
      <w:r w:rsidR="00BC4718">
        <w:rPr>
          <w:lang w:eastAsia="ja-JP"/>
        </w:rPr>
        <w:t xml:space="preserve"> or </w:t>
      </w:r>
      <w:r w:rsidRPr="00216C97">
        <w:rPr>
          <w:lang w:eastAsia="ja-JP"/>
        </w:rPr>
        <w:t>territory Chief Veterinary Officer and/or Director of Fisheries) and referred to ACDP for confirmatory testing.</w:t>
      </w:r>
    </w:p>
    <w:p w14:paraId="3F2405A3" w14:textId="77777777" w:rsidR="00AE356F" w:rsidRPr="00505DFD" w:rsidRDefault="00AE356F" w:rsidP="00AE356F">
      <w:pPr>
        <w:pStyle w:val="Heading4"/>
      </w:pPr>
      <w:r w:rsidRPr="00505DFD">
        <w:t>DNA sequencing of PCR products</w:t>
      </w:r>
    </w:p>
    <w:p w14:paraId="386CBEFA" w14:textId="6449E43E" w:rsidR="00CE65C5" w:rsidRPr="00216C97" w:rsidRDefault="00CE65C5" w:rsidP="00CE65C5">
      <w:pPr>
        <w:rPr>
          <w:lang w:eastAsia="ja-JP"/>
        </w:rPr>
      </w:pPr>
      <w:r>
        <w:rPr>
          <w:lang w:eastAsia="ja-JP"/>
        </w:rPr>
        <w:t>If conventional WSSV PCR is utilised as a criterion for a confirmed case (see</w:t>
      </w:r>
      <w:r w:rsidR="00643A21">
        <w:rPr>
          <w:lang w:eastAsia="ja-JP"/>
        </w:rPr>
        <w:t xml:space="preserve"> section 4</w:t>
      </w:r>
      <w:r>
        <w:rPr>
          <w:lang w:eastAsia="ja-JP"/>
        </w:rPr>
        <w:t>),</w:t>
      </w:r>
      <w:r w:rsidRPr="00216C97">
        <w:rPr>
          <w:lang w:eastAsia="ja-JP"/>
        </w:rPr>
        <w:t xml:space="preserve"> the amplicons from the primary or nested PCR should be sequenced. Amplicons of the expected size, visualised by agarose gel electrophoresis, should be excised from the gel and purified using a commercially</w:t>
      </w:r>
      <w:r w:rsidR="00A57CCE">
        <w:rPr>
          <w:lang w:eastAsia="ja-JP"/>
        </w:rPr>
        <w:t xml:space="preserve"> </w:t>
      </w:r>
      <w:r w:rsidRPr="00216C97">
        <w:rPr>
          <w:lang w:eastAsia="ja-JP"/>
        </w:rPr>
        <w:t>available agarose gel DNA extraction kits. The purified and quantified amplicons should be sequenced using both the forward (WSSV 146F1 and/or WSSV 146F2) and reverse (WSSV 146R1 and/or WSSV 146R2) primers and chromatograms analysed, consensus sequence generated and comparison with reference sequences available from NCBI GenBank, undertaken using commercially</w:t>
      </w:r>
      <w:r w:rsidR="00A57CCE">
        <w:rPr>
          <w:lang w:eastAsia="ja-JP"/>
        </w:rPr>
        <w:t xml:space="preserve"> </w:t>
      </w:r>
      <w:r w:rsidRPr="00216C97">
        <w:rPr>
          <w:lang w:eastAsia="ja-JP"/>
        </w:rPr>
        <w:t>available sequence analysis software.</w:t>
      </w:r>
    </w:p>
    <w:p w14:paraId="678C9234" w14:textId="77777777" w:rsidR="00AE356F" w:rsidRPr="00505DFD" w:rsidRDefault="00AE356F" w:rsidP="00AE356F">
      <w:pPr>
        <w:pStyle w:val="Heading4"/>
      </w:pPr>
      <w:r w:rsidRPr="00505DFD">
        <w:t>OIE Decapod PCR</w:t>
      </w:r>
    </w:p>
    <w:p w14:paraId="16D1B7E0" w14:textId="26A528D2" w:rsidR="00AE356F" w:rsidRPr="00216C97" w:rsidRDefault="00AE356F" w:rsidP="00AE356F">
      <w:pPr>
        <w:rPr>
          <w:lang w:eastAsia="ja-JP"/>
        </w:rPr>
      </w:pPr>
      <w:r w:rsidRPr="00216C97">
        <w:rPr>
          <w:lang w:eastAsia="ja-JP"/>
        </w:rPr>
        <w:t xml:space="preserve">The OIE Decapod PCR (Lo </w:t>
      </w:r>
      <w:r w:rsidR="00995C15">
        <w:rPr>
          <w:lang w:eastAsia="ja-JP"/>
        </w:rPr>
        <w:t xml:space="preserve">et al. </w:t>
      </w:r>
      <w:r w:rsidRPr="00216C97">
        <w:rPr>
          <w:lang w:eastAsia="ja-JP"/>
        </w:rPr>
        <w:t xml:space="preserve">1996a) targets the decapod 18S rRNA gene to generate an amplicon of 848 bp. This assay can be used to verify the integrity of extracted nucleic acid and absence of PCR inhibitors. Primers are described in </w:t>
      </w:r>
      <w:r w:rsidR="00643A21">
        <w:rPr>
          <w:lang w:eastAsia="ja-JP"/>
        </w:rPr>
        <w:fldChar w:fldCharType="begin"/>
      </w:r>
      <w:r w:rsidR="00643A21">
        <w:rPr>
          <w:lang w:eastAsia="ja-JP"/>
        </w:rPr>
        <w:instrText xml:space="preserve"> REF _Ref115786244 \h </w:instrText>
      </w:r>
      <w:r w:rsidR="00643A21">
        <w:rPr>
          <w:lang w:eastAsia="ja-JP"/>
        </w:rPr>
      </w:r>
      <w:r w:rsidR="00643A21">
        <w:rPr>
          <w:lang w:eastAsia="ja-JP"/>
        </w:rPr>
        <w:fldChar w:fldCharType="separate"/>
      </w:r>
      <w:r w:rsidR="00D12BC0" w:rsidRPr="00A57C55">
        <w:t xml:space="preserve">Table </w:t>
      </w:r>
      <w:r w:rsidR="00D12BC0">
        <w:rPr>
          <w:noProof/>
        </w:rPr>
        <w:t>6</w:t>
      </w:r>
      <w:r w:rsidR="00643A21">
        <w:rPr>
          <w:lang w:eastAsia="ja-JP"/>
        </w:rPr>
        <w:fldChar w:fldCharType="end"/>
      </w:r>
      <w:r w:rsidRPr="00216C97">
        <w:rPr>
          <w:lang w:eastAsia="ja-JP"/>
        </w:rPr>
        <w:t>.</w:t>
      </w:r>
    </w:p>
    <w:p w14:paraId="0687BDD5" w14:textId="212F9A99" w:rsidR="00AE356F" w:rsidRDefault="00AE356F" w:rsidP="00AE356F">
      <w:pPr>
        <w:pStyle w:val="Caption"/>
      </w:pPr>
      <w:bookmarkStart w:id="53" w:name="_Ref115786244"/>
      <w:bookmarkStart w:id="54" w:name="_Toc126319043"/>
      <w:r w:rsidRPr="00A57C55">
        <w:t xml:space="preserve">Table </w:t>
      </w:r>
      <w:fldSimple w:instr=" SEQ Table \* ARABIC ">
        <w:r w:rsidR="00D12BC0">
          <w:rPr>
            <w:noProof/>
          </w:rPr>
          <w:t>6</w:t>
        </w:r>
      </w:fldSimple>
      <w:bookmarkEnd w:id="53"/>
      <w:r w:rsidRPr="00A57C55">
        <w:rPr>
          <w:lang w:eastAsia="ja-JP"/>
        </w:rPr>
        <w:t xml:space="preserve"> Primers used in the OIE Decapod PCR</w:t>
      </w:r>
      <w:bookmarkEnd w:id="54"/>
    </w:p>
    <w:tbl>
      <w:tblPr>
        <w:tblW w:w="5000" w:type="pct"/>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698"/>
        <w:gridCol w:w="4684"/>
        <w:gridCol w:w="2688"/>
      </w:tblGrid>
      <w:tr w:rsidR="00AE356F" w:rsidRPr="00216C97" w14:paraId="38A1EECA" w14:textId="77777777" w:rsidTr="00371F5F">
        <w:trPr>
          <w:cantSplit/>
          <w:tblHeader/>
          <w:jc w:val="center"/>
        </w:trPr>
        <w:tc>
          <w:tcPr>
            <w:tcW w:w="936" w:type="pct"/>
          </w:tcPr>
          <w:p w14:paraId="208A435C" w14:textId="77777777" w:rsidR="00AE356F" w:rsidRPr="00216C97" w:rsidRDefault="00AE356F" w:rsidP="00371F5F">
            <w:pPr>
              <w:pStyle w:val="TableHeading"/>
            </w:pPr>
            <w:r w:rsidRPr="00216C97">
              <w:t>Primer</w:t>
            </w:r>
          </w:p>
        </w:tc>
        <w:tc>
          <w:tcPr>
            <w:tcW w:w="2582" w:type="pct"/>
          </w:tcPr>
          <w:p w14:paraId="7346F5FD" w14:textId="77777777" w:rsidR="00AE356F" w:rsidRPr="00216C97" w:rsidRDefault="00AE356F" w:rsidP="00371F5F">
            <w:pPr>
              <w:pStyle w:val="TableHeading"/>
            </w:pPr>
            <w:r w:rsidRPr="00216C97">
              <w:t>Sequence</w:t>
            </w:r>
          </w:p>
        </w:tc>
        <w:tc>
          <w:tcPr>
            <w:tcW w:w="1482" w:type="pct"/>
          </w:tcPr>
          <w:p w14:paraId="0457D563" w14:textId="77777777" w:rsidR="00AE356F" w:rsidRPr="00216C97" w:rsidRDefault="00AE356F" w:rsidP="00371F5F">
            <w:pPr>
              <w:pStyle w:val="TableHeading"/>
            </w:pPr>
            <w:r w:rsidRPr="00216C97">
              <w:t>Amplicon size</w:t>
            </w:r>
          </w:p>
        </w:tc>
      </w:tr>
      <w:tr w:rsidR="00AE356F" w:rsidRPr="00216C97" w14:paraId="20E8F781" w14:textId="77777777" w:rsidTr="00371F5F">
        <w:trPr>
          <w:jc w:val="center"/>
        </w:trPr>
        <w:tc>
          <w:tcPr>
            <w:tcW w:w="936" w:type="pct"/>
          </w:tcPr>
          <w:p w14:paraId="37527B39" w14:textId="77777777" w:rsidR="00AE356F" w:rsidRPr="00216C97" w:rsidRDefault="00AE356F" w:rsidP="00371F5F">
            <w:pPr>
              <w:pStyle w:val="TableText"/>
            </w:pPr>
            <w:r w:rsidRPr="00216C97">
              <w:t>143F</w:t>
            </w:r>
          </w:p>
        </w:tc>
        <w:tc>
          <w:tcPr>
            <w:tcW w:w="2582" w:type="pct"/>
          </w:tcPr>
          <w:p w14:paraId="724E0A41" w14:textId="77777777" w:rsidR="00AE356F" w:rsidRPr="00216C97" w:rsidRDefault="00AE356F" w:rsidP="00371F5F">
            <w:pPr>
              <w:pStyle w:val="TableText"/>
            </w:pPr>
            <w:r w:rsidRPr="00216C97">
              <w:t>5’-TGC CTT ATC AGC TN</w:t>
            </w:r>
            <w:r w:rsidRPr="00216C97">
              <w:rPr>
                <w:vertAlign w:val="superscript"/>
              </w:rPr>
              <w:t>*</w:t>
            </w:r>
            <w:r w:rsidRPr="00216C97">
              <w:t>T CGA TTG TAG-3’</w:t>
            </w:r>
          </w:p>
        </w:tc>
        <w:tc>
          <w:tcPr>
            <w:tcW w:w="1482" w:type="pct"/>
          </w:tcPr>
          <w:p w14:paraId="36EC4392" w14:textId="77777777" w:rsidR="00AE356F" w:rsidRPr="00216C97" w:rsidRDefault="00AE356F" w:rsidP="00371F5F">
            <w:pPr>
              <w:pStyle w:val="TableText"/>
            </w:pPr>
            <w:r w:rsidRPr="00216C97">
              <w:t>848 bp</w:t>
            </w:r>
          </w:p>
        </w:tc>
      </w:tr>
      <w:tr w:rsidR="00AE356F" w:rsidRPr="00216C97" w14:paraId="6C454C80" w14:textId="77777777" w:rsidTr="00371F5F">
        <w:trPr>
          <w:jc w:val="center"/>
        </w:trPr>
        <w:tc>
          <w:tcPr>
            <w:tcW w:w="936" w:type="pct"/>
          </w:tcPr>
          <w:p w14:paraId="246BE3EF" w14:textId="77777777" w:rsidR="00AE356F" w:rsidRPr="00216C97" w:rsidRDefault="00AE356F" w:rsidP="00371F5F">
            <w:pPr>
              <w:pStyle w:val="TableText"/>
            </w:pPr>
            <w:r w:rsidRPr="00216C97">
              <w:t>145R</w:t>
            </w:r>
          </w:p>
        </w:tc>
        <w:tc>
          <w:tcPr>
            <w:tcW w:w="2582" w:type="pct"/>
          </w:tcPr>
          <w:p w14:paraId="5A141A05" w14:textId="77777777" w:rsidR="00AE356F" w:rsidRPr="00216C97" w:rsidRDefault="00AE356F" w:rsidP="00371F5F">
            <w:pPr>
              <w:pStyle w:val="TableText"/>
            </w:pPr>
            <w:r w:rsidRPr="00216C97">
              <w:t>5’-TTC AGN</w:t>
            </w:r>
            <w:r w:rsidRPr="00216C97">
              <w:rPr>
                <w:vertAlign w:val="superscript"/>
              </w:rPr>
              <w:t>*</w:t>
            </w:r>
            <w:r w:rsidRPr="00216C97">
              <w:t xml:space="preserve"> TTT GCA ACC ATA CTT CCC-3’</w:t>
            </w:r>
          </w:p>
        </w:tc>
        <w:tc>
          <w:tcPr>
            <w:tcW w:w="1482" w:type="pct"/>
          </w:tcPr>
          <w:p w14:paraId="5037159F" w14:textId="24F66C29" w:rsidR="00AE356F" w:rsidRPr="00216C97" w:rsidRDefault="007167CA" w:rsidP="00371F5F">
            <w:pPr>
              <w:pStyle w:val="TableText"/>
            </w:pPr>
            <w:r w:rsidRPr="00216C97">
              <w:t>848 bp</w:t>
            </w:r>
          </w:p>
        </w:tc>
      </w:tr>
    </w:tbl>
    <w:p w14:paraId="3994BF3D" w14:textId="28A22F9C" w:rsidR="00AE356F" w:rsidRPr="00216C97" w:rsidRDefault="003F28C4" w:rsidP="00AE356F">
      <w:pPr>
        <w:pStyle w:val="FigureTableNoteSource"/>
      </w:pPr>
      <w:r>
        <w:t>Note:</w:t>
      </w:r>
      <w:r w:rsidR="00371F5F">
        <w:t xml:space="preserve"> </w:t>
      </w:r>
      <w:r w:rsidR="00AE356F" w:rsidRPr="00216C97">
        <w:t>N* = G, A, T or C</w:t>
      </w:r>
    </w:p>
    <w:p w14:paraId="1A796100" w14:textId="77777777" w:rsidR="00AE356F" w:rsidRPr="00216C97" w:rsidRDefault="00AE356F" w:rsidP="00AE356F">
      <w:pPr>
        <w:rPr>
          <w:lang w:eastAsia="ja-JP"/>
        </w:rPr>
      </w:pPr>
      <w:r w:rsidRPr="00216C97">
        <w:rPr>
          <w:lang w:eastAsia="ja-JP"/>
        </w:rPr>
        <w:t>As implemented at ACDP, the reaction and cycling conditions are the same as those for the OIE WSSV nPCR.</w:t>
      </w:r>
    </w:p>
    <w:p w14:paraId="19B7F65A" w14:textId="77777777" w:rsidR="003D43DB" w:rsidRDefault="00AE356F" w:rsidP="00AE356F">
      <w:pPr>
        <w:rPr>
          <w:lang w:eastAsia="ja-JP"/>
        </w:rPr>
      </w:pPr>
      <w:r w:rsidRPr="00216C97">
        <w:rPr>
          <w:lang w:eastAsia="ja-JP"/>
        </w:rPr>
        <w:t>For the assay and test results to be valid the following criteria must be fulfilled:</w:t>
      </w:r>
    </w:p>
    <w:p w14:paraId="432E4D04" w14:textId="035E9036" w:rsidR="003D43DB" w:rsidRDefault="00AE356F" w:rsidP="003D43DB">
      <w:pPr>
        <w:pStyle w:val="ListBullet"/>
        <w:rPr>
          <w:lang w:eastAsia="ja-JP"/>
        </w:rPr>
      </w:pPr>
      <w:r w:rsidRPr="00216C97">
        <w:rPr>
          <w:lang w:eastAsia="ja-JP"/>
        </w:rPr>
        <w:t>The no template control and negative extraction control must have no evidence of specific amplicons.</w:t>
      </w:r>
    </w:p>
    <w:p w14:paraId="7A278010" w14:textId="6FDBBC08" w:rsidR="003D43DB" w:rsidRDefault="00AE356F" w:rsidP="003D43DB">
      <w:pPr>
        <w:pStyle w:val="ListBullet"/>
        <w:rPr>
          <w:lang w:eastAsia="ja-JP"/>
        </w:rPr>
      </w:pPr>
      <w:r w:rsidRPr="00216C97">
        <w:rPr>
          <w:lang w:eastAsia="ja-JP"/>
        </w:rPr>
        <w:t>The positive control must yield a specific amplicon of 848 bp.</w:t>
      </w:r>
    </w:p>
    <w:p w14:paraId="3D8B0EAC" w14:textId="5BC96FE6" w:rsidR="00AE356F" w:rsidRPr="00216C97" w:rsidRDefault="00AE356F" w:rsidP="00371F5F">
      <w:pPr>
        <w:pStyle w:val="ListBullet"/>
        <w:rPr>
          <w:lang w:eastAsia="ja-JP"/>
        </w:rPr>
      </w:pPr>
      <w:r w:rsidRPr="00216C97">
        <w:rPr>
          <w:lang w:eastAsia="ja-JP"/>
        </w:rPr>
        <w:t>Test samples with amplicons of the expected size of 848 bp are considered test positive.</w:t>
      </w:r>
    </w:p>
    <w:p w14:paraId="1ABEB5E0" w14:textId="59D6A118" w:rsidR="00AE356F" w:rsidRPr="00216C97" w:rsidRDefault="00AE356F" w:rsidP="00AE356F">
      <w:pPr>
        <w:rPr>
          <w:lang w:eastAsia="ja-JP"/>
        </w:rPr>
      </w:pPr>
      <w:r w:rsidRPr="00216C97">
        <w:rPr>
          <w:lang w:eastAsia="ja-JP"/>
        </w:rPr>
        <w:t xml:space="preserve">The OIE Decapod PCR will generate amplicons from DNA extracted from prawns, crabs, crayfish and stomatopods but not from </w:t>
      </w:r>
      <w:r w:rsidRPr="00371F5F">
        <w:rPr>
          <w:rStyle w:val="Emphasis"/>
        </w:rPr>
        <w:t>Metapenaeus</w:t>
      </w:r>
      <w:r w:rsidRPr="00216C97">
        <w:rPr>
          <w:lang w:eastAsia="ja-JP"/>
        </w:rPr>
        <w:t xml:space="preserve"> spp.</w:t>
      </w:r>
    </w:p>
    <w:p w14:paraId="2154209A" w14:textId="77777777" w:rsidR="00AE356F" w:rsidRPr="007B4170" w:rsidRDefault="00AE356F" w:rsidP="00AE356F">
      <w:pPr>
        <w:pStyle w:val="Heading3"/>
      </w:pPr>
      <w:bookmarkStart w:id="55" w:name="_Toc87004667"/>
      <w:bookmarkStart w:id="56" w:name="_Toc141701941"/>
      <w:r w:rsidRPr="007B4170">
        <w:t>Immunological assays</w:t>
      </w:r>
      <w:bookmarkEnd w:id="55"/>
      <w:bookmarkEnd w:id="56"/>
    </w:p>
    <w:p w14:paraId="382E2CFB" w14:textId="55F4EFF9" w:rsidR="00643A21" w:rsidRDefault="00643A21" w:rsidP="00643A21">
      <w:pPr>
        <w:rPr>
          <w:lang w:eastAsia="ja-JP"/>
        </w:rPr>
      </w:pPr>
      <w:r w:rsidRPr="00216C97">
        <w:rPr>
          <w:lang w:eastAsia="ja-JP"/>
        </w:rPr>
        <w:t xml:space="preserve">Both polyclonal and monoclonal antibodies have been produced to detect various WSSV proteins, and the </w:t>
      </w:r>
      <w:r w:rsidR="00752336">
        <w:rPr>
          <w:lang w:eastAsia="ja-JP"/>
        </w:rPr>
        <w:t>WOAH</w:t>
      </w:r>
      <w:r w:rsidRPr="00216C97">
        <w:rPr>
          <w:lang w:eastAsia="ja-JP"/>
        </w:rPr>
        <w:t xml:space="preserve"> Aquatic Manual summarises antibody-based tests that can be used to diagnose infection with WSSV (</w:t>
      </w:r>
      <w:r w:rsidR="00752336">
        <w:rPr>
          <w:lang w:eastAsia="ja-JP"/>
        </w:rPr>
        <w:t>WOAH 2022</w:t>
      </w:r>
      <w:r w:rsidRPr="00216C97">
        <w:rPr>
          <w:lang w:eastAsia="ja-JP"/>
        </w:rPr>
        <w:t xml:space="preserve">). </w:t>
      </w:r>
      <w:r>
        <w:rPr>
          <w:lang w:eastAsia="ja-JP"/>
        </w:rPr>
        <w:t>T</w:t>
      </w:r>
      <w:r w:rsidRPr="00216C97">
        <w:rPr>
          <w:lang w:eastAsia="ja-JP"/>
        </w:rPr>
        <w:t xml:space="preserve">hese detection </w:t>
      </w:r>
      <w:r>
        <w:rPr>
          <w:lang w:eastAsia="ja-JP"/>
        </w:rPr>
        <w:t>methods</w:t>
      </w:r>
      <w:r w:rsidRPr="00216C97">
        <w:rPr>
          <w:lang w:eastAsia="ja-JP"/>
        </w:rPr>
        <w:t xml:space="preserve"> have a WSSV detection sensitivity </w:t>
      </w:r>
      <w:r>
        <w:rPr>
          <w:lang w:eastAsia="ja-JP"/>
        </w:rPr>
        <w:t>much</w:t>
      </w:r>
      <w:r w:rsidRPr="00216C97">
        <w:rPr>
          <w:lang w:eastAsia="ja-JP"/>
        </w:rPr>
        <w:t xml:space="preserve"> lower than conventional PCR (Chaivisuthangkura et al. 2010).</w:t>
      </w:r>
    </w:p>
    <w:p w14:paraId="5E8071AC" w14:textId="75C6BD20" w:rsidR="00643A21" w:rsidRPr="00216C97" w:rsidRDefault="00643A21" w:rsidP="00643A21">
      <w:pPr>
        <w:rPr>
          <w:lang w:eastAsia="ja-JP"/>
        </w:rPr>
      </w:pPr>
      <w:r w:rsidRPr="00216C97">
        <w:rPr>
          <w:lang w:eastAsia="ja-JP"/>
        </w:rPr>
        <w:lastRenderedPageBreak/>
        <w:t xml:space="preserve">Immunoassay </w:t>
      </w:r>
      <w:r>
        <w:rPr>
          <w:lang w:eastAsia="ja-JP"/>
        </w:rPr>
        <w:t>lateral flow tests</w:t>
      </w:r>
      <w:r w:rsidRPr="00216C97">
        <w:rPr>
          <w:lang w:eastAsia="ja-JP"/>
        </w:rPr>
        <w:t xml:space="preserve"> are commercially available</w:t>
      </w:r>
      <w:r>
        <w:rPr>
          <w:lang w:eastAsia="ja-JP"/>
        </w:rPr>
        <w:t xml:space="preserve"> internationally and</w:t>
      </w:r>
      <w:r w:rsidRPr="00216C97">
        <w:rPr>
          <w:lang w:eastAsia="ja-JP"/>
        </w:rPr>
        <w:t xml:space="preserve"> can provide relatively rapid pond-side detection of WSSV proteins in clinical samples. These tests are targeted more towards management to prevent farm mortalities in regions where WSD is endemic. Approval for use of such test-kits rests within individual jurisdictions. As </w:t>
      </w:r>
      <w:r>
        <w:rPr>
          <w:lang w:eastAsia="ja-JP"/>
        </w:rPr>
        <w:t>these methods</w:t>
      </w:r>
      <w:r w:rsidRPr="00216C97">
        <w:rPr>
          <w:lang w:eastAsia="ja-JP"/>
        </w:rPr>
        <w:t xml:space="preserve"> are not in routine use, they are not described in this ANZSDP.</w:t>
      </w:r>
    </w:p>
    <w:p w14:paraId="457D813F" w14:textId="77777777" w:rsidR="00AE356F" w:rsidRPr="00216C97" w:rsidRDefault="00AE356F" w:rsidP="00AE356F">
      <w:pPr>
        <w:pStyle w:val="Heading3"/>
        <w:rPr>
          <w:lang w:eastAsia="ja-JP"/>
        </w:rPr>
      </w:pPr>
      <w:bookmarkStart w:id="57" w:name="_Toc141701942"/>
      <w:r w:rsidRPr="00216C97">
        <w:rPr>
          <w:lang w:eastAsia="ja-JP"/>
        </w:rPr>
        <w:t>Bioassays</w:t>
      </w:r>
      <w:bookmarkEnd w:id="57"/>
    </w:p>
    <w:p w14:paraId="6B5A239F" w14:textId="11A6FE7D" w:rsidR="00643A21" w:rsidRPr="00216C97" w:rsidRDefault="00643A21" w:rsidP="00643A21">
      <w:pPr>
        <w:rPr>
          <w:lang w:eastAsia="ja-JP"/>
        </w:rPr>
      </w:pPr>
      <w:bookmarkStart w:id="58" w:name="_Toc87004668"/>
      <w:bookmarkStart w:id="59" w:name="_Toc430782151"/>
      <w:r>
        <w:rPr>
          <w:lang w:eastAsia="ja-JP"/>
        </w:rPr>
        <w:t>W</w:t>
      </w:r>
      <w:r w:rsidRPr="00216C97">
        <w:rPr>
          <w:lang w:eastAsia="ja-JP"/>
        </w:rPr>
        <w:t>hen used in isolation, a bioassay is insufficient for definitive WSSV diagnosis as the clinical sample might contain other pathogenic viruses. Therefore, other tests must be used in conjunction with a bioassay to confirm WSSV as the cause of morbidity and/or mortality events suspected to involve WSD. Bioassay protocols for WSSV have been published (Durand et al. 2000; McColl et al. 2004; Rajendran et al. 1999. Wesche et al. 2021).</w:t>
      </w:r>
    </w:p>
    <w:p w14:paraId="373BA54C" w14:textId="6E0579E1" w:rsidR="00AE356F" w:rsidRPr="00371F5F" w:rsidRDefault="00AE356F" w:rsidP="00371F5F">
      <w:pPr>
        <w:pStyle w:val="Heading3"/>
      </w:pPr>
      <w:bookmarkStart w:id="60" w:name="_Toc141701943"/>
      <w:r w:rsidRPr="00371F5F">
        <w:t>Tests recommended for surveillance to demonstrate freedom in apparently healthy populations</w:t>
      </w:r>
      <w:bookmarkEnd w:id="58"/>
      <w:bookmarkEnd w:id="60"/>
    </w:p>
    <w:p w14:paraId="06411B92" w14:textId="4F29E86F" w:rsidR="00AE356F" w:rsidRDefault="00CE65C5" w:rsidP="00AE356F">
      <w:r>
        <w:t>q</w:t>
      </w:r>
      <w:r w:rsidR="00AE356F" w:rsidRPr="00216C97">
        <w:t>PCR is the recommended method for declaring freedom from WSSV (</w:t>
      </w:r>
      <w:r w:rsidR="00752336">
        <w:t>WOAH 2022</w:t>
      </w:r>
      <w:r w:rsidR="00AE356F" w:rsidRPr="00216C97">
        <w:t xml:space="preserve">). Diagnostic sensitivity (DSe) and diagnostic specificity (DSp) for the </w:t>
      </w:r>
      <w:r w:rsidR="000D3DAB">
        <w:t>2</w:t>
      </w:r>
      <w:r w:rsidR="00AE356F" w:rsidRPr="00216C97">
        <w:t xml:space="preserve"> qPCR assays described in this ANZSDP are in </w:t>
      </w:r>
      <w:r w:rsidR="00643A21">
        <w:fldChar w:fldCharType="begin"/>
      </w:r>
      <w:r w:rsidR="00643A21">
        <w:instrText xml:space="preserve"> REF _Ref115786330 \h </w:instrText>
      </w:r>
      <w:r w:rsidR="00643A21">
        <w:fldChar w:fldCharType="separate"/>
      </w:r>
      <w:r w:rsidR="00D12BC0" w:rsidRPr="003F35EB">
        <w:t xml:space="preserve">Table </w:t>
      </w:r>
      <w:r w:rsidR="00D12BC0">
        <w:rPr>
          <w:noProof/>
        </w:rPr>
        <w:t>7</w:t>
      </w:r>
      <w:r w:rsidR="00643A21">
        <w:fldChar w:fldCharType="end"/>
      </w:r>
      <w:r w:rsidR="00AE356F" w:rsidRPr="00216C97">
        <w:t>.</w:t>
      </w:r>
    </w:p>
    <w:p w14:paraId="0ACB640B" w14:textId="1290D245" w:rsidR="00AE356F" w:rsidRDefault="00AE356F" w:rsidP="00AE356F">
      <w:pPr>
        <w:pStyle w:val="Caption"/>
      </w:pPr>
      <w:bookmarkStart w:id="61" w:name="_Ref115786330"/>
      <w:bookmarkStart w:id="62" w:name="_Toc126319044"/>
      <w:bookmarkStart w:id="63" w:name="_Hlk115779877"/>
      <w:r w:rsidRPr="003F35EB">
        <w:t xml:space="preserve">Table </w:t>
      </w:r>
      <w:fldSimple w:instr=" SEQ Table \* ARABIC ">
        <w:r w:rsidR="00D12BC0">
          <w:rPr>
            <w:noProof/>
          </w:rPr>
          <w:t>7</w:t>
        </w:r>
      </w:fldSimple>
      <w:bookmarkEnd w:id="61"/>
      <w:r w:rsidRPr="003F35EB">
        <w:t xml:space="preserve"> Diagnostic</w:t>
      </w:r>
      <w:r w:rsidRPr="00216C97">
        <w:t xml:space="preserve"> performance of tests recommended for surveillance</w:t>
      </w:r>
      <w:bookmarkEnd w:id="62"/>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097"/>
        <w:gridCol w:w="1282"/>
        <w:gridCol w:w="1114"/>
        <w:gridCol w:w="1029"/>
        <w:gridCol w:w="1078"/>
        <w:gridCol w:w="1344"/>
        <w:gridCol w:w="1146"/>
        <w:gridCol w:w="980"/>
      </w:tblGrid>
      <w:tr w:rsidR="006522E4" w14:paraId="1C5A94E9" w14:textId="1DECB07F" w:rsidTr="006522E4">
        <w:trPr>
          <w:cantSplit/>
          <w:tblHeader/>
        </w:trPr>
        <w:tc>
          <w:tcPr>
            <w:tcW w:w="605" w:type="pct"/>
            <w:tcMar>
              <w:left w:w="108" w:type="dxa"/>
              <w:right w:w="108" w:type="dxa"/>
            </w:tcMar>
          </w:tcPr>
          <w:p w14:paraId="60B09661" w14:textId="742C78DE" w:rsidR="006522E4" w:rsidRPr="006522E4" w:rsidRDefault="006522E4" w:rsidP="006522E4">
            <w:pPr>
              <w:pStyle w:val="TableHeading"/>
            </w:pPr>
            <w:bookmarkStart w:id="64" w:name="_Toc87004669"/>
            <w:bookmarkStart w:id="65" w:name="_Ref115786210"/>
            <w:bookmarkEnd w:id="59"/>
            <w:bookmarkEnd w:id="63"/>
            <w:r w:rsidRPr="00371F5F">
              <w:t>Test type</w:t>
            </w:r>
          </w:p>
        </w:tc>
        <w:tc>
          <w:tcPr>
            <w:tcW w:w="707" w:type="pct"/>
            <w:tcMar>
              <w:left w:w="108" w:type="dxa"/>
              <w:right w:w="108" w:type="dxa"/>
            </w:tcMar>
          </w:tcPr>
          <w:p w14:paraId="7185F7C7" w14:textId="6925E1A5" w:rsidR="006522E4" w:rsidRPr="006522E4" w:rsidRDefault="006522E4" w:rsidP="006522E4">
            <w:pPr>
              <w:pStyle w:val="TableHeading"/>
              <w:rPr>
                <w:highlight w:val="yellow"/>
              </w:rPr>
            </w:pPr>
            <w:r w:rsidRPr="00371F5F">
              <w:t>Test purpose</w:t>
            </w:r>
          </w:p>
        </w:tc>
        <w:tc>
          <w:tcPr>
            <w:tcW w:w="614" w:type="pct"/>
            <w:tcMar>
              <w:left w:w="108" w:type="dxa"/>
              <w:right w:w="108" w:type="dxa"/>
            </w:tcMar>
          </w:tcPr>
          <w:p w14:paraId="3B7F86C1" w14:textId="6D4E60AA" w:rsidR="006522E4" w:rsidRPr="006522E4" w:rsidRDefault="006522E4" w:rsidP="006522E4">
            <w:pPr>
              <w:pStyle w:val="TableHeading"/>
              <w:rPr>
                <w:highlight w:val="yellow"/>
              </w:rPr>
            </w:pPr>
            <w:r w:rsidRPr="00371F5F">
              <w:t>Source populations</w:t>
            </w:r>
          </w:p>
        </w:tc>
        <w:tc>
          <w:tcPr>
            <w:tcW w:w="567" w:type="pct"/>
            <w:tcMar>
              <w:left w:w="108" w:type="dxa"/>
              <w:right w:w="108" w:type="dxa"/>
            </w:tcMar>
          </w:tcPr>
          <w:p w14:paraId="26615E86" w14:textId="72DF3EE9" w:rsidR="006522E4" w:rsidRPr="006522E4" w:rsidRDefault="006522E4" w:rsidP="006522E4">
            <w:pPr>
              <w:pStyle w:val="TableHeading"/>
              <w:rPr>
                <w:highlight w:val="yellow"/>
              </w:rPr>
            </w:pPr>
            <w:r w:rsidRPr="00371F5F">
              <w:t>Tissue or sample types</w:t>
            </w:r>
          </w:p>
        </w:tc>
        <w:tc>
          <w:tcPr>
            <w:tcW w:w="594" w:type="pct"/>
            <w:tcMar>
              <w:left w:w="108" w:type="dxa"/>
              <w:right w:w="108" w:type="dxa"/>
            </w:tcMar>
          </w:tcPr>
          <w:p w14:paraId="00740E4E" w14:textId="797D52DF" w:rsidR="006522E4" w:rsidRPr="006522E4" w:rsidRDefault="006522E4" w:rsidP="006522E4">
            <w:pPr>
              <w:pStyle w:val="TableHeading"/>
              <w:rPr>
                <w:highlight w:val="yellow"/>
              </w:rPr>
            </w:pPr>
            <w:r w:rsidRPr="00371F5F">
              <w:t>Species</w:t>
            </w:r>
          </w:p>
        </w:tc>
        <w:tc>
          <w:tcPr>
            <w:tcW w:w="741" w:type="pct"/>
            <w:tcMar>
              <w:left w:w="108" w:type="dxa"/>
              <w:right w:w="108" w:type="dxa"/>
            </w:tcMar>
          </w:tcPr>
          <w:p w14:paraId="57E13A4F" w14:textId="77777777" w:rsidR="006522E4" w:rsidRPr="00371F5F" w:rsidRDefault="006522E4" w:rsidP="00371F5F">
            <w:pPr>
              <w:pStyle w:val="TableHeading"/>
            </w:pPr>
            <w:r w:rsidRPr="00371F5F">
              <w:t>DSe [95% PI]</w:t>
            </w:r>
          </w:p>
          <w:p w14:paraId="7F556EB8" w14:textId="7686C7EE" w:rsidR="006522E4" w:rsidRPr="006522E4" w:rsidRDefault="006522E4" w:rsidP="006522E4">
            <w:pPr>
              <w:pStyle w:val="TableHeading"/>
              <w:rPr>
                <w:highlight w:val="yellow"/>
              </w:rPr>
            </w:pPr>
            <w:r w:rsidRPr="00371F5F">
              <w:t>(n)</w:t>
            </w:r>
          </w:p>
        </w:tc>
        <w:tc>
          <w:tcPr>
            <w:tcW w:w="632" w:type="pct"/>
            <w:tcMar>
              <w:left w:w="108" w:type="dxa"/>
              <w:right w:w="108" w:type="dxa"/>
            </w:tcMar>
          </w:tcPr>
          <w:p w14:paraId="2BB0F07F" w14:textId="77777777" w:rsidR="006522E4" w:rsidRPr="00371F5F" w:rsidRDefault="006522E4" w:rsidP="00371F5F">
            <w:pPr>
              <w:pStyle w:val="TableHeading"/>
            </w:pPr>
            <w:r w:rsidRPr="00371F5F">
              <w:t>DSp [95% PI]</w:t>
            </w:r>
          </w:p>
          <w:p w14:paraId="0B858561" w14:textId="3E06F581" w:rsidR="006522E4" w:rsidRPr="006522E4" w:rsidRDefault="006522E4" w:rsidP="006522E4">
            <w:pPr>
              <w:pStyle w:val="TableHeading"/>
              <w:rPr>
                <w:highlight w:val="yellow"/>
              </w:rPr>
            </w:pPr>
            <w:r w:rsidRPr="00371F5F">
              <w:t>(n)</w:t>
            </w:r>
          </w:p>
        </w:tc>
        <w:tc>
          <w:tcPr>
            <w:tcW w:w="540" w:type="pct"/>
          </w:tcPr>
          <w:p w14:paraId="1C3BBC06" w14:textId="2C0526A3" w:rsidR="006522E4" w:rsidRPr="006522E4" w:rsidRDefault="006522E4" w:rsidP="006522E4">
            <w:pPr>
              <w:pStyle w:val="TableHeading"/>
            </w:pPr>
            <w:r w:rsidRPr="00371F5F">
              <w:t>Citation</w:t>
            </w:r>
          </w:p>
        </w:tc>
      </w:tr>
      <w:tr w:rsidR="006522E4" w14:paraId="17924CE4" w14:textId="2219DA13" w:rsidTr="006522E4">
        <w:tc>
          <w:tcPr>
            <w:tcW w:w="605" w:type="pct"/>
            <w:tcMar>
              <w:left w:w="108" w:type="dxa"/>
              <w:right w:w="108" w:type="dxa"/>
            </w:tcMar>
          </w:tcPr>
          <w:p w14:paraId="5A0F6ABC" w14:textId="7F778889" w:rsidR="006522E4" w:rsidRPr="00371F5F" w:rsidRDefault="006522E4" w:rsidP="006522E4">
            <w:pPr>
              <w:pStyle w:val="TableText"/>
              <w:rPr>
                <w:rStyle w:val="Strong"/>
              </w:rPr>
            </w:pPr>
            <w:r w:rsidRPr="00371F5F">
              <w:rPr>
                <w:rStyle w:val="Strong"/>
              </w:rPr>
              <w:t>CSIRO WSSV qPCR</w:t>
            </w:r>
          </w:p>
        </w:tc>
        <w:tc>
          <w:tcPr>
            <w:tcW w:w="707" w:type="pct"/>
            <w:tcMar>
              <w:left w:w="108" w:type="dxa"/>
              <w:right w:w="108" w:type="dxa"/>
            </w:tcMar>
          </w:tcPr>
          <w:p w14:paraId="1C7EA210" w14:textId="27BDE842" w:rsidR="006522E4" w:rsidRPr="006522E4" w:rsidRDefault="006522E4" w:rsidP="006522E4">
            <w:pPr>
              <w:pStyle w:val="TableText"/>
            </w:pPr>
            <w:r w:rsidRPr="006522E4">
              <w:t>Diagnosis</w:t>
            </w:r>
          </w:p>
        </w:tc>
        <w:tc>
          <w:tcPr>
            <w:tcW w:w="614" w:type="pct"/>
            <w:tcMar>
              <w:left w:w="108" w:type="dxa"/>
              <w:right w:w="108" w:type="dxa"/>
            </w:tcMar>
          </w:tcPr>
          <w:p w14:paraId="411C0BA4" w14:textId="3B83E273" w:rsidR="006522E4" w:rsidRPr="006522E4" w:rsidRDefault="006522E4" w:rsidP="006522E4">
            <w:pPr>
              <w:pStyle w:val="TableText"/>
            </w:pPr>
            <w:r w:rsidRPr="006522E4">
              <w:t>Clinically diseased farmed prawns</w:t>
            </w:r>
          </w:p>
        </w:tc>
        <w:tc>
          <w:tcPr>
            <w:tcW w:w="567" w:type="pct"/>
            <w:tcMar>
              <w:left w:w="108" w:type="dxa"/>
              <w:right w:w="108" w:type="dxa"/>
            </w:tcMar>
          </w:tcPr>
          <w:p w14:paraId="6BF76585" w14:textId="4D9331A4" w:rsidR="006522E4" w:rsidRPr="006522E4" w:rsidRDefault="006522E4" w:rsidP="006522E4">
            <w:pPr>
              <w:pStyle w:val="TableText"/>
            </w:pPr>
            <w:r w:rsidRPr="006522E4">
              <w:t>Gill, pleopod</w:t>
            </w:r>
          </w:p>
        </w:tc>
        <w:tc>
          <w:tcPr>
            <w:tcW w:w="594" w:type="pct"/>
            <w:tcMar>
              <w:left w:w="108" w:type="dxa"/>
              <w:right w:w="108" w:type="dxa"/>
            </w:tcMar>
          </w:tcPr>
          <w:p w14:paraId="0CFEA272" w14:textId="22E42E95" w:rsidR="006522E4" w:rsidRPr="006522E4" w:rsidRDefault="006522E4" w:rsidP="006522E4">
            <w:pPr>
              <w:pStyle w:val="TableText"/>
            </w:pPr>
            <w:r w:rsidRPr="006522E4">
              <w:t>Penaeus monodon</w:t>
            </w:r>
          </w:p>
        </w:tc>
        <w:tc>
          <w:tcPr>
            <w:tcW w:w="741" w:type="pct"/>
            <w:tcMar>
              <w:left w:w="108" w:type="dxa"/>
              <w:right w:w="108" w:type="dxa"/>
            </w:tcMar>
          </w:tcPr>
          <w:p w14:paraId="26DBC0FA" w14:textId="77777777" w:rsidR="006522E4" w:rsidRPr="006522E4" w:rsidRDefault="006522E4" w:rsidP="006522E4">
            <w:pPr>
              <w:pStyle w:val="TableText"/>
            </w:pPr>
            <w:r w:rsidRPr="006522E4">
              <w:t>100</w:t>
            </w:r>
          </w:p>
          <w:p w14:paraId="1FAA9E19" w14:textId="57870F29" w:rsidR="006522E4" w:rsidRPr="006522E4" w:rsidRDefault="006522E4" w:rsidP="006522E4">
            <w:pPr>
              <w:pStyle w:val="TableText"/>
            </w:pPr>
            <w:r w:rsidRPr="006522E4">
              <w:t>(n=71)</w:t>
            </w:r>
          </w:p>
        </w:tc>
        <w:tc>
          <w:tcPr>
            <w:tcW w:w="632" w:type="pct"/>
            <w:tcMar>
              <w:left w:w="108" w:type="dxa"/>
              <w:right w:w="108" w:type="dxa"/>
            </w:tcMar>
          </w:tcPr>
          <w:p w14:paraId="735D77A6" w14:textId="77777777" w:rsidR="006522E4" w:rsidRPr="006522E4" w:rsidRDefault="006522E4" w:rsidP="006522E4">
            <w:pPr>
              <w:pStyle w:val="TableText"/>
            </w:pPr>
            <w:r w:rsidRPr="006522E4">
              <w:t>100</w:t>
            </w:r>
          </w:p>
          <w:p w14:paraId="6F7FDEC6" w14:textId="63C420C0" w:rsidR="006522E4" w:rsidRPr="006522E4" w:rsidRDefault="006522E4" w:rsidP="006522E4">
            <w:pPr>
              <w:pStyle w:val="TableText"/>
            </w:pPr>
            <w:r w:rsidRPr="006522E4">
              <w:t>(n=71)</w:t>
            </w:r>
          </w:p>
        </w:tc>
        <w:tc>
          <w:tcPr>
            <w:tcW w:w="540" w:type="pct"/>
          </w:tcPr>
          <w:p w14:paraId="54CFD2C2" w14:textId="762952EB" w:rsidR="006522E4" w:rsidRPr="006522E4" w:rsidRDefault="006522E4" w:rsidP="006522E4">
            <w:pPr>
              <w:pStyle w:val="TableText"/>
            </w:pPr>
            <w:r w:rsidRPr="006522E4">
              <w:t>Moody et al (2022)</w:t>
            </w:r>
          </w:p>
        </w:tc>
      </w:tr>
      <w:tr w:rsidR="006522E4" w14:paraId="78B6FD2D" w14:textId="41FFF2A6" w:rsidTr="006522E4">
        <w:tc>
          <w:tcPr>
            <w:tcW w:w="605" w:type="pct"/>
            <w:tcMar>
              <w:left w:w="108" w:type="dxa"/>
              <w:right w:w="108" w:type="dxa"/>
            </w:tcMar>
          </w:tcPr>
          <w:p w14:paraId="629C7D26" w14:textId="2A5EF42A" w:rsidR="006522E4" w:rsidRPr="00371F5F" w:rsidRDefault="006522E4" w:rsidP="006522E4">
            <w:pPr>
              <w:pStyle w:val="TableText"/>
              <w:rPr>
                <w:rStyle w:val="Strong"/>
              </w:rPr>
            </w:pPr>
            <w:r w:rsidRPr="00371F5F">
              <w:rPr>
                <w:rStyle w:val="Strong"/>
              </w:rPr>
              <w:t>OIE WSSV qPCR</w:t>
            </w:r>
          </w:p>
        </w:tc>
        <w:tc>
          <w:tcPr>
            <w:tcW w:w="707" w:type="pct"/>
            <w:tcMar>
              <w:left w:w="108" w:type="dxa"/>
              <w:right w:w="108" w:type="dxa"/>
            </w:tcMar>
          </w:tcPr>
          <w:p w14:paraId="287A0F18" w14:textId="17C9AD3A" w:rsidR="006522E4" w:rsidRPr="006522E4" w:rsidRDefault="006522E4" w:rsidP="006522E4">
            <w:pPr>
              <w:pStyle w:val="TableText"/>
            </w:pPr>
            <w:r w:rsidRPr="006522E4">
              <w:t>Diagnosis</w:t>
            </w:r>
          </w:p>
        </w:tc>
        <w:tc>
          <w:tcPr>
            <w:tcW w:w="614" w:type="pct"/>
            <w:tcMar>
              <w:left w:w="108" w:type="dxa"/>
              <w:right w:w="108" w:type="dxa"/>
            </w:tcMar>
          </w:tcPr>
          <w:p w14:paraId="6DA1E1F5" w14:textId="2F0745DD" w:rsidR="006522E4" w:rsidRPr="006522E4" w:rsidRDefault="006522E4" w:rsidP="006522E4">
            <w:pPr>
              <w:pStyle w:val="TableText"/>
            </w:pPr>
            <w:r w:rsidRPr="006522E4">
              <w:t>Clinically diseased farmed prawns</w:t>
            </w:r>
          </w:p>
        </w:tc>
        <w:tc>
          <w:tcPr>
            <w:tcW w:w="567" w:type="pct"/>
            <w:tcMar>
              <w:left w:w="108" w:type="dxa"/>
              <w:right w:w="108" w:type="dxa"/>
            </w:tcMar>
          </w:tcPr>
          <w:p w14:paraId="766676D3" w14:textId="4510072D" w:rsidR="006522E4" w:rsidRPr="006522E4" w:rsidRDefault="006522E4" w:rsidP="006522E4">
            <w:pPr>
              <w:pStyle w:val="TableText"/>
            </w:pPr>
            <w:r w:rsidRPr="006522E4">
              <w:t>Gill, pleopod</w:t>
            </w:r>
          </w:p>
        </w:tc>
        <w:tc>
          <w:tcPr>
            <w:tcW w:w="594" w:type="pct"/>
            <w:tcMar>
              <w:left w:w="108" w:type="dxa"/>
              <w:right w:w="108" w:type="dxa"/>
            </w:tcMar>
          </w:tcPr>
          <w:p w14:paraId="53E9828C" w14:textId="12F025AA" w:rsidR="006522E4" w:rsidRPr="006522E4" w:rsidRDefault="006522E4" w:rsidP="006522E4">
            <w:pPr>
              <w:pStyle w:val="TableText"/>
            </w:pPr>
            <w:r w:rsidRPr="006522E4">
              <w:t>Penaeus monodon</w:t>
            </w:r>
          </w:p>
        </w:tc>
        <w:tc>
          <w:tcPr>
            <w:tcW w:w="741" w:type="pct"/>
            <w:tcMar>
              <w:left w:w="108" w:type="dxa"/>
              <w:right w:w="108" w:type="dxa"/>
            </w:tcMar>
          </w:tcPr>
          <w:p w14:paraId="21E195D8" w14:textId="77777777" w:rsidR="006522E4" w:rsidRPr="006522E4" w:rsidRDefault="006522E4" w:rsidP="006522E4">
            <w:pPr>
              <w:pStyle w:val="TableText"/>
            </w:pPr>
            <w:r w:rsidRPr="006522E4">
              <w:t>100</w:t>
            </w:r>
          </w:p>
          <w:p w14:paraId="4042257A" w14:textId="663E43F4" w:rsidR="006522E4" w:rsidRPr="006522E4" w:rsidRDefault="006522E4" w:rsidP="006522E4">
            <w:pPr>
              <w:pStyle w:val="TableText"/>
            </w:pPr>
            <w:r w:rsidRPr="006522E4">
              <w:t>(n=71)</w:t>
            </w:r>
          </w:p>
        </w:tc>
        <w:tc>
          <w:tcPr>
            <w:tcW w:w="632" w:type="pct"/>
            <w:tcMar>
              <w:left w:w="108" w:type="dxa"/>
              <w:right w:w="108" w:type="dxa"/>
            </w:tcMar>
          </w:tcPr>
          <w:p w14:paraId="7DC1C23A" w14:textId="77777777" w:rsidR="006522E4" w:rsidRPr="006522E4" w:rsidRDefault="006522E4" w:rsidP="006522E4">
            <w:pPr>
              <w:pStyle w:val="TableText"/>
            </w:pPr>
            <w:r w:rsidRPr="006522E4">
              <w:t>100</w:t>
            </w:r>
          </w:p>
          <w:p w14:paraId="44A49362" w14:textId="0D451C11" w:rsidR="006522E4" w:rsidRPr="006522E4" w:rsidRDefault="006522E4" w:rsidP="006522E4">
            <w:pPr>
              <w:pStyle w:val="TableText"/>
            </w:pPr>
            <w:r w:rsidRPr="006522E4">
              <w:t>(n=71)</w:t>
            </w:r>
          </w:p>
        </w:tc>
        <w:tc>
          <w:tcPr>
            <w:tcW w:w="540" w:type="pct"/>
          </w:tcPr>
          <w:p w14:paraId="130C9742" w14:textId="2F52685B" w:rsidR="006522E4" w:rsidRPr="006522E4" w:rsidRDefault="006522E4" w:rsidP="006522E4">
            <w:pPr>
              <w:pStyle w:val="TableText"/>
            </w:pPr>
            <w:r w:rsidRPr="006522E4">
              <w:t>Moody et al (2022)</w:t>
            </w:r>
          </w:p>
        </w:tc>
      </w:tr>
      <w:tr w:rsidR="006522E4" w14:paraId="208CDC26" w14:textId="64E27572" w:rsidTr="006522E4">
        <w:tc>
          <w:tcPr>
            <w:tcW w:w="605" w:type="pct"/>
            <w:tcMar>
              <w:left w:w="108" w:type="dxa"/>
              <w:right w:w="108" w:type="dxa"/>
            </w:tcMar>
          </w:tcPr>
          <w:p w14:paraId="1F1B9ABD" w14:textId="077A3D09" w:rsidR="006522E4" w:rsidRPr="00371F5F" w:rsidRDefault="006522E4" w:rsidP="006522E4">
            <w:pPr>
              <w:pStyle w:val="TableText"/>
              <w:rPr>
                <w:rStyle w:val="Strong"/>
              </w:rPr>
            </w:pPr>
            <w:r w:rsidRPr="00371F5F">
              <w:rPr>
                <w:rStyle w:val="Strong"/>
              </w:rPr>
              <w:t>CSIRO WSSV qPCR</w:t>
            </w:r>
          </w:p>
        </w:tc>
        <w:tc>
          <w:tcPr>
            <w:tcW w:w="707" w:type="pct"/>
            <w:tcMar>
              <w:left w:w="108" w:type="dxa"/>
              <w:right w:w="108" w:type="dxa"/>
            </w:tcMar>
          </w:tcPr>
          <w:p w14:paraId="010C1403" w14:textId="77842ACD" w:rsidR="006522E4" w:rsidRPr="006522E4" w:rsidRDefault="006522E4" w:rsidP="006522E4">
            <w:pPr>
              <w:pStyle w:val="TableText"/>
            </w:pPr>
            <w:r w:rsidRPr="006522E4">
              <w:t>Surveillance in apparently healthy animals</w:t>
            </w:r>
          </w:p>
        </w:tc>
        <w:tc>
          <w:tcPr>
            <w:tcW w:w="614" w:type="pct"/>
            <w:tcMar>
              <w:left w:w="108" w:type="dxa"/>
              <w:right w:w="108" w:type="dxa"/>
            </w:tcMar>
          </w:tcPr>
          <w:p w14:paraId="47687847" w14:textId="246B04F1" w:rsidR="006522E4" w:rsidRPr="006522E4" w:rsidRDefault="006522E4" w:rsidP="006522E4">
            <w:pPr>
              <w:pStyle w:val="TableText"/>
            </w:pPr>
            <w:r w:rsidRPr="006522E4">
              <w:t>Wild Australian prawns</w:t>
            </w:r>
          </w:p>
        </w:tc>
        <w:tc>
          <w:tcPr>
            <w:tcW w:w="567" w:type="pct"/>
            <w:tcMar>
              <w:left w:w="108" w:type="dxa"/>
              <w:right w:w="108" w:type="dxa"/>
            </w:tcMar>
          </w:tcPr>
          <w:p w14:paraId="0DDB16AF" w14:textId="38A95ECD" w:rsidR="006522E4" w:rsidRPr="006522E4" w:rsidRDefault="006522E4" w:rsidP="006522E4">
            <w:pPr>
              <w:pStyle w:val="TableText"/>
            </w:pPr>
            <w:r w:rsidRPr="006522E4">
              <w:t>Pleopods</w:t>
            </w:r>
          </w:p>
        </w:tc>
        <w:tc>
          <w:tcPr>
            <w:tcW w:w="594" w:type="pct"/>
            <w:tcMar>
              <w:left w:w="108" w:type="dxa"/>
              <w:right w:w="108" w:type="dxa"/>
            </w:tcMar>
          </w:tcPr>
          <w:p w14:paraId="2902032E" w14:textId="54A6C2BA" w:rsidR="006522E4" w:rsidRPr="006522E4" w:rsidRDefault="006522E4" w:rsidP="006522E4">
            <w:pPr>
              <w:pStyle w:val="TableText"/>
            </w:pPr>
            <w:r w:rsidRPr="006522E4">
              <w:t>Various</w:t>
            </w:r>
          </w:p>
        </w:tc>
        <w:tc>
          <w:tcPr>
            <w:tcW w:w="741" w:type="pct"/>
            <w:tcMar>
              <w:left w:w="108" w:type="dxa"/>
              <w:right w:w="108" w:type="dxa"/>
            </w:tcMar>
          </w:tcPr>
          <w:p w14:paraId="1C8934C3" w14:textId="77777777" w:rsidR="006522E4" w:rsidRPr="006522E4" w:rsidRDefault="006522E4" w:rsidP="006522E4">
            <w:pPr>
              <w:pStyle w:val="TableText"/>
            </w:pPr>
            <w:r w:rsidRPr="006522E4">
              <w:t>82.9% [75.0-90.2]</w:t>
            </w:r>
          </w:p>
          <w:p w14:paraId="4D40B9C0" w14:textId="56B9D27D" w:rsidR="006522E4" w:rsidRPr="006522E4" w:rsidRDefault="006522E4" w:rsidP="006522E4">
            <w:pPr>
              <w:pStyle w:val="TableText"/>
            </w:pPr>
            <w:r w:rsidRPr="006522E4">
              <w:t>(n=1591)</w:t>
            </w:r>
          </w:p>
        </w:tc>
        <w:tc>
          <w:tcPr>
            <w:tcW w:w="632" w:type="pct"/>
            <w:tcMar>
              <w:left w:w="108" w:type="dxa"/>
              <w:right w:w="108" w:type="dxa"/>
            </w:tcMar>
          </w:tcPr>
          <w:p w14:paraId="31CCE159" w14:textId="77777777" w:rsidR="006522E4" w:rsidRPr="006522E4" w:rsidRDefault="006522E4" w:rsidP="006522E4">
            <w:pPr>
              <w:pStyle w:val="TableText"/>
            </w:pPr>
            <w:r w:rsidRPr="006522E4">
              <w:t>99.7% [98.6-99.99]</w:t>
            </w:r>
          </w:p>
          <w:p w14:paraId="4722E3E0" w14:textId="1BEDE84E" w:rsidR="006522E4" w:rsidRPr="006522E4" w:rsidRDefault="006522E4" w:rsidP="006522E4">
            <w:pPr>
              <w:pStyle w:val="TableText"/>
            </w:pPr>
            <w:r w:rsidRPr="006522E4">
              <w:t>(n=1591)</w:t>
            </w:r>
          </w:p>
        </w:tc>
        <w:tc>
          <w:tcPr>
            <w:tcW w:w="540" w:type="pct"/>
          </w:tcPr>
          <w:p w14:paraId="5EC08070" w14:textId="10F5AB11" w:rsidR="006522E4" w:rsidRPr="006522E4" w:rsidRDefault="006522E4" w:rsidP="006522E4">
            <w:pPr>
              <w:pStyle w:val="TableText"/>
            </w:pPr>
            <w:r w:rsidRPr="006522E4">
              <w:t>Moody et al (2022)</w:t>
            </w:r>
          </w:p>
        </w:tc>
      </w:tr>
      <w:tr w:rsidR="006522E4" w14:paraId="5E3DBB63" w14:textId="6198E0AA" w:rsidTr="006522E4">
        <w:tc>
          <w:tcPr>
            <w:tcW w:w="605" w:type="pct"/>
            <w:tcMar>
              <w:left w:w="108" w:type="dxa"/>
              <w:right w:w="108" w:type="dxa"/>
            </w:tcMar>
          </w:tcPr>
          <w:p w14:paraId="56E65420" w14:textId="3BB05D87" w:rsidR="006522E4" w:rsidRPr="00371F5F" w:rsidRDefault="006522E4" w:rsidP="006522E4">
            <w:pPr>
              <w:pStyle w:val="TableText"/>
              <w:rPr>
                <w:rStyle w:val="Strong"/>
              </w:rPr>
            </w:pPr>
            <w:r w:rsidRPr="00371F5F">
              <w:rPr>
                <w:rStyle w:val="Strong"/>
              </w:rPr>
              <w:t>OIE WSSV qPCR</w:t>
            </w:r>
          </w:p>
        </w:tc>
        <w:tc>
          <w:tcPr>
            <w:tcW w:w="707" w:type="pct"/>
            <w:tcMar>
              <w:left w:w="108" w:type="dxa"/>
              <w:right w:w="108" w:type="dxa"/>
            </w:tcMar>
          </w:tcPr>
          <w:p w14:paraId="5D3643EA" w14:textId="7800E047" w:rsidR="006522E4" w:rsidRPr="006522E4" w:rsidRDefault="006522E4" w:rsidP="006522E4">
            <w:pPr>
              <w:pStyle w:val="TableText"/>
            </w:pPr>
            <w:r w:rsidRPr="006522E4">
              <w:t>Surveillance in apparently healthy animals</w:t>
            </w:r>
          </w:p>
        </w:tc>
        <w:tc>
          <w:tcPr>
            <w:tcW w:w="614" w:type="pct"/>
            <w:tcMar>
              <w:left w:w="108" w:type="dxa"/>
              <w:right w:w="108" w:type="dxa"/>
            </w:tcMar>
          </w:tcPr>
          <w:p w14:paraId="05D83E41" w14:textId="54A8F4A2" w:rsidR="006522E4" w:rsidRPr="006522E4" w:rsidRDefault="006522E4" w:rsidP="006522E4">
            <w:pPr>
              <w:pStyle w:val="TableText"/>
            </w:pPr>
            <w:r w:rsidRPr="006522E4">
              <w:t>Wild Australian prawns</w:t>
            </w:r>
          </w:p>
        </w:tc>
        <w:tc>
          <w:tcPr>
            <w:tcW w:w="567" w:type="pct"/>
            <w:tcMar>
              <w:left w:w="108" w:type="dxa"/>
              <w:right w:w="108" w:type="dxa"/>
            </w:tcMar>
          </w:tcPr>
          <w:p w14:paraId="53D8F9B6" w14:textId="70BDD9F8" w:rsidR="006522E4" w:rsidRPr="006522E4" w:rsidRDefault="006522E4" w:rsidP="006522E4">
            <w:pPr>
              <w:pStyle w:val="TableText"/>
            </w:pPr>
            <w:r w:rsidRPr="006522E4">
              <w:t>Pleopods</w:t>
            </w:r>
          </w:p>
        </w:tc>
        <w:tc>
          <w:tcPr>
            <w:tcW w:w="594" w:type="pct"/>
            <w:tcMar>
              <w:left w:w="108" w:type="dxa"/>
              <w:right w:w="108" w:type="dxa"/>
            </w:tcMar>
          </w:tcPr>
          <w:p w14:paraId="45F09A80" w14:textId="3E5FE73F" w:rsidR="006522E4" w:rsidRPr="006522E4" w:rsidRDefault="006522E4" w:rsidP="006522E4">
            <w:pPr>
              <w:pStyle w:val="TableText"/>
            </w:pPr>
            <w:r w:rsidRPr="006522E4">
              <w:t>Various</w:t>
            </w:r>
          </w:p>
        </w:tc>
        <w:tc>
          <w:tcPr>
            <w:tcW w:w="741" w:type="pct"/>
            <w:tcMar>
              <w:left w:w="108" w:type="dxa"/>
              <w:right w:w="108" w:type="dxa"/>
            </w:tcMar>
          </w:tcPr>
          <w:p w14:paraId="003721F3" w14:textId="77777777" w:rsidR="006522E4" w:rsidRPr="006522E4" w:rsidRDefault="006522E4" w:rsidP="006522E4">
            <w:pPr>
              <w:pStyle w:val="TableText"/>
            </w:pPr>
            <w:r w:rsidRPr="006522E4">
              <w:t>76.8% [68.9-84.9]</w:t>
            </w:r>
          </w:p>
          <w:p w14:paraId="3A64031B" w14:textId="5E1E1462" w:rsidR="006522E4" w:rsidRPr="006522E4" w:rsidRDefault="006522E4" w:rsidP="006522E4">
            <w:pPr>
              <w:pStyle w:val="TableText"/>
            </w:pPr>
            <w:r w:rsidRPr="006522E4">
              <w:t>(n=1591)</w:t>
            </w:r>
          </w:p>
        </w:tc>
        <w:tc>
          <w:tcPr>
            <w:tcW w:w="632" w:type="pct"/>
            <w:tcMar>
              <w:left w:w="108" w:type="dxa"/>
              <w:right w:w="108" w:type="dxa"/>
            </w:tcMar>
          </w:tcPr>
          <w:p w14:paraId="4300DAC8" w14:textId="77777777" w:rsidR="006522E4" w:rsidRPr="006522E4" w:rsidRDefault="006522E4" w:rsidP="006522E4">
            <w:pPr>
              <w:pStyle w:val="TableText"/>
            </w:pPr>
            <w:r w:rsidRPr="006522E4">
              <w:t>99.7% [98.7-99.99]</w:t>
            </w:r>
          </w:p>
          <w:p w14:paraId="29D7FE26" w14:textId="12D5F118" w:rsidR="006522E4" w:rsidRPr="006522E4" w:rsidRDefault="006522E4" w:rsidP="006522E4">
            <w:pPr>
              <w:pStyle w:val="TableText"/>
            </w:pPr>
            <w:r w:rsidRPr="006522E4">
              <w:t>(n=1591)</w:t>
            </w:r>
          </w:p>
        </w:tc>
        <w:tc>
          <w:tcPr>
            <w:tcW w:w="540" w:type="pct"/>
          </w:tcPr>
          <w:p w14:paraId="40EFD278" w14:textId="348ECF4E" w:rsidR="006522E4" w:rsidRPr="006522E4" w:rsidRDefault="006522E4" w:rsidP="006522E4">
            <w:pPr>
              <w:pStyle w:val="TableText"/>
            </w:pPr>
            <w:r w:rsidRPr="006522E4">
              <w:t>Moody et al (2022)</w:t>
            </w:r>
          </w:p>
        </w:tc>
      </w:tr>
      <w:tr w:rsidR="006522E4" w14:paraId="09923143" w14:textId="77777777" w:rsidTr="006522E4">
        <w:tc>
          <w:tcPr>
            <w:tcW w:w="605" w:type="pct"/>
            <w:tcMar>
              <w:left w:w="108" w:type="dxa"/>
              <w:right w:w="108" w:type="dxa"/>
            </w:tcMar>
          </w:tcPr>
          <w:p w14:paraId="19C9CD3B" w14:textId="65B3B5E8" w:rsidR="006522E4" w:rsidRPr="00371F5F" w:rsidRDefault="006522E4" w:rsidP="006522E4">
            <w:pPr>
              <w:pStyle w:val="TableText"/>
              <w:rPr>
                <w:rStyle w:val="Strong"/>
              </w:rPr>
            </w:pPr>
            <w:r w:rsidRPr="00371F5F">
              <w:rPr>
                <w:rStyle w:val="Strong"/>
              </w:rPr>
              <w:t>The two qPCR methods in parallel</w:t>
            </w:r>
          </w:p>
        </w:tc>
        <w:tc>
          <w:tcPr>
            <w:tcW w:w="707" w:type="pct"/>
            <w:tcMar>
              <w:left w:w="108" w:type="dxa"/>
              <w:right w:w="108" w:type="dxa"/>
            </w:tcMar>
          </w:tcPr>
          <w:p w14:paraId="6DD30EB2" w14:textId="3A566591" w:rsidR="006522E4" w:rsidRPr="006522E4" w:rsidRDefault="006522E4" w:rsidP="006522E4">
            <w:pPr>
              <w:pStyle w:val="TableText"/>
            </w:pPr>
            <w:r w:rsidRPr="006522E4">
              <w:t>Surveillance in apparently healthy animals</w:t>
            </w:r>
          </w:p>
        </w:tc>
        <w:tc>
          <w:tcPr>
            <w:tcW w:w="614" w:type="pct"/>
            <w:tcMar>
              <w:left w:w="108" w:type="dxa"/>
              <w:right w:w="108" w:type="dxa"/>
            </w:tcMar>
          </w:tcPr>
          <w:p w14:paraId="54E7C0B1" w14:textId="1F832ED0" w:rsidR="006522E4" w:rsidRPr="006522E4" w:rsidRDefault="006522E4" w:rsidP="006522E4">
            <w:pPr>
              <w:pStyle w:val="TableText"/>
            </w:pPr>
            <w:r w:rsidRPr="006522E4">
              <w:t>Wild Australian prawns</w:t>
            </w:r>
          </w:p>
        </w:tc>
        <w:tc>
          <w:tcPr>
            <w:tcW w:w="567" w:type="pct"/>
            <w:tcMar>
              <w:left w:w="108" w:type="dxa"/>
              <w:right w:w="108" w:type="dxa"/>
            </w:tcMar>
          </w:tcPr>
          <w:p w14:paraId="59D83438" w14:textId="06A7B1D1" w:rsidR="006522E4" w:rsidRPr="006522E4" w:rsidRDefault="006522E4" w:rsidP="006522E4">
            <w:pPr>
              <w:pStyle w:val="TableText"/>
            </w:pPr>
            <w:r w:rsidRPr="006522E4">
              <w:t>Pleopods</w:t>
            </w:r>
          </w:p>
        </w:tc>
        <w:tc>
          <w:tcPr>
            <w:tcW w:w="594" w:type="pct"/>
            <w:tcMar>
              <w:left w:w="108" w:type="dxa"/>
              <w:right w:w="108" w:type="dxa"/>
            </w:tcMar>
          </w:tcPr>
          <w:p w14:paraId="56583417" w14:textId="6A5D40A4" w:rsidR="006522E4" w:rsidRPr="006522E4" w:rsidRDefault="006522E4" w:rsidP="006522E4">
            <w:pPr>
              <w:pStyle w:val="TableText"/>
            </w:pPr>
            <w:r w:rsidRPr="006522E4">
              <w:t>Various</w:t>
            </w:r>
          </w:p>
        </w:tc>
        <w:tc>
          <w:tcPr>
            <w:tcW w:w="741" w:type="pct"/>
            <w:tcMar>
              <w:left w:w="108" w:type="dxa"/>
              <w:right w:w="108" w:type="dxa"/>
            </w:tcMar>
          </w:tcPr>
          <w:p w14:paraId="1685C9BE" w14:textId="77777777" w:rsidR="006522E4" w:rsidRPr="006522E4" w:rsidRDefault="006522E4" w:rsidP="006522E4">
            <w:pPr>
              <w:pStyle w:val="TableText"/>
            </w:pPr>
            <w:r w:rsidRPr="006522E4">
              <w:t>98.3% [91.6−99.99]</w:t>
            </w:r>
          </w:p>
          <w:p w14:paraId="10D337D7" w14:textId="259942A9" w:rsidR="006522E4" w:rsidRPr="006522E4" w:rsidRDefault="006522E4" w:rsidP="006522E4">
            <w:pPr>
              <w:pStyle w:val="TableText"/>
            </w:pPr>
            <w:r w:rsidRPr="006522E4">
              <w:t>(n=1591)</w:t>
            </w:r>
          </w:p>
        </w:tc>
        <w:tc>
          <w:tcPr>
            <w:tcW w:w="632" w:type="pct"/>
            <w:tcMar>
              <w:left w:w="108" w:type="dxa"/>
              <w:right w:w="108" w:type="dxa"/>
            </w:tcMar>
          </w:tcPr>
          <w:p w14:paraId="039F0F8F" w14:textId="77777777" w:rsidR="006522E4" w:rsidRPr="006522E4" w:rsidRDefault="006522E4" w:rsidP="006522E4">
            <w:pPr>
              <w:pStyle w:val="TableText"/>
            </w:pPr>
            <w:r w:rsidRPr="006522E4">
              <w:t>99.4% [97.9−99.99]</w:t>
            </w:r>
          </w:p>
          <w:p w14:paraId="1211F2A6" w14:textId="0824A357" w:rsidR="006522E4" w:rsidRPr="006522E4" w:rsidRDefault="006522E4" w:rsidP="006522E4">
            <w:pPr>
              <w:pStyle w:val="TableText"/>
            </w:pPr>
            <w:r w:rsidRPr="006522E4">
              <w:t>(n=1591)</w:t>
            </w:r>
          </w:p>
        </w:tc>
        <w:tc>
          <w:tcPr>
            <w:tcW w:w="540" w:type="pct"/>
          </w:tcPr>
          <w:p w14:paraId="55967EFA" w14:textId="009AF18A" w:rsidR="006522E4" w:rsidRPr="006522E4" w:rsidRDefault="006522E4" w:rsidP="006522E4">
            <w:pPr>
              <w:pStyle w:val="TableText"/>
            </w:pPr>
            <w:r w:rsidRPr="006522E4">
              <w:t>Moody et al (2022)</w:t>
            </w:r>
          </w:p>
        </w:tc>
      </w:tr>
    </w:tbl>
    <w:p w14:paraId="433329D8" w14:textId="01DC1E43" w:rsidR="00B43B36" w:rsidRPr="00B43B36" w:rsidRDefault="00643A21" w:rsidP="00B43B36">
      <w:pPr>
        <w:pStyle w:val="FigureTableNoteSource"/>
      </w:pPr>
      <w:r w:rsidRPr="00371F5F">
        <w:rPr>
          <w:rStyle w:val="Strong"/>
        </w:rPr>
        <w:t>DSe</w:t>
      </w:r>
      <w:r w:rsidRPr="00301368">
        <w:t xml:space="preserve"> diagnostic sensitivity, </w:t>
      </w:r>
      <w:r w:rsidRPr="00371F5F">
        <w:rPr>
          <w:rStyle w:val="Strong"/>
        </w:rPr>
        <w:t>DSp</w:t>
      </w:r>
      <w:r w:rsidRPr="00301368">
        <w:t xml:space="preserve"> diagnostic specificity, </w:t>
      </w:r>
      <w:r w:rsidRPr="00371F5F">
        <w:rPr>
          <w:rStyle w:val="Strong"/>
        </w:rPr>
        <w:t>PI</w:t>
      </w:r>
      <w:r w:rsidRPr="00301368">
        <w:t xml:space="preserve"> probability interval, </w:t>
      </w:r>
      <w:r w:rsidRPr="00371F5F">
        <w:rPr>
          <w:rStyle w:val="Strong"/>
        </w:rPr>
        <w:t>n</w:t>
      </w:r>
      <w:r w:rsidRPr="00216C97">
        <w:t xml:space="preserve"> number of samples used</w:t>
      </w:r>
    </w:p>
    <w:p w14:paraId="174372E9" w14:textId="5468B7B5" w:rsidR="00AE356F" w:rsidRPr="007B4170" w:rsidRDefault="00AE356F" w:rsidP="00643A21">
      <w:pPr>
        <w:pStyle w:val="Heading2"/>
      </w:pPr>
      <w:bookmarkStart w:id="66" w:name="_Toc141701944"/>
      <w:r w:rsidRPr="007B4170">
        <w:lastRenderedPageBreak/>
        <w:t xml:space="preserve">Corroborative </w:t>
      </w:r>
      <w:r w:rsidRPr="00643A21">
        <w:t>diagnostic</w:t>
      </w:r>
      <w:r w:rsidRPr="007B4170">
        <w:t xml:space="preserve"> criteria</w:t>
      </w:r>
      <w:bookmarkEnd w:id="64"/>
      <w:bookmarkEnd w:id="65"/>
      <w:bookmarkEnd w:id="66"/>
    </w:p>
    <w:p w14:paraId="610C99E0" w14:textId="546AD6C0" w:rsidR="00643A21" w:rsidRPr="00216C97" w:rsidRDefault="00643A21" w:rsidP="00643A21">
      <w:pPr>
        <w:spacing w:after="0"/>
      </w:pPr>
      <w:bookmarkStart w:id="67" w:name="_Toc87004670"/>
      <w:bookmarkStart w:id="68" w:name="_Ref445985062"/>
      <w:bookmarkStart w:id="69" w:name="_Toc409769199"/>
      <w:r w:rsidRPr="002C723D">
        <w:t xml:space="preserve">The following case definitions for a suspect and confirmed case have been developed to support decision making. Confirmation of a suspect case in an area previously considered free from WSSV will be considered by the Aquatic Consultative Committee for Emergency Animal Diseases and will include consideration of laboratory test results and other </w:t>
      </w:r>
      <w:r>
        <w:t>relevant</w:t>
      </w:r>
      <w:r w:rsidRPr="002C723D">
        <w:t xml:space="preserve"> information related to the event. </w:t>
      </w:r>
      <w:r w:rsidRPr="00890134">
        <w:t xml:space="preserve">For a summary of aquatic disease preparedness and response planning documents please refer to </w:t>
      </w:r>
      <w:r>
        <w:fldChar w:fldCharType="begin"/>
      </w:r>
      <w:r>
        <w:instrText xml:space="preserve"> REF _Ref115781940 \h </w:instrText>
      </w:r>
      <w:r>
        <w:fldChar w:fldCharType="separate"/>
      </w:r>
      <w:r w:rsidR="00D12BC0">
        <w:t xml:space="preserve">Table </w:t>
      </w:r>
      <w:r w:rsidR="00D12BC0">
        <w:rPr>
          <w:noProof/>
        </w:rPr>
        <w:t>1</w:t>
      </w:r>
      <w:r>
        <w:fldChar w:fldCharType="end"/>
      </w:r>
      <w:r w:rsidRPr="00890134">
        <w:t>.</w:t>
      </w:r>
    </w:p>
    <w:p w14:paraId="77AA1F56" w14:textId="20E8A2DE" w:rsidR="00AE356F" w:rsidRPr="007B4170" w:rsidRDefault="00AE356F" w:rsidP="00AE356F">
      <w:pPr>
        <w:pStyle w:val="Heading3"/>
      </w:pPr>
      <w:bookmarkStart w:id="70" w:name="_Toc141701945"/>
      <w:r w:rsidRPr="007B4170">
        <w:t>Case definition</w:t>
      </w:r>
      <w:bookmarkEnd w:id="67"/>
      <w:bookmarkEnd w:id="70"/>
    </w:p>
    <w:p w14:paraId="54811DD4" w14:textId="71120185" w:rsidR="00AE356F" w:rsidRPr="007B4170" w:rsidRDefault="00AE356F" w:rsidP="00AE356F">
      <w:pPr>
        <w:pStyle w:val="Heading4"/>
      </w:pPr>
      <w:r w:rsidRPr="007B4170">
        <w:t xml:space="preserve">Suspect </w:t>
      </w:r>
      <w:r w:rsidR="00643A21">
        <w:t>c</w:t>
      </w:r>
      <w:r w:rsidRPr="007B4170">
        <w:t>ase</w:t>
      </w:r>
    </w:p>
    <w:p w14:paraId="786223F5" w14:textId="77777777" w:rsidR="00AE356F" w:rsidRPr="0052129F" w:rsidRDefault="00AE356F" w:rsidP="00AE356F">
      <w:pPr>
        <w:rPr>
          <w:rFonts w:eastAsia="Cambria"/>
          <w:sz w:val="18"/>
          <w:szCs w:val="18"/>
          <w:lang w:eastAsia="en-AU"/>
        </w:rPr>
      </w:pPr>
      <w:r w:rsidRPr="0052129F">
        <w:t>Infection with WSSV is suspected if at least one of the following criteria is met:</w:t>
      </w:r>
    </w:p>
    <w:p w14:paraId="6911F04E" w14:textId="77777777" w:rsidR="00643A21" w:rsidRPr="00643A21" w:rsidRDefault="00643A21" w:rsidP="00643A21">
      <w:pPr>
        <w:pStyle w:val="ListBullet"/>
      </w:pPr>
      <w:r w:rsidRPr="00643A21">
        <w:t>Clinical signs consistent with infection with WSSV.</w:t>
      </w:r>
    </w:p>
    <w:p w14:paraId="703CD6A5" w14:textId="77777777" w:rsidR="00643A21" w:rsidRPr="00643A21" w:rsidRDefault="00643A21" w:rsidP="00643A21">
      <w:pPr>
        <w:pStyle w:val="ListBullet"/>
      </w:pPr>
      <w:r w:rsidRPr="00643A21">
        <w:t>Histopathology consistent with infection with WSSV.</w:t>
      </w:r>
    </w:p>
    <w:p w14:paraId="690370E0" w14:textId="77777777" w:rsidR="00643A21" w:rsidRPr="00643A21" w:rsidRDefault="00643A21" w:rsidP="00643A21">
      <w:pPr>
        <w:pStyle w:val="ListBullet"/>
      </w:pPr>
      <w:r w:rsidRPr="00643A21">
        <w:t>Positive conventional PCR result.</w:t>
      </w:r>
    </w:p>
    <w:p w14:paraId="440E21CF" w14:textId="77777777" w:rsidR="00643A21" w:rsidRPr="00643A21" w:rsidRDefault="00643A21" w:rsidP="00643A21">
      <w:pPr>
        <w:pStyle w:val="ListBullet"/>
      </w:pPr>
      <w:r w:rsidRPr="00643A21">
        <w:t>Positive qPCR result.</w:t>
      </w:r>
    </w:p>
    <w:p w14:paraId="6D33D345" w14:textId="77777777" w:rsidR="00643A21" w:rsidRPr="00643A21" w:rsidRDefault="00643A21" w:rsidP="00643A21">
      <w:pPr>
        <w:pStyle w:val="ListBullet"/>
      </w:pPr>
      <w:r w:rsidRPr="00643A21">
        <w:t>Positive result by bioassay.</w:t>
      </w:r>
    </w:p>
    <w:p w14:paraId="783CEC6F" w14:textId="77777777" w:rsidR="00643A21" w:rsidRPr="00643A21" w:rsidRDefault="00643A21" w:rsidP="00643A21">
      <w:pPr>
        <w:pStyle w:val="ListBullet"/>
      </w:pPr>
      <w:r w:rsidRPr="00643A21">
        <w:t>Positive result by a lateral flow assay.</w:t>
      </w:r>
    </w:p>
    <w:p w14:paraId="54474D98" w14:textId="155C7E23" w:rsidR="00643A21" w:rsidRDefault="00643A21" w:rsidP="00643A21">
      <w:r w:rsidRPr="00216C97">
        <w:t>Suspect detection of WSSV in farmed or wild crustacean populations previously considered free from infection will initiate the alert phase of an emergency response. Further testing and the collection of additional samples (as necessary) should be expedited to confirm or exclude the criteria of a confirmed case (</w:t>
      </w:r>
      <w:r w:rsidR="002F13B4">
        <w:t>see Section 3.1.2).</w:t>
      </w:r>
    </w:p>
    <w:p w14:paraId="1D27EBB3" w14:textId="3FB39373" w:rsidR="00643A21" w:rsidRPr="00216C97" w:rsidRDefault="00643A21" w:rsidP="00643A21">
      <w:pPr>
        <w:pStyle w:val="Heading4"/>
      </w:pPr>
      <w:r>
        <w:t>Confirmed case</w:t>
      </w:r>
    </w:p>
    <w:p w14:paraId="66AAB099" w14:textId="77777777" w:rsidR="00643A21" w:rsidRPr="00216C97" w:rsidRDefault="00643A21" w:rsidP="00643A21">
      <w:pPr>
        <w:autoSpaceDE w:val="0"/>
        <w:autoSpaceDN w:val="0"/>
        <w:adjustRightInd w:val="0"/>
        <w:spacing w:after="0"/>
        <w:rPr>
          <w:iCs/>
        </w:rPr>
      </w:pPr>
      <w:bookmarkStart w:id="71" w:name="_Toc87004671"/>
      <w:r w:rsidRPr="00216C97">
        <w:rPr>
          <w:iCs/>
        </w:rPr>
        <w:t>Infection with WSSV is considered to be confirmed if one or more of the following criteria are met:</w:t>
      </w:r>
    </w:p>
    <w:p w14:paraId="3D45BB05" w14:textId="1FD8EB51" w:rsidR="00643A21" w:rsidRPr="00643A21" w:rsidRDefault="00643A21" w:rsidP="00643A21">
      <w:pPr>
        <w:pStyle w:val="ListBullet"/>
      </w:pPr>
      <w:r w:rsidRPr="00643A21">
        <w:t>Positive qPCR results and positive conventional PCR results with sequence analysis consistent with WSSV.</w:t>
      </w:r>
    </w:p>
    <w:p w14:paraId="372475B3" w14:textId="04DEB8C2" w:rsidR="00643A21" w:rsidRPr="00643A21" w:rsidRDefault="00643A21" w:rsidP="00643A21">
      <w:pPr>
        <w:pStyle w:val="ListBullet"/>
      </w:pPr>
      <w:r w:rsidRPr="00643A21">
        <w:t xml:space="preserve">Positive results by real-time PCR and </w:t>
      </w:r>
      <w:r w:rsidRPr="00643A21">
        <w:rPr>
          <w:rStyle w:val="normaltextrun"/>
        </w:rPr>
        <w:t xml:space="preserve">positive results </w:t>
      </w:r>
      <w:r w:rsidRPr="00643A21">
        <w:t>by in-situ hybridisation.</w:t>
      </w:r>
    </w:p>
    <w:p w14:paraId="0CC4276D" w14:textId="2F96E264" w:rsidR="00643A21" w:rsidRPr="00643A21" w:rsidRDefault="00643A21" w:rsidP="00643A21">
      <w:pPr>
        <w:pStyle w:val="ListBullet"/>
      </w:pPr>
      <w:r w:rsidRPr="00643A21">
        <w:rPr>
          <w:rStyle w:val="normaltextrun"/>
        </w:rPr>
        <w:t>Positive results by in-situ hybridisation and positive results by conventional PCR with sequence analysis consistent with WSSV.</w:t>
      </w:r>
    </w:p>
    <w:p w14:paraId="7932F9A5" w14:textId="70AFB99B" w:rsidR="00643A21" w:rsidRDefault="00643A21" w:rsidP="00643A21">
      <w:r w:rsidRPr="002C723D">
        <w:t>Results must be carefully assessed to ensure that they are unlikely to be the result of contamination (e.g. detection of non-viable WSSV DNA in feed).</w:t>
      </w:r>
    </w:p>
    <w:p w14:paraId="0FFD99C2" w14:textId="577B2A5E" w:rsidR="00B42877" w:rsidRPr="002C723D" w:rsidRDefault="00B42877" w:rsidP="00B42877">
      <w:r w:rsidRPr="002C723D">
        <w:t>Confirmation of a suspected case of WSSV infection based on a preliminary molecular diagnostic method (e.g. real-time PCR), requires sequence analysis of amplicons generated by conventional PCR. Results should correlate with the pathology of the animal when diseased animals are being examined. Sub-clinical infection may occur when an animal does not show pathological signs of WSD but gives a positive result by PCR.</w:t>
      </w:r>
    </w:p>
    <w:p w14:paraId="207051C4" w14:textId="406F66D4" w:rsidR="00B42877" w:rsidRPr="00B42877" w:rsidRDefault="00B42877" w:rsidP="00643A21">
      <w:pPr>
        <w:rPr>
          <w:iCs/>
        </w:rPr>
      </w:pPr>
      <w:r w:rsidRPr="002C723D">
        <w:rPr>
          <w:iCs/>
        </w:rPr>
        <w:t xml:space="preserve">qPCR detections in animals with low intensity infections (e.g. in wild populations) may not be able to be confirmed by conventional PCR and sequencing due to insufficient target nucleic acid. In these situations, </w:t>
      </w:r>
      <w:r>
        <w:rPr>
          <w:iCs/>
        </w:rPr>
        <w:t xml:space="preserve">attempts to meet the criteria of a confirmed case should be made by additional sampling </w:t>
      </w:r>
      <w:r>
        <w:rPr>
          <w:iCs/>
        </w:rPr>
        <w:lastRenderedPageBreak/>
        <w:t>of the suspect population. If repeat sampling fails to provide sufficient material</w:t>
      </w:r>
      <w:r w:rsidR="00732EC9">
        <w:rPr>
          <w:iCs/>
        </w:rPr>
        <w:t>,</w:t>
      </w:r>
      <w:r>
        <w:rPr>
          <w:iCs/>
        </w:rPr>
        <w:t xml:space="preserve"> an additional </w:t>
      </w:r>
      <w:r w:rsidRPr="002C723D">
        <w:rPr>
          <w:iCs/>
        </w:rPr>
        <w:t xml:space="preserve">qPCR method can be used </w:t>
      </w:r>
      <w:r>
        <w:rPr>
          <w:iCs/>
        </w:rPr>
        <w:t>to</w:t>
      </w:r>
      <w:r w:rsidRPr="002C723D">
        <w:rPr>
          <w:iCs/>
        </w:rPr>
        <w:t xml:space="preserve"> confirm</w:t>
      </w:r>
      <w:r>
        <w:rPr>
          <w:iCs/>
        </w:rPr>
        <w:t xml:space="preserve"> the case</w:t>
      </w:r>
      <w:r w:rsidR="00732EC9">
        <w:rPr>
          <w:iCs/>
        </w:rPr>
        <w:t>,</w:t>
      </w:r>
      <w:r w:rsidRPr="002C723D">
        <w:rPr>
          <w:iCs/>
        </w:rPr>
        <w:t xml:space="preserve"> but multiple animals</w:t>
      </w:r>
      <w:r w:rsidRPr="00205676">
        <w:rPr>
          <w:iCs/>
        </w:rPr>
        <w:t xml:space="preserve"> </w:t>
      </w:r>
      <w:r w:rsidRPr="004379AF">
        <w:rPr>
          <w:iCs/>
        </w:rPr>
        <w:t>must test positive</w:t>
      </w:r>
      <w:r>
        <w:rPr>
          <w:iCs/>
        </w:rPr>
        <w:t xml:space="preserve"> on both assays</w:t>
      </w:r>
      <w:r w:rsidRPr="002C723D">
        <w:rPr>
          <w:iCs/>
        </w:rPr>
        <w:t>.</w:t>
      </w:r>
    </w:p>
    <w:p w14:paraId="27D4CD92" w14:textId="77777777" w:rsidR="00371F5F" w:rsidRPr="007B4170" w:rsidRDefault="00371F5F" w:rsidP="00371F5F">
      <w:pPr>
        <w:pStyle w:val="Heading2"/>
      </w:pPr>
      <w:bookmarkStart w:id="72" w:name="_Appendix_A:_Reagents"/>
      <w:bookmarkStart w:id="73" w:name="_Toc87004672"/>
      <w:bookmarkStart w:id="74" w:name="_Toc141701946"/>
      <w:bookmarkEnd w:id="72"/>
      <w:r w:rsidRPr="007B4170">
        <w:lastRenderedPageBreak/>
        <w:t>Appendix A: Reagents and kits</w:t>
      </w:r>
      <w:bookmarkEnd w:id="73"/>
      <w:bookmarkEnd w:id="74"/>
    </w:p>
    <w:p w14:paraId="29DF2305" w14:textId="693E1304" w:rsidR="00371F5F" w:rsidRDefault="00371F5F" w:rsidP="00371F5F">
      <w:pPr>
        <w:pStyle w:val="Caption"/>
      </w:pPr>
      <w:bookmarkStart w:id="75" w:name="_Ref115784861"/>
      <w:r>
        <w:t xml:space="preserve">Appendix </w:t>
      </w:r>
      <w:fldSimple w:instr=" SEQ Appendix \* ARABIC ">
        <w:r w:rsidR="00D12BC0">
          <w:rPr>
            <w:noProof/>
          </w:rPr>
          <w:t>1</w:t>
        </w:r>
      </w:fldSimple>
      <w:bookmarkEnd w:id="75"/>
      <w:r w:rsidRPr="007B4170">
        <w:t xml:space="preserve"> </w:t>
      </w:r>
      <w:r w:rsidRPr="00216C97">
        <w:t>Ingredients for Davidson’s fixative solution</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4678"/>
        <w:gridCol w:w="4382"/>
      </w:tblGrid>
      <w:tr w:rsidR="00371F5F" w:rsidRPr="00216C97" w14:paraId="7071895F" w14:textId="77777777" w:rsidTr="00361B77">
        <w:trPr>
          <w:cantSplit/>
          <w:tblHeader/>
        </w:trPr>
        <w:tc>
          <w:tcPr>
            <w:tcW w:w="4678" w:type="dxa"/>
          </w:tcPr>
          <w:p w14:paraId="704F4D81" w14:textId="77777777" w:rsidR="00371F5F" w:rsidRPr="00216C97" w:rsidRDefault="00371F5F" w:rsidP="00361B77">
            <w:pPr>
              <w:pStyle w:val="TableHeading"/>
            </w:pPr>
            <w:r w:rsidRPr="00216C97">
              <w:t>Ingredient</w:t>
            </w:r>
          </w:p>
        </w:tc>
        <w:tc>
          <w:tcPr>
            <w:tcW w:w="4382" w:type="dxa"/>
          </w:tcPr>
          <w:p w14:paraId="2D5D5423" w14:textId="77777777" w:rsidR="00371F5F" w:rsidRPr="00216C97" w:rsidRDefault="00371F5F" w:rsidP="00361B77">
            <w:pPr>
              <w:pStyle w:val="TableHeading"/>
            </w:pPr>
            <w:r w:rsidRPr="00216C97">
              <w:t>Amount</w:t>
            </w:r>
          </w:p>
        </w:tc>
      </w:tr>
      <w:tr w:rsidR="00371F5F" w:rsidRPr="00216C97" w14:paraId="2F73C635" w14:textId="77777777" w:rsidTr="00361B77">
        <w:tc>
          <w:tcPr>
            <w:tcW w:w="4678" w:type="dxa"/>
          </w:tcPr>
          <w:p w14:paraId="4EAFE65D" w14:textId="77777777" w:rsidR="00371F5F" w:rsidRPr="00216C97" w:rsidRDefault="00371F5F" w:rsidP="00361B77">
            <w:pPr>
              <w:pStyle w:val="TableText"/>
            </w:pPr>
            <w:r w:rsidRPr="00216C97">
              <w:t>40% formaldehyde</w:t>
            </w:r>
          </w:p>
        </w:tc>
        <w:tc>
          <w:tcPr>
            <w:tcW w:w="4382" w:type="dxa"/>
          </w:tcPr>
          <w:p w14:paraId="4D256A81" w14:textId="77777777" w:rsidR="00371F5F" w:rsidRPr="00216C97" w:rsidRDefault="00371F5F" w:rsidP="00361B77">
            <w:pPr>
              <w:pStyle w:val="TableText"/>
            </w:pPr>
            <w:r w:rsidRPr="00216C97">
              <w:t>220 mL</w:t>
            </w:r>
          </w:p>
        </w:tc>
      </w:tr>
      <w:tr w:rsidR="00371F5F" w:rsidRPr="00216C97" w14:paraId="6C66394F" w14:textId="77777777" w:rsidTr="00361B77">
        <w:tc>
          <w:tcPr>
            <w:tcW w:w="4678" w:type="dxa"/>
          </w:tcPr>
          <w:p w14:paraId="0787B5F3" w14:textId="77777777" w:rsidR="00371F5F" w:rsidRPr="00216C97" w:rsidRDefault="00371F5F" w:rsidP="00361B77">
            <w:pPr>
              <w:pStyle w:val="TableText"/>
            </w:pPr>
            <w:r w:rsidRPr="00216C97">
              <w:t>95% ethanol</w:t>
            </w:r>
          </w:p>
        </w:tc>
        <w:tc>
          <w:tcPr>
            <w:tcW w:w="4382" w:type="dxa"/>
          </w:tcPr>
          <w:p w14:paraId="7C5BE4D2" w14:textId="77777777" w:rsidR="00371F5F" w:rsidRPr="00216C97" w:rsidRDefault="00371F5F" w:rsidP="00361B77">
            <w:pPr>
              <w:pStyle w:val="TableText"/>
            </w:pPr>
            <w:r w:rsidRPr="00216C97">
              <w:t>330 mL</w:t>
            </w:r>
          </w:p>
        </w:tc>
      </w:tr>
      <w:tr w:rsidR="00371F5F" w:rsidRPr="00216C97" w14:paraId="75C23FE9" w14:textId="77777777" w:rsidTr="00361B77">
        <w:tc>
          <w:tcPr>
            <w:tcW w:w="4678" w:type="dxa"/>
          </w:tcPr>
          <w:p w14:paraId="28B170A1" w14:textId="77777777" w:rsidR="00371F5F" w:rsidRPr="00216C97" w:rsidRDefault="00371F5F" w:rsidP="00361B77">
            <w:pPr>
              <w:pStyle w:val="TableText"/>
            </w:pPr>
            <w:r w:rsidRPr="00216C97">
              <w:t>glacial acetic acid</w:t>
            </w:r>
          </w:p>
        </w:tc>
        <w:tc>
          <w:tcPr>
            <w:tcW w:w="4382" w:type="dxa"/>
          </w:tcPr>
          <w:p w14:paraId="3A3A9DBD" w14:textId="77777777" w:rsidR="00371F5F" w:rsidRPr="00216C97" w:rsidRDefault="00371F5F" w:rsidP="00361B77">
            <w:pPr>
              <w:pStyle w:val="TableText"/>
            </w:pPr>
            <w:r w:rsidRPr="00216C97">
              <w:t>115 mL</w:t>
            </w:r>
          </w:p>
        </w:tc>
      </w:tr>
      <w:tr w:rsidR="00371F5F" w:rsidRPr="00216C97" w14:paraId="3FB6B328" w14:textId="77777777" w:rsidTr="00361B77">
        <w:tc>
          <w:tcPr>
            <w:tcW w:w="4678" w:type="dxa"/>
          </w:tcPr>
          <w:p w14:paraId="381ACF32" w14:textId="77777777" w:rsidR="00371F5F" w:rsidRPr="00216C97" w:rsidRDefault="00371F5F" w:rsidP="00361B77">
            <w:pPr>
              <w:pStyle w:val="TableText"/>
            </w:pPr>
            <w:r w:rsidRPr="00216C97">
              <w:t>distilled water</w:t>
            </w:r>
          </w:p>
        </w:tc>
        <w:tc>
          <w:tcPr>
            <w:tcW w:w="4382" w:type="dxa"/>
          </w:tcPr>
          <w:p w14:paraId="778B8D3F" w14:textId="77777777" w:rsidR="00371F5F" w:rsidRPr="00216C97" w:rsidRDefault="00371F5F" w:rsidP="00361B77">
            <w:pPr>
              <w:pStyle w:val="TableText"/>
            </w:pPr>
            <w:r w:rsidRPr="00216C97">
              <w:t>335 mL</w:t>
            </w:r>
          </w:p>
        </w:tc>
      </w:tr>
    </w:tbl>
    <w:p w14:paraId="0EB50BAE" w14:textId="77777777" w:rsidR="00AE356F" w:rsidRPr="007B4170" w:rsidRDefault="00AE356F" w:rsidP="00B42877">
      <w:pPr>
        <w:pStyle w:val="Heading2"/>
        <w:numPr>
          <w:ilvl w:val="0"/>
          <w:numId w:val="0"/>
        </w:numPr>
        <w:ind w:left="720" w:hanging="720"/>
      </w:pPr>
      <w:bookmarkStart w:id="76" w:name="_Toc141701947"/>
      <w:r w:rsidRPr="007B4170">
        <w:lastRenderedPageBreak/>
        <w:t>References</w:t>
      </w:r>
      <w:bookmarkEnd w:id="71"/>
      <w:bookmarkEnd w:id="76"/>
    </w:p>
    <w:p w14:paraId="2510B529" w14:textId="77777777" w:rsidR="00AE356F" w:rsidRPr="00216C97" w:rsidRDefault="00AE356F" w:rsidP="00AE356F">
      <w:pPr>
        <w:rPr>
          <w:lang w:eastAsia="ja-JP"/>
        </w:rPr>
      </w:pPr>
      <w:r w:rsidRPr="00216C97">
        <w:rPr>
          <w:lang w:eastAsia="ja-JP"/>
        </w:rPr>
        <w:t>Anil, TM, Shankar, KM &amp; Mohan, CV 2002, ‘Monoclonal antibodies developed for sensitive detection and comparison of white spot syndrome virus isolates in India’, Diseases of Aquatic Organisms, vol. 51, no. 1, pp. 67-75.</w:t>
      </w:r>
    </w:p>
    <w:p w14:paraId="0D02B8B2" w14:textId="77777777" w:rsidR="00AE356F" w:rsidRPr="00216C97" w:rsidRDefault="00AE356F" w:rsidP="00AE356F">
      <w:pPr>
        <w:rPr>
          <w:lang w:eastAsia="ja-JP"/>
        </w:rPr>
      </w:pPr>
      <w:r w:rsidRPr="00216C97">
        <w:rPr>
          <w:lang w:eastAsia="ja-JP"/>
        </w:rPr>
        <w:t>Balasubramanian, G, Sarathi, M, Venkatesan, C, Thomas, J &amp; Sahul Hameed, AS 2008, ‘Oral administration of antiviral plant extract of Cynodon dactylon on a large scale production against white spot syndrome virus (WSSV) in Penaeus monodon’, Aquaculture, vol. 279, no. 1, pp. 2-5.</w:t>
      </w:r>
    </w:p>
    <w:p w14:paraId="3C742D20" w14:textId="77777777" w:rsidR="00AE356F" w:rsidRPr="00216C97" w:rsidRDefault="00AE356F" w:rsidP="00AE356F">
      <w:pPr>
        <w:rPr>
          <w:lang w:eastAsia="ja-JP"/>
        </w:rPr>
      </w:pPr>
      <w:r w:rsidRPr="00216C97">
        <w:rPr>
          <w:lang w:eastAsia="ja-JP"/>
        </w:rPr>
        <w:t>Bateman, KS 2014, ‘Susceptibility of European crustaceans to White spot syndrome virus (WSSV), a non-exotic, EC Directive-listed pathogen’, PhD thesis, University of Southampton, Ocean and Earth Science.</w:t>
      </w:r>
    </w:p>
    <w:p w14:paraId="4FF401C3" w14:textId="77777777" w:rsidR="00AE356F" w:rsidRPr="00216C97" w:rsidRDefault="00AE356F" w:rsidP="00AE356F">
      <w:pPr>
        <w:rPr>
          <w:lang w:eastAsia="ja-JP"/>
        </w:rPr>
      </w:pPr>
      <w:r w:rsidRPr="00216C97">
        <w:rPr>
          <w:lang w:eastAsia="ja-JP"/>
        </w:rPr>
        <w:t>Chang, PS, Lo, CF, Wang, YC &amp; Kou, CH 1996, ‘Identification of white spot syndrome associated baculovirus (WSBV) target organs in the shrimp Penaeus monodon by in situ hybridization’, Diseases of Aquatic Organisms, vol. 27, no. 2, pp. 131-9.</w:t>
      </w:r>
    </w:p>
    <w:p w14:paraId="5EF46736" w14:textId="77777777" w:rsidR="00AE356F" w:rsidRPr="00216C97" w:rsidRDefault="00AE356F" w:rsidP="00AE356F">
      <w:pPr>
        <w:rPr>
          <w:lang w:eastAsia="ja-JP"/>
        </w:rPr>
      </w:pPr>
      <w:r w:rsidRPr="00216C97">
        <w:rPr>
          <w:lang w:eastAsia="ja-JP"/>
        </w:rPr>
        <w:t>Chaivisuthangkura P, Longyant S, Rukpratanporn S, Srisuk C, Sridulyakul P &amp; Sithigorngul P, 2010 ‘Enhanced white spot syndrome virus (WSSV) detection sensitivity using monoclonal antibody specific to heterologously expressed VP19 envelope protein’. Aquaculture, vol 299, pp. 15– 20.</w:t>
      </w:r>
    </w:p>
    <w:p w14:paraId="6128667F" w14:textId="77777777" w:rsidR="00AE356F" w:rsidRPr="00216C97" w:rsidRDefault="00AE356F" w:rsidP="00AE356F">
      <w:pPr>
        <w:rPr>
          <w:lang w:eastAsia="ja-JP"/>
        </w:rPr>
      </w:pPr>
      <w:r w:rsidRPr="00216C97">
        <w:rPr>
          <w:lang w:eastAsia="ja-JP"/>
        </w:rPr>
        <w:t>Chou, HY, Huang, CY, Wang, CH, Chiang, HC &amp; Lo, CF 1995, ‘Pathogenicity of a baculovirus infection causing white spot syndrome in cultured penaeid shrimp in Taiwan’, Diseases of Aquatic Organisms, vol. 23, no. 3, pp. 165-73.</w:t>
      </w:r>
    </w:p>
    <w:p w14:paraId="65F0F4D8" w14:textId="77777777" w:rsidR="00AE356F" w:rsidRPr="00216C97" w:rsidRDefault="00AE356F" w:rsidP="00AE356F">
      <w:pPr>
        <w:rPr>
          <w:lang w:eastAsia="ja-JP"/>
        </w:rPr>
      </w:pPr>
      <w:r w:rsidRPr="00216C97">
        <w:rPr>
          <w:lang w:eastAsia="ja-JP"/>
        </w:rPr>
        <w:t>Claydon, K, Cullen, B, Owens, L, 2004, OIE white spot syndrome virus PCR gives false positive results in Cherax quadricarinatus, Diseases of Aquatic Organisms, vol. 62, pp. 265-268.</w:t>
      </w:r>
    </w:p>
    <w:p w14:paraId="67EDF315" w14:textId="77777777" w:rsidR="00AE356F" w:rsidRPr="00216C97" w:rsidRDefault="00AE356F" w:rsidP="00AE356F">
      <w:pPr>
        <w:rPr>
          <w:lang w:eastAsia="ja-JP"/>
        </w:rPr>
      </w:pPr>
      <w:r w:rsidRPr="00216C97">
        <w:t>Cowley JA, Rao, M, Coman, GJ 2018, Real-time PCR tests to specifically detect IHHNV lineages and an IHHNV EVE integrated in the genome of Penaeus monodon, Diseases of Aquatic Organisms pp. 129, 145-158.</w:t>
      </w:r>
    </w:p>
    <w:p w14:paraId="2E936D0F" w14:textId="77777777" w:rsidR="00AE356F" w:rsidRPr="00216C97" w:rsidRDefault="00AE356F" w:rsidP="00AE356F">
      <w:pPr>
        <w:rPr>
          <w:lang w:eastAsia="ja-JP"/>
        </w:rPr>
      </w:pPr>
      <w:r w:rsidRPr="00216C97">
        <w:rPr>
          <w:lang w:eastAsia="ja-JP"/>
        </w:rPr>
        <w:t>Department of Agriculture and Water Resources, 2017, Procedure for detection of white spot syndrome virus for biosecurity risk management, Canberra, Australia, pp. 1-13.</w:t>
      </w:r>
    </w:p>
    <w:p w14:paraId="68CB98A9" w14:textId="77777777" w:rsidR="00AE356F" w:rsidRPr="00216C97" w:rsidRDefault="00AE356F" w:rsidP="00AE356F">
      <w:pPr>
        <w:rPr>
          <w:lang w:eastAsia="ja-JP"/>
        </w:rPr>
      </w:pPr>
      <w:r w:rsidRPr="00216C97">
        <w:rPr>
          <w:lang w:eastAsia="ja-JP"/>
        </w:rPr>
        <w:t>DAWE, 2020, Aquatic Animal Diseases Significant to Australia: Identification Field Guide 5th Edition, Department of Agriculture, Water and the Environment, Canberra, Australia. [https://www.awe.gov.au/agriculture-land/animal/aquatic/guidelines-and-resources/aquatic_animal_diseases_significant_to_australia_identification_field_guide]</w:t>
      </w:r>
    </w:p>
    <w:p w14:paraId="65AC7EC8" w14:textId="77777777" w:rsidR="00AE356F" w:rsidRPr="00216C97" w:rsidRDefault="00AE356F" w:rsidP="00AE356F">
      <w:pPr>
        <w:rPr>
          <w:lang w:eastAsia="ja-JP"/>
        </w:rPr>
      </w:pPr>
      <w:r w:rsidRPr="00216C97">
        <w:rPr>
          <w:lang w:eastAsia="ja-JP"/>
        </w:rPr>
        <w:t xml:space="preserve">Desrina, Verreth, JAJ, Prayitno, SB, Rombout, JHWM, Vlak, JM &amp; Verdegem, MCJ 2013, ‘Replication of white spot syndrome virus (WSSV) in the polychaete </w:t>
      </w:r>
      <w:r w:rsidRPr="00216C97">
        <w:rPr>
          <w:i/>
          <w:iCs/>
          <w:lang w:eastAsia="ja-JP"/>
        </w:rPr>
        <w:t>Dendronereis</w:t>
      </w:r>
      <w:r w:rsidRPr="00216C97">
        <w:rPr>
          <w:lang w:eastAsia="ja-JP"/>
        </w:rPr>
        <w:t xml:space="preserve"> spp’, Journal of Invertebrate Pathology, vol. 114, no. 1, pp. 7-10.</w:t>
      </w:r>
    </w:p>
    <w:p w14:paraId="2588B45F" w14:textId="77777777" w:rsidR="00AE356F" w:rsidRPr="00216C97" w:rsidRDefault="00AE356F" w:rsidP="00AE356F">
      <w:pPr>
        <w:rPr>
          <w:lang w:eastAsia="ja-JP"/>
        </w:rPr>
      </w:pPr>
      <w:r w:rsidRPr="00216C97">
        <w:rPr>
          <w:lang w:eastAsia="ja-JP"/>
        </w:rPr>
        <w:t>Di Leonardo, VA, Bonnichon, V, Roch, P, Parrinello, N &amp; Bonami, J 2005, ‘Comparative WSSV infection routes in the shrimp genera Marsupenaeus and Palaemon’, Journal of Fish Diseases, vol. 28, pp. 565-9.</w:t>
      </w:r>
    </w:p>
    <w:p w14:paraId="087C61B4" w14:textId="77777777" w:rsidR="00AE356F" w:rsidRPr="00216C97" w:rsidRDefault="00AE356F" w:rsidP="00AE356F">
      <w:pPr>
        <w:rPr>
          <w:lang w:eastAsia="ja-JP"/>
        </w:rPr>
      </w:pPr>
      <w:r w:rsidRPr="00216C97">
        <w:rPr>
          <w:lang w:eastAsia="ja-JP"/>
        </w:rPr>
        <w:t>Durand, S, Lightner, DV, Nunan, LM, Redman, RM, Mari, J &amp; Bonami, JR 1996, ‘Application of gene probes as diagnostic tools for white spot baculovirus (WSBV) of penaeid shrimp’, Diseases of Aquatic Organisms, vol. 27, no. 1, pp. 56-66.</w:t>
      </w:r>
    </w:p>
    <w:p w14:paraId="26BCEAEB" w14:textId="77777777" w:rsidR="00AE356F" w:rsidRPr="00216C97" w:rsidRDefault="00AE356F" w:rsidP="00AE356F">
      <w:pPr>
        <w:rPr>
          <w:lang w:eastAsia="ja-JP"/>
        </w:rPr>
      </w:pPr>
      <w:r w:rsidRPr="00216C97">
        <w:rPr>
          <w:lang w:eastAsia="ja-JP"/>
        </w:rPr>
        <w:lastRenderedPageBreak/>
        <w:t>Durand, SV &amp; Lightner, DV 2002, ‘Quantitative real time PCR for the measurement of white spot syndrome virus in shrimp’, Journal of Fish Diseases, vol. 25, no. 7, pp. 381-9.</w:t>
      </w:r>
    </w:p>
    <w:p w14:paraId="388CF983" w14:textId="77777777" w:rsidR="00AE356F" w:rsidRPr="00216C97" w:rsidRDefault="00AE356F" w:rsidP="00AE356F">
      <w:pPr>
        <w:rPr>
          <w:lang w:eastAsia="ja-JP"/>
        </w:rPr>
      </w:pPr>
      <w:r w:rsidRPr="00216C97">
        <w:t>East IJ, Black PF, McColl KA, Hodgson RAJ and Bernoth E-M (2004) Survey for the presence of White Spot Syndrome virus in Australian crustaceans. Australian Veterinary Journal 82, 236-239.</w:t>
      </w:r>
    </w:p>
    <w:p w14:paraId="134CDCA7" w14:textId="77777777" w:rsidR="00AE356F" w:rsidRPr="00216C97" w:rsidRDefault="00AE356F" w:rsidP="00AE356F">
      <w:pPr>
        <w:rPr>
          <w:lang w:eastAsia="ja-JP"/>
        </w:rPr>
      </w:pPr>
      <w:r w:rsidRPr="00216C97">
        <w:rPr>
          <w:lang w:eastAsia="ja-JP"/>
        </w:rPr>
        <w:t xml:space="preserve">Edgerton, BF 2004, ‘Susceptibility of the Australian freshwater crayfish </w:t>
      </w:r>
      <w:r w:rsidRPr="00216C97">
        <w:rPr>
          <w:i/>
          <w:iCs/>
          <w:lang w:eastAsia="ja-JP"/>
        </w:rPr>
        <w:t>Cherax destructor albidus</w:t>
      </w:r>
      <w:r w:rsidRPr="00216C97">
        <w:rPr>
          <w:lang w:eastAsia="ja-JP"/>
        </w:rPr>
        <w:t xml:space="preserve"> to white spot syndrome virus (WSSV)’, Diseases of Aquatic Organisms, vol. 59, pp. 187-93.</w:t>
      </w:r>
    </w:p>
    <w:p w14:paraId="06B99FC7" w14:textId="77777777" w:rsidR="00AE356F" w:rsidRPr="00216C97" w:rsidRDefault="00AE356F" w:rsidP="00AE356F">
      <w:pPr>
        <w:rPr>
          <w:lang w:eastAsia="ja-JP"/>
        </w:rPr>
      </w:pPr>
      <w:r w:rsidRPr="00216C97">
        <w:rPr>
          <w:lang w:eastAsia="ja-JP"/>
        </w:rPr>
        <w:t>Escobedo-Bonilla, CM 2016, ‘Emerging infectious diseases affecting farmed shrimp in Mexico’, Austin Journal of Biotechnology and Bioengineering., vol. 3, no. 2, pp. 1062-4.</w:t>
      </w:r>
    </w:p>
    <w:p w14:paraId="1A33561C" w14:textId="77777777" w:rsidR="00AE356F" w:rsidRPr="00216C97" w:rsidRDefault="00AE356F" w:rsidP="00AE356F">
      <w:pPr>
        <w:rPr>
          <w:lang w:eastAsia="ja-JP"/>
        </w:rPr>
      </w:pPr>
      <w:r w:rsidRPr="00216C97">
        <w:rPr>
          <w:lang w:eastAsia="ja-JP"/>
        </w:rPr>
        <w:t>Escobedo-Bonilla, CM, Alday-Sanz, V, Wille, M, Sorgeloos, P, Pensaert, MB &amp; Nauwynck, HJ 2008, ‘A review on the morphology, molecular characterization, morphogenesis and pathogenesis of white spot syndrome virus’, Journal of Fish Diseases, vol. 31, no. 1, pp. 1-18.</w:t>
      </w:r>
    </w:p>
    <w:p w14:paraId="3E7B2838" w14:textId="77777777" w:rsidR="00AE356F" w:rsidRPr="00216C97" w:rsidRDefault="00AE356F" w:rsidP="00AE356F">
      <w:pPr>
        <w:rPr>
          <w:lang w:eastAsia="ja-JP"/>
        </w:rPr>
      </w:pPr>
      <w:r w:rsidRPr="00216C97">
        <w:rPr>
          <w:lang w:eastAsia="ja-JP"/>
        </w:rPr>
        <w:t>Fisheries, DoA 2017, ‘White spot disease’, https://www.daf.qld.gov.au/animal-industries/animal-health-and-diseases/a-z-list/white-spot-disease, Queensland Government</w:t>
      </w:r>
    </w:p>
    <w:p w14:paraId="15C2C117" w14:textId="77777777" w:rsidR="00AE356F" w:rsidRPr="00216C97" w:rsidRDefault="00AE356F" w:rsidP="00AE356F">
      <w:pPr>
        <w:rPr>
          <w:lang w:eastAsia="ja-JP"/>
        </w:rPr>
      </w:pPr>
      <w:r w:rsidRPr="00216C97">
        <w:rPr>
          <w:lang w:eastAsia="ja-JP"/>
        </w:rPr>
        <w:t>Flegel, TW 2006, ‘Detection of major penaeid shrimp viruses in Asia, a historical perspective with emphasis on Thailand’, Aquaculture, vol. 258, no. 1, pp. 1-33.</w:t>
      </w:r>
    </w:p>
    <w:p w14:paraId="6B76538A" w14:textId="77777777" w:rsidR="00AE356F" w:rsidRPr="00216C97" w:rsidRDefault="00AE356F" w:rsidP="00AE356F">
      <w:pPr>
        <w:rPr>
          <w:lang w:eastAsia="ja-JP"/>
        </w:rPr>
      </w:pPr>
      <w:r w:rsidRPr="00216C97">
        <w:rPr>
          <w:lang w:eastAsia="ja-JP"/>
        </w:rPr>
        <w:t>Galaviz-Silva, L, Molina-Garza, ZJ, Alcocer-Gonzalez, JM, Rosales-Encinas, JL &amp; Ibarra-Gamez, C 2004, ‘White spot syndrome virus genetic variants detected in Mexico by a new multiplex PCR method’, Aquaculture, vol. 242, pp. 53-68.</w:t>
      </w:r>
    </w:p>
    <w:p w14:paraId="356FBA36" w14:textId="77777777" w:rsidR="00AE356F" w:rsidRPr="00216C97" w:rsidRDefault="00AE356F" w:rsidP="00AE356F">
      <w:pPr>
        <w:rPr>
          <w:lang w:eastAsia="ja-JP"/>
        </w:rPr>
      </w:pPr>
      <w:r w:rsidRPr="00216C97">
        <w:rPr>
          <w:lang w:eastAsia="ja-JP"/>
        </w:rPr>
        <w:t xml:space="preserve">Haryadi, D, Verreth, JAJ, Verdegem, MCJ &amp; Vlak, JM 2015, ‘Transmission of white spot syndrome virus (WSSV) from </w:t>
      </w:r>
      <w:r w:rsidRPr="00216C97">
        <w:rPr>
          <w:i/>
          <w:iCs/>
          <w:lang w:eastAsia="ja-JP"/>
        </w:rPr>
        <w:t>Dendronereis</w:t>
      </w:r>
      <w:r w:rsidRPr="00216C97">
        <w:rPr>
          <w:lang w:eastAsia="ja-JP"/>
        </w:rPr>
        <w:t xml:space="preserve"> spp. (Peters) (Nereididae) to penaeid shrimp’, Journal of Fish Diseases, vol. 38, no. 5, pp. 419-28.</w:t>
      </w:r>
    </w:p>
    <w:p w14:paraId="1A4784CF" w14:textId="77777777" w:rsidR="00AE356F" w:rsidRPr="00216C97" w:rsidRDefault="00AE356F" w:rsidP="00AE356F">
      <w:pPr>
        <w:rPr>
          <w:lang w:eastAsia="ja-JP"/>
        </w:rPr>
      </w:pPr>
      <w:r w:rsidRPr="00216C97">
        <w:rPr>
          <w:lang w:eastAsia="ja-JP"/>
        </w:rPr>
        <w:t>Hasson, KW, Fan, Y, Reisinger, T, Venuti, J &amp; Varner, PW 2006, ‘White-spot syndrome virus (WSSV) introduction into the Gulf of Mexico and Texas freshwater systems through imported, frozen bait-shrimp’, Diseases of Aquatic Organisms, vol. 71, no. 2, pp. 91-100.</w:t>
      </w:r>
    </w:p>
    <w:p w14:paraId="44BEAED9" w14:textId="77777777" w:rsidR="00AE356F" w:rsidRPr="00216C97" w:rsidRDefault="00AE356F" w:rsidP="00AE356F">
      <w:pPr>
        <w:rPr>
          <w:lang w:eastAsia="ja-JP"/>
        </w:rPr>
      </w:pPr>
      <w:r w:rsidRPr="00216C97">
        <w:rPr>
          <w:lang w:eastAsia="ja-JP"/>
        </w:rPr>
        <w:t>Hossain, A, Nandi, SP, Siddique, MA, Sanyal, SK, Sultana, M &amp; Hossain, MA 2015, ‘Prevalence and distribution of white spot syndrome virus in cultured shrimp’, Applied Microbiology, vol. 60, no. 2, pp. 128-34.</w:t>
      </w:r>
    </w:p>
    <w:p w14:paraId="624696C4" w14:textId="77777777" w:rsidR="00AE356F" w:rsidRPr="00216C97" w:rsidRDefault="00AE356F" w:rsidP="00AE356F">
      <w:pPr>
        <w:rPr>
          <w:lang w:eastAsia="ja-JP"/>
        </w:rPr>
      </w:pPr>
      <w:r w:rsidRPr="00216C97">
        <w:rPr>
          <w:lang w:eastAsia="ja-JP"/>
        </w:rPr>
        <w:t>Hsu, H, Lo, CF, Lin, SC, Liu, KF, Peng, SE, Chang, YS, Chen, LL, Liu, WJ &amp; Kou, GH 1999, ‘Studies on effective PCR screening strategies for white spot syndrome virus (WSSV) detection in Penaeus monodon brooders’, Diseases of Aquatic Organisms, vol. 39, no. 1, pp. 13-9.</w:t>
      </w:r>
    </w:p>
    <w:p w14:paraId="4912D889" w14:textId="77777777" w:rsidR="00AE356F" w:rsidRPr="00216C97" w:rsidRDefault="00AE356F" w:rsidP="00AE356F">
      <w:pPr>
        <w:rPr>
          <w:lang w:eastAsia="ja-JP"/>
        </w:rPr>
      </w:pPr>
      <w:r w:rsidRPr="00216C97">
        <w:rPr>
          <w:lang w:eastAsia="ja-JP"/>
        </w:rPr>
        <w:t>Humphrey, HD 1995, Australian quarantine policies and practices for aquatic animals and their products, a review for the scientific working party on aquatic animal quarantine, Bureau of Resource Sciences, Canberra.</w:t>
      </w:r>
    </w:p>
    <w:p w14:paraId="7309D8DB" w14:textId="77777777" w:rsidR="00AE356F" w:rsidRPr="00216C97" w:rsidRDefault="00AE356F" w:rsidP="00AE356F">
      <w:pPr>
        <w:rPr>
          <w:lang w:eastAsia="ja-JP"/>
        </w:rPr>
      </w:pPr>
      <w:r w:rsidRPr="00216C97">
        <w:rPr>
          <w:lang w:eastAsia="ja-JP"/>
        </w:rPr>
        <w:t>Inouye, K, Miwa, S, Oseko, N, Nakano, H, Kimura, T, Momoyama, K &amp; Hiraoka, M 1994, ‘Mass mortalities of cultured kuruma shrimp Penaeus japonicus in Japan in 1993: electron microscopic evidence of the causative virus’, Fish Pathology, vol. 29, pp. 149-58.</w:t>
      </w:r>
    </w:p>
    <w:p w14:paraId="5BD148A3" w14:textId="77777777" w:rsidR="00AE356F" w:rsidRPr="00216C97" w:rsidRDefault="00AE356F" w:rsidP="00AE356F">
      <w:pPr>
        <w:rPr>
          <w:lang w:eastAsia="ja-JP"/>
        </w:rPr>
      </w:pPr>
      <w:r w:rsidRPr="00216C97">
        <w:rPr>
          <w:lang w:eastAsia="ja-JP"/>
        </w:rPr>
        <w:t>John, KR, George, MR, Iyappan, T, Thangarani, AJ &amp; Jeyaseelan, MJP 2010, ‘Indian isolates of white spot syndrome virus exhibit variations in their pathogenicity and genomic tandem repeats’, Journal of Fish Diseases, vol. 33, no. 9, pp. 749-58.</w:t>
      </w:r>
    </w:p>
    <w:p w14:paraId="06DC7175" w14:textId="77777777" w:rsidR="00AE356F" w:rsidRPr="00216C97" w:rsidRDefault="00AE356F" w:rsidP="00AE356F">
      <w:pPr>
        <w:rPr>
          <w:lang w:eastAsia="ja-JP"/>
        </w:rPr>
      </w:pPr>
      <w:r w:rsidRPr="00216C97">
        <w:rPr>
          <w:lang w:eastAsia="ja-JP"/>
        </w:rPr>
        <w:lastRenderedPageBreak/>
        <w:t>Kanchanaphum, P, Wongteerasupaya, C, Sitidilokratana, N, Boonsaeng, V, Panyim, S, Tassanakajon, A, Withyachumnarnkul, B &amp; Flegel, TW 1998, ‘Experimental transmission of white spot syndrome virus (WSSV) from crabs to shrimp Penaeus monodon’, Diseases of Aquatic Organisms, vol. 34, no. 1, pp. 1-7.</w:t>
      </w:r>
    </w:p>
    <w:p w14:paraId="51F9399E" w14:textId="77777777" w:rsidR="00AE356F" w:rsidRPr="00216C97" w:rsidRDefault="00AE356F" w:rsidP="00AE356F">
      <w:pPr>
        <w:rPr>
          <w:lang w:eastAsia="ja-JP"/>
        </w:rPr>
      </w:pPr>
      <w:r w:rsidRPr="00216C97">
        <w:rPr>
          <w:lang w:eastAsia="ja-JP"/>
        </w:rPr>
        <w:t>Karunasagar, I, Otta, SK &amp; Karunasagar, I 1997, ‘Histopathological and bacteriological study of white spot syndrome of Penaeus monodon along the West Coast of India’, Aquaculture, vol. 153, no. 1-2, pp. 9-13.</w:t>
      </w:r>
    </w:p>
    <w:p w14:paraId="6124515E" w14:textId="77777777" w:rsidR="00AE356F" w:rsidRPr="00216C97" w:rsidRDefault="00AE356F" w:rsidP="00AE356F">
      <w:pPr>
        <w:rPr>
          <w:lang w:eastAsia="ja-JP"/>
        </w:rPr>
      </w:pPr>
      <w:r w:rsidRPr="00216C97">
        <w:rPr>
          <w:lang w:eastAsia="ja-JP"/>
        </w:rPr>
        <w:t xml:space="preserve">Korkut, GG, Noonin, C &amp; Söderhäll, K 2018, ‘The effect of temperature on white spot disease progression in a crustacean, </w:t>
      </w:r>
      <w:r w:rsidRPr="00216C97">
        <w:rPr>
          <w:i/>
          <w:iCs/>
          <w:lang w:eastAsia="ja-JP"/>
        </w:rPr>
        <w:t>Pacifastacus leniusculus</w:t>
      </w:r>
      <w:r w:rsidRPr="00216C97">
        <w:rPr>
          <w:lang w:eastAsia="ja-JP"/>
        </w:rPr>
        <w:t>’, Developmental &amp; Comparative Immunology, vol. 89, pp. 7-13.</w:t>
      </w:r>
    </w:p>
    <w:p w14:paraId="49525D5D" w14:textId="77777777" w:rsidR="00AE356F" w:rsidRPr="00216C97" w:rsidRDefault="00AE356F" w:rsidP="00AE356F">
      <w:pPr>
        <w:rPr>
          <w:lang w:eastAsia="ja-JP"/>
        </w:rPr>
      </w:pPr>
      <w:r w:rsidRPr="00216C97">
        <w:rPr>
          <w:lang w:eastAsia="ja-JP"/>
        </w:rPr>
        <w:t>Kumar, SS, Bharathi, RA, Rajan, JJS, Alavandi, SV, Poornima, M, Balasubramanian, CP &amp; Ponniah, AG 2013, ‘Viability of white spot syndrome virus (WSSV) in sediment during sun-drying (drainable pond) and under non-drainable pond conditions indicated by infectivity to shrimp’, Aquaculture, vol. 402-403, pp. 119-26.</w:t>
      </w:r>
    </w:p>
    <w:p w14:paraId="77D486EF" w14:textId="77777777" w:rsidR="00AE356F" w:rsidRPr="00216C97" w:rsidRDefault="00AE356F" w:rsidP="00AE356F">
      <w:pPr>
        <w:rPr>
          <w:lang w:eastAsia="ja-JP"/>
        </w:rPr>
      </w:pPr>
      <w:r w:rsidRPr="00216C97">
        <w:rPr>
          <w:lang w:eastAsia="ja-JP"/>
        </w:rPr>
        <w:t>Laoaroon, S, Boonnat, A, Poltana, P, Kanchanaphum, P, Gangnonngiw, W, Nash, G &amp; Withyachumnarnkul, B 2005, ‘Infectivity of white spot syndrome virus (WSSV) to the polychaete Pereneis nuntia and a possibility of WSSV transmission from the polychaete to the black tiger shrimp Penaeus monodon’, Diseases in Asian aquaculture V: proceedings of the fifth symposium on diseases in Asian aquaculture, Queensland, Asian Fisheries Society, Quezon City, Philippines, pp. 353-61.</w:t>
      </w:r>
    </w:p>
    <w:p w14:paraId="2F4969F9" w14:textId="77777777" w:rsidR="00AE356F" w:rsidRPr="00216C97" w:rsidRDefault="00AE356F" w:rsidP="00AE356F">
      <w:pPr>
        <w:rPr>
          <w:lang w:eastAsia="ja-JP"/>
        </w:rPr>
      </w:pPr>
      <w:r w:rsidRPr="00216C97">
        <w:rPr>
          <w:lang w:eastAsia="ja-JP"/>
        </w:rPr>
        <w:t>Le Groumellec, M 2012, ‘Expert opinion: white spot disease in Africa: second occurrence in the Mozambique Channel’, OIE Regional Representation for Africa (RR-AF), World Organisation for Animal Health (OIE), Bamako, Mali, available at.</w:t>
      </w:r>
    </w:p>
    <w:p w14:paraId="2E7345B5" w14:textId="77777777" w:rsidR="00AE356F" w:rsidRPr="00216C97" w:rsidRDefault="00AE356F" w:rsidP="00AE356F">
      <w:pPr>
        <w:rPr>
          <w:lang w:eastAsia="ja-JP"/>
        </w:rPr>
      </w:pPr>
      <w:r w:rsidRPr="00216C97">
        <w:rPr>
          <w:lang w:eastAsia="ja-JP"/>
        </w:rPr>
        <w:t>Lightner DV (ed) 1996b, A handbook of shrimp pathology and diagnostic procedures for disease of cultured penaeid shrimp, World Aquaculture Society, Baton Rouge, Louisiana, USA.</w:t>
      </w:r>
    </w:p>
    <w:p w14:paraId="1745F8D6" w14:textId="77777777" w:rsidR="00AE356F" w:rsidRPr="00216C97" w:rsidRDefault="00AE356F" w:rsidP="00AE356F">
      <w:pPr>
        <w:rPr>
          <w:lang w:eastAsia="ja-JP"/>
        </w:rPr>
      </w:pPr>
      <w:r w:rsidRPr="00216C97">
        <w:rPr>
          <w:lang w:eastAsia="ja-JP"/>
        </w:rPr>
        <w:t>Lightner DV 2011, ‘Virus diseases of farmed shrimp in the western hemisphere (the Americas): a review’, Journal of Invertebrate Pathology, vol. 106, no. 1, pp. 110-30.</w:t>
      </w:r>
    </w:p>
    <w:p w14:paraId="7267F98A" w14:textId="77777777" w:rsidR="00AE356F" w:rsidRPr="00216C97" w:rsidRDefault="00AE356F" w:rsidP="00AE356F">
      <w:pPr>
        <w:rPr>
          <w:lang w:eastAsia="ja-JP"/>
        </w:rPr>
      </w:pPr>
      <w:r w:rsidRPr="00216C97">
        <w:rPr>
          <w:lang w:eastAsia="ja-JP"/>
        </w:rPr>
        <w:t>Lightner, DV 1996a, ‘Epizootiology, distribution and the impact on international trade of two penaeid shrimp viruses in the Americas’, Revue Scientifique et Technique de l'Office International des Epizooties, vol. 15, no. 2, pp. 579-601.</w:t>
      </w:r>
    </w:p>
    <w:p w14:paraId="19DD0E22" w14:textId="77777777" w:rsidR="00AE356F" w:rsidRPr="00216C97" w:rsidRDefault="00AE356F" w:rsidP="00AE356F">
      <w:pPr>
        <w:rPr>
          <w:lang w:eastAsia="ja-JP"/>
        </w:rPr>
      </w:pPr>
      <w:r w:rsidRPr="00216C97">
        <w:rPr>
          <w:lang w:eastAsia="ja-JP"/>
        </w:rPr>
        <w:t>Lightner, DV, Hasson, KW, White, BL &amp; Redman, RM 1998, ‘Experimental infection of Western hemisphere penaeid shrimp with Asian white spot syndrome virus and Asian yellow head virus’, Journal of Aquatic Animal Health, vol. 10, no. 3, pp. 271-81.</w:t>
      </w:r>
    </w:p>
    <w:p w14:paraId="5073F083" w14:textId="77777777" w:rsidR="00AE356F" w:rsidRPr="00216C97" w:rsidRDefault="00AE356F" w:rsidP="00AE356F">
      <w:pPr>
        <w:rPr>
          <w:lang w:eastAsia="ja-JP"/>
        </w:rPr>
      </w:pPr>
      <w:r w:rsidRPr="00216C97">
        <w:rPr>
          <w:lang w:eastAsia="ja-JP"/>
        </w:rPr>
        <w:t>Lightner, DV, Redman, RM, Poulos, BT, Nunan, LM, Mari, JL &amp; Hasson, KW 1997b, ‘Risk of spread of penaeid shrimp viruses in the Americas by the international movement of live and frozen shrimp’, Revue Scientifique et Technique de l'Office International des Epizooties, vol. 16, no. 1, pp. 146-60.</w:t>
      </w:r>
    </w:p>
    <w:p w14:paraId="0ADEBA58" w14:textId="77777777" w:rsidR="00AE356F" w:rsidRPr="00216C97" w:rsidRDefault="00AE356F" w:rsidP="00AE356F">
      <w:pPr>
        <w:rPr>
          <w:lang w:eastAsia="ja-JP"/>
        </w:rPr>
      </w:pPr>
      <w:r w:rsidRPr="00216C97">
        <w:rPr>
          <w:lang w:eastAsia="ja-JP"/>
        </w:rPr>
        <w:t>Lo, CF &amp; Kou, GH 1998, ‘Virus-associated white spot syndrome of shrimp in Taiwan: a review’, Fish Pathology, vol. 33, no. 4, pp. 365-71.</w:t>
      </w:r>
    </w:p>
    <w:p w14:paraId="1D9F72E6" w14:textId="77777777" w:rsidR="00AE356F" w:rsidRPr="00216C97" w:rsidRDefault="00AE356F" w:rsidP="00AE356F">
      <w:pPr>
        <w:rPr>
          <w:lang w:eastAsia="ja-JP"/>
        </w:rPr>
      </w:pPr>
      <w:r w:rsidRPr="00216C97">
        <w:rPr>
          <w:lang w:eastAsia="ja-JP"/>
        </w:rPr>
        <w:t>Lo, CF, Aoki, T, Bonami, JR, Flegel, T, Leu, JH, Lightner, DV, Stentiford, G, Söderhäll, K, Walker, PJ, Wang, HC, Xun, X, Yang, F &amp; Vlak, JM 2011, 'Family: Nimaviridae', in ICTV 9th report: 2009 taxonomy release, Elsevier, Academic Press, London, available.</w:t>
      </w:r>
    </w:p>
    <w:p w14:paraId="0907AC7D" w14:textId="77777777" w:rsidR="00AE356F" w:rsidRPr="00216C97" w:rsidRDefault="00AE356F" w:rsidP="00AE356F">
      <w:pPr>
        <w:rPr>
          <w:lang w:eastAsia="ja-JP"/>
        </w:rPr>
      </w:pPr>
      <w:r w:rsidRPr="00216C97">
        <w:rPr>
          <w:lang w:eastAsia="ja-JP"/>
        </w:rPr>
        <w:lastRenderedPageBreak/>
        <w:t>Lo, CF, Ho, CH, Chen, CH, Liu, KF, Chiu, YL, Yeh, PY, Peng, SE, Hsu, HC, Liu, HC, Chang, CF, Su, MS, Wang, CH &amp; Kou, GH 1997, ‘Detection and tissue tropism of white spot syndrome baculovirus (WSBV) in captured brooders of Penaeus monodon with a special emphasis on reproductive organs’, Diseases of Aquatic Organisms, vol. 30, no. 1, pp. 53-72.</w:t>
      </w:r>
    </w:p>
    <w:p w14:paraId="0670DD1A" w14:textId="77777777" w:rsidR="00AE356F" w:rsidRPr="00216C97" w:rsidRDefault="00AE356F" w:rsidP="00AE356F">
      <w:pPr>
        <w:rPr>
          <w:lang w:eastAsia="ja-JP"/>
        </w:rPr>
      </w:pPr>
      <w:r w:rsidRPr="00216C97">
        <w:rPr>
          <w:lang w:eastAsia="ja-JP"/>
        </w:rPr>
        <w:t>Lo, CF, Ho, CH, Peng, SE, Chen, CH, Hsu, HC, Chiu, YL, Chang, CF, Liu, KF, Su, MS, Wang, CH &amp; Kou, GH 1996a, ‘White spot syndrome baculovirus (WSBV) detected in cultured and captured shrimp, crabs and other arthropods’, Diseases of Aquatic Organisms, vol. 27, no. 3, pp. 215-25.</w:t>
      </w:r>
    </w:p>
    <w:p w14:paraId="32DEEFEF" w14:textId="77777777" w:rsidR="00AE356F" w:rsidRPr="00216C97" w:rsidRDefault="00AE356F" w:rsidP="00AE356F">
      <w:pPr>
        <w:rPr>
          <w:lang w:eastAsia="ja-JP"/>
        </w:rPr>
      </w:pPr>
      <w:r w:rsidRPr="00216C97">
        <w:t>Lo CF, Leu JH, Ho CH, Chen CH, Peng SE, Chen YT, Chou CM, Yeh PY, Huang CJ, Chou HY, Wang CH, Kou GH 1996b, ‘Detection of baculovirus associated with white spot syndrome (WSBV) in penaeid shrimps using polymerase chain reaction’, Diseases of Aquatic Organisms, vol. 25, pp. 133-141.</w:t>
      </w:r>
    </w:p>
    <w:p w14:paraId="2DA77439" w14:textId="77777777" w:rsidR="00AE356F" w:rsidRPr="00216C97" w:rsidRDefault="00AE356F" w:rsidP="00AE356F">
      <w:pPr>
        <w:rPr>
          <w:lang w:eastAsia="ja-JP"/>
        </w:rPr>
      </w:pPr>
      <w:r w:rsidRPr="00216C97">
        <w:rPr>
          <w:lang w:eastAsia="ja-JP"/>
        </w:rPr>
        <w:t>Maeda, M, Kasornchandra, J, Itami, T, Suzuki, N, Hennig, O, Kondo, M, Albaladejo, JD &amp; Takahashi, Y 1998, ‘Effect of various treatments on white spot syndrome virus (WSSV) from Penaeus japonicus (Japan) and P. monodon (Thailand)’, Fish Pathology, vol. 33, no. 4, pp. 381-7.</w:t>
      </w:r>
    </w:p>
    <w:p w14:paraId="0C2284BA" w14:textId="77777777" w:rsidR="00AE356F" w:rsidRPr="00216C97" w:rsidRDefault="00AE356F" w:rsidP="00AE356F">
      <w:pPr>
        <w:rPr>
          <w:lang w:eastAsia="ja-JP"/>
        </w:rPr>
      </w:pPr>
      <w:r w:rsidRPr="00216C97">
        <w:rPr>
          <w:lang w:eastAsia="ja-JP"/>
        </w:rPr>
        <w:t>Marks, H, Goldbach, RW, Vlak, JM &amp; van Hulten, MC 2004, ‘Genetic variation among isolates of white spot syndrome virus’, Archives of Virology, vol. 149, no. 4, pp. 673-97.</w:t>
      </w:r>
    </w:p>
    <w:p w14:paraId="234A9B21" w14:textId="77777777" w:rsidR="00AE356F" w:rsidRPr="00216C97" w:rsidRDefault="00AE356F" w:rsidP="00AE356F">
      <w:pPr>
        <w:rPr>
          <w:lang w:eastAsia="ja-JP"/>
        </w:rPr>
      </w:pPr>
      <w:r w:rsidRPr="00216C97">
        <w:rPr>
          <w:lang w:eastAsia="ja-JP"/>
        </w:rPr>
        <w:t>Mekata, T, Sudhakaran, R, Kono, T, Supamattaya, K, Linh, NTH, Sakai, M &amp; Itami, T 2009, ‘Real-time quantitative loop-mediated isothermal amplification as a simple method for detecting white spot syndrome virus’, Letters in Applied Microbiology, vol. 48, no. 1, pp. 25-32.</w:t>
      </w:r>
    </w:p>
    <w:p w14:paraId="002E0660" w14:textId="77777777" w:rsidR="00AE356F" w:rsidRPr="00216C97" w:rsidRDefault="00AE356F" w:rsidP="00AE356F">
      <w:pPr>
        <w:rPr>
          <w:lang w:eastAsia="ja-JP"/>
        </w:rPr>
      </w:pPr>
      <w:r w:rsidRPr="00216C97">
        <w:rPr>
          <w:lang w:eastAsia="ja-JP"/>
        </w:rPr>
        <w:t>Mendoza-Cano F &amp; Sánchez-Paz A 2013, ‘Development and validation of a quantitative real-time polymerase chain assay for universal detection of the white spot syndrome virus in marine crustaceans’, Virology Journal, vol. 10, no. 1.</w:t>
      </w:r>
    </w:p>
    <w:p w14:paraId="00B74BFF" w14:textId="77777777" w:rsidR="00AE356F" w:rsidRPr="00216C97" w:rsidRDefault="00AE356F" w:rsidP="00AE356F">
      <w:pPr>
        <w:rPr>
          <w:lang w:eastAsia="ja-JP"/>
        </w:rPr>
      </w:pPr>
      <w:r w:rsidRPr="00216C97">
        <w:rPr>
          <w:lang w:eastAsia="ja-JP"/>
        </w:rPr>
        <w:t>Momoyama K, Hiaoka, M, Nakano, H, Koube, H, Inouye, K &amp; Oseko, N 1994, ‘Mass mortalities of cultured kuruma shrimp, Penaeus japonicus, in Japan in 1993: histopathological study’, Fish Pathology, vol. 29, no. 2, pp. 141-8.</w:t>
      </w:r>
    </w:p>
    <w:p w14:paraId="12EB352E" w14:textId="4696BC4D" w:rsidR="00AE356F" w:rsidRPr="00216C97" w:rsidRDefault="00AE356F" w:rsidP="00AE356F">
      <w:pPr>
        <w:rPr>
          <w:lang w:eastAsia="ja-JP"/>
        </w:rPr>
      </w:pPr>
      <w:r w:rsidRPr="00216C97">
        <w:rPr>
          <w:lang w:eastAsia="ja-JP"/>
        </w:rPr>
        <w:t>Moody NJG, Mohr PG, Williams LM, Cummins DM, Hoad J, Slater J, Valdeter ST, Colling A, Singanallur NB, Gardner IA, Gudkovs N and Crane MStJ 2022</w:t>
      </w:r>
      <w:r w:rsidR="008B3554">
        <w:rPr>
          <w:lang w:eastAsia="ja-JP"/>
        </w:rPr>
        <w:t>,</w:t>
      </w:r>
      <w:r w:rsidRPr="00216C97">
        <w:rPr>
          <w:lang w:eastAsia="ja-JP"/>
        </w:rPr>
        <w:t xml:space="preserve"> Performance characteristics of two real-time TaqMan polymerase chain reaction assays for the detection of WSSV in clinically diseased and apparently healthy prawns. Diseases of Aquatic Organisms 150: 169-182 </w:t>
      </w:r>
    </w:p>
    <w:p w14:paraId="6463E8C2" w14:textId="79A30AFB" w:rsidR="00AE356F" w:rsidRPr="00216C97" w:rsidRDefault="00AE356F" w:rsidP="00AE356F">
      <w:pPr>
        <w:rPr>
          <w:lang w:eastAsia="ja-JP"/>
        </w:rPr>
      </w:pPr>
      <w:r w:rsidRPr="00216C97">
        <w:rPr>
          <w:lang w:eastAsia="ja-JP"/>
        </w:rPr>
        <w:t xml:space="preserve">Nakano H, Koubi H, Umezawa S </w:t>
      </w:r>
      <w:r w:rsidR="00995C15">
        <w:rPr>
          <w:lang w:eastAsia="ja-JP"/>
        </w:rPr>
        <w:t xml:space="preserve">et al. </w:t>
      </w:r>
      <w:r w:rsidRPr="00216C97">
        <w:rPr>
          <w:lang w:eastAsia="ja-JP"/>
        </w:rPr>
        <w:t>Mass mortalities of cultured karuma shrimp, Penaeus japonicus, in Japan in 1993: Epizootiological survey and infection trials, Fish Pathology 1994, vol. 29, pp. 135-139.</w:t>
      </w:r>
    </w:p>
    <w:p w14:paraId="67E53EBA" w14:textId="77777777" w:rsidR="00AE356F" w:rsidRPr="00216C97" w:rsidRDefault="00AE356F" w:rsidP="00AE356F">
      <w:pPr>
        <w:rPr>
          <w:lang w:eastAsia="ja-JP"/>
        </w:rPr>
      </w:pPr>
      <w:r w:rsidRPr="00216C97">
        <w:rPr>
          <w:lang w:eastAsia="ja-JP"/>
        </w:rPr>
        <w:t>Natividad, KDT, Nomura, N &amp; Matsumura, M 2008, ‘Detection of white spot syndrome virus DNA in pond soil using a 2-step nested PCR’, Journal of Virological Methods, vol. 149, pp. 28-34.</w:t>
      </w:r>
    </w:p>
    <w:p w14:paraId="60A4671F" w14:textId="77777777" w:rsidR="00AE356F" w:rsidRPr="00216C97" w:rsidRDefault="00AE356F" w:rsidP="00AE356F">
      <w:pPr>
        <w:rPr>
          <w:lang w:eastAsia="ja-JP"/>
        </w:rPr>
      </w:pPr>
      <w:r w:rsidRPr="00216C97">
        <w:rPr>
          <w:lang w:eastAsia="ja-JP"/>
        </w:rPr>
        <w:t>Nunan, LM, Poulos, BT &amp; Lightner, DV 1998, ‘The detection of white spot syndrome virus (WSSV) and yellow head virus (YHV) in imported commodity shrimp’, Aquaculture, vol. 160, no. 1-2, pp. 19-30.</w:t>
      </w:r>
    </w:p>
    <w:p w14:paraId="1E14EC47" w14:textId="77777777" w:rsidR="00AE356F" w:rsidRPr="00216C97" w:rsidRDefault="00AE356F" w:rsidP="00AE356F">
      <w:pPr>
        <w:rPr>
          <w:lang w:eastAsia="ja-JP"/>
        </w:rPr>
      </w:pPr>
      <w:r w:rsidRPr="00216C97">
        <w:rPr>
          <w:lang w:eastAsia="ja-JP"/>
        </w:rPr>
        <w:t>Oakey, HJ &amp; Smith, CS 2018, ‘Complete genome sequence of a white spot syndrome virus associated with a disease incursion in Australia’, Aquaculture, vol. 484, pp. 152-9.</w:t>
      </w:r>
    </w:p>
    <w:p w14:paraId="23B9155E" w14:textId="195035E0" w:rsidR="00AE356F" w:rsidRPr="00216C97" w:rsidRDefault="00674671" w:rsidP="00AE356F">
      <w:pPr>
        <w:rPr>
          <w:lang w:eastAsia="ja-JP"/>
        </w:rPr>
      </w:pPr>
      <w:r>
        <w:rPr>
          <w:lang w:eastAsia="ja-JP"/>
        </w:rPr>
        <w:t>WOAH</w:t>
      </w:r>
      <w:r w:rsidR="00AE356F" w:rsidRPr="00216C97">
        <w:rPr>
          <w:lang w:eastAsia="ja-JP"/>
        </w:rPr>
        <w:t>, 20</w:t>
      </w:r>
      <w:r>
        <w:rPr>
          <w:lang w:eastAsia="ja-JP"/>
        </w:rPr>
        <w:t>22</w:t>
      </w:r>
      <w:r w:rsidR="00AE356F" w:rsidRPr="00216C97">
        <w:rPr>
          <w:lang w:eastAsia="ja-JP"/>
        </w:rPr>
        <w:t xml:space="preserve"> ‘Aquatic Animal Health Surveillance’ Chapter 1.4, Aquatic Animal Health Code, World Organisation for Animal Health, Paris, France.</w:t>
      </w:r>
    </w:p>
    <w:p w14:paraId="0E758C1F" w14:textId="0C1B0553" w:rsidR="00AE356F" w:rsidRPr="00216C97" w:rsidRDefault="00752336" w:rsidP="00AE356F">
      <w:pPr>
        <w:rPr>
          <w:lang w:eastAsia="ja-JP"/>
        </w:rPr>
      </w:pPr>
      <w:r>
        <w:rPr>
          <w:lang w:eastAsia="ja-JP"/>
        </w:rPr>
        <w:lastRenderedPageBreak/>
        <w:t>WOAH 2022</w:t>
      </w:r>
      <w:r w:rsidR="00AE356F" w:rsidRPr="00216C97">
        <w:rPr>
          <w:lang w:eastAsia="ja-JP"/>
        </w:rPr>
        <w:t xml:space="preserve">, 'Infection with white spot syndrome virus', Chapter 2.2.8, Manual of diagnostic tests for aquatic animals, World Organisation for Animal Health, Paris, France. </w:t>
      </w:r>
    </w:p>
    <w:p w14:paraId="4E8D33FD" w14:textId="60ADB023" w:rsidR="00AE356F" w:rsidRPr="00216C97" w:rsidRDefault="00752336" w:rsidP="00AE356F">
      <w:pPr>
        <w:rPr>
          <w:lang w:eastAsia="ja-JP"/>
        </w:rPr>
      </w:pPr>
      <w:r>
        <w:rPr>
          <w:lang w:eastAsia="ja-JP"/>
        </w:rPr>
        <w:t>WOAH 2022</w:t>
      </w:r>
      <w:r w:rsidR="00AE356F" w:rsidRPr="00216C97">
        <w:rPr>
          <w:lang w:eastAsia="ja-JP"/>
        </w:rPr>
        <w:t xml:space="preserve">, ‘Infection with white spot syndrome virus’ Chapter 9.8, Aquatic Animal Health Code, World Organisation for Animal Health, Paris, France. </w:t>
      </w:r>
    </w:p>
    <w:p w14:paraId="1A1049A1" w14:textId="77777777" w:rsidR="00AE356F" w:rsidRPr="00216C97" w:rsidRDefault="00AE356F" w:rsidP="00AE356F">
      <w:pPr>
        <w:rPr>
          <w:lang w:eastAsia="ja-JP"/>
        </w:rPr>
      </w:pPr>
      <w:r w:rsidRPr="00216C97">
        <w:rPr>
          <w:lang w:eastAsia="ja-JP"/>
        </w:rPr>
        <w:t>Peinado-Guevara, LI &amp; Lopez-Meyer, M 2006, ‘Detailed monitoring of white spot syndrome virus (WSSV) in shrimp commercial ponds in Sinaloa, Mexico by nested PCR’, Aquaculture, vol. 251, no. 1, pp. 33-45.</w:t>
      </w:r>
    </w:p>
    <w:p w14:paraId="7DE55B5C" w14:textId="77777777" w:rsidR="00AE356F" w:rsidRPr="00216C97" w:rsidRDefault="00AE356F" w:rsidP="00AE356F">
      <w:pPr>
        <w:rPr>
          <w:lang w:eastAsia="ja-JP"/>
        </w:rPr>
      </w:pPr>
      <w:r w:rsidRPr="00216C97">
        <w:rPr>
          <w:lang w:eastAsia="ja-JP"/>
        </w:rPr>
        <w:t>Peng, S-E, Lo, C-F, Lin, S-C, Chen, L-L, Chang, Y-S, Liu, K-F, Su, M-S &amp; Kou, G-H 2001, ‘Performance of WSSV-infected and WSSV-negative Penaeus monodon postlarvae in culture ponds’, Diseases of Aquatic Organisms, vol. 46, no. 3, pp. 165-72.</w:t>
      </w:r>
    </w:p>
    <w:p w14:paraId="62EEC943" w14:textId="77777777" w:rsidR="00AE356F" w:rsidRPr="00216C97" w:rsidRDefault="00AE356F" w:rsidP="00AE356F">
      <w:pPr>
        <w:rPr>
          <w:lang w:eastAsia="ja-JP"/>
        </w:rPr>
      </w:pPr>
      <w:r w:rsidRPr="00216C97">
        <w:rPr>
          <w:lang w:eastAsia="ja-JP"/>
        </w:rPr>
        <w:t>Perez, F, Volckaert, FAM &amp; Calderón, J 2005, ‘Pathogenicity of white spot syndrome virus on postlarvae and juveniles of Penaeus (Litopenaeus) vannamei’, Aquaculture, vol. 250, pp. 586-91.</w:t>
      </w:r>
    </w:p>
    <w:p w14:paraId="7DABFE74" w14:textId="77777777" w:rsidR="00AE356F" w:rsidRPr="00216C97" w:rsidRDefault="00AE356F" w:rsidP="00AE356F">
      <w:pPr>
        <w:rPr>
          <w:lang w:eastAsia="ja-JP"/>
        </w:rPr>
      </w:pPr>
      <w:r w:rsidRPr="00216C97">
        <w:rPr>
          <w:lang w:eastAsia="ja-JP"/>
        </w:rPr>
        <w:t>Pradeep, B, Rai, P, Mohan, SA, Shekhar, MS &amp; Karunasagar, I 2012, ‘Biology, host range, pathogenesis and diagnosis of white spot syndrome virus’, Indian Journal of Virology, vol. 23, no. 2, pp. 161-74.</w:t>
      </w:r>
    </w:p>
    <w:p w14:paraId="4A4DB6A7" w14:textId="77777777" w:rsidR="00AE356F" w:rsidRPr="00216C97" w:rsidRDefault="00AE356F" w:rsidP="00AE356F">
      <w:pPr>
        <w:rPr>
          <w:lang w:eastAsia="ja-JP"/>
        </w:rPr>
      </w:pPr>
      <w:r w:rsidRPr="00216C97">
        <w:rPr>
          <w:lang w:eastAsia="ja-JP"/>
        </w:rPr>
        <w:t>Prior, S &amp; Browdy, CL 2000, ‘Post-mortem persistence of white spot and taura syndrome viruses in water and tissue’, abstract from Aquaculture America 2000, New Orleans, LA, World Aquaculture Society, Baton Rouge, LA, pp. 397.</w:t>
      </w:r>
    </w:p>
    <w:p w14:paraId="22651117" w14:textId="77777777" w:rsidR="00AE356F" w:rsidRPr="00216C97" w:rsidRDefault="00AE356F" w:rsidP="00AE356F">
      <w:pPr>
        <w:rPr>
          <w:lang w:eastAsia="ja-JP"/>
        </w:rPr>
      </w:pPr>
      <w:r w:rsidRPr="00216C97">
        <w:rPr>
          <w:lang w:eastAsia="ja-JP"/>
        </w:rPr>
        <w:t>Rajendran, KV, Vijayan, KK, Santiago, TC &amp; Krol, RM 1999, ‘Experimental host range and histopathology of white spot syndrome virus (WSSV) infection in shrimp, prawns, crabs and lobsters in India’, Journal of Fish Diseases, vol. 22, no. 3, pp. 183-91.</w:t>
      </w:r>
    </w:p>
    <w:p w14:paraId="1A4D72D4" w14:textId="77777777" w:rsidR="00AE356F" w:rsidRPr="00216C97" w:rsidRDefault="00AE356F" w:rsidP="00AE356F">
      <w:pPr>
        <w:rPr>
          <w:lang w:eastAsia="ja-JP"/>
        </w:rPr>
      </w:pPr>
      <w:r w:rsidRPr="00216C97">
        <w:rPr>
          <w:lang w:eastAsia="ja-JP"/>
        </w:rPr>
        <w:t>Rajendran, KV, Vijayan, KK, Santiago, TC &amp; Krol, RM 1999, ‘Experimental host range and histopathology of white spot syndrome virus (WSSV) infection in shrimp, prawns, crabs and lobsters in India’, Journal of Fish Diseases, vol. 22, no. 3, pp. 183-91.</w:t>
      </w:r>
    </w:p>
    <w:p w14:paraId="283AEFD5" w14:textId="77777777" w:rsidR="00AE356F" w:rsidRPr="00216C97" w:rsidRDefault="00AE356F" w:rsidP="00AE356F">
      <w:pPr>
        <w:rPr>
          <w:lang w:eastAsia="ja-JP"/>
        </w:rPr>
      </w:pPr>
      <w:r w:rsidRPr="00216C97">
        <w:rPr>
          <w:lang w:eastAsia="ja-JP"/>
        </w:rPr>
        <w:t>Reddy, DA, Jeyasekaran, G &amp; Jeya, SR 2010, ‘Incidence of white spot syndrome virus (WSSV) in Indian farmed frozen shrimp products and testing for viability through bio-inoculation studies’, Journal of Aquaculture Research &amp; Development, vol. 1, no. 1.</w:t>
      </w:r>
    </w:p>
    <w:p w14:paraId="780F766C" w14:textId="77777777" w:rsidR="00AE356F" w:rsidRPr="00216C97" w:rsidRDefault="00AE356F" w:rsidP="00AE356F">
      <w:pPr>
        <w:rPr>
          <w:lang w:eastAsia="ja-JP"/>
        </w:rPr>
      </w:pPr>
      <w:r w:rsidRPr="00216C97">
        <w:rPr>
          <w:lang w:eastAsia="ja-JP"/>
        </w:rPr>
        <w:t>Reville, C, Al-Beik, J, Meehan-Meola, D, Xu, Z, Goldsmith, mL, Rand, W &amp; Alcivar-Warren, A 2005, ‘White spot syndrome virus in frozen shrimp sold at Massachusetts supermarkets’, Journal of Shellfish Research, vol. 24, no. 1, pp. 285-90.</w:t>
      </w:r>
    </w:p>
    <w:p w14:paraId="043F0858" w14:textId="77777777" w:rsidR="00AE356F" w:rsidRPr="00216C97" w:rsidRDefault="00AE356F" w:rsidP="00AE356F">
      <w:pPr>
        <w:rPr>
          <w:lang w:eastAsia="ja-JP"/>
        </w:rPr>
      </w:pPr>
      <w:r w:rsidRPr="00216C97">
        <w:rPr>
          <w:lang w:eastAsia="ja-JP"/>
        </w:rPr>
        <w:t xml:space="preserve">Scott-Orr H, Jones B &amp; Bhatia N (2017) </w:t>
      </w:r>
      <w:r w:rsidRPr="00216C97">
        <w:rPr>
          <w:i/>
          <w:iCs/>
          <w:lang w:eastAsia="ja-JP"/>
        </w:rPr>
        <w:t>Uncooked prawn imports: effectiveness of biosecurity controls</w:t>
      </w:r>
      <w:r w:rsidRPr="00216C97">
        <w:rPr>
          <w:lang w:eastAsia="ja-JP"/>
        </w:rPr>
        <w:t>, Review report No. 2017–18/01. Department of Agriculture and Water Resources, Canberra</w:t>
      </w:r>
    </w:p>
    <w:p w14:paraId="012FDC3C" w14:textId="77777777" w:rsidR="00AE356F" w:rsidRPr="00216C97" w:rsidRDefault="00AE356F" w:rsidP="00AE356F">
      <w:pPr>
        <w:rPr>
          <w:lang w:eastAsia="ja-JP"/>
        </w:rPr>
      </w:pPr>
      <w:r w:rsidRPr="00216C97">
        <w:rPr>
          <w:lang w:eastAsia="ja-JP"/>
        </w:rPr>
        <w:t>Sithigorngul, W, Rukpratanporn, S, Pecharaburanin, N, Longyant, S, Chaivisuthangkura, P &amp; Sithigorngul, P 2006, ‘A simple and rapid immunochromatographic test strip for detection of white spot syndrome virus (WSSV) of shrimp’, Diseases of Aquatic Organisms, vol. 72, no. 2, pp. 101-6.</w:t>
      </w:r>
    </w:p>
    <w:p w14:paraId="2420891E" w14:textId="77777777" w:rsidR="00AE356F" w:rsidRPr="00216C97" w:rsidRDefault="00AE356F" w:rsidP="00AE356F">
      <w:pPr>
        <w:rPr>
          <w:lang w:eastAsia="ja-JP"/>
        </w:rPr>
      </w:pPr>
      <w:r w:rsidRPr="00216C97">
        <w:rPr>
          <w:lang w:eastAsia="ja-JP"/>
        </w:rPr>
        <w:t>Soto, M, Shervette, V &amp; Lotz, J 2001, ‘Transmission of white spot syndrome virus (WSSV) to Litopenaeus vannamei from infected cephalothorax, abdomen, or whole shrimp cadaver’, Diseases of Aquatic Organisms, vol. 45, no. 2, pp. 81-7.</w:t>
      </w:r>
    </w:p>
    <w:p w14:paraId="0F391AE5" w14:textId="77777777" w:rsidR="00AE356F" w:rsidRPr="00216C97" w:rsidRDefault="00AE356F" w:rsidP="00AE356F">
      <w:pPr>
        <w:rPr>
          <w:lang w:eastAsia="ja-JP"/>
        </w:rPr>
      </w:pPr>
      <w:r w:rsidRPr="00216C97">
        <w:rPr>
          <w:lang w:eastAsia="ja-JP"/>
        </w:rPr>
        <w:t>Srisuvan, T, Patchimasiri, T, Kunchim, C, Tangdee, S &amp; Sisathan, N 2013, ‘Rapid and visual detection of white spot syndrome virus by loop-mediated isothermal amplification’, Thai-NIAH eJournal, vol. 7, no. 3, pp. 133-54.</w:t>
      </w:r>
    </w:p>
    <w:p w14:paraId="1CC97DC0" w14:textId="77777777" w:rsidR="00AE356F" w:rsidRPr="00216C97" w:rsidRDefault="00AE356F" w:rsidP="00AE356F">
      <w:pPr>
        <w:rPr>
          <w:lang w:eastAsia="ja-JP"/>
        </w:rPr>
      </w:pPr>
      <w:r w:rsidRPr="00216C97">
        <w:rPr>
          <w:lang w:eastAsia="ja-JP"/>
        </w:rPr>
        <w:lastRenderedPageBreak/>
        <w:t>Sritunyalucksana, K, Srisala, J, McColl, K, Nielsen, L &amp; Flegel, TW 2006, ‘Comparison of PCR testing methods for white spot syndrome virus (WSSV) infections in penaeid shrimp’, Aquaculture, vol. 255, no. 1-4, pp. 95-104.</w:t>
      </w:r>
    </w:p>
    <w:p w14:paraId="78E9F392" w14:textId="77777777" w:rsidR="00AE356F" w:rsidRPr="00216C97" w:rsidRDefault="00AE356F" w:rsidP="00AE356F">
      <w:pPr>
        <w:rPr>
          <w:lang w:eastAsia="ja-JP"/>
        </w:rPr>
      </w:pPr>
      <w:r w:rsidRPr="00216C97">
        <w:rPr>
          <w:lang w:eastAsia="ja-JP"/>
        </w:rPr>
        <w:t>Stentiford, GD &amp; Lightner, DV 2011, ‘Cases of white spot disease (WSD) in European shrimp farms’, Aquaculture, vol. 319, no. 1, pp. 302-6.</w:t>
      </w:r>
    </w:p>
    <w:p w14:paraId="42320ECE" w14:textId="77777777" w:rsidR="00AE356F" w:rsidRPr="00216C97" w:rsidRDefault="00AE356F" w:rsidP="00AE356F">
      <w:pPr>
        <w:rPr>
          <w:lang w:eastAsia="ja-JP"/>
        </w:rPr>
      </w:pPr>
      <w:r w:rsidRPr="00216C97">
        <w:rPr>
          <w:lang w:eastAsia="ja-JP"/>
        </w:rPr>
        <w:t>Stentiford, GD, Bonami, JR &amp; Alday-Sanz, V 2009, ‘A critical review of susceptibility of crustaceans to Taura syndrome, yellowhead disease and white spot disease and implications of inclusion of these diseases in European legislation’, Aquaculture, vol. 291, no. 1-2, pp. 1-17.</w:t>
      </w:r>
    </w:p>
    <w:p w14:paraId="156EC024" w14:textId="77777777" w:rsidR="00AE356F" w:rsidRPr="00216C97" w:rsidRDefault="00AE356F" w:rsidP="00AE356F">
      <w:pPr>
        <w:rPr>
          <w:lang w:eastAsia="ja-JP"/>
        </w:rPr>
      </w:pPr>
      <w:r w:rsidRPr="00216C97">
        <w:rPr>
          <w:lang w:eastAsia="ja-JP"/>
        </w:rPr>
        <w:t>Takahashi, Y, Itami, T, Kondo, M, Maeda, M, Fuji, R, Tomonaga, S, Supamattaya, K &amp; Boonyaratpalin, S 1994, ‘Electron microscopic evidence of bacilliform virus infection in kuruma shrimp (</w:t>
      </w:r>
      <w:r w:rsidRPr="00216C97">
        <w:rPr>
          <w:i/>
          <w:iCs/>
          <w:lang w:eastAsia="ja-JP"/>
        </w:rPr>
        <w:t>Penaeus japonicus</w:t>
      </w:r>
      <w:r w:rsidRPr="00216C97">
        <w:rPr>
          <w:lang w:eastAsia="ja-JP"/>
        </w:rPr>
        <w:t>)’, Fish Pathology, vol. 29, no. 2, pp. 121-5.</w:t>
      </w:r>
    </w:p>
    <w:p w14:paraId="54CDED9C" w14:textId="77777777" w:rsidR="00AE356F" w:rsidRPr="00216C97" w:rsidRDefault="00AE356F" w:rsidP="00AE356F">
      <w:pPr>
        <w:rPr>
          <w:lang w:eastAsia="ja-JP"/>
        </w:rPr>
      </w:pPr>
      <w:r w:rsidRPr="00216C97">
        <w:rPr>
          <w:lang w:eastAsia="ja-JP"/>
        </w:rPr>
        <w:t>Tang, KFJ, Le Groumellec, M &amp; Lightner, DV 2013, ‘Novel, closely related, white spot syndrome virus (WSSV) genotypes from Madagascar, Mozambique and the Kingdom of Saudi Arabia’, Diseases of Aquatic Organisms, vol. 106, no. 1, pp. 1-6.</w:t>
      </w:r>
    </w:p>
    <w:p w14:paraId="7B214CEA" w14:textId="77777777" w:rsidR="00AE356F" w:rsidRPr="00216C97" w:rsidRDefault="00AE356F" w:rsidP="00AE356F">
      <w:pPr>
        <w:rPr>
          <w:lang w:eastAsia="ja-JP"/>
        </w:rPr>
      </w:pPr>
      <w:r w:rsidRPr="00216C97">
        <w:rPr>
          <w:lang w:eastAsia="ja-JP"/>
        </w:rPr>
        <w:t>Tsai, MF, Kou, GH, Liu, HC, Liu, KF, Chang, CF, Peng, SE, Hsu, HC, Wang, CH &amp; Lo, CF 1999, ‘Long-term presence of white spot syndrome virus (WSSV) in a cultivated shrimp population without disease outbreaks’, Diseases of Aquatic Organisms, vol. 38, no. 2, pp. 107-14.</w:t>
      </w:r>
    </w:p>
    <w:p w14:paraId="4790A5A4" w14:textId="77777777" w:rsidR="00AE356F" w:rsidRPr="00216C97" w:rsidRDefault="00AE356F" w:rsidP="00AE356F">
      <w:pPr>
        <w:rPr>
          <w:lang w:eastAsia="ja-JP"/>
        </w:rPr>
      </w:pPr>
      <w:r w:rsidRPr="00216C97">
        <w:rPr>
          <w:lang w:eastAsia="ja-JP"/>
        </w:rPr>
        <w:t>Verbruggen, B, Bickley, LK, Aerle, R, Bateman, KS, Stentiford, GD, Santos, EM, &amp; Tyle, CR 2016, ‘Molecular mechanisms of White Spot Syndrome Virus infection and perspectives on treatments’, Viruses, vol. 8, 23.</w:t>
      </w:r>
    </w:p>
    <w:p w14:paraId="132F6F81" w14:textId="77777777" w:rsidR="00AE356F" w:rsidRPr="00216C97" w:rsidRDefault="00AE356F" w:rsidP="00AE356F">
      <w:pPr>
        <w:rPr>
          <w:lang w:eastAsia="ja-JP"/>
        </w:rPr>
      </w:pPr>
      <w:r w:rsidRPr="00216C97">
        <w:rPr>
          <w:lang w:eastAsia="ja-JP"/>
        </w:rPr>
        <w:t>Vijayan, KK, Raj, VS, Balasubramanian, CP, Alavandi, SV, Sekhar, VT &amp; Santiago, TC 2005, ‘Polychaete worms - a vector for white spot syndrome virus (WSSV)’, Diseases of Aquatic Organisms, vol. 63, no. 2-3, pp. 107-11.</w:t>
      </w:r>
    </w:p>
    <w:p w14:paraId="1DD5630F" w14:textId="0B256CAC" w:rsidR="00AE356F" w:rsidRPr="00216C97" w:rsidRDefault="00AE356F" w:rsidP="00AE356F">
      <w:pPr>
        <w:rPr>
          <w:lang w:eastAsia="ja-JP"/>
        </w:rPr>
      </w:pPr>
      <w:r w:rsidRPr="00216C97">
        <w:rPr>
          <w:lang w:eastAsia="ja-JP"/>
        </w:rPr>
        <w:t>Wang YG, Lee KL, Najiah M, Shariff M, Hassan MD. A new bacterial white spot syndrome (BWSS) in cultured tiger shrimp Penaeus monodon and its comparison with white spot syndrome (WSS) caused by virus. Dis Aquat Org 2000;41:9-18.</w:t>
      </w:r>
    </w:p>
    <w:p w14:paraId="1E45FCF6" w14:textId="77777777" w:rsidR="00AE356F" w:rsidRPr="00216C97" w:rsidRDefault="00AE356F" w:rsidP="00AE356F">
      <w:pPr>
        <w:rPr>
          <w:lang w:eastAsia="ja-JP"/>
        </w:rPr>
      </w:pPr>
      <w:r w:rsidRPr="00216C97">
        <w:rPr>
          <w:lang w:eastAsia="ja-JP"/>
        </w:rPr>
        <w:t xml:space="preserve">Wang, CH, Lo, CF, Leu, JH, Chou, CM, Yeh, PY, Chou, HY, Tung, MC, Chang, CF, Su, MS &amp; Kou, GH 1995, ‘Purification and genomic analysis of baculovirus associated with white spot syndrome (WSBV) of </w:t>
      </w:r>
      <w:r w:rsidRPr="00216C97">
        <w:rPr>
          <w:i/>
          <w:iCs/>
          <w:lang w:eastAsia="ja-JP"/>
        </w:rPr>
        <w:t>Penaeus monodon</w:t>
      </w:r>
      <w:r w:rsidRPr="00216C97">
        <w:rPr>
          <w:lang w:eastAsia="ja-JP"/>
        </w:rPr>
        <w:t>’, Diseases of Aquatic Organisms, vol. 23, no. 3, pp. 239-42.</w:t>
      </w:r>
    </w:p>
    <w:p w14:paraId="7E0619EB" w14:textId="77777777" w:rsidR="00AE356F" w:rsidRPr="00216C97" w:rsidRDefault="00AE356F" w:rsidP="00AE356F">
      <w:pPr>
        <w:rPr>
          <w:lang w:eastAsia="ja-JP"/>
        </w:rPr>
      </w:pPr>
      <w:r w:rsidRPr="00216C97">
        <w:rPr>
          <w:lang w:eastAsia="ja-JP"/>
        </w:rPr>
        <w:t xml:space="preserve">Wang, CS, Tang, KFJ, Kou, GH &amp; Chen, SN 1997, ‘Light and electron microscopic evidence of white spot disease in the giant tiger shrimp, </w:t>
      </w:r>
      <w:r w:rsidRPr="00216C97">
        <w:rPr>
          <w:i/>
          <w:iCs/>
          <w:lang w:eastAsia="ja-JP"/>
        </w:rPr>
        <w:t>Penaeus monodon</w:t>
      </w:r>
      <w:r w:rsidRPr="00216C97">
        <w:rPr>
          <w:lang w:eastAsia="ja-JP"/>
        </w:rPr>
        <w:t xml:space="preserve"> (Fabricius), and the kuruma shrimp, </w:t>
      </w:r>
      <w:r w:rsidRPr="00216C97">
        <w:rPr>
          <w:i/>
          <w:iCs/>
          <w:lang w:eastAsia="ja-JP"/>
        </w:rPr>
        <w:t>Penaeus japonicus</w:t>
      </w:r>
      <w:r w:rsidRPr="00216C97">
        <w:rPr>
          <w:lang w:eastAsia="ja-JP"/>
        </w:rPr>
        <w:t xml:space="preserve"> (Bate), cultured in Taiwan’, Journal of Fish Diseases, vol. 20, no. 5, pp. 323-31.</w:t>
      </w:r>
    </w:p>
    <w:p w14:paraId="4B1D412F" w14:textId="77777777" w:rsidR="00AE356F" w:rsidRPr="00216C97" w:rsidRDefault="00AE356F" w:rsidP="00AE356F">
      <w:pPr>
        <w:rPr>
          <w:lang w:eastAsia="ja-JP"/>
        </w:rPr>
      </w:pPr>
      <w:r w:rsidRPr="00216C97">
        <w:rPr>
          <w:lang w:eastAsia="ja-JP"/>
        </w:rPr>
        <w:t>Wang, G, Shi, H, Xie, J, Wang, W, He, J &amp; Xu, W 2017, ‘Variation in WSSV in Kuruma shrimp Marsupenaeus japonicas cultured and zooplankton in intensive farming ponds’, Fisheries Science (Liaoning), vol. 36, no. 6, pp. 763-7. (Abstract only)</w:t>
      </w:r>
    </w:p>
    <w:p w14:paraId="3C5A88CF" w14:textId="77777777" w:rsidR="00AE356F" w:rsidRPr="00216C97" w:rsidRDefault="00AE356F" w:rsidP="00AE356F">
      <w:pPr>
        <w:rPr>
          <w:lang w:eastAsia="ja-JP"/>
        </w:rPr>
      </w:pPr>
      <w:r w:rsidRPr="00216C97">
        <w:rPr>
          <w:lang w:eastAsia="ja-JP"/>
        </w:rPr>
        <w:t xml:space="preserve">Wang, Q, White, BL, Redman, RM &amp; Lightner, DV 1999a, ‘Per os challenge of Litopenaeus vannamei postlarvae and </w:t>
      </w:r>
      <w:r w:rsidRPr="00216C97">
        <w:rPr>
          <w:i/>
          <w:iCs/>
          <w:lang w:eastAsia="ja-JP"/>
        </w:rPr>
        <w:t>Farfantepenaeus duorarum</w:t>
      </w:r>
      <w:r w:rsidRPr="00216C97">
        <w:rPr>
          <w:lang w:eastAsia="ja-JP"/>
        </w:rPr>
        <w:t xml:space="preserve"> juveniles with six geographic isolates of white spot syndrome virus’, Aquaculture, vol. 170, no. 3-4, pp. 179-94.</w:t>
      </w:r>
    </w:p>
    <w:p w14:paraId="783F33C7" w14:textId="77777777" w:rsidR="00AE356F" w:rsidRPr="00216C97" w:rsidRDefault="00AE356F" w:rsidP="00AE356F">
      <w:pPr>
        <w:rPr>
          <w:lang w:eastAsia="ja-JP"/>
        </w:rPr>
      </w:pPr>
      <w:r w:rsidRPr="00216C97">
        <w:rPr>
          <w:lang w:eastAsia="ja-JP"/>
        </w:rPr>
        <w:t xml:space="preserve">Wang, YG, Hassan, MD, Shariff, M, Zamri, SM &amp; Chen, X 1999b, ‘Histopathology and cytopathology of white spot syndrome virus (WSSV) in cultured </w:t>
      </w:r>
      <w:r w:rsidRPr="00216C97">
        <w:rPr>
          <w:i/>
          <w:iCs/>
          <w:lang w:eastAsia="ja-JP"/>
        </w:rPr>
        <w:t>Penaeus monodon</w:t>
      </w:r>
      <w:r w:rsidRPr="00216C97">
        <w:rPr>
          <w:lang w:eastAsia="ja-JP"/>
        </w:rPr>
        <w:t xml:space="preserve"> from peninsular Malaysia with </w:t>
      </w:r>
      <w:r w:rsidRPr="00216C97">
        <w:rPr>
          <w:lang w:eastAsia="ja-JP"/>
        </w:rPr>
        <w:lastRenderedPageBreak/>
        <w:t>emphasis on pathogenesis and the mechanism of white spot formation’, Diseases of Aquatic Organisms, vol. 39, no. 1, pp. 1-11.</w:t>
      </w:r>
    </w:p>
    <w:p w14:paraId="2BB25D8B" w14:textId="51FB6FB3" w:rsidR="00AE356F" w:rsidRPr="00216C97" w:rsidRDefault="00AE356F" w:rsidP="00AE356F">
      <w:pPr>
        <w:rPr>
          <w:lang w:eastAsia="ja-JP"/>
        </w:rPr>
      </w:pPr>
      <w:r w:rsidRPr="00216C97">
        <w:t xml:space="preserve">Wesche </w:t>
      </w:r>
      <w:r w:rsidR="00995C15">
        <w:t xml:space="preserve">et al. </w:t>
      </w:r>
      <w:r w:rsidRPr="00216C97">
        <w:t>2021, ‘Assessment of gamma irradiation as a feasible method for treating prawns to inactivate White Spot Syndrome Virus’, FRDC 2017-190 Final Report, Department of Agriculture and Fisheries, Queensland, Brisbane.</w:t>
      </w:r>
    </w:p>
    <w:p w14:paraId="74BB67E6" w14:textId="77777777" w:rsidR="00AE356F" w:rsidRPr="00216C97" w:rsidRDefault="00AE356F" w:rsidP="00AE356F">
      <w:pPr>
        <w:rPr>
          <w:lang w:eastAsia="ja-JP"/>
        </w:rPr>
      </w:pPr>
      <w:r w:rsidRPr="00216C97">
        <w:rPr>
          <w:lang w:eastAsia="ja-JP"/>
        </w:rPr>
        <w:t>Wongteerasupaya, C, Pungchai, P, Withyachumnarnkul, B, Boonsaeng, V, Panyim, S, Flegel, TW &amp; Walker, PJ 2003, ‘High variation in repetitive DNA fragment length for white spot syndrome virus (WSSV) isolates in Thailand’, Diseases of Aquatic Organisms, vol. 54, no. 3, pp. 253-7.</w:t>
      </w:r>
    </w:p>
    <w:p w14:paraId="548DCA8E" w14:textId="77777777" w:rsidR="00AE356F" w:rsidRPr="00216C97" w:rsidRDefault="00AE356F" w:rsidP="00AE356F">
      <w:pPr>
        <w:rPr>
          <w:lang w:eastAsia="ja-JP"/>
        </w:rPr>
      </w:pPr>
      <w:r w:rsidRPr="00216C97">
        <w:rPr>
          <w:lang w:eastAsia="ja-JP"/>
        </w:rPr>
        <w:t xml:space="preserve">Wongteerasupaya, C, Sriurairatana, S, Vickers, JE, Akrajamorn, A, Boonsaeng, V, Panyim, S, Tassanakajon, A, Withyachumnarnkul, B &amp; Flegel, TW 1995a, ‘Yellow-head virus of </w:t>
      </w:r>
      <w:r w:rsidRPr="00216C97">
        <w:rPr>
          <w:i/>
          <w:iCs/>
          <w:lang w:eastAsia="ja-JP"/>
        </w:rPr>
        <w:t>Penaeus monodon</w:t>
      </w:r>
      <w:r w:rsidRPr="00216C97">
        <w:rPr>
          <w:lang w:eastAsia="ja-JP"/>
        </w:rPr>
        <w:t xml:space="preserve"> is an RNA virus’, Diseases of Aquatic Organisms, vol. 22, no. 1, pp. 45-50.</w:t>
      </w:r>
    </w:p>
    <w:p w14:paraId="5EA087EB" w14:textId="77777777" w:rsidR="00AE356F" w:rsidRPr="00216C97" w:rsidRDefault="00AE356F" w:rsidP="00AE356F">
      <w:pPr>
        <w:rPr>
          <w:lang w:eastAsia="ja-JP"/>
        </w:rPr>
      </w:pPr>
      <w:r w:rsidRPr="00216C97">
        <w:rPr>
          <w:lang w:eastAsia="ja-JP"/>
        </w:rPr>
        <w:t xml:space="preserve">Wongteerasupaya, C, Vickers, JE, Sriurairatana, S, Nash, GL, Akarajamorn, A, Boonsaeng, V, Panyim, S, Tassanakajon, A, Withyachumnarnkul, B &amp; Flegel, TW 1995b, ‘A non-occluded, systemic baculovirus that occurs in cells of ectodermal and mesodermal origin and causes high mortality in the black tiger prawn </w:t>
      </w:r>
      <w:r w:rsidRPr="00216C97">
        <w:rPr>
          <w:i/>
          <w:iCs/>
          <w:lang w:eastAsia="ja-JP"/>
        </w:rPr>
        <w:t>Penaeus monodon</w:t>
      </w:r>
      <w:r w:rsidRPr="00216C97">
        <w:rPr>
          <w:lang w:eastAsia="ja-JP"/>
        </w:rPr>
        <w:t>’, Diseases of Aquatic Organisms, vol. 21, no. 1, pp. 69-77.</w:t>
      </w:r>
    </w:p>
    <w:p w14:paraId="4F8B3682" w14:textId="77777777" w:rsidR="00AE356F" w:rsidRPr="00216C97" w:rsidRDefault="00AE356F" w:rsidP="00AE356F">
      <w:pPr>
        <w:rPr>
          <w:lang w:eastAsia="ja-JP"/>
        </w:rPr>
      </w:pPr>
      <w:r w:rsidRPr="00216C97">
        <w:rPr>
          <w:lang w:eastAsia="ja-JP"/>
        </w:rPr>
        <w:t xml:space="preserve">Wongteerasupaya, C, Wongwisansri, S, Boonsaeng, V, Panyim, S, Pratanpipat, P, Nash, GL, Withyachumnarnkul, B &amp; Flegel, TW 1996, ‘DNA fragment of </w:t>
      </w:r>
      <w:r w:rsidRPr="00216C97">
        <w:rPr>
          <w:i/>
          <w:iCs/>
          <w:lang w:eastAsia="ja-JP"/>
        </w:rPr>
        <w:t>Penaeus monodon</w:t>
      </w:r>
      <w:r w:rsidRPr="00216C97">
        <w:rPr>
          <w:lang w:eastAsia="ja-JP"/>
        </w:rPr>
        <w:t xml:space="preserve"> baculovirus PmNOBII gives positive in situ hybridization with white-spot viral infections in six penaeid shrimp species’, Aquaculture, vol. 143, no. 1, pp. 23-32.</w:t>
      </w:r>
    </w:p>
    <w:p w14:paraId="2AB707E6" w14:textId="77777777" w:rsidR="00AE356F" w:rsidRPr="00216C97" w:rsidRDefault="00AE356F" w:rsidP="00AE356F">
      <w:pPr>
        <w:rPr>
          <w:lang w:eastAsia="ja-JP"/>
        </w:rPr>
      </w:pPr>
      <w:r w:rsidRPr="00216C97">
        <w:rPr>
          <w:lang w:eastAsia="ja-JP"/>
        </w:rPr>
        <w:t>Yap, WG 2001, ‘The lowdown on world shrimp culture -II’, INFOFISH International, vol. 3, pp. 21-7.</w:t>
      </w:r>
    </w:p>
    <w:p w14:paraId="4AB6C0E5" w14:textId="77777777" w:rsidR="00AE356F" w:rsidRPr="00216C97" w:rsidRDefault="00AE356F" w:rsidP="00AE356F">
      <w:pPr>
        <w:rPr>
          <w:lang w:eastAsia="ja-JP"/>
        </w:rPr>
      </w:pPr>
      <w:r w:rsidRPr="00216C97">
        <w:rPr>
          <w:lang w:eastAsia="ja-JP"/>
        </w:rPr>
        <w:t>Yoganandhan, K, Syed Musthaq, S, Narayanan, RB &amp; Sahul Hameed, AS 2004, ‘Production of polyclonal antiserum against recombinant VP28 protein and its application for the detection of white spot syndrome virus in crustaceans’, Journal of Fish Diseases, vol. 27, no. 9, pp. 517-22.</w:t>
      </w:r>
    </w:p>
    <w:p w14:paraId="6012EFD3" w14:textId="77777777" w:rsidR="00AE356F" w:rsidRPr="00216C97" w:rsidRDefault="00AE356F" w:rsidP="00AE356F">
      <w:pPr>
        <w:rPr>
          <w:lang w:eastAsia="ja-JP"/>
        </w:rPr>
      </w:pPr>
      <w:r w:rsidRPr="00216C97">
        <w:rPr>
          <w:lang w:eastAsia="ja-JP"/>
        </w:rPr>
        <w:t>You, Z, Nadala, ECBJ, Yang, J, van Hulten, MCW &amp; Loh, PC 2002, ‘Production of polyclonal antiserum specific to the 27.5 kDa envelope protein of white spot syndrome virus’, Diseases of Aquatic Organisms, vol. 51, no. 1, pp. 77-80.</w:t>
      </w:r>
    </w:p>
    <w:bookmarkEnd w:id="68"/>
    <w:bookmarkEnd w:id="69"/>
    <w:p w14:paraId="716EF652" w14:textId="690932FE" w:rsidR="00764D6A" w:rsidRPr="00AE356F" w:rsidRDefault="00764D6A" w:rsidP="00AE356F"/>
    <w:sectPr w:rsidR="00764D6A" w:rsidRPr="00AE356F">
      <w:headerReference w:type="even" r:id="rId24"/>
      <w:headerReference w:type="default" r:id="rId25"/>
      <w:footerReference w:type="default" r:id="rId26"/>
      <w:headerReference w:type="first" r:id="rId27"/>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1D216" w14:textId="77777777" w:rsidR="0061706B" w:rsidRDefault="0061706B">
      <w:r>
        <w:separator/>
      </w:r>
    </w:p>
    <w:p w14:paraId="2BA57261" w14:textId="77777777" w:rsidR="0061706B" w:rsidRDefault="0061706B"/>
    <w:p w14:paraId="0521CBA8" w14:textId="77777777" w:rsidR="0061706B" w:rsidRDefault="0061706B"/>
  </w:endnote>
  <w:endnote w:type="continuationSeparator" w:id="0">
    <w:p w14:paraId="087879A8" w14:textId="77777777" w:rsidR="0061706B" w:rsidRDefault="0061706B">
      <w:r>
        <w:continuationSeparator/>
      </w:r>
    </w:p>
    <w:p w14:paraId="10DFE94B" w14:textId="77777777" w:rsidR="0061706B" w:rsidRDefault="0061706B"/>
    <w:p w14:paraId="79058BC1" w14:textId="77777777" w:rsidR="0061706B" w:rsidRDefault="0061706B"/>
  </w:endnote>
  <w:endnote w:type="continuationNotice" w:id="1">
    <w:p w14:paraId="0232ACC0" w14:textId="77777777" w:rsidR="0061706B" w:rsidRDefault="0061706B">
      <w:pPr>
        <w:pStyle w:val="Footer"/>
      </w:pPr>
    </w:p>
    <w:p w14:paraId="6D19E51D" w14:textId="77777777" w:rsidR="0061706B" w:rsidRDefault="0061706B"/>
    <w:p w14:paraId="15777F8D" w14:textId="77777777" w:rsidR="0061706B" w:rsidRDefault="006170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Ottawa">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ndidaPro-Roman">
    <w:altName w:val="Calibri"/>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D17E0" w14:textId="77777777" w:rsidR="00AE356F" w:rsidRDefault="00AE356F">
    <w:pPr>
      <w:pStyle w:val="Footer"/>
    </w:pPr>
    <w:r w:rsidRPr="00DE0AAE">
      <w:t>Department of Agriculture, Fisheries and Forestry</w:t>
    </w:r>
  </w:p>
  <w:p w14:paraId="6299A099" w14:textId="77777777" w:rsidR="00AE356F" w:rsidRDefault="00AE356F">
    <w:pPr>
      <w:pStyle w:val="Footer"/>
    </w:pPr>
    <w:r>
      <w:fldChar w:fldCharType="begin"/>
    </w:r>
    <w:r>
      <w:instrText xml:space="preserve"> PAGE   \* MERGEFORMAT </w:instrText>
    </w:r>
    <w:r>
      <w:fldChar w:fldCharType="separate"/>
    </w:r>
    <w:r>
      <w:rPr>
        <w:noProof/>
      </w:rPr>
      <w:t>12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47E40" w14:textId="77777777" w:rsidR="00B861B4" w:rsidRDefault="00DE0AAE">
    <w:pPr>
      <w:pStyle w:val="Footer"/>
    </w:pPr>
    <w:r w:rsidRPr="00DE0AAE">
      <w:t>Department of Agriculture, Fisheries and Forestry</w:t>
    </w:r>
  </w:p>
  <w:p w14:paraId="421C4A7F"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38362" w14:textId="77777777" w:rsidR="0061706B" w:rsidRDefault="0061706B">
      <w:r>
        <w:separator/>
      </w:r>
    </w:p>
    <w:p w14:paraId="06A4065F" w14:textId="77777777" w:rsidR="0061706B" w:rsidRDefault="0061706B"/>
    <w:p w14:paraId="5D950DBA" w14:textId="77777777" w:rsidR="0061706B" w:rsidRDefault="0061706B"/>
  </w:footnote>
  <w:footnote w:type="continuationSeparator" w:id="0">
    <w:p w14:paraId="3E201F3F" w14:textId="77777777" w:rsidR="0061706B" w:rsidRDefault="0061706B">
      <w:r>
        <w:continuationSeparator/>
      </w:r>
    </w:p>
    <w:p w14:paraId="715B7D8A" w14:textId="77777777" w:rsidR="0061706B" w:rsidRDefault="0061706B"/>
    <w:p w14:paraId="5DEC062D" w14:textId="77777777" w:rsidR="0061706B" w:rsidRDefault="0061706B"/>
  </w:footnote>
  <w:footnote w:type="continuationNotice" w:id="1">
    <w:p w14:paraId="53A0642D" w14:textId="77777777" w:rsidR="0061706B" w:rsidRDefault="0061706B">
      <w:pPr>
        <w:pStyle w:val="Footer"/>
      </w:pPr>
    </w:p>
    <w:p w14:paraId="4B2FF5A1" w14:textId="77777777" w:rsidR="0061706B" w:rsidRDefault="0061706B"/>
    <w:p w14:paraId="09EEEED1" w14:textId="77777777" w:rsidR="0061706B" w:rsidRDefault="006170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D49FF" w14:textId="77777777" w:rsidR="00AE356F" w:rsidRDefault="0094053C">
    <w:pPr>
      <w:pStyle w:val="Header"/>
    </w:pPr>
    <w:r>
      <w:rPr>
        <w:noProof/>
        <w:lang w:val="en-US"/>
      </w:rPr>
      <w:pict w14:anchorId="22879F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0;margin-top:0;width:548.05pt;height:91.3pt;rotation:315;z-index:-251655680;mso-position-horizontal:center;mso-position-horizontal-relative:margin;mso-position-vertical:center;mso-position-vertical-relative:margin" o:allowincell="f" fillcolor="gray" stroked="f">
          <v:fill opacity=".5"/>
          <v:textpath style="font-family:&quot;Cambria&quot;;font-size:1pt" string="EXAMPLE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1EC33" w14:textId="1F7F6418" w:rsidR="00AE356F" w:rsidRDefault="00AE356F">
    <w:pPr>
      <w:pStyle w:val="Header"/>
    </w:pPr>
    <w:r>
      <w:rPr>
        <w:noProof/>
      </w:rPr>
      <mc:AlternateContent>
        <mc:Choice Requires="wps">
          <w:drawing>
            <wp:anchor distT="0" distB="0" distL="114300" distR="114300" simplePos="0" relativeHeight="251662848" behindDoc="0" locked="0" layoutInCell="1" allowOverlap="1" wp14:anchorId="4809EBDF" wp14:editId="3FAAB502">
              <wp:simplePos x="0" y="0"/>
              <wp:positionH relativeFrom="column">
                <wp:posOffset>1701800</wp:posOffset>
              </wp:positionH>
              <wp:positionV relativeFrom="paragraph">
                <wp:posOffset>-2326640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0BDA69" w14:textId="77777777" w:rsidR="00AE356F" w:rsidRPr="00653C4C" w:rsidRDefault="00AE356F" w:rsidP="00653C4C">
                          <w:pPr>
                            <w:pStyle w:val="Heade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809EBDF" id="_x0000_t202" coordsize="21600,21600" o:spt="202" path="m,l,21600r21600,l21600,xe">
              <v:stroke joinstyle="miter"/>
              <v:path gradientshapeok="t" o:connecttype="rect"/>
            </v:shapetype>
            <v:shape id="Text Box 7" o:spid="_x0000_s1026" type="#_x0000_t202" style="position:absolute;left:0;text-align:left;margin-left:134pt;margin-top:-183.2pt;width:2in;height:2in;z-index:251662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" filled="f" stroked="f">
              <v:textbox style="mso-fit-shape-to-text:t">
                <w:txbxContent>
                  <w:p w14:paraId="5A0BDA69" w14:textId="77777777" w:rsidR="00AE356F" w:rsidRPr="00653C4C" w:rsidRDefault="00AE356F" w:rsidP="00653C4C">
                    <w:pPr>
                      <w:pStyle w:val="Heade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v:textbox>
            </v:shape>
          </w:pict>
        </mc:Fallback>
      </mc:AlternateContent>
    </w:r>
    <w:r w:rsidRPr="00741861">
      <w:t>Australian and New Zealand Standard Diagnostic Procedure (ANZSDP) for White Spot Syndrome Virus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5892C" w14:textId="7BBF7FBF" w:rsidR="00674520" w:rsidRDefault="000051D4" w:rsidP="00674520">
    <w:pPr>
      <w:pStyle w:val="Header"/>
      <w:jc w:val="right"/>
    </w:pPr>
    <w:r>
      <w:rPr>
        <w:noProof/>
      </w:rPr>
      <w:drawing>
        <wp:anchor distT="0" distB="0" distL="114300" distR="114300" simplePos="0" relativeHeight="251670016" behindDoc="1" locked="0" layoutInCell="1" allowOverlap="1" wp14:anchorId="7C94BFF7" wp14:editId="15CBD66F">
          <wp:simplePos x="0" y="0"/>
          <wp:positionH relativeFrom="page">
            <wp:align>right</wp:align>
          </wp:positionH>
          <wp:positionV relativeFrom="paragraph">
            <wp:posOffset>-361950</wp:posOffset>
          </wp:positionV>
          <wp:extent cx="7566403" cy="10702800"/>
          <wp:effectExtent l="0" t="0" r="0" b="381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6403" cy="107028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055A1" w14:textId="77777777" w:rsidR="00B861B4" w:rsidRDefault="0094053C">
    <w:pPr>
      <w:pStyle w:val="Header"/>
    </w:pPr>
    <w:r>
      <w:rPr>
        <w:noProof/>
        <w:lang w:val="en-US"/>
      </w:rPr>
      <w:pict w14:anchorId="52078A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5351" o:spid="_x0000_s1026" type="#_x0000_t136" style="position:absolute;left:0;text-align:left;margin-left:0;margin-top:0;width:548.05pt;height:91.3pt;rotation:315;z-index:-251658752;mso-position-horizontal:center;mso-position-horizontal-relative:margin;mso-position-vertical:center;mso-position-vertical-relative:margin" o:allowincell="f" fillcolor="gray" stroked="f">
          <v:fill opacity=".5"/>
          <v:textpath style="font-family:&quot;Cambria&quot;;font-size:1pt" string="EXAMPLE ONLY"/>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879B7" w14:textId="082B299A" w:rsidR="00B861B4" w:rsidRDefault="00B42877" w:rsidP="00371F5F">
    <w:pPr>
      <w:pStyle w:val="Header"/>
    </w:pPr>
    <w:r>
      <w:rPr>
        <w:noProof/>
      </w:rPr>
      <mc:AlternateContent>
        <mc:Choice Requires="wps">
          <w:drawing>
            <wp:anchor distT="0" distB="0" distL="114300" distR="114300" simplePos="0" relativeHeight="251667968" behindDoc="0" locked="0" layoutInCell="1" allowOverlap="1" wp14:anchorId="56CE46B9" wp14:editId="427C1E58">
              <wp:simplePos x="0" y="0"/>
              <wp:positionH relativeFrom="column">
                <wp:posOffset>1701800</wp:posOffset>
              </wp:positionH>
              <wp:positionV relativeFrom="paragraph">
                <wp:posOffset>-2326640</wp:posOffset>
              </wp:positionV>
              <wp:extent cx="1828800" cy="1828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5ED03E1" w14:textId="77777777" w:rsidR="00B42877" w:rsidRPr="00653C4C" w:rsidRDefault="00B42877" w:rsidP="00B42877">
                          <w:pPr>
                            <w:pStyle w:val="Heade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6CE46B9" id="_x0000_t202" coordsize="21600,21600" o:spt="202" path="m,l,21600r21600,l21600,xe">
              <v:stroke joinstyle="miter"/>
              <v:path gradientshapeok="t" o:connecttype="rect"/>
            </v:shapetype>
            <v:shape id="Text Box 13" o:spid="_x0000_s1027" type="#_x0000_t202" style="position:absolute;left:0;text-align:left;margin-left:134pt;margin-top:-183.2pt;width:2in;height:2in;z-index:251667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" filled="f" stroked="f">
              <v:textbox style="mso-fit-shape-to-text:t">
                <w:txbxContent>
                  <w:p w14:paraId="15ED03E1" w14:textId="77777777" w:rsidR="00B42877" w:rsidRPr="00653C4C" w:rsidRDefault="00B42877" w:rsidP="00B42877">
                    <w:pPr>
                      <w:pStyle w:val="Heade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v:textbox>
            </v:shape>
          </w:pict>
        </mc:Fallback>
      </mc:AlternateContent>
    </w:r>
    <w:r w:rsidRPr="00741861">
      <w:t>Australian and New Zealand Standard Diagnostic Procedure (ANZSDP) for White Spot Syndrome Virus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DEA9E" w14:textId="77777777" w:rsidR="00B861B4" w:rsidRDefault="001641A3">
    <w:pPr>
      <w:pStyle w:val="Header"/>
      <w:jc w:val="left"/>
    </w:pPr>
    <w:r>
      <w:rPr>
        <w:noProof/>
        <w:lang w:eastAsia="en-AU"/>
      </w:rPr>
      <w:drawing>
        <wp:inline distT="0" distB="0" distL="0" distR="0" wp14:anchorId="03299229" wp14:editId="6CD8EFEE">
          <wp:extent cx="2542599" cy="738943"/>
          <wp:effectExtent l="0" t="0" r="0" b="4445"/>
          <wp:docPr id="8" name="Picture 8"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542599" cy="738943"/>
                  </a:xfrm>
                  <a:prstGeom prst="rect">
                    <a:avLst/>
                  </a:prstGeom>
                </pic:spPr>
              </pic:pic>
            </a:graphicData>
          </a:graphic>
        </wp:inline>
      </w:drawing>
    </w:r>
    <w:r w:rsidR="0094053C">
      <w:rPr>
        <w:noProof/>
        <w:lang w:val="en-US"/>
      </w:rPr>
      <w:pict w14:anchorId="597970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5350" o:spid="_x0000_s1025" type="#_x0000_t136" style="position:absolute;margin-left:0;margin-top:0;width:548.05pt;height:91.3pt;rotation:315;z-index:-251659776;mso-position-horizontal:center;mso-position-horizontal-relative:margin;mso-position-vertical:center;mso-position-vertical-relative:margin" o:allowincell="f" fillcolor="gray" stroked="f">
          <v:fill opacity=".5"/>
          <v:textpath style="font-family:&quot;Cambria&quot;;font-size:1pt" string="EXAMPLE ONL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3"/>
    <w:multiLevelType w:val="singleLevel"/>
    <w:tmpl w:val="79F05952"/>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0D896ABB"/>
    <w:multiLevelType w:val="hybridMultilevel"/>
    <w:tmpl w:val="C39CC6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19533FAE"/>
    <w:multiLevelType w:val="hybridMultilevel"/>
    <w:tmpl w:val="2DE4CFD8"/>
    <w:lvl w:ilvl="0" w:tplc="8A6A97E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394A15FE"/>
    <w:multiLevelType w:val="multilevel"/>
    <w:tmpl w:val="F36C17E8"/>
    <w:numStyleLink w:val="Headinglist"/>
  </w:abstractNum>
  <w:abstractNum w:abstractNumId="18" w15:restartNumberingAfterBreak="0">
    <w:nsid w:val="414F4729"/>
    <w:multiLevelType w:val="multilevel"/>
    <w:tmpl w:val="A0241B28"/>
    <w:numStyleLink w:val="List1"/>
  </w:abstractNum>
  <w:abstractNum w:abstractNumId="19" w15:restartNumberingAfterBreak="0">
    <w:nsid w:val="47B77749"/>
    <w:multiLevelType w:val="hybridMultilevel"/>
    <w:tmpl w:val="D5B0375A"/>
    <w:lvl w:ilvl="0" w:tplc="CEF4EB12">
      <w:start w:val="1"/>
      <w:numFmt w:val="upperLetter"/>
      <w:lvlText w:val="%1."/>
      <w:lvlJc w:val="left"/>
      <w:pPr>
        <w:ind w:left="396" w:hanging="360"/>
      </w:pPr>
      <w:rPr>
        <w:rFonts w:hint="default"/>
      </w:rPr>
    </w:lvl>
    <w:lvl w:ilvl="1" w:tplc="08090019" w:tentative="1">
      <w:start w:val="1"/>
      <w:numFmt w:val="lowerLetter"/>
      <w:lvlText w:val="%2."/>
      <w:lvlJc w:val="left"/>
      <w:pPr>
        <w:ind w:left="1116" w:hanging="360"/>
      </w:pPr>
    </w:lvl>
    <w:lvl w:ilvl="2" w:tplc="0809001B" w:tentative="1">
      <w:start w:val="1"/>
      <w:numFmt w:val="lowerRoman"/>
      <w:lvlText w:val="%3."/>
      <w:lvlJc w:val="right"/>
      <w:pPr>
        <w:ind w:left="1836" w:hanging="180"/>
      </w:pPr>
    </w:lvl>
    <w:lvl w:ilvl="3" w:tplc="0809000F" w:tentative="1">
      <w:start w:val="1"/>
      <w:numFmt w:val="decimal"/>
      <w:lvlText w:val="%4."/>
      <w:lvlJc w:val="left"/>
      <w:pPr>
        <w:ind w:left="2556" w:hanging="360"/>
      </w:pPr>
    </w:lvl>
    <w:lvl w:ilvl="4" w:tplc="08090019" w:tentative="1">
      <w:start w:val="1"/>
      <w:numFmt w:val="lowerLetter"/>
      <w:lvlText w:val="%5."/>
      <w:lvlJc w:val="left"/>
      <w:pPr>
        <w:ind w:left="3276" w:hanging="360"/>
      </w:pPr>
    </w:lvl>
    <w:lvl w:ilvl="5" w:tplc="0809001B" w:tentative="1">
      <w:start w:val="1"/>
      <w:numFmt w:val="lowerRoman"/>
      <w:lvlText w:val="%6."/>
      <w:lvlJc w:val="right"/>
      <w:pPr>
        <w:ind w:left="3996" w:hanging="180"/>
      </w:pPr>
    </w:lvl>
    <w:lvl w:ilvl="6" w:tplc="0809000F" w:tentative="1">
      <w:start w:val="1"/>
      <w:numFmt w:val="decimal"/>
      <w:lvlText w:val="%7."/>
      <w:lvlJc w:val="left"/>
      <w:pPr>
        <w:ind w:left="4716" w:hanging="360"/>
      </w:pPr>
    </w:lvl>
    <w:lvl w:ilvl="7" w:tplc="08090019" w:tentative="1">
      <w:start w:val="1"/>
      <w:numFmt w:val="lowerLetter"/>
      <w:lvlText w:val="%8."/>
      <w:lvlJc w:val="left"/>
      <w:pPr>
        <w:ind w:left="5436" w:hanging="360"/>
      </w:pPr>
    </w:lvl>
    <w:lvl w:ilvl="8" w:tplc="0809001B" w:tentative="1">
      <w:start w:val="1"/>
      <w:numFmt w:val="lowerRoman"/>
      <w:lvlText w:val="%9."/>
      <w:lvlJc w:val="right"/>
      <w:pPr>
        <w:ind w:left="6156" w:hanging="180"/>
      </w:pPr>
    </w:lvl>
  </w:abstractNum>
  <w:abstractNum w:abstractNumId="20" w15:restartNumberingAfterBreak="0">
    <w:nsid w:val="486800B4"/>
    <w:multiLevelType w:val="multilevel"/>
    <w:tmpl w:val="A0241B28"/>
    <w:numStyleLink w:val="List1"/>
  </w:abstractNum>
  <w:abstractNum w:abstractNumId="21"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2" w15:restartNumberingAfterBreak="0">
    <w:nsid w:val="496159DC"/>
    <w:multiLevelType w:val="multilevel"/>
    <w:tmpl w:val="BE78A4F8"/>
    <w:numStyleLink w:val="Numberlist"/>
  </w:abstractNum>
  <w:abstractNum w:abstractNumId="23"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5" w15:restartNumberingAfterBreak="0">
    <w:nsid w:val="587E3564"/>
    <w:multiLevelType w:val="hybridMultilevel"/>
    <w:tmpl w:val="69426E80"/>
    <w:lvl w:ilvl="0" w:tplc="0810A812">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8"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9"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C8C10A1"/>
    <w:multiLevelType w:val="multilevel"/>
    <w:tmpl w:val="BE78A4F8"/>
    <w:numStyleLink w:val="Numberlist"/>
  </w:abstractNum>
  <w:abstractNum w:abstractNumId="31" w15:restartNumberingAfterBreak="0">
    <w:nsid w:val="733934B7"/>
    <w:multiLevelType w:val="multilevel"/>
    <w:tmpl w:val="A0241B28"/>
    <w:numStyleLink w:val="List1"/>
  </w:abstractNum>
  <w:num w:numId="1" w16cid:durableId="2071880264">
    <w:abstractNumId w:val="7"/>
  </w:num>
  <w:num w:numId="2" w16cid:durableId="1673799208">
    <w:abstractNumId w:val="20"/>
  </w:num>
  <w:num w:numId="3" w16cid:durableId="1404451164">
    <w:abstractNumId w:val="21"/>
  </w:num>
  <w:num w:numId="4" w16cid:durableId="1666787524">
    <w:abstractNumId w:val="12"/>
  </w:num>
  <w:num w:numId="5" w16cid:durableId="381057155">
    <w:abstractNumId w:val="27"/>
  </w:num>
  <w:num w:numId="6" w16cid:durableId="1639215797">
    <w:abstractNumId w:val="28"/>
  </w:num>
  <w:num w:numId="7" w16cid:durableId="8609022">
    <w:abstractNumId w:val="8"/>
  </w:num>
  <w:num w:numId="8" w16cid:durableId="1643265712">
    <w:abstractNumId w:val="15"/>
  </w:num>
  <w:num w:numId="9" w16cid:durableId="793717093">
    <w:abstractNumId w:val="17"/>
  </w:num>
  <w:num w:numId="10" w16cid:durableId="1642540004">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5662813">
    <w:abstractNumId w:val="6"/>
  </w:num>
  <w:num w:numId="12" w16cid:durableId="1466848734">
    <w:abstractNumId w:val="4"/>
  </w:num>
  <w:num w:numId="13" w16cid:durableId="297998804">
    <w:abstractNumId w:val="3"/>
  </w:num>
  <w:num w:numId="14" w16cid:durableId="369259423">
    <w:abstractNumId w:val="2"/>
  </w:num>
  <w:num w:numId="15" w16cid:durableId="1457260623">
    <w:abstractNumId w:val="13"/>
  </w:num>
  <w:num w:numId="16" w16cid:durableId="1314063411">
    <w:abstractNumId w:val="24"/>
  </w:num>
  <w:num w:numId="17" w16cid:durableId="45929948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41610074">
    <w:abstractNumId w:val="29"/>
  </w:num>
  <w:num w:numId="19" w16cid:durableId="2052537745">
    <w:abstractNumId w:val="1"/>
  </w:num>
  <w:num w:numId="20" w16cid:durableId="1609198961">
    <w:abstractNumId w:val="0"/>
  </w:num>
  <w:num w:numId="21" w16cid:durableId="1217014302">
    <w:abstractNumId w:val="16"/>
  </w:num>
  <w:num w:numId="22" w16cid:durableId="1652558498">
    <w:abstractNumId w:val="22"/>
  </w:num>
  <w:num w:numId="23" w16cid:durableId="780877881">
    <w:abstractNumId w:val="30"/>
  </w:num>
  <w:num w:numId="24" w16cid:durableId="9570234">
    <w:abstractNumId w:val="14"/>
  </w:num>
  <w:num w:numId="25" w16cid:durableId="1084184664">
    <w:abstractNumId w:val="18"/>
  </w:num>
  <w:num w:numId="26" w16cid:durableId="156895039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15498190">
    <w:abstractNumId w:val="31"/>
  </w:num>
  <w:num w:numId="28" w16cid:durableId="626202022">
    <w:abstractNumId w:val="23"/>
  </w:num>
  <w:num w:numId="29" w16cid:durableId="281765065">
    <w:abstractNumId w:val="26"/>
  </w:num>
  <w:num w:numId="30" w16cid:durableId="866915021">
    <w:abstractNumId w:val="10"/>
  </w:num>
  <w:num w:numId="31" w16cid:durableId="742336246">
    <w:abstractNumId w:val="9"/>
  </w:num>
  <w:num w:numId="32" w16cid:durableId="652638494">
    <w:abstractNumId w:val="9"/>
  </w:num>
  <w:num w:numId="33" w16cid:durableId="1521432034">
    <w:abstractNumId w:val="19"/>
  </w:num>
  <w:num w:numId="34" w16cid:durableId="1860507619">
    <w:abstractNumId w:val="25"/>
  </w:num>
  <w:num w:numId="35" w16cid:durableId="349181827">
    <w:abstractNumId w:val="11"/>
  </w:num>
  <w:num w:numId="36" w16cid:durableId="1125149918">
    <w:abstractNumId w:val="5"/>
  </w:num>
  <w:num w:numId="37" w16cid:durableId="1498230728">
    <w:abstractNumId w:val="17"/>
    <w:lvlOverride w:ilvl="0">
      <w:startOverride w:val="94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56F"/>
    <w:rsid w:val="000051D4"/>
    <w:rsid w:val="00036CDA"/>
    <w:rsid w:val="00040BE2"/>
    <w:rsid w:val="000657C0"/>
    <w:rsid w:val="00077C8E"/>
    <w:rsid w:val="00084CA6"/>
    <w:rsid w:val="000869AB"/>
    <w:rsid w:val="000939C3"/>
    <w:rsid w:val="000942EE"/>
    <w:rsid w:val="0009638C"/>
    <w:rsid w:val="00097FA8"/>
    <w:rsid w:val="000A7AAF"/>
    <w:rsid w:val="000D3DAB"/>
    <w:rsid w:val="000F2E03"/>
    <w:rsid w:val="000F7610"/>
    <w:rsid w:val="0010729B"/>
    <w:rsid w:val="00140FE3"/>
    <w:rsid w:val="00150981"/>
    <w:rsid w:val="00151297"/>
    <w:rsid w:val="001641A3"/>
    <w:rsid w:val="001724E5"/>
    <w:rsid w:val="00176594"/>
    <w:rsid w:val="0017699C"/>
    <w:rsid w:val="0018019E"/>
    <w:rsid w:val="001C1865"/>
    <w:rsid w:val="001E1A37"/>
    <w:rsid w:val="001E59C1"/>
    <w:rsid w:val="002143FB"/>
    <w:rsid w:val="0022158B"/>
    <w:rsid w:val="00222137"/>
    <w:rsid w:val="00262F24"/>
    <w:rsid w:val="002677BA"/>
    <w:rsid w:val="00274FFC"/>
    <w:rsid w:val="00281BB6"/>
    <w:rsid w:val="00284C5A"/>
    <w:rsid w:val="00284D14"/>
    <w:rsid w:val="00286307"/>
    <w:rsid w:val="00286361"/>
    <w:rsid w:val="002922E9"/>
    <w:rsid w:val="00296383"/>
    <w:rsid w:val="002D5B0A"/>
    <w:rsid w:val="002F13B4"/>
    <w:rsid w:val="002F1457"/>
    <w:rsid w:val="003024BD"/>
    <w:rsid w:val="003214B3"/>
    <w:rsid w:val="003226DC"/>
    <w:rsid w:val="00324BD0"/>
    <w:rsid w:val="00337E10"/>
    <w:rsid w:val="00341111"/>
    <w:rsid w:val="0034299D"/>
    <w:rsid w:val="003537AD"/>
    <w:rsid w:val="00353826"/>
    <w:rsid w:val="00360039"/>
    <w:rsid w:val="00363FA6"/>
    <w:rsid w:val="00364A4A"/>
    <w:rsid w:val="00371F5F"/>
    <w:rsid w:val="00380BD7"/>
    <w:rsid w:val="00395407"/>
    <w:rsid w:val="003D0B59"/>
    <w:rsid w:val="003D43DB"/>
    <w:rsid w:val="003E7EF8"/>
    <w:rsid w:val="003F28C4"/>
    <w:rsid w:val="003F35EB"/>
    <w:rsid w:val="00410B27"/>
    <w:rsid w:val="004119A5"/>
    <w:rsid w:val="00423B05"/>
    <w:rsid w:val="00427158"/>
    <w:rsid w:val="00432172"/>
    <w:rsid w:val="00435090"/>
    <w:rsid w:val="00461957"/>
    <w:rsid w:val="004630B9"/>
    <w:rsid w:val="00470E2C"/>
    <w:rsid w:val="00475EE4"/>
    <w:rsid w:val="0049156C"/>
    <w:rsid w:val="00491E5F"/>
    <w:rsid w:val="00496D0B"/>
    <w:rsid w:val="004B1D54"/>
    <w:rsid w:val="004B6C5D"/>
    <w:rsid w:val="004E0F77"/>
    <w:rsid w:val="004E4E86"/>
    <w:rsid w:val="004F3F2A"/>
    <w:rsid w:val="005043EB"/>
    <w:rsid w:val="00515C53"/>
    <w:rsid w:val="00517A68"/>
    <w:rsid w:val="0052129F"/>
    <w:rsid w:val="00532E72"/>
    <w:rsid w:val="00544A54"/>
    <w:rsid w:val="00544B6C"/>
    <w:rsid w:val="00554BF3"/>
    <w:rsid w:val="0056172A"/>
    <w:rsid w:val="0056382C"/>
    <w:rsid w:val="00585E24"/>
    <w:rsid w:val="005A4D47"/>
    <w:rsid w:val="005A7193"/>
    <w:rsid w:val="005A71A0"/>
    <w:rsid w:val="005B61FB"/>
    <w:rsid w:val="005D3790"/>
    <w:rsid w:val="005E25BD"/>
    <w:rsid w:val="00605A90"/>
    <w:rsid w:val="006138D1"/>
    <w:rsid w:val="0061706B"/>
    <w:rsid w:val="00622CD2"/>
    <w:rsid w:val="00643A21"/>
    <w:rsid w:val="00643C78"/>
    <w:rsid w:val="006440A9"/>
    <w:rsid w:val="006477DF"/>
    <w:rsid w:val="006522E4"/>
    <w:rsid w:val="00674520"/>
    <w:rsid w:val="00674671"/>
    <w:rsid w:val="00680970"/>
    <w:rsid w:val="006A4573"/>
    <w:rsid w:val="006B222A"/>
    <w:rsid w:val="006C16FF"/>
    <w:rsid w:val="006C261F"/>
    <w:rsid w:val="006C5145"/>
    <w:rsid w:val="006F54FF"/>
    <w:rsid w:val="00711D05"/>
    <w:rsid w:val="007167CA"/>
    <w:rsid w:val="0072729E"/>
    <w:rsid w:val="00732EC9"/>
    <w:rsid w:val="00744EC9"/>
    <w:rsid w:val="00752336"/>
    <w:rsid w:val="00761A73"/>
    <w:rsid w:val="00761FCF"/>
    <w:rsid w:val="00764D6A"/>
    <w:rsid w:val="00773056"/>
    <w:rsid w:val="00791972"/>
    <w:rsid w:val="007A23E3"/>
    <w:rsid w:val="007A4D12"/>
    <w:rsid w:val="007A5D10"/>
    <w:rsid w:val="007B7E13"/>
    <w:rsid w:val="007C358A"/>
    <w:rsid w:val="007C7F54"/>
    <w:rsid w:val="008173A6"/>
    <w:rsid w:val="00820F04"/>
    <w:rsid w:val="00851DAC"/>
    <w:rsid w:val="00855CAB"/>
    <w:rsid w:val="00861B34"/>
    <w:rsid w:val="00862323"/>
    <w:rsid w:val="00863135"/>
    <w:rsid w:val="008826E5"/>
    <w:rsid w:val="00884BD0"/>
    <w:rsid w:val="00892CC1"/>
    <w:rsid w:val="00897B06"/>
    <w:rsid w:val="008A0EE3"/>
    <w:rsid w:val="008B3554"/>
    <w:rsid w:val="008C661A"/>
    <w:rsid w:val="008D5490"/>
    <w:rsid w:val="008D619B"/>
    <w:rsid w:val="009020C3"/>
    <w:rsid w:val="00902FB7"/>
    <w:rsid w:val="009123BC"/>
    <w:rsid w:val="00923CC9"/>
    <w:rsid w:val="0094053C"/>
    <w:rsid w:val="009841FD"/>
    <w:rsid w:val="00985817"/>
    <w:rsid w:val="00990C8C"/>
    <w:rsid w:val="00995C15"/>
    <w:rsid w:val="009B22C3"/>
    <w:rsid w:val="009C4594"/>
    <w:rsid w:val="009D5007"/>
    <w:rsid w:val="009E2823"/>
    <w:rsid w:val="009E7AB5"/>
    <w:rsid w:val="009F6EB5"/>
    <w:rsid w:val="00A10C4C"/>
    <w:rsid w:val="00A217DF"/>
    <w:rsid w:val="00A57000"/>
    <w:rsid w:val="00A57C55"/>
    <w:rsid w:val="00A57CCE"/>
    <w:rsid w:val="00A82557"/>
    <w:rsid w:val="00A9085A"/>
    <w:rsid w:val="00A91307"/>
    <w:rsid w:val="00AB7911"/>
    <w:rsid w:val="00AC35F5"/>
    <w:rsid w:val="00AE06ED"/>
    <w:rsid w:val="00AE356F"/>
    <w:rsid w:val="00AE4237"/>
    <w:rsid w:val="00AE48F7"/>
    <w:rsid w:val="00B02B9B"/>
    <w:rsid w:val="00B060DD"/>
    <w:rsid w:val="00B113AA"/>
    <w:rsid w:val="00B42877"/>
    <w:rsid w:val="00B43B36"/>
    <w:rsid w:val="00B54C1D"/>
    <w:rsid w:val="00B5740E"/>
    <w:rsid w:val="00B80810"/>
    <w:rsid w:val="00B84485"/>
    <w:rsid w:val="00B84641"/>
    <w:rsid w:val="00B861B4"/>
    <w:rsid w:val="00B97E61"/>
    <w:rsid w:val="00BB10DB"/>
    <w:rsid w:val="00BC1616"/>
    <w:rsid w:val="00BC3A54"/>
    <w:rsid w:val="00BC437D"/>
    <w:rsid w:val="00BC4718"/>
    <w:rsid w:val="00BD2FC7"/>
    <w:rsid w:val="00BD6C67"/>
    <w:rsid w:val="00BE561A"/>
    <w:rsid w:val="00BE6298"/>
    <w:rsid w:val="00BF15EC"/>
    <w:rsid w:val="00BF31FB"/>
    <w:rsid w:val="00BF4E55"/>
    <w:rsid w:val="00C003C5"/>
    <w:rsid w:val="00C02519"/>
    <w:rsid w:val="00C049B7"/>
    <w:rsid w:val="00C06F6B"/>
    <w:rsid w:val="00C12ACE"/>
    <w:rsid w:val="00C1674C"/>
    <w:rsid w:val="00C22689"/>
    <w:rsid w:val="00C26D1C"/>
    <w:rsid w:val="00C33358"/>
    <w:rsid w:val="00C416EC"/>
    <w:rsid w:val="00C647C5"/>
    <w:rsid w:val="00C812A1"/>
    <w:rsid w:val="00C8371D"/>
    <w:rsid w:val="00C85C62"/>
    <w:rsid w:val="00C968FA"/>
    <w:rsid w:val="00CD04E2"/>
    <w:rsid w:val="00CD74B5"/>
    <w:rsid w:val="00CE65C5"/>
    <w:rsid w:val="00CF4F5E"/>
    <w:rsid w:val="00CF670F"/>
    <w:rsid w:val="00D07F7D"/>
    <w:rsid w:val="00D1032B"/>
    <w:rsid w:val="00D12BC0"/>
    <w:rsid w:val="00D2134F"/>
    <w:rsid w:val="00D305C7"/>
    <w:rsid w:val="00D412AD"/>
    <w:rsid w:val="00D47121"/>
    <w:rsid w:val="00D501F5"/>
    <w:rsid w:val="00D52642"/>
    <w:rsid w:val="00D56A03"/>
    <w:rsid w:val="00D65CD1"/>
    <w:rsid w:val="00D6626A"/>
    <w:rsid w:val="00D66856"/>
    <w:rsid w:val="00DA71B8"/>
    <w:rsid w:val="00DE0AAE"/>
    <w:rsid w:val="00E20810"/>
    <w:rsid w:val="00E47DDD"/>
    <w:rsid w:val="00E73944"/>
    <w:rsid w:val="00E824E7"/>
    <w:rsid w:val="00E91D72"/>
    <w:rsid w:val="00E93ED1"/>
    <w:rsid w:val="00EA2A2D"/>
    <w:rsid w:val="00EC40D3"/>
    <w:rsid w:val="00ED606C"/>
    <w:rsid w:val="00EE4833"/>
    <w:rsid w:val="00EF55CC"/>
    <w:rsid w:val="00F04729"/>
    <w:rsid w:val="00F21039"/>
    <w:rsid w:val="00F30C63"/>
    <w:rsid w:val="00F54301"/>
    <w:rsid w:val="00F6207E"/>
    <w:rsid w:val="00F63506"/>
    <w:rsid w:val="00F672D4"/>
    <w:rsid w:val="00F82F27"/>
    <w:rsid w:val="00FA2743"/>
    <w:rsid w:val="00FA6A14"/>
    <w:rsid w:val="00FC1759"/>
    <w:rsid w:val="00FE274C"/>
    <w:rsid w:val="00FE64BC"/>
    <w:rsid w:val="00FF4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80C74"/>
  <w15:docId w15:val="{F737C3A6-BEFB-428A-B5AD-F17671693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356F"/>
    <w:pPr>
      <w:spacing w:after="160" w:line="259"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902FB7"/>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paragraph" w:styleId="ListParagraph">
    <w:name w:val="List Paragraph"/>
    <w:basedOn w:val="Normal"/>
    <w:uiPriority w:val="99"/>
    <w:qFormat/>
    <w:rsid w:val="006C261F"/>
    <w:pPr>
      <w:spacing w:after="0" w:line="240" w:lineRule="auto"/>
      <w:ind w:left="720"/>
    </w:pPr>
    <w:rPr>
      <w:rFonts w:ascii="Calibri" w:hAnsi="Calibri" w:cs="Calibri"/>
    </w:rPr>
  </w:style>
  <w:style w:type="paragraph" w:customStyle="1" w:styleId="TableHead">
    <w:name w:val="Table Head"/>
    <w:basedOn w:val="Normal"/>
    <w:link w:val="TableHeadCar"/>
    <w:rsid w:val="00AE356F"/>
    <w:pPr>
      <w:spacing w:before="120" w:after="120" w:line="240" w:lineRule="auto"/>
      <w:jc w:val="center"/>
    </w:pPr>
    <w:rPr>
      <w:rFonts w:ascii="Ottawa" w:eastAsia="Times New Roman" w:hAnsi="Ottawa" w:cs="Times New Roman"/>
      <w:b/>
      <w:bCs/>
      <w:sz w:val="18"/>
      <w:lang w:val="en-IE" w:bidi="en-US"/>
    </w:rPr>
  </w:style>
  <w:style w:type="character" w:customStyle="1" w:styleId="TableHeadCar">
    <w:name w:val="Table Head Car"/>
    <w:link w:val="TableHead"/>
    <w:rsid w:val="00AE356F"/>
    <w:rPr>
      <w:rFonts w:ascii="Ottawa" w:eastAsia="Times New Roman" w:hAnsi="Ottawa"/>
      <w:b/>
      <w:bCs/>
      <w:sz w:val="18"/>
      <w:szCs w:val="22"/>
      <w:lang w:val="en-IE" w:eastAsia="en-US" w:bidi="en-US"/>
    </w:rPr>
  </w:style>
  <w:style w:type="paragraph" w:customStyle="1" w:styleId="paraA">
    <w:name w:val="paraA"/>
    <w:basedOn w:val="Normal"/>
    <w:uiPriority w:val="99"/>
    <w:rsid w:val="00AE356F"/>
    <w:pPr>
      <w:tabs>
        <w:tab w:val="left" w:pos="-720"/>
      </w:tabs>
      <w:spacing w:after="240" w:line="240" w:lineRule="auto"/>
      <w:jc w:val="both"/>
    </w:pPr>
    <w:rPr>
      <w:rFonts w:ascii="Arial" w:eastAsia="Times New Roman" w:hAnsi="Arial" w:cs="Arial"/>
      <w:sz w:val="18"/>
      <w:szCs w:val="18"/>
      <w:lang w:val="en-GB" w:eastAsia="fr-FR"/>
    </w:rPr>
  </w:style>
  <w:style w:type="character" w:customStyle="1" w:styleId="normaltextrun">
    <w:name w:val="normaltextrun"/>
    <w:basedOn w:val="DefaultParagraphFont"/>
    <w:rsid w:val="00AE356F"/>
  </w:style>
  <w:style w:type="paragraph" w:customStyle="1" w:styleId="Draftingnotes">
    <w:name w:val="Drafting notes"/>
    <w:basedOn w:val="Normal"/>
    <w:qFormat/>
    <w:rsid w:val="00AE356F"/>
    <w:pPr>
      <w:spacing w:after="200" w:line="240" w:lineRule="auto"/>
    </w:pPr>
    <w:rPr>
      <w:rFonts w:ascii="Calibri" w:hAnsi="Calibri"/>
      <w:color w:val="0070C0"/>
    </w:rPr>
  </w:style>
  <w:style w:type="paragraph" w:styleId="Revision">
    <w:name w:val="Revision"/>
    <w:hidden/>
    <w:uiPriority w:val="99"/>
    <w:semiHidden/>
    <w:rsid w:val="00AE356F"/>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287929749">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91865234">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296014">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griculture.gov.au/agriculture-land/animal/health/laboratories/procedures/anzsdp/white-spot-disease" TargetMode="External"/><Relationship Id="rId18" Type="http://schemas.openxmlformats.org/officeDocument/2006/relationships/header" Target="header2.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agriculture.gov.au/agriculture-land/animal/aquatic/guidelines-and-resources/aquatic_animal_diseases_significant_to_australia_identification_field_guide"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mailto:peter.mohr@csiro.au" TargetMode="Externa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legalcode" TargetMode="Externa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mailto:nick.moody@csiro.au" TargetMode="External"/><Relationship Id="rId23" Type="http://schemas.openxmlformats.org/officeDocument/2006/relationships/image" Target="media/image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riculture.gov.au/" TargetMode="External"/><Relationship Id="rId22" Type="http://schemas.openxmlformats.org/officeDocument/2006/relationships/hyperlink" Target="https://www.woah.org/fileadmin/Home/eng/Health_standards/aahc/2009/en_chapitre_1.1.4.htm" TargetMode="External"/><Relationship Id="rId27" Type="http://schemas.openxmlformats.org/officeDocument/2006/relationships/header" Target="header6.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7" ma:contentTypeDescription="Create a new document." ma:contentTypeScope="" ma:versionID="5072dae7b5d1063ccc984f98230f8ba8">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6e731d4670ae8f071f6d03276544a2f"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Props1.xml><?xml version="1.0" encoding="utf-8"?>
<ds:datastoreItem xmlns:ds="http://schemas.openxmlformats.org/officeDocument/2006/customXml" ds:itemID="{E97B976B-56F8-49F7-8CEA-FDDB3F7016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4.xml><?xml version="1.0" encoding="utf-8"?>
<ds:datastoreItem xmlns:ds="http://schemas.openxmlformats.org/officeDocument/2006/customXml" ds:itemID="{9D1CAD33-3B39-4665-A5E6-666D035120E9}">
  <ds:schemaRefs>
    <ds:schemaRef ds:uri="http://purl.org/dc/terms/"/>
    <ds:schemaRef ds:uri="http://schemas.microsoft.com/office/infopath/2007/PartnerControls"/>
    <ds:schemaRef ds:uri="c95b51c2-b2ac-4224-a5b5-069909057829"/>
    <ds:schemaRef ds:uri="http://www.w3.org/XML/1998/namespace"/>
    <ds:schemaRef ds:uri="http://schemas.microsoft.com/office/2006/documentManagement/types"/>
    <ds:schemaRef ds:uri="http://purl.org/dc/elements/1.1/"/>
    <ds:schemaRef ds:uri="81c01dc6-2c49-4730-b140-874c95cac377"/>
    <ds:schemaRef ds:uri="http://purl.org/dc/dcmitype/"/>
    <ds:schemaRef ds:uri="http://schemas.openxmlformats.org/package/2006/metadata/core-properties"/>
    <ds:schemaRef ds:uri="2b53c995-2120-4bc0-8922-c25044d37f65"/>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32</Pages>
  <Words>11636</Words>
  <Characters>66329</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Australian and New Zealand Standard Diagnostic Procedure (ANZSDP) for White Spot Syndrome Virus</vt:lpstr>
    </vt:vector>
  </TitlesOfParts>
  <Company/>
  <LinksUpToDate>false</LinksUpToDate>
  <CharactersWithSpaces>77810</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and New Zealand Standard Diagnostic Procedure (ANZSDP) for White Spot Syndrome Virus</dc:title>
  <dc:creator>Department of Agriculture, Fisheries and Forestry</dc:creator>
  <cp:lastModifiedBy>Goggins, Fiona</cp:lastModifiedBy>
  <cp:revision>3</cp:revision>
  <cp:lastPrinted>2023-07-31T03:19:00Z</cp:lastPrinted>
  <dcterms:created xsi:type="dcterms:W3CDTF">2023-07-31T03:24:00Z</dcterms:created>
  <dcterms:modified xsi:type="dcterms:W3CDTF">2023-07-31T05:21:00Z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0x0101002C982D4D3ABBAF49949BEA620E23A834</vt:lpwstr>
  </property>
  <property fmtid="{D5CDD505-2E9C-101B-9397-08002B2CF9AE}" pid="3" name="MediaServiceImageTags">
    <vt:lpwstr/>
  </property>
</Properties>
</file>