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B65C6" w14:textId="63747E77" w:rsidR="00A80B98" w:rsidRDefault="00A80B98" w:rsidP="00A80B98">
      <w:pPr>
        <w:pStyle w:val="Heading2"/>
        <w:rPr>
          <w:color w:val="0070C0"/>
          <w:lang w:val="en-US"/>
        </w:rPr>
      </w:pPr>
      <w:r>
        <w:rPr>
          <w:noProof/>
        </w:rPr>
        <w:drawing>
          <wp:inline distT="0" distB="0" distL="0" distR="0" wp14:anchorId="072496F1" wp14:editId="21BF4AC2">
            <wp:extent cx="2514600" cy="962025"/>
            <wp:effectExtent l="0" t="0" r="0" b="0"/>
            <wp:docPr id="1" name="Picture 1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artment of Agriculture, Fisheries and Forestr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AC6F3" w14:textId="23A6AD93" w:rsidR="00A80B98" w:rsidRPr="0001178E" w:rsidRDefault="00A80B98" w:rsidP="00A80B98">
      <w:pPr>
        <w:pStyle w:val="Heading1"/>
        <w:jc w:val="center"/>
        <w:rPr>
          <w:color w:val="0070C0"/>
        </w:rPr>
      </w:pPr>
      <w:r w:rsidRPr="0001178E">
        <w:rPr>
          <w:color w:val="0070C0"/>
        </w:rPr>
        <w:t>Approved disinfectants</w:t>
      </w:r>
      <w:r w:rsidR="00FC3C7F">
        <w:rPr>
          <w:color w:val="0070C0"/>
        </w:rPr>
        <w:t xml:space="preserve"> for </w:t>
      </w:r>
      <w:r w:rsidR="002D2307">
        <w:rPr>
          <w:color w:val="0070C0"/>
        </w:rPr>
        <w:t xml:space="preserve">onshore </w:t>
      </w:r>
      <w:r w:rsidR="00FC3C7F">
        <w:rPr>
          <w:color w:val="0070C0"/>
        </w:rPr>
        <w:t>horse facilities</w:t>
      </w:r>
    </w:p>
    <w:p w14:paraId="3E9F4DEA" w14:textId="77777777" w:rsidR="00A80B98" w:rsidRPr="00996D3F" w:rsidRDefault="00BE6543" w:rsidP="00A80B98">
      <w:pPr>
        <w:pStyle w:val="BodyText"/>
        <w:rPr>
          <w:highlight w:val="yellow"/>
        </w:rPr>
      </w:pPr>
      <w:r>
        <w:pict w14:anchorId="20459FEC">
          <v:rect id="_x0000_i1025" style="width:451.3pt;height:3pt" o:hralign="center" o:hrstd="t" o:hrnoshade="t" o:hr="t" fillcolor="#d5d2ca" stroked="f"/>
        </w:pict>
      </w:r>
    </w:p>
    <w:p w14:paraId="5FF2E02D" w14:textId="77777777" w:rsidR="006C16CA" w:rsidRDefault="00A80B98" w:rsidP="00A80B98">
      <w:pPr>
        <w:pStyle w:val="BodyText"/>
      </w:pPr>
      <w:r>
        <w:t>This document lists disinfectants that have been approved by the Department of Agriculture, Fisheries and Forestry (DAFF) for</w:t>
      </w:r>
      <w:r w:rsidR="003B07B0">
        <w:t xml:space="preserve"> onshore</w:t>
      </w:r>
      <w:r>
        <w:t xml:space="preserve"> use at</w:t>
      </w:r>
      <w:r w:rsidR="006C16CA">
        <w:t>:</w:t>
      </w:r>
      <w:r>
        <w:t xml:space="preserve"> </w:t>
      </w:r>
    </w:p>
    <w:p w14:paraId="5C8F244A" w14:textId="6A5A4AC5" w:rsidR="006C16CA" w:rsidRDefault="00A80B98" w:rsidP="006C16CA">
      <w:pPr>
        <w:pStyle w:val="BodyText"/>
        <w:numPr>
          <w:ilvl w:val="0"/>
          <w:numId w:val="2"/>
        </w:numPr>
      </w:pPr>
      <w:r w:rsidRPr="00AE34CA">
        <w:rPr>
          <w:b/>
          <w:bCs/>
        </w:rPr>
        <w:t>clearances of imported northern hemisphere horses</w:t>
      </w:r>
      <w:r>
        <w:t xml:space="preserve"> </w:t>
      </w:r>
      <w:r w:rsidR="006C16CA">
        <w:t>(including class 1.2 facilities that manage clearances of horses from the northern hemisphere)</w:t>
      </w:r>
    </w:p>
    <w:p w14:paraId="35AE87AD" w14:textId="37FCD632" w:rsidR="006C16CA" w:rsidRPr="00AE34CA" w:rsidRDefault="00A80B98" w:rsidP="006C16CA">
      <w:pPr>
        <w:pStyle w:val="BodyText"/>
        <w:numPr>
          <w:ilvl w:val="0"/>
          <w:numId w:val="2"/>
        </w:numPr>
        <w:rPr>
          <w:b/>
          <w:bCs/>
        </w:rPr>
      </w:pPr>
      <w:r w:rsidRPr="00AE34CA">
        <w:rPr>
          <w:b/>
          <w:bCs/>
        </w:rPr>
        <w:t xml:space="preserve">class 7.12 facilities </w:t>
      </w:r>
    </w:p>
    <w:p w14:paraId="6E494D2A" w14:textId="77777777" w:rsidR="006C16CA" w:rsidRPr="00AE34CA" w:rsidRDefault="00A80B98" w:rsidP="006C16CA">
      <w:pPr>
        <w:pStyle w:val="BodyText"/>
        <w:numPr>
          <w:ilvl w:val="0"/>
          <w:numId w:val="2"/>
        </w:numPr>
        <w:rPr>
          <w:b/>
          <w:bCs/>
        </w:rPr>
      </w:pPr>
      <w:r w:rsidRPr="00AE34CA">
        <w:rPr>
          <w:b/>
          <w:bCs/>
        </w:rPr>
        <w:t xml:space="preserve">government quarantine facilities for horses. </w:t>
      </w:r>
    </w:p>
    <w:p w14:paraId="7F20FBDC" w14:textId="56E3BCE0" w:rsidR="00A80B98" w:rsidRDefault="00A31691" w:rsidP="006C16CA">
      <w:pPr>
        <w:pStyle w:val="BodyText"/>
      </w:pPr>
      <w:r>
        <w:t>Th</w:t>
      </w:r>
      <w:r w:rsidR="00A93AD3">
        <w:t>is</w:t>
      </w:r>
      <w:r>
        <w:t xml:space="preserve"> information</w:t>
      </w:r>
      <w:r w:rsidR="00A80B98">
        <w:t xml:space="preserve"> is not applicable to horse imports from New Zealand or New Caledonia.</w:t>
      </w:r>
    </w:p>
    <w:p w14:paraId="64EE0B7C" w14:textId="1181D398" w:rsidR="009F6140" w:rsidRDefault="009F6140" w:rsidP="009F6140">
      <w:pPr>
        <w:pStyle w:val="BodyText"/>
      </w:pPr>
      <w:r>
        <w:t xml:space="preserve">The information in this document </w:t>
      </w:r>
      <w:r w:rsidR="002E28B9">
        <w:t>may</w:t>
      </w:r>
      <w:r>
        <w:t xml:space="preserve"> also be found on the </w:t>
      </w:r>
      <w:hyperlink r:id="rId11" w:history="1">
        <w:r w:rsidRPr="00A31691">
          <w:rPr>
            <w:rStyle w:val="Hyperlink"/>
          </w:rPr>
          <w:t>Notice to Industry 13</w:t>
        </w:r>
      </w:hyperlink>
      <w:r>
        <w:t xml:space="preserve"> webpage. </w:t>
      </w:r>
    </w:p>
    <w:p w14:paraId="2D57E2B8" w14:textId="77777777" w:rsidR="00A80B98" w:rsidRDefault="00A80B98" w:rsidP="00A80B98">
      <w:pPr>
        <w:pStyle w:val="BodyText"/>
      </w:pPr>
      <w:r>
        <w:t xml:space="preserve">Appropriate disinfection of facilities and transport vehicles used for imported horses are part of Australia’s risk mitigation measures for equine diseases of biosecurity concern. </w:t>
      </w:r>
    </w:p>
    <w:p w14:paraId="2B76DCE7" w14:textId="45271302" w:rsidR="00A80B98" w:rsidRDefault="00A80B98" w:rsidP="00A80B98">
      <w:pPr>
        <w:pStyle w:val="BodyText"/>
      </w:pPr>
      <w:r w:rsidRPr="00A110DC">
        <w:t xml:space="preserve">The </w:t>
      </w:r>
      <w:r>
        <w:t>efficacy</w:t>
      </w:r>
      <w:r w:rsidRPr="00A110DC">
        <w:t xml:space="preserve"> of disinfectants is highly variable depending on the ambient conditions (</w:t>
      </w:r>
      <w:r>
        <w:t xml:space="preserve">specifically </w:t>
      </w:r>
      <w:r w:rsidRPr="00A110DC">
        <w:t xml:space="preserve">temperature) and how they are used.  </w:t>
      </w:r>
      <w:r>
        <w:t>The d</w:t>
      </w:r>
      <w:r w:rsidRPr="00A110DC">
        <w:t xml:space="preserve">isinfectants </w:t>
      </w:r>
      <w:r>
        <w:t xml:space="preserve">listed in the table below are approved for use in </w:t>
      </w:r>
      <w:r w:rsidR="001B306C">
        <w:t xml:space="preserve">horse </w:t>
      </w:r>
      <w:r>
        <w:t xml:space="preserve">clearance and post-arrival quarantine facilities, </w:t>
      </w:r>
      <w:r w:rsidRPr="00B02272">
        <w:rPr>
          <w:i/>
          <w:iCs/>
        </w:rPr>
        <w:t>only</w:t>
      </w:r>
      <w:r>
        <w:t xml:space="preserve">: </w:t>
      </w:r>
    </w:p>
    <w:p w14:paraId="0A054424" w14:textId="77777777" w:rsidR="00A80B98" w:rsidRDefault="00A80B98" w:rsidP="00A80B98">
      <w:pPr>
        <w:pStyle w:val="ListBullet"/>
        <w:ind w:left="360" w:hanging="360"/>
      </w:pPr>
      <w:r>
        <w:t>when used in accordance with manufacturer’s directions, and</w:t>
      </w:r>
    </w:p>
    <w:p w14:paraId="0713D1BA" w14:textId="07CCE42D" w:rsidR="00A80B98" w:rsidRDefault="00A80B98" w:rsidP="00A80B98">
      <w:pPr>
        <w:pStyle w:val="ListBullet"/>
        <w:ind w:left="360" w:hanging="360"/>
      </w:pPr>
      <w:r>
        <w:t>when used in accordance with the individual disinfectant parameters set out in the table, and</w:t>
      </w:r>
    </w:p>
    <w:p w14:paraId="1E618C56" w14:textId="77777777" w:rsidR="00A80B98" w:rsidRDefault="00A80B98" w:rsidP="00A80B98">
      <w:pPr>
        <w:pStyle w:val="ListBullet"/>
        <w:ind w:left="360" w:hanging="360"/>
      </w:pPr>
      <w:r>
        <w:t>when surfaces are free from contamination with organic material.</w:t>
      </w:r>
    </w:p>
    <w:p w14:paraId="1F5188D3" w14:textId="5EB4D587" w:rsidR="00A80B98" w:rsidRDefault="00A80B98" w:rsidP="00A80B98">
      <w:pPr>
        <w:pStyle w:val="BodyText"/>
      </w:pPr>
      <w:r>
        <w:t xml:space="preserve">Disinfectants </w:t>
      </w:r>
      <w:r w:rsidRPr="00B02272">
        <w:rPr>
          <w:i/>
          <w:iCs/>
        </w:rPr>
        <w:t>not</w:t>
      </w:r>
      <w:r>
        <w:t xml:space="preserve"> listed in the table are </w:t>
      </w:r>
      <w:r w:rsidRPr="00B02272">
        <w:rPr>
          <w:i/>
          <w:iCs/>
        </w:rPr>
        <w:t>not</w:t>
      </w:r>
      <w:r>
        <w:t xml:space="preserve"> permitted to be used at clearances of imported northern hemisphere horses, class 7.12 facilities, and government quarantine facilities, unless written approval has been provided by </w:t>
      </w:r>
      <w:r w:rsidR="00321828">
        <w:t>the Horse, Livestock and Bird Imports team (</w:t>
      </w:r>
      <w:r w:rsidR="00AF5CAD">
        <w:t xml:space="preserve">contact </w:t>
      </w:r>
      <w:hyperlink r:id="rId12" w:history="1">
        <w:r w:rsidR="00AF5CAD" w:rsidRPr="00584D76">
          <w:rPr>
            <w:rStyle w:val="Hyperlink"/>
          </w:rPr>
          <w:t>horses@aff.gov.au</w:t>
        </w:r>
      </w:hyperlink>
      <w:r w:rsidR="00AF5CAD">
        <w:t>)</w:t>
      </w:r>
      <w:r>
        <w:t xml:space="preserve">. </w:t>
      </w:r>
    </w:p>
    <w:p w14:paraId="51361253" w14:textId="2E668237" w:rsidR="00A80B98" w:rsidRDefault="00A80B98" w:rsidP="00A80B98">
      <w:pPr>
        <w:pStyle w:val="BodyText"/>
      </w:pPr>
      <w:r w:rsidRPr="00A110DC">
        <w:rPr>
          <w:b/>
          <w:bCs/>
        </w:rPr>
        <w:t>Important:</w:t>
      </w:r>
      <w:r>
        <w:t xml:space="preserve"> Specific advice on disinfection products and decontamination procedures will be provided in cases of a disease outbreak or emergency surgery, as not all disinfectants will be appropriate in these circumstances.  </w:t>
      </w:r>
    </w:p>
    <w:p w14:paraId="13CFEFB3" w14:textId="77777777" w:rsidR="00991B7A" w:rsidRDefault="00991B7A">
      <w:pPr>
        <w:spacing w:before="0" w:after="160" w:line="259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n-US"/>
        </w:rPr>
      </w:pPr>
      <w:r>
        <w:rPr>
          <w:lang w:val="en-US"/>
        </w:rPr>
        <w:br w:type="page"/>
      </w:r>
    </w:p>
    <w:p w14:paraId="15FAC85E" w14:textId="77BFCAB1" w:rsidR="00A80B98" w:rsidRDefault="00A80B98" w:rsidP="00A80B98">
      <w:pPr>
        <w:pStyle w:val="Heading2"/>
        <w:rPr>
          <w:lang w:val="en-US"/>
        </w:rPr>
      </w:pPr>
      <w:r>
        <w:rPr>
          <w:lang w:val="en-US"/>
        </w:rPr>
        <w:lastRenderedPageBreak/>
        <w:t xml:space="preserve">Table - </w:t>
      </w:r>
      <w:r w:rsidRPr="003E45EA">
        <w:rPr>
          <w:lang w:val="en-US"/>
        </w:rPr>
        <w:t>Approved</w:t>
      </w:r>
      <w:r>
        <w:rPr>
          <w:lang w:val="en-US"/>
        </w:rPr>
        <w:t xml:space="preserve"> onshore</w:t>
      </w:r>
      <w:r w:rsidRPr="003E45EA">
        <w:rPr>
          <w:lang w:val="en-US"/>
        </w:rPr>
        <w:t xml:space="preserve"> disinfectants</w:t>
      </w:r>
    </w:p>
    <w:p w14:paraId="50E57D16" w14:textId="77777777" w:rsidR="00A80B98" w:rsidRDefault="00A80B98" w:rsidP="00A80B98">
      <w:pPr>
        <w:pStyle w:val="BodyText"/>
      </w:pPr>
      <w:r>
        <w:t xml:space="preserve">The following table </w:t>
      </w:r>
      <w:r w:rsidRPr="0004243D">
        <w:t xml:space="preserve">summarises </w:t>
      </w:r>
      <w:r>
        <w:t xml:space="preserve">the disinfectants that are approved for use in onshore facilities that are clearing or managing the quarantine of horses imported from the northern hemisphere. 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2693"/>
        <w:gridCol w:w="992"/>
        <w:gridCol w:w="1134"/>
        <w:gridCol w:w="3402"/>
      </w:tblGrid>
      <w:tr w:rsidR="00A80B98" w:rsidRPr="00510BD7" w14:paraId="173418A4" w14:textId="77777777" w:rsidTr="00BE34C2">
        <w:trPr>
          <w:cantSplit/>
          <w:trHeight w:val="901"/>
          <w:tblHeader/>
        </w:trPr>
        <w:tc>
          <w:tcPr>
            <w:tcW w:w="993" w:type="dxa"/>
            <w:tcBorders>
              <w:right w:val="single" w:sz="4" w:space="0" w:color="FFFFFF"/>
            </w:tcBorders>
            <w:shd w:val="clear" w:color="auto" w:fill="000000"/>
          </w:tcPr>
          <w:p w14:paraId="0EFCA503" w14:textId="77777777" w:rsidR="00A80B98" w:rsidRPr="00A35FAE" w:rsidRDefault="00A80B98" w:rsidP="00BE34C2">
            <w:pPr>
              <w:pStyle w:val="Tableheadings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</w:rPr>
              <w:t>Product Name</w:t>
            </w:r>
          </w:p>
        </w:tc>
        <w:tc>
          <w:tcPr>
            <w:tcW w:w="127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0000"/>
          </w:tcPr>
          <w:p w14:paraId="0D532CC6" w14:textId="77777777" w:rsidR="00A80B98" w:rsidRPr="00A35FAE" w:rsidRDefault="00A80B98" w:rsidP="00BE34C2">
            <w:pPr>
              <w:pStyle w:val="Tableheadings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</w:rPr>
              <w:t>Type of disinfectant</w:t>
            </w:r>
          </w:p>
        </w:tc>
        <w:tc>
          <w:tcPr>
            <w:tcW w:w="269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0000"/>
          </w:tcPr>
          <w:p w14:paraId="4AE962C0" w14:textId="77777777" w:rsidR="00A80B98" w:rsidRPr="00A35FAE" w:rsidRDefault="00A80B98" w:rsidP="00BE34C2">
            <w:pPr>
              <w:pStyle w:val="Tableheadings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</w:rPr>
              <w:t>Active ingred</w:t>
            </w:r>
            <w:r>
              <w:rPr>
                <w:sz w:val="20"/>
                <w:szCs w:val="20"/>
              </w:rPr>
              <w:t>ie</w:t>
            </w:r>
            <w:r w:rsidRPr="00A35FAE">
              <w:rPr>
                <w:sz w:val="20"/>
                <w:szCs w:val="20"/>
              </w:rPr>
              <w:t>nts</w:t>
            </w:r>
          </w:p>
        </w:tc>
        <w:tc>
          <w:tcPr>
            <w:tcW w:w="9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0000"/>
          </w:tcPr>
          <w:p w14:paraId="767E29C7" w14:textId="77777777" w:rsidR="00A80B98" w:rsidRPr="00A35FAE" w:rsidRDefault="00A80B98" w:rsidP="00BE34C2">
            <w:pPr>
              <w:pStyle w:val="Tableheadings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</w:rPr>
              <w:t>Dilution</w:t>
            </w:r>
          </w:p>
        </w:tc>
        <w:tc>
          <w:tcPr>
            <w:tcW w:w="113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0000"/>
          </w:tcPr>
          <w:p w14:paraId="6115A2D0" w14:textId="77777777" w:rsidR="00A80B98" w:rsidRPr="00A35FAE" w:rsidRDefault="00A80B98" w:rsidP="00BE34C2">
            <w:pPr>
              <w:pStyle w:val="Tableheadings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</w:rPr>
              <w:t>Minimum contact time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shd w:val="clear" w:color="auto" w:fill="000000"/>
          </w:tcPr>
          <w:p w14:paraId="1613F895" w14:textId="77777777" w:rsidR="00A80B98" w:rsidRPr="00A6053F" w:rsidRDefault="00A80B98" w:rsidP="00BE34C2">
            <w:pPr>
              <w:pStyle w:val="Tableheadings"/>
              <w:rPr>
                <w:rFonts w:eastAsia="Times New Roman"/>
                <w:b w:val="0"/>
                <w:color w:val="auto"/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</w:rPr>
              <w:t>Details of approved use</w:t>
            </w:r>
          </w:p>
        </w:tc>
      </w:tr>
      <w:tr w:rsidR="00A80B98" w:rsidRPr="00510BD7" w14:paraId="157A21A6" w14:textId="77777777" w:rsidTr="00BE34C2">
        <w:trPr>
          <w:cantSplit/>
          <w:trHeight w:val="1072"/>
        </w:trPr>
        <w:tc>
          <w:tcPr>
            <w:tcW w:w="993" w:type="dxa"/>
          </w:tcPr>
          <w:p w14:paraId="44A1FB02" w14:textId="77777777" w:rsidR="00A80B98" w:rsidRPr="00A35FAE" w:rsidRDefault="00A80B98" w:rsidP="00BE34C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35FAE">
              <w:rPr>
                <w:b/>
                <w:bCs/>
                <w:sz w:val="20"/>
                <w:szCs w:val="20"/>
              </w:rPr>
              <w:t xml:space="preserve">Alcohol </w:t>
            </w:r>
          </w:p>
        </w:tc>
        <w:tc>
          <w:tcPr>
            <w:tcW w:w="1276" w:type="dxa"/>
          </w:tcPr>
          <w:p w14:paraId="152754BF" w14:textId="77777777" w:rsidR="00A80B98" w:rsidRPr="00A35FAE" w:rsidRDefault="00A80B98" w:rsidP="00BE34C2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>Ethanol, isopropyl</w:t>
            </w:r>
          </w:p>
        </w:tc>
        <w:tc>
          <w:tcPr>
            <w:tcW w:w="2693" w:type="dxa"/>
          </w:tcPr>
          <w:p w14:paraId="20EACEC6" w14:textId="77777777" w:rsidR="00A80B98" w:rsidRPr="00510BD7" w:rsidRDefault="00A80B98" w:rsidP="00BE34C2">
            <w:pPr>
              <w:pStyle w:val="ListBullet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510BD7">
              <w:rPr>
                <w:sz w:val="20"/>
                <w:szCs w:val="20"/>
                <w:lang w:val="en-US"/>
              </w:rPr>
              <w:t xml:space="preserve">60-90% </w:t>
            </w:r>
            <w:proofErr w:type="gramStart"/>
            <w:r w:rsidRPr="00510BD7">
              <w:rPr>
                <w:sz w:val="20"/>
                <w:szCs w:val="20"/>
                <w:lang w:val="en-US"/>
              </w:rPr>
              <w:t>ethanol;</w:t>
            </w:r>
            <w:proofErr w:type="gramEnd"/>
            <w:r w:rsidRPr="00510BD7">
              <w:rPr>
                <w:sz w:val="20"/>
                <w:szCs w:val="20"/>
                <w:lang w:val="en-US"/>
              </w:rPr>
              <w:t xml:space="preserve"> </w:t>
            </w:r>
          </w:p>
          <w:p w14:paraId="6B0B3BEC" w14:textId="77777777" w:rsidR="00A80B98" w:rsidRDefault="00A80B98" w:rsidP="00BE34C2">
            <w:pPr>
              <w:pStyle w:val="List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510BD7">
              <w:rPr>
                <w:sz w:val="20"/>
                <w:szCs w:val="20"/>
                <w:lang w:val="en-US"/>
              </w:rPr>
              <w:t>60-90% isopropyl</w:t>
            </w:r>
          </w:p>
          <w:p w14:paraId="2906BD34" w14:textId="77777777" w:rsidR="00A80B98" w:rsidRPr="00A35FAE" w:rsidRDefault="00A80B98" w:rsidP="00BE34C2"/>
          <w:p w14:paraId="02954019" w14:textId="77777777" w:rsidR="00A80B98" w:rsidRPr="00A35FAE" w:rsidRDefault="00A80B98" w:rsidP="00BE34C2"/>
        </w:tc>
        <w:tc>
          <w:tcPr>
            <w:tcW w:w="992" w:type="dxa"/>
          </w:tcPr>
          <w:p w14:paraId="32C8A825" w14:textId="77777777" w:rsidR="00A80B98" w:rsidRPr="00A35FAE" w:rsidRDefault="00A80B98" w:rsidP="00BE34C2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>60-90% alcohol spray or wipes</w:t>
            </w:r>
          </w:p>
        </w:tc>
        <w:tc>
          <w:tcPr>
            <w:tcW w:w="1134" w:type="dxa"/>
          </w:tcPr>
          <w:p w14:paraId="56E75B99" w14:textId="77777777" w:rsidR="00A80B98" w:rsidRPr="00A35FAE" w:rsidRDefault="00A80B98" w:rsidP="00BE34C2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>10 min</w:t>
            </w:r>
          </w:p>
        </w:tc>
        <w:tc>
          <w:tcPr>
            <w:tcW w:w="3402" w:type="dxa"/>
          </w:tcPr>
          <w:p w14:paraId="04B1EA5B" w14:textId="77777777" w:rsidR="00A80B98" w:rsidRPr="00A35FAE" w:rsidRDefault="00A80B98" w:rsidP="00BE34C2">
            <w:pPr>
              <w:pStyle w:val="ListBullet"/>
              <w:ind w:left="175" w:hanging="175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  <w:lang w:val="en-US"/>
              </w:rPr>
              <w:t xml:space="preserve">Clean, </w:t>
            </w:r>
            <w:r>
              <w:rPr>
                <w:sz w:val="20"/>
                <w:szCs w:val="20"/>
                <w:lang w:val="en-US"/>
              </w:rPr>
              <w:t>n</w:t>
            </w:r>
            <w:r w:rsidRPr="00A35FAE">
              <w:rPr>
                <w:sz w:val="20"/>
                <w:szCs w:val="20"/>
                <w:lang w:val="en-US"/>
              </w:rPr>
              <w:t>on-porous surfaces.</w:t>
            </w:r>
          </w:p>
          <w:p w14:paraId="38785C82" w14:textId="77777777" w:rsidR="00A80B98" w:rsidRPr="00A35FAE" w:rsidRDefault="00A80B98" w:rsidP="00BE34C2">
            <w:pPr>
              <w:pStyle w:val="ListBullet"/>
              <w:ind w:left="175" w:hanging="175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  <w:lang w:val="en-US"/>
              </w:rPr>
              <w:t>Immersion or spray/wipe onto surface.</w:t>
            </w:r>
          </w:p>
          <w:p w14:paraId="7C81AA95" w14:textId="77777777" w:rsidR="00A80B98" w:rsidRPr="00A6053F" w:rsidRDefault="00A80B98" w:rsidP="00BE34C2">
            <w:pPr>
              <w:pStyle w:val="ListBullet"/>
              <w:ind w:left="175" w:hanging="175"/>
              <w:rPr>
                <w:sz w:val="20"/>
                <w:szCs w:val="20"/>
                <w:lang w:eastAsia="en-AU"/>
              </w:rPr>
            </w:pPr>
            <w:r w:rsidRPr="00A35FAE">
              <w:rPr>
                <w:sz w:val="20"/>
                <w:szCs w:val="20"/>
                <w:lang w:val="en-US"/>
              </w:rPr>
              <w:t xml:space="preserve">Disinfection of glasses, </w:t>
            </w:r>
            <w:r>
              <w:rPr>
                <w:sz w:val="20"/>
                <w:szCs w:val="20"/>
                <w:lang w:val="en-US"/>
              </w:rPr>
              <w:t xml:space="preserve">simple </w:t>
            </w:r>
            <w:proofErr w:type="spellStart"/>
            <w:r>
              <w:rPr>
                <w:sz w:val="20"/>
                <w:szCs w:val="20"/>
                <w:lang w:val="en-US"/>
              </w:rPr>
              <w:t>jewellery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r w:rsidRPr="00A35FAE">
              <w:rPr>
                <w:sz w:val="20"/>
                <w:szCs w:val="20"/>
                <w:lang w:val="en-US"/>
              </w:rPr>
              <w:t>mobile phones</w:t>
            </w:r>
            <w:r>
              <w:rPr>
                <w:sz w:val="20"/>
                <w:szCs w:val="20"/>
                <w:lang w:val="en-US"/>
              </w:rPr>
              <w:t>, tablets, non-porous</w:t>
            </w:r>
            <w:r w:rsidRPr="00A35FAE">
              <w:rPr>
                <w:sz w:val="20"/>
                <w:szCs w:val="20"/>
                <w:lang w:val="en-US"/>
              </w:rPr>
              <w:t xml:space="preserve"> phone</w:t>
            </w:r>
            <w:r>
              <w:rPr>
                <w:sz w:val="20"/>
                <w:szCs w:val="20"/>
                <w:lang w:val="en-US"/>
              </w:rPr>
              <w:t xml:space="preserve"> and tablet</w:t>
            </w:r>
            <w:r w:rsidRPr="00A35FAE">
              <w:rPr>
                <w:sz w:val="20"/>
                <w:szCs w:val="20"/>
                <w:lang w:val="en-US"/>
              </w:rPr>
              <w:t xml:space="preserve"> cases,</w:t>
            </w:r>
            <w:r>
              <w:rPr>
                <w:sz w:val="20"/>
                <w:szCs w:val="20"/>
                <w:lang w:val="en-US"/>
              </w:rPr>
              <w:t xml:space="preserve"> sports watches with a simple and non-porous design, lunch boxes, </w:t>
            </w:r>
            <w:r w:rsidRPr="00A35FAE">
              <w:rPr>
                <w:sz w:val="20"/>
                <w:szCs w:val="20"/>
                <w:lang w:val="en-US"/>
              </w:rPr>
              <w:t>inside vehicle cabins and hands.</w:t>
            </w:r>
          </w:p>
        </w:tc>
      </w:tr>
      <w:tr w:rsidR="00A80B98" w:rsidRPr="00510BD7" w14:paraId="76282D03" w14:textId="77777777" w:rsidTr="00BE34C2">
        <w:trPr>
          <w:cantSplit/>
          <w:trHeight w:val="1072"/>
        </w:trPr>
        <w:tc>
          <w:tcPr>
            <w:tcW w:w="993" w:type="dxa"/>
          </w:tcPr>
          <w:p w14:paraId="0969992D" w14:textId="77777777" w:rsidR="00A80B98" w:rsidRPr="00A35FAE" w:rsidRDefault="00A80B98" w:rsidP="00BE34C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35FAE">
              <w:rPr>
                <w:b/>
                <w:bCs/>
                <w:sz w:val="20"/>
                <w:szCs w:val="20"/>
                <w:lang w:val="en-US"/>
              </w:rPr>
              <w:t>Virkon S</w:t>
            </w:r>
          </w:p>
        </w:tc>
        <w:tc>
          <w:tcPr>
            <w:tcW w:w="1276" w:type="dxa"/>
          </w:tcPr>
          <w:p w14:paraId="33260BD8" w14:textId="77777777" w:rsidR="00A80B98" w:rsidRPr="00A35FAE" w:rsidRDefault="00A80B98" w:rsidP="00BE34C2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>Oxidising agent</w:t>
            </w:r>
          </w:p>
        </w:tc>
        <w:tc>
          <w:tcPr>
            <w:tcW w:w="2693" w:type="dxa"/>
          </w:tcPr>
          <w:p w14:paraId="55A135A9" w14:textId="77777777" w:rsidR="00A80B98" w:rsidRPr="00A35FAE" w:rsidRDefault="00A80B98" w:rsidP="00BE34C2">
            <w:pPr>
              <w:pStyle w:val="ListBullet"/>
              <w:numPr>
                <w:ilvl w:val="0"/>
                <w:numId w:val="0"/>
              </w:numPr>
              <w:rPr>
                <w:rFonts w:eastAsia="Calibri"/>
                <w:szCs w:val="22"/>
              </w:rPr>
            </w:pPr>
            <w:r w:rsidRPr="00510BD7">
              <w:rPr>
                <w:sz w:val="20"/>
                <w:szCs w:val="20"/>
              </w:rPr>
              <w:t xml:space="preserve">494g/kg potassium </w:t>
            </w:r>
            <w:proofErr w:type="spellStart"/>
            <w:r w:rsidRPr="00510BD7">
              <w:rPr>
                <w:sz w:val="20"/>
                <w:szCs w:val="20"/>
              </w:rPr>
              <w:t>peroxymonosulfate</w:t>
            </w:r>
            <w:proofErr w:type="spellEnd"/>
            <w:r w:rsidRPr="00510BD7">
              <w:rPr>
                <w:sz w:val="20"/>
                <w:szCs w:val="20"/>
              </w:rPr>
              <w:t xml:space="preserve"> triple salt, 132g/kg sodium dodecyl benzene sulphonate, 15g/kg sodium chloride</w:t>
            </w:r>
          </w:p>
        </w:tc>
        <w:tc>
          <w:tcPr>
            <w:tcW w:w="992" w:type="dxa"/>
          </w:tcPr>
          <w:p w14:paraId="24946638" w14:textId="77777777" w:rsidR="00A80B98" w:rsidRPr="00A35FAE" w:rsidRDefault="00A80B98" w:rsidP="00BE34C2">
            <w:pPr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</w:rPr>
              <w:t>1:100</w:t>
            </w:r>
          </w:p>
        </w:tc>
        <w:tc>
          <w:tcPr>
            <w:tcW w:w="1134" w:type="dxa"/>
          </w:tcPr>
          <w:p w14:paraId="6C22334E" w14:textId="77777777" w:rsidR="00A80B98" w:rsidRPr="00A35FAE" w:rsidRDefault="00A80B98" w:rsidP="00BE34C2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>10 min</w:t>
            </w:r>
          </w:p>
        </w:tc>
        <w:tc>
          <w:tcPr>
            <w:tcW w:w="3402" w:type="dxa"/>
          </w:tcPr>
          <w:p w14:paraId="771723AE" w14:textId="77777777" w:rsidR="00A80B98" w:rsidRPr="00A35FAE" w:rsidRDefault="00A80B98" w:rsidP="00BE34C2">
            <w:pPr>
              <w:pStyle w:val="ListBullet"/>
              <w:ind w:left="175" w:hanging="175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  <w:lang w:val="en-US"/>
              </w:rPr>
              <w:t>Effective on porous and non-porous surfaces. E.g. able to be used on fabric, wood and smooth surfaces.</w:t>
            </w:r>
          </w:p>
          <w:p w14:paraId="4DC0BD3A" w14:textId="77777777" w:rsidR="00A80B98" w:rsidRPr="00A35FAE" w:rsidRDefault="00A80B98" w:rsidP="00BE34C2">
            <w:pPr>
              <w:pStyle w:val="ListBullet"/>
              <w:ind w:left="175" w:hanging="175"/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  <w:lang w:val="en-US"/>
              </w:rPr>
              <w:t>May be washed off after a minimum contact time of 10 minutes.</w:t>
            </w:r>
          </w:p>
        </w:tc>
      </w:tr>
      <w:tr w:rsidR="00A80B98" w:rsidRPr="00510BD7" w14:paraId="380F96A2" w14:textId="77777777" w:rsidTr="00BE34C2">
        <w:trPr>
          <w:cantSplit/>
          <w:trHeight w:val="1072"/>
        </w:trPr>
        <w:tc>
          <w:tcPr>
            <w:tcW w:w="993" w:type="dxa"/>
          </w:tcPr>
          <w:p w14:paraId="7E53CF36" w14:textId="77777777" w:rsidR="00A80B98" w:rsidRPr="00A35FAE" w:rsidRDefault="00A80B98" w:rsidP="00BE34C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35FAE">
              <w:rPr>
                <w:b/>
                <w:bCs/>
                <w:sz w:val="20"/>
                <w:szCs w:val="20"/>
              </w:rPr>
              <w:t>Virocid</w:t>
            </w:r>
            <w:proofErr w:type="spellEnd"/>
          </w:p>
        </w:tc>
        <w:tc>
          <w:tcPr>
            <w:tcW w:w="1276" w:type="dxa"/>
          </w:tcPr>
          <w:p w14:paraId="70414605" w14:textId="77777777" w:rsidR="00A80B98" w:rsidRPr="00A35FAE" w:rsidRDefault="00A80B98" w:rsidP="00BE34C2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 xml:space="preserve">Quaternary ammonium compound </w:t>
            </w:r>
          </w:p>
          <w:p w14:paraId="13283451" w14:textId="77777777" w:rsidR="00A80B98" w:rsidRPr="00A35FAE" w:rsidRDefault="00A80B98" w:rsidP="00BE34C2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>(5</w:t>
            </w:r>
            <w:r w:rsidRPr="00A35FAE">
              <w:rPr>
                <w:sz w:val="20"/>
                <w:szCs w:val="20"/>
                <w:vertAlign w:val="superscript"/>
              </w:rPr>
              <w:t>th</w:t>
            </w:r>
            <w:r w:rsidRPr="00A35FAE">
              <w:rPr>
                <w:sz w:val="20"/>
                <w:szCs w:val="20"/>
              </w:rPr>
              <w:t xml:space="preserve"> gen)</w:t>
            </w:r>
          </w:p>
        </w:tc>
        <w:tc>
          <w:tcPr>
            <w:tcW w:w="2693" w:type="dxa"/>
          </w:tcPr>
          <w:p w14:paraId="086BBCB4" w14:textId="77777777" w:rsidR="00A80B98" w:rsidRPr="00510BD7" w:rsidRDefault="00A80B98" w:rsidP="00BE34C2">
            <w:pPr>
              <w:pStyle w:val="ListBullet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Pr="00510BD7">
              <w:rPr>
                <w:sz w:val="20"/>
                <w:szCs w:val="20"/>
              </w:rPr>
              <w:t xml:space="preserve">17.06% alkyl </w:t>
            </w:r>
            <w:proofErr w:type="spellStart"/>
            <w:r w:rsidRPr="00510BD7">
              <w:rPr>
                <w:sz w:val="20"/>
                <w:szCs w:val="20"/>
              </w:rPr>
              <w:t>dimethylbenzyl</w:t>
            </w:r>
            <w:proofErr w:type="spellEnd"/>
            <w:r w:rsidRPr="00510BD7">
              <w:rPr>
                <w:sz w:val="20"/>
                <w:szCs w:val="20"/>
              </w:rPr>
              <w:t xml:space="preserve"> ammonium chloride, 7.8% </w:t>
            </w:r>
            <w:proofErr w:type="spellStart"/>
            <w:r w:rsidRPr="00510BD7">
              <w:rPr>
                <w:sz w:val="20"/>
                <w:szCs w:val="20"/>
              </w:rPr>
              <w:t>didecyldimethylammonium</w:t>
            </w:r>
            <w:proofErr w:type="spellEnd"/>
            <w:r w:rsidRPr="00510BD7">
              <w:rPr>
                <w:sz w:val="20"/>
                <w:szCs w:val="20"/>
              </w:rPr>
              <w:t xml:space="preserve"> chloride, 10.725% glutaraldehyde</w:t>
            </w:r>
          </w:p>
        </w:tc>
        <w:tc>
          <w:tcPr>
            <w:tcW w:w="992" w:type="dxa"/>
          </w:tcPr>
          <w:p w14:paraId="2832FE7D" w14:textId="77777777" w:rsidR="00A80B98" w:rsidRPr="00A35FAE" w:rsidRDefault="00A80B98" w:rsidP="00BE34C2">
            <w:pPr>
              <w:rPr>
                <w:sz w:val="20"/>
                <w:szCs w:val="20"/>
                <w:lang w:eastAsia="en-AU"/>
              </w:rPr>
            </w:pPr>
            <w:r w:rsidRPr="00A35FAE">
              <w:rPr>
                <w:sz w:val="20"/>
                <w:szCs w:val="20"/>
                <w:lang w:eastAsia="en-AU"/>
              </w:rPr>
              <w:t>1:100</w:t>
            </w:r>
          </w:p>
          <w:p w14:paraId="4759C49F" w14:textId="77777777" w:rsidR="00A80B98" w:rsidRPr="00A35FAE" w:rsidRDefault="00A80B98" w:rsidP="00BE34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9D8DEFA" w14:textId="77777777" w:rsidR="00A80B98" w:rsidRPr="00A35FAE" w:rsidRDefault="00A80B98" w:rsidP="00BE34C2">
            <w:pPr>
              <w:rPr>
                <w:sz w:val="20"/>
                <w:szCs w:val="20"/>
              </w:rPr>
            </w:pPr>
            <w:r w:rsidRPr="00A35FAE">
              <w:rPr>
                <w:sz w:val="20"/>
                <w:szCs w:val="20"/>
              </w:rPr>
              <w:t>10 min</w:t>
            </w:r>
          </w:p>
          <w:p w14:paraId="6FEF0724" w14:textId="77777777" w:rsidR="00A80B98" w:rsidRPr="00A35FAE" w:rsidRDefault="00A80B98" w:rsidP="00BE34C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FF1E69D" w14:textId="77777777" w:rsidR="00A80B98" w:rsidRPr="00A35FAE" w:rsidRDefault="00A80B98" w:rsidP="00BE34C2">
            <w:pPr>
              <w:pStyle w:val="ListBullet"/>
              <w:ind w:left="175" w:hanging="175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  <w:lang w:val="en-US"/>
              </w:rPr>
              <w:t>Effective on porous and non-porous surfaces. E.g. able to be used on fabric, wood and smooth surfaces.</w:t>
            </w:r>
          </w:p>
          <w:p w14:paraId="3E28FCA9" w14:textId="77777777" w:rsidR="00A80B98" w:rsidRPr="00A35FAE" w:rsidRDefault="00A80B98" w:rsidP="00BE34C2">
            <w:pPr>
              <w:pStyle w:val="ListBullet"/>
              <w:ind w:left="175" w:hanging="175"/>
              <w:rPr>
                <w:sz w:val="20"/>
                <w:szCs w:val="20"/>
                <w:lang w:val="en-US"/>
              </w:rPr>
            </w:pPr>
            <w:r w:rsidRPr="00A35FAE">
              <w:rPr>
                <w:sz w:val="20"/>
                <w:szCs w:val="20"/>
                <w:lang w:val="en-US"/>
              </w:rPr>
              <w:t>Immersion, spraying, foaming, hot fogging.</w:t>
            </w:r>
          </w:p>
          <w:p w14:paraId="4571C140" w14:textId="77777777" w:rsidR="00A80B98" w:rsidRPr="00A35FAE" w:rsidRDefault="00A80B98" w:rsidP="00BE34C2">
            <w:pPr>
              <w:pStyle w:val="ListBullet"/>
              <w:ind w:left="175" w:hanging="175"/>
              <w:rPr>
                <w:rFonts w:eastAsia="Calibri"/>
                <w:sz w:val="20"/>
                <w:szCs w:val="20"/>
              </w:rPr>
            </w:pPr>
            <w:r w:rsidRPr="00A35FAE">
              <w:rPr>
                <w:sz w:val="20"/>
                <w:szCs w:val="20"/>
                <w:lang w:val="en-US"/>
              </w:rPr>
              <w:t>Effective between 4ᵒC to 60 ᵒC, or &lt;5ᵒC when diluted with lukewarm water, or below freezing if combined with propylene glycol.</w:t>
            </w:r>
            <w:r w:rsidRPr="00A35FAE">
              <w:rPr>
                <w:sz w:val="20"/>
                <w:szCs w:val="20"/>
              </w:rPr>
              <w:t xml:space="preserve"> </w:t>
            </w:r>
          </w:p>
        </w:tc>
      </w:tr>
    </w:tbl>
    <w:p w14:paraId="49128B49" w14:textId="77777777" w:rsidR="00A80B98" w:rsidRDefault="00A80B98" w:rsidP="00A80B98">
      <w:pPr>
        <w:pStyle w:val="Heading2"/>
      </w:pPr>
    </w:p>
    <w:p w14:paraId="67763F77" w14:textId="77777777" w:rsidR="00A80B98" w:rsidRDefault="00A80B98" w:rsidP="00A80B98">
      <w:pPr>
        <w:pStyle w:val="ListBullet"/>
        <w:numPr>
          <w:ilvl w:val="0"/>
          <w:numId w:val="0"/>
        </w:numPr>
        <w:ind w:left="360" w:hanging="360"/>
      </w:pPr>
    </w:p>
    <w:p w14:paraId="4CC5A8EE" w14:textId="77777777" w:rsidR="00D82E1D" w:rsidRDefault="00D82E1D"/>
    <w:sectPr w:rsidR="00D82E1D" w:rsidSect="00A80B9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361" w:right="1440" w:bottom="1361" w:left="1418" w:header="425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4A3F2" w14:textId="77777777" w:rsidR="006E7E24" w:rsidRDefault="006E7E24" w:rsidP="00A80B98">
      <w:pPr>
        <w:spacing w:before="0" w:after="0"/>
      </w:pPr>
      <w:r>
        <w:separator/>
      </w:r>
    </w:p>
  </w:endnote>
  <w:endnote w:type="continuationSeparator" w:id="0">
    <w:p w14:paraId="0192039A" w14:textId="77777777" w:rsidR="006E7E24" w:rsidRDefault="006E7E24" w:rsidP="00A80B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40A08" w14:textId="571CBB4A" w:rsidR="003B07B0" w:rsidRDefault="003B07B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449D828" wp14:editId="5BE28B1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4076101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C67DBB" w14:textId="67D26B76" w:rsidR="003B07B0" w:rsidRPr="003B07B0" w:rsidRDefault="003B07B0" w:rsidP="003B07B0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B07B0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49D8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66C67DBB" w14:textId="67D26B76" w:rsidR="003B07B0" w:rsidRPr="003B07B0" w:rsidRDefault="003B07B0" w:rsidP="003B07B0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B07B0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72FA1" w14:textId="08F9B6FF" w:rsidR="00A80B98" w:rsidRDefault="003B07B0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sz w:val="18"/>
      </w:rPr>
    </w:pPr>
    <w:r>
      <w:rPr>
        <w:i/>
        <w:noProof/>
        <w:sz w:val="18"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08A3D78" wp14:editId="6EB4CA0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89689054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260F71" w14:textId="262B3B38" w:rsidR="003B07B0" w:rsidRPr="003B07B0" w:rsidRDefault="003B07B0" w:rsidP="003B07B0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B07B0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A3D7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3260F71" w14:textId="262B3B38" w:rsidR="003B07B0" w:rsidRPr="003B07B0" w:rsidRDefault="003B07B0" w:rsidP="003B07B0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B07B0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80B98" w:rsidRPr="00F84BA0">
      <w:rPr>
        <w:i/>
        <w:sz w:val="18"/>
      </w:rPr>
      <w:t>Approved disinfectants</w:t>
    </w:r>
    <w:r w:rsidR="00895A2F">
      <w:rPr>
        <w:i/>
        <w:sz w:val="18"/>
      </w:rPr>
      <w:t xml:space="preserve"> for </w:t>
    </w:r>
    <w:r w:rsidR="00782276">
      <w:rPr>
        <w:i/>
        <w:sz w:val="18"/>
      </w:rPr>
      <w:t xml:space="preserve">onshore horse facilities </w:t>
    </w:r>
    <w:r w:rsidR="00126879">
      <w:rPr>
        <w:i/>
        <w:sz w:val="18"/>
      </w:rPr>
      <w:t>– class 7.12 sites and relevant class 1.2 sites</w:t>
    </w:r>
    <w:r w:rsidR="00A80B98">
      <w:rPr>
        <w:i/>
        <w:sz w:val="18"/>
      </w:rPr>
      <w:tab/>
    </w:r>
    <w:r w:rsidR="00A80B98">
      <w:rPr>
        <w:sz w:val="18"/>
      </w:rPr>
      <w:t>Version no.: 2</w:t>
    </w:r>
  </w:p>
  <w:p w14:paraId="3DFB2A1A" w14:textId="049B7755" w:rsidR="00A80B98" w:rsidRDefault="00A80B98">
    <w:pPr>
      <w:pStyle w:val="Footer"/>
      <w:tabs>
        <w:tab w:val="clear" w:pos="9026"/>
        <w:tab w:val="right" w:pos="9356"/>
      </w:tabs>
      <w:ind w:left="-567"/>
    </w:pPr>
    <w:r>
      <w:rPr>
        <w:sz w:val="18"/>
      </w:rPr>
      <w:t xml:space="preserve">Date: </w:t>
    </w:r>
    <w:r w:rsidR="006354B0">
      <w:rPr>
        <w:sz w:val="18"/>
      </w:rPr>
      <w:t>18/11</w:t>
    </w:r>
    <w:r>
      <w:rPr>
        <w:sz w:val="18"/>
      </w:rPr>
      <w:t>/2025</w:t>
    </w:r>
    <w:r>
      <w:tab/>
    </w:r>
    <w: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\* Arabic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\* Arabic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7</w:t>
    </w:r>
    <w:r>
      <w:rPr>
        <w:sz w:val="18"/>
        <w:szCs w:val="18"/>
      </w:rPr>
      <w:fldChar w:fldCharType="end"/>
    </w:r>
  </w:p>
  <w:p w14:paraId="678AEF86" w14:textId="77777777" w:rsidR="00A80B98" w:rsidRDefault="00A80B98">
    <w:pPr>
      <w:pStyle w:val="Footer"/>
      <w:tabs>
        <w:tab w:val="clear" w:pos="9026"/>
        <w:tab w:val="right" w:pos="9356"/>
      </w:tabs>
      <w:ind w:left="-567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6C1B" w14:textId="306484CE" w:rsidR="00A80B98" w:rsidRDefault="003B07B0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47A0FD" wp14:editId="67AB7F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5203697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90E359" w14:textId="566EA55F" w:rsidR="003B07B0" w:rsidRPr="003B07B0" w:rsidRDefault="003B07B0" w:rsidP="003B07B0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B07B0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7A0F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4990E359" w14:textId="566EA55F" w:rsidR="003B07B0" w:rsidRPr="003B07B0" w:rsidRDefault="003B07B0" w:rsidP="003B07B0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B07B0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80B98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626A09F8" w14:textId="77777777" w:rsidR="00A80B98" w:rsidRDefault="00A80B98">
    <w:pPr>
      <w:pStyle w:val="Footer"/>
      <w:tabs>
        <w:tab w:val="clear" w:pos="9026"/>
        <w:tab w:val="right" w:pos="9356"/>
      </w:tabs>
      <w:ind w:left="-567"/>
      <w:rPr>
        <w:b/>
        <w:sz w:val="18"/>
      </w:rPr>
    </w:pPr>
    <w:r>
      <w:rPr>
        <w:b/>
        <w:sz w:val="18"/>
      </w:rPr>
      <w:t>Classification Type</w:t>
    </w:r>
  </w:p>
  <w:p w14:paraId="190D57D9" w14:textId="77777777" w:rsidR="00A80B98" w:rsidRDefault="00A80B98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rPr>
        <w:sz w:val="18"/>
      </w:rPr>
      <w:t>Document title:</w:t>
    </w:r>
    <w:r>
      <w:rPr>
        <w:b/>
        <w:sz w:val="18"/>
      </w:rPr>
      <w:t xml:space="preserve"> </w:t>
    </w:r>
    <w:r>
      <w:rPr>
        <w:b/>
        <w:i/>
        <w:sz w:val="18"/>
      </w:rPr>
      <w:t>Please enter in the title of the document</w:t>
    </w:r>
    <w:r>
      <w:rPr>
        <w:b/>
        <w:i/>
        <w:sz w:val="18"/>
      </w:rPr>
      <w:tab/>
    </w:r>
    <w:r>
      <w:rPr>
        <w:b/>
        <w:i/>
        <w:sz w:val="18"/>
      </w:rPr>
      <w:tab/>
    </w:r>
    <w:r>
      <w:rPr>
        <w:sz w:val="18"/>
      </w:rPr>
      <w:t>Version Number:</w:t>
    </w:r>
    <w:r>
      <w:rPr>
        <w:b/>
        <w:sz w:val="18"/>
      </w:rPr>
      <w:tab/>
    </w:r>
    <w:r>
      <w:rPr>
        <w:b/>
        <w:i/>
        <w:sz w:val="18"/>
      </w:rPr>
      <w:t>PPD to complete</w:t>
    </w:r>
    <w:r>
      <w:tab/>
    </w:r>
    <w:r>
      <w:rPr>
        <w:b/>
        <w:sz w:val="18"/>
      </w:rPr>
      <w:fldChar w:fldCharType="begin"/>
    </w:r>
    <w:r>
      <w:rPr>
        <w:b/>
        <w:sz w:val="18"/>
      </w:rPr>
      <w:instrText xml:space="preserve"> PAGE   \* MERGEFORMAT </w:instrText>
    </w:r>
    <w:r>
      <w:rPr>
        <w:b/>
        <w:sz w:val="18"/>
      </w:rPr>
      <w:fldChar w:fldCharType="separate"/>
    </w:r>
    <w:r>
      <w:rPr>
        <w:b/>
        <w:noProof/>
        <w:sz w:val="18"/>
      </w:rPr>
      <w:t>1</w:t>
    </w:r>
    <w:r>
      <w:rPr>
        <w:b/>
        <w:sz w:val="18"/>
      </w:rPr>
      <w:fldChar w:fldCharType="end"/>
    </w:r>
  </w:p>
  <w:p w14:paraId="2FEFD0C3" w14:textId="77777777" w:rsidR="00A80B98" w:rsidRDefault="00A80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CDBAE" w14:textId="77777777" w:rsidR="006E7E24" w:rsidRDefault="006E7E24" w:rsidP="00A80B98">
      <w:pPr>
        <w:spacing w:before="0" w:after="0"/>
      </w:pPr>
      <w:r>
        <w:separator/>
      </w:r>
    </w:p>
  </w:footnote>
  <w:footnote w:type="continuationSeparator" w:id="0">
    <w:p w14:paraId="5E1869A1" w14:textId="77777777" w:rsidR="006E7E24" w:rsidRDefault="006E7E24" w:rsidP="00A80B9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901C7" w14:textId="530F0DA1" w:rsidR="003B07B0" w:rsidRDefault="003B07B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8AAF96" wp14:editId="66BF72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207239832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0B22D" w14:textId="7BD051B2" w:rsidR="003B07B0" w:rsidRPr="003B07B0" w:rsidRDefault="003B07B0" w:rsidP="003B07B0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B07B0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AAF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D50B22D" w14:textId="7BD051B2" w:rsidR="003B07B0" w:rsidRPr="003B07B0" w:rsidRDefault="003B07B0" w:rsidP="003B07B0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B07B0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B12A" w14:textId="7E3A5B9A" w:rsidR="00A80B98" w:rsidRDefault="003B07B0">
    <w:pPr>
      <w:pStyle w:val="Header"/>
      <w:tabs>
        <w:tab w:val="clear" w:pos="9026"/>
      </w:tabs>
      <w:rPr>
        <w:sz w:val="18"/>
        <w:szCs w:val="18"/>
      </w:rPr>
    </w:pPr>
    <w:r>
      <w:rPr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D91477" wp14:editId="3C18964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30783650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0B9D7E" w14:textId="75A5B699" w:rsidR="003B07B0" w:rsidRPr="003B07B0" w:rsidRDefault="003B07B0" w:rsidP="003B07B0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B07B0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914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410B9D7E" w14:textId="75A5B699" w:rsidR="003B07B0" w:rsidRPr="003B07B0" w:rsidRDefault="003B07B0" w:rsidP="003B07B0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B07B0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109F" w14:textId="43E95B61" w:rsidR="003B07B0" w:rsidRDefault="003B07B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635ED2" wp14:editId="3AC7CC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47097842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D91E2" w14:textId="037252B3" w:rsidR="003B07B0" w:rsidRPr="003B07B0" w:rsidRDefault="003B07B0" w:rsidP="003B07B0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B07B0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635E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421D91E2" w14:textId="037252B3" w:rsidR="003B07B0" w:rsidRPr="003B07B0" w:rsidRDefault="003B07B0" w:rsidP="003B07B0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B07B0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32E85B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18D7D79"/>
    <w:multiLevelType w:val="hybridMultilevel"/>
    <w:tmpl w:val="B6E29E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368820">
    <w:abstractNumId w:val="0"/>
  </w:num>
  <w:num w:numId="2" w16cid:durableId="79982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98"/>
    <w:rsid w:val="00070DC3"/>
    <w:rsid w:val="00081F8A"/>
    <w:rsid w:val="00126879"/>
    <w:rsid w:val="0013779C"/>
    <w:rsid w:val="001B306C"/>
    <w:rsid w:val="00206D2D"/>
    <w:rsid w:val="00206F67"/>
    <w:rsid w:val="0024193B"/>
    <w:rsid w:val="00263D8F"/>
    <w:rsid w:val="002D2307"/>
    <w:rsid w:val="002E28B9"/>
    <w:rsid w:val="00321828"/>
    <w:rsid w:val="00321855"/>
    <w:rsid w:val="003362A4"/>
    <w:rsid w:val="003B07B0"/>
    <w:rsid w:val="00435F57"/>
    <w:rsid w:val="00573BD1"/>
    <w:rsid w:val="006354B0"/>
    <w:rsid w:val="006C16CA"/>
    <w:rsid w:val="006C62BD"/>
    <w:rsid w:val="006E7E24"/>
    <w:rsid w:val="00701B55"/>
    <w:rsid w:val="00782276"/>
    <w:rsid w:val="00895A2F"/>
    <w:rsid w:val="00954CF3"/>
    <w:rsid w:val="00991B7A"/>
    <w:rsid w:val="009F6140"/>
    <w:rsid w:val="00A31691"/>
    <w:rsid w:val="00A80B98"/>
    <w:rsid w:val="00A93AD3"/>
    <w:rsid w:val="00AE34CA"/>
    <w:rsid w:val="00AF5CAD"/>
    <w:rsid w:val="00BE6543"/>
    <w:rsid w:val="00C61AA6"/>
    <w:rsid w:val="00CC2493"/>
    <w:rsid w:val="00D82ADE"/>
    <w:rsid w:val="00D82E1D"/>
    <w:rsid w:val="00E165FB"/>
    <w:rsid w:val="00EB1E05"/>
    <w:rsid w:val="00ED202A"/>
    <w:rsid w:val="00F40A1F"/>
    <w:rsid w:val="00FC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46C4C1"/>
  <w15:chartTrackingRefBased/>
  <w15:docId w15:val="{1A2FB535-6897-48A7-975B-20C16DF5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A80B98"/>
    <w:pPr>
      <w:spacing w:before="60" w:after="12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80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B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B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B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B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B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B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0B9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80B98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0B9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80B98"/>
    <w:rPr>
      <w:rFonts w:ascii="Calibri" w:eastAsia="Calibri" w:hAnsi="Calibri" w:cs="Times New Roman"/>
      <w:kern w:val="0"/>
      <w14:ligatures w14:val="none"/>
    </w:rPr>
  </w:style>
  <w:style w:type="paragraph" w:styleId="BodyText">
    <w:name w:val="Body Text"/>
    <w:link w:val="BodyTextChar"/>
    <w:qFormat/>
    <w:rsid w:val="00A80B98"/>
    <w:pPr>
      <w:spacing w:before="120" w:after="120" w:line="240" w:lineRule="auto"/>
    </w:pPr>
    <w:rPr>
      <w:rFonts w:ascii="Calibri" w:eastAsia="Times New Roman" w:hAnsi="Calibri" w:cs="Times New Roman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A80B98"/>
    <w:rPr>
      <w:rFonts w:ascii="Calibri" w:eastAsia="Times New Roman" w:hAnsi="Calibri" w:cs="Times New Roman"/>
      <w:kern w:val="0"/>
      <w:szCs w:val="24"/>
      <w14:ligatures w14:val="none"/>
    </w:rPr>
  </w:style>
  <w:style w:type="paragraph" w:styleId="ListBullet">
    <w:name w:val="List Bullet"/>
    <w:basedOn w:val="BodyText"/>
    <w:link w:val="ListBulletChar"/>
    <w:qFormat/>
    <w:rsid w:val="00A80B98"/>
    <w:pPr>
      <w:numPr>
        <w:numId w:val="1"/>
      </w:numPr>
      <w:spacing w:before="60" w:after="60"/>
      <w:ind w:left="0" w:firstLine="0"/>
    </w:pPr>
  </w:style>
  <w:style w:type="paragraph" w:customStyle="1" w:styleId="Tableheadings">
    <w:name w:val="Table headings"/>
    <w:basedOn w:val="Normal"/>
    <w:qFormat/>
    <w:rsid w:val="00A80B98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rsid w:val="00A80B98"/>
    <w:rPr>
      <w:rFonts w:ascii="Calibri" w:eastAsia="Times New Roman" w:hAnsi="Calibri" w:cs="Times New Roman"/>
      <w:kern w:val="0"/>
      <w:szCs w:val="24"/>
      <w14:ligatures w14:val="none"/>
    </w:rPr>
  </w:style>
  <w:style w:type="paragraph" w:customStyle="1" w:styleId="DocumentType-Reference">
    <w:name w:val="Document Type - Reference"/>
    <w:basedOn w:val="Normal"/>
    <w:link w:val="DocumentType-ReferenceChar"/>
    <w:rsid w:val="00A80B98"/>
    <w:pPr>
      <w:widowControl w:val="0"/>
      <w:shd w:val="clear" w:color="auto" w:fill="00759A"/>
      <w:tabs>
        <w:tab w:val="center" w:pos="4465"/>
      </w:tabs>
      <w:spacing w:before="240" w:after="60"/>
      <w:jc w:val="center"/>
    </w:pPr>
    <w:rPr>
      <w:rFonts w:ascii="Cambria" w:eastAsia="Times New Roman" w:hAnsi="Cambria"/>
      <w:b/>
      <w:color w:val="FFFFFF"/>
      <w:sz w:val="48"/>
      <w:szCs w:val="20"/>
    </w:rPr>
  </w:style>
  <w:style w:type="character" w:customStyle="1" w:styleId="DocumentType-ReferenceChar">
    <w:name w:val="Document Type - Reference Char"/>
    <w:link w:val="DocumentType-Reference"/>
    <w:rsid w:val="00A80B98"/>
    <w:rPr>
      <w:rFonts w:ascii="Cambria" w:eastAsia="Times New Roman" w:hAnsi="Cambria" w:cs="Times New Roman"/>
      <w:b/>
      <w:color w:val="FFFFFF"/>
      <w:kern w:val="0"/>
      <w:sz w:val="48"/>
      <w:szCs w:val="20"/>
      <w:shd w:val="clear" w:color="auto" w:fill="00759A"/>
      <w14:ligatures w14:val="none"/>
    </w:rPr>
  </w:style>
  <w:style w:type="character" w:styleId="Hyperlink">
    <w:name w:val="Hyperlink"/>
    <w:basedOn w:val="DefaultParagraphFont"/>
    <w:uiPriority w:val="99"/>
    <w:unhideWhenUsed/>
    <w:rsid w:val="00A316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orses@aff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griculture.gov.au/biosecurity-trade/import/goods/live-animals/importing-live-horses/notice-industry-13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3c995-2120-4bc0-8922-c25044d37f65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60d8ed29968bc2712852004b1cac7479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1529fbb3dd607063268628a269c12b4c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BCB6C8-6626-4916-996A-E4FBADEE0E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159DE4-CB23-4FDC-9836-6F76E992EEC2}">
  <ds:schemaRefs>
    <ds:schemaRef ds:uri="http://www.w3.org/XML/1998/namespace"/>
    <ds:schemaRef ds:uri="2b53c995-2120-4bc0-8922-c25044d37f65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81c01dc6-2c49-4730-b140-874c95cac377"/>
    <ds:schemaRef ds:uri="http://schemas.microsoft.com/office/infopath/2007/PartnerControls"/>
    <ds:schemaRef ds:uri="c95b51c2-b2ac-4224-a5b5-06990905782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F30EC17-14DF-42E2-8A54-051CE0AEC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disinfectants for onshore horse facilities - class 7.12 sites and relevant class 1.2 sites</vt:lpstr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disinfectants for onshore horse facilities - class 7.12 sites and relevant class 1.2 sites</dc:title>
  <dc:subject/>
  <dc:creator>Department of Agriculture, Fisheries and Forestry</dc:creator>
  <cp:keywords/>
  <dc:description/>
  <cp:lastModifiedBy>Goggins, Fiona</cp:lastModifiedBy>
  <cp:revision>2</cp:revision>
  <cp:lastPrinted>2025-11-18T03:43:00Z</cp:lastPrinted>
  <dcterms:created xsi:type="dcterms:W3CDTF">2025-11-18T07:30:00Z</dcterms:created>
  <dcterms:modified xsi:type="dcterms:W3CDTF">2025-11-18T07:30:00Z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57ad5978,7b8649f6,4df40059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6e63d76f,6db7c8b5,357576b3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ContentTypeId">
    <vt:lpwstr>0x0101008991DB94C8E2E14F9D69CDF9B52A3286</vt:lpwstr>
  </property>
  <property fmtid="{D5CDD505-2E9C-101B-9397-08002B2CF9AE}" pid="9" name="MediaServiceImageTags">
    <vt:lpwstr/>
  </property>
</Properties>
</file>