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84F3" w14:textId="74E7B501" w:rsidR="007E7349" w:rsidRPr="00C001B0" w:rsidRDefault="007E7349" w:rsidP="007E7349">
      <w:pPr>
        <w:pStyle w:val="Heading1"/>
      </w:pPr>
      <w:r>
        <w:t xml:space="preserve">The aquatic </w:t>
      </w:r>
      <w:r w:rsidR="00731E23" w:rsidRPr="006D51D7">
        <w:t xml:space="preserve">proficiency testing program for </w:t>
      </w:r>
      <w:r w:rsidR="00102155" w:rsidRPr="006D51D7">
        <w:t xml:space="preserve">the </w:t>
      </w:r>
      <w:r w:rsidR="00731E23" w:rsidRPr="006D51D7">
        <w:t>Asia-Pacific</w:t>
      </w:r>
      <w:r>
        <w:t xml:space="preserve"> region</w:t>
      </w:r>
      <w:r w:rsidR="00515A1E" w:rsidRPr="006D51D7">
        <w:t xml:space="preserve"> </w:t>
      </w:r>
    </w:p>
    <w:p w14:paraId="0B4A5481" w14:textId="2E7C3A24" w:rsidR="007E7349" w:rsidRDefault="00515A1E" w:rsidP="00C001B0">
      <w:r w:rsidRPr="00C001B0">
        <w:rPr>
          <w:sz w:val="32"/>
          <w:szCs w:val="32"/>
        </w:rPr>
        <w:t>2018</w:t>
      </w:r>
      <w:r w:rsidR="002C1FBE" w:rsidRPr="00C001B0">
        <w:rPr>
          <w:sz w:val="32"/>
          <w:szCs w:val="32"/>
        </w:rPr>
        <w:t xml:space="preserve"> to </w:t>
      </w:r>
      <w:r w:rsidRPr="00C001B0">
        <w:rPr>
          <w:sz w:val="32"/>
          <w:szCs w:val="32"/>
        </w:rPr>
        <w:t>2022</w:t>
      </w:r>
      <w:r w:rsidR="002C1FBE" w:rsidRPr="00C001B0">
        <w:rPr>
          <w:sz w:val="32"/>
          <w:szCs w:val="32"/>
        </w:rPr>
        <w:t>: f</w:t>
      </w:r>
      <w:r w:rsidR="00F305B9" w:rsidRPr="00C001B0">
        <w:rPr>
          <w:sz w:val="32"/>
          <w:szCs w:val="32"/>
        </w:rPr>
        <w:t>inal report</w:t>
      </w:r>
    </w:p>
    <w:p w14:paraId="1CFA384C" w14:textId="1B259177" w:rsidR="00764D6A" w:rsidRDefault="00E91D72">
      <w:pPr>
        <w:pStyle w:val="Normalsmall"/>
      </w:pPr>
      <w:r w:rsidRPr="00E54FFC">
        <w:br w:type="page"/>
      </w:r>
      <w:r>
        <w:lastRenderedPageBreak/>
        <w:t xml:space="preserve">© Commonwealth of Australia </w:t>
      </w:r>
      <w:r w:rsidR="00B97E61">
        <w:t>202</w:t>
      </w:r>
      <w:r w:rsidR="00102155">
        <w:t>4</w:t>
      </w:r>
    </w:p>
    <w:p w14:paraId="464E7AEC" w14:textId="77777777" w:rsidR="00764D6A" w:rsidRDefault="00E91D72">
      <w:pPr>
        <w:pStyle w:val="Normalsmall"/>
        <w:rPr>
          <w:rStyle w:val="Strong"/>
        </w:rPr>
      </w:pPr>
      <w:r>
        <w:rPr>
          <w:rStyle w:val="Strong"/>
        </w:rPr>
        <w:t>Ownership of intellectual property rights</w:t>
      </w:r>
    </w:p>
    <w:p w14:paraId="4BCE9C3B"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4C5DDF" w14:textId="77777777" w:rsidR="00764D6A" w:rsidRDefault="00E91D72">
      <w:pPr>
        <w:pStyle w:val="Normalsmall"/>
        <w:rPr>
          <w:rStyle w:val="Strong"/>
        </w:rPr>
      </w:pPr>
      <w:r>
        <w:rPr>
          <w:rStyle w:val="Strong"/>
        </w:rPr>
        <w:t>Creative Commons licence</w:t>
      </w:r>
    </w:p>
    <w:p w14:paraId="1CBA1712" w14:textId="77777777" w:rsidR="00764D6A" w:rsidRDefault="00E91D72">
      <w:pPr>
        <w:pStyle w:val="Normalsmall"/>
      </w:pPr>
      <w:r>
        <w:t xml:space="preserve">All material in this publication is licensed under a </w:t>
      </w:r>
      <w:hyperlink r:id="rId8" w:history="1">
        <w:r>
          <w:rPr>
            <w:rStyle w:val="Hyperlink"/>
          </w:rPr>
          <w:t>Creative Commons Attribution 4.0 International Licence</w:t>
        </w:r>
      </w:hyperlink>
      <w:r>
        <w:t xml:space="preserve"> except content supplied by third parties, logos and the Commonwealth Coat of Arms.</w:t>
      </w:r>
    </w:p>
    <w:p w14:paraId="2A13C5F6" w14:textId="77777777" w:rsidR="00764D6A" w:rsidRPr="00364A4A" w:rsidRDefault="00E91D72">
      <w:pPr>
        <w:pStyle w:val="Normalsmall"/>
      </w:pPr>
      <w:r w:rsidRPr="00364A4A">
        <w:rPr>
          <w:noProof/>
          <w:lang w:eastAsia="en-AU"/>
        </w:rPr>
        <w:drawing>
          <wp:inline distT="0" distB="0" distL="0" distR="0" wp14:anchorId="794637A1" wp14:editId="15D11087">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39E3F97" w14:textId="77777777" w:rsidR="00764D6A" w:rsidRPr="00364A4A" w:rsidRDefault="00E91D72">
      <w:pPr>
        <w:pStyle w:val="Normalsmall"/>
        <w:rPr>
          <w:rStyle w:val="Strong"/>
        </w:rPr>
      </w:pPr>
      <w:r w:rsidRPr="00364A4A">
        <w:rPr>
          <w:rStyle w:val="Strong"/>
        </w:rPr>
        <w:t>Cataloguing data</w:t>
      </w:r>
    </w:p>
    <w:p w14:paraId="78FA59CC" w14:textId="73A6777C" w:rsidR="00764D6A" w:rsidRDefault="00E91D72">
      <w:pPr>
        <w:pStyle w:val="Normalsmall"/>
      </w:pPr>
      <w:r w:rsidRPr="00364A4A">
        <w:t xml:space="preserve">This publication (and any material sourced from it) should be attributed as: </w:t>
      </w:r>
      <w:r w:rsidR="009D5007" w:rsidRPr="00C001B0">
        <w:t>DA</w:t>
      </w:r>
      <w:r w:rsidR="00DE0AAE" w:rsidRPr="00C001B0">
        <w:t>FF</w:t>
      </w:r>
      <w:r w:rsidR="00B97E61" w:rsidRPr="00C001B0">
        <w:t xml:space="preserve"> 202</w:t>
      </w:r>
      <w:r w:rsidR="00102155" w:rsidRPr="00C001B0">
        <w:t>4</w:t>
      </w:r>
      <w:r w:rsidRPr="00C001B0">
        <w:t xml:space="preserve">, </w:t>
      </w:r>
      <w:r w:rsidR="0041526F" w:rsidRPr="00C001B0">
        <w:rPr>
          <w:i/>
        </w:rPr>
        <w:t xml:space="preserve">Regional proficiency testing program for aquatic animal disease diagnostic laboratories in </w:t>
      </w:r>
      <w:r w:rsidR="00102155" w:rsidRPr="00C001B0">
        <w:rPr>
          <w:i/>
        </w:rPr>
        <w:t xml:space="preserve">the </w:t>
      </w:r>
      <w:r w:rsidR="0041526F" w:rsidRPr="00C001B0">
        <w:rPr>
          <w:i/>
        </w:rPr>
        <w:t>Asia-Pacific</w:t>
      </w:r>
      <w:r w:rsidR="00996864" w:rsidRPr="00C001B0">
        <w:rPr>
          <w:i/>
        </w:rPr>
        <w:t xml:space="preserve"> 2018 to 2022: final report</w:t>
      </w:r>
      <w:r w:rsidRPr="00C001B0">
        <w:t xml:space="preserve">, </w:t>
      </w:r>
      <w:r w:rsidR="00DE0AAE" w:rsidRPr="00C001B0">
        <w:t>Department of Agriculture, Fisheries and Forestry</w:t>
      </w:r>
      <w:r w:rsidRPr="00C001B0">
        <w:t xml:space="preserve">, Canberra, </w:t>
      </w:r>
      <w:r w:rsidR="006E253B">
        <w:t>November</w:t>
      </w:r>
      <w:r w:rsidRPr="00BF3AA9">
        <w:t>.</w:t>
      </w:r>
      <w:r w:rsidRPr="00C001B0">
        <w:t xml:space="preserve"> CC BY 4.0.</w:t>
      </w:r>
    </w:p>
    <w:p w14:paraId="3753CE10" w14:textId="06F2DD44" w:rsidR="00764D6A" w:rsidRDefault="00E91D72">
      <w:pPr>
        <w:pStyle w:val="Normalsmall"/>
      </w:pPr>
      <w:r>
        <w:t xml:space="preserve">This </w:t>
      </w:r>
      <w:r w:rsidRPr="00364A4A">
        <w:t xml:space="preserve">publication is available at </w:t>
      </w:r>
      <w:hyperlink r:id="rId10" w:history="1">
        <w:r w:rsidR="007438CE" w:rsidRPr="00F80881">
          <w:rPr>
            <w:rStyle w:val="Hyperlink"/>
          </w:rPr>
          <w:t>https://www.agriculture.gov.au/agriculture-land/animal/aquatic/international_activities</w:t>
        </w:r>
      </w:hyperlink>
      <w:hyperlink r:id="rId11" w:history="1"/>
      <w:r w:rsidRPr="00BF3AA9">
        <w:t>.</w:t>
      </w:r>
    </w:p>
    <w:p w14:paraId="25150578" w14:textId="77777777" w:rsidR="00DE0AAE" w:rsidRDefault="00DE0AAE">
      <w:pPr>
        <w:pStyle w:val="Normalsmall"/>
        <w:spacing w:after="0"/>
      </w:pPr>
      <w:r w:rsidRPr="00DE0AAE">
        <w:t>Department of Agriculture, Fisheries and Forestry</w:t>
      </w:r>
    </w:p>
    <w:p w14:paraId="327F9546" w14:textId="77777777" w:rsidR="00764D6A" w:rsidRPr="00364A4A" w:rsidRDefault="00E91D72">
      <w:pPr>
        <w:pStyle w:val="Normalsmall"/>
        <w:spacing w:after="0"/>
      </w:pPr>
      <w:r w:rsidRPr="00364A4A">
        <w:t>GPO Box 858 Canberra ACT 2601</w:t>
      </w:r>
    </w:p>
    <w:p w14:paraId="638E7F9C" w14:textId="6ECF55EF" w:rsidR="00764D6A" w:rsidRPr="00364A4A" w:rsidRDefault="00E91D72">
      <w:pPr>
        <w:pStyle w:val="Normalsmall"/>
        <w:spacing w:after="0"/>
      </w:pPr>
      <w:r w:rsidRPr="00364A4A">
        <w:t>Teleph</w:t>
      </w:r>
      <w:r w:rsidR="00AE0DE8">
        <w:t xml:space="preserve">1 </w:t>
      </w:r>
      <w:r w:rsidRPr="00364A4A">
        <w:t>1800 900 090</w:t>
      </w:r>
    </w:p>
    <w:p w14:paraId="6CC27410" w14:textId="77777777" w:rsidR="00764D6A" w:rsidRPr="00364A4A" w:rsidRDefault="00E91D72">
      <w:pPr>
        <w:pStyle w:val="Normalsmall"/>
      </w:pPr>
      <w:r w:rsidRPr="00364A4A">
        <w:t xml:space="preserve">Web </w:t>
      </w:r>
      <w:hyperlink r:id="rId12" w:history="1">
        <w:r w:rsidR="00DE0AAE" w:rsidRPr="00364A4A">
          <w:rPr>
            <w:rStyle w:val="Hyperlink"/>
          </w:rPr>
          <w:t>agriculture.gov.au</w:t>
        </w:r>
      </w:hyperlink>
    </w:p>
    <w:p w14:paraId="7AEB7555" w14:textId="77777777" w:rsidR="007C358A" w:rsidRDefault="007C358A">
      <w:pPr>
        <w:pStyle w:val="Normalsmall"/>
      </w:pPr>
      <w:r w:rsidRPr="00364A4A">
        <w:rPr>
          <w:rStyle w:val="Strong"/>
        </w:rPr>
        <w:t>Disclaimer</w:t>
      </w:r>
    </w:p>
    <w:p w14:paraId="360130E5"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66BD9423" w14:textId="77777777" w:rsidR="00764D6A" w:rsidRPr="0004729C" w:rsidRDefault="00E91D72">
      <w:pPr>
        <w:pStyle w:val="Normalsmall"/>
        <w:rPr>
          <w:rStyle w:val="Strong"/>
        </w:rPr>
      </w:pPr>
      <w:r w:rsidRPr="0004729C">
        <w:rPr>
          <w:rStyle w:val="Strong"/>
        </w:rPr>
        <w:t>Acknowledgements</w:t>
      </w:r>
    </w:p>
    <w:p w14:paraId="6008A3EF" w14:textId="5901DF45" w:rsidR="00E14603" w:rsidRDefault="00E14603" w:rsidP="00E14603">
      <w:pPr>
        <w:pStyle w:val="Normalsmall"/>
      </w:pPr>
      <w:r>
        <w:t xml:space="preserve">The regional proficiency testing program was funded by the </w:t>
      </w:r>
      <w:r w:rsidR="00704F3E">
        <w:t>Australian Government</w:t>
      </w:r>
      <w:r>
        <w:t xml:space="preserve"> through its Agricultural Competitiveness White Paper.</w:t>
      </w:r>
    </w:p>
    <w:p w14:paraId="6DCE084E" w14:textId="6BC7F954" w:rsidR="00E14603" w:rsidRDefault="00E14603" w:rsidP="00E14603">
      <w:pPr>
        <w:pStyle w:val="Normalsmall"/>
      </w:pPr>
      <w:r w:rsidRPr="0004729C">
        <w:t xml:space="preserve">The authors thank </w:t>
      </w:r>
      <w:r w:rsidR="008B28D6">
        <w:t>the collaborating partners – the Network of Aquaculture Centres</w:t>
      </w:r>
      <w:r w:rsidR="00704F3E">
        <w:t xml:space="preserve"> in Asia-Pacific</w:t>
      </w:r>
      <w:r w:rsidR="008B28D6">
        <w:t xml:space="preserve"> (NACA)</w:t>
      </w:r>
      <w:r w:rsidR="007E7349">
        <w:t xml:space="preserve">, </w:t>
      </w:r>
      <w:r w:rsidR="007E7349" w:rsidRPr="007E7349">
        <w:t xml:space="preserve">Proficiency testing team and the </w:t>
      </w:r>
      <w:r w:rsidR="007E7349">
        <w:t xml:space="preserve">Australian </w:t>
      </w:r>
      <w:r w:rsidR="007E7349" w:rsidRPr="007E7349">
        <w:t>Fish Diseases Laboratory at CSIRO’s Australian Centre for Disease Preparedness (ACDP)</w:t>
      </w:r>
      <w:r w:rsidR="007E7349">
        <w:t xml:space="preserve"> </w:t>
      </w:r>
      <w:r w:rsidR="008B28D6">
        <w:t xml:space="preserve">– </w:t>
      </w:r>
      <w:r w:rsidRPr="0004729C">
        <w:t>for</w:t>
      </w:r>
      <w:r w:rsidR="008B28D6">
        <w:t xml:space="preserve"> their contributions to the planning, implementation and management of</w:t>
      </w:r>
      <w:r w:rsidRPr="0004729C">
        <w:t xml:space="preserve"> the program</w:t>
      </w:r>
      <w:r>
        <w:t>,</w:t>
      </w:r>
      <w:r w:rsidRPr="0004729C">
        <w:t xml:space="preserve"> and </w:t>
      </w:r>
      <w:r>
        <w:t xml:space="preserve">the 57 participating </w:t>
      </w:r>
      <w:r w:rsidRPr="0004729C">
        <w:t>laboratories across the Asia-Pacific region for their enthusiastic input.</w:t>
      </w:r>
    </w:p>
    <w:p w14:paraId="2DD22037" w14:textId="77777777" w:rsidR="00B02B9B" w:rsidRDefault="00B02B9B" w:rsidP="00B02B9B">
      <w:pPr>
        <w:pStyle w:val="Normalsmall"/>
      </w:pPr>
      <w:r>
        <w:rPr>
          <w:rStyle w:val="Strong"/>
        </w:rPr>
        <w:t>Acknowledgement of Country</w:t>
      </w:r>
    </w:p>
    <w:p w14:paraId="712AB019" w14:textId="340F24CF"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01D6D39" w14:textId="77777777" w:rsidR="008B28D6" w:rsidRDefault="008B28D6" w:rsidP="008B28D6">
      <w:pPr>
        <w:pStyle w:val="Heading2"/>
        <w:numPr>
          <w:ilvl w:val="0"/>
          <w:numId w:val="0"/>
        </w:numPr>
        <w:ind w:left="720" w:hanging="720"/>
      </w:pPr>
      <w:bookmarkStart w:id="0" w:name="_Toc214555619"/>
      <w:r w:rsidRPr="00E239B9">
        <w:lastRenderedPageBreak/>
        <w:t>Summary</w:t>
      </w:r>
      <w:bookmarkEnd w:id="0"/>
    </w:p>
    <w:p w14:paraId="63F408C9" w14:textId="1207F416" w:rsidR="008B28D6" w:rsidRDefault="008B28D6" w:rsidP="008B28D6">
      <w:pPr>
        <w:rPr>
          <w:lang w:eastAsia="ja-JP"/>
        </w:rPr>
      </w:pPr>
      <w:r>
        <w:rPr>
          <w:lang w:eastAsia="ja-JP"/>
        </w:rPr>
        <w:t>The Regional Proficiency Testing Program for Aquatic Animal Diagnostic laboratories in the Asia-Pacific (APL-PT program) ran from 2018 to 2022. It carried forward the legacy of the successful Asia-Pacific regional proficiency testing program that ran from 2012 to 2014. The objectives were to strengthen regional capability to accurately diagnose important aquatic animal diseases that impact on trade, productivity and the environment. The program enhances</w:t>
      </w:r>
      <w:r w:rsidRPr="002723CA">
        <w:rPr>
          <w:lang w:eastAsia="ja-JP"/>
        </w:rPr>
        <w:t xml:space="preserve"> the </w:t>
      </w:r>
      <w:r>
        <w:rPr>
          <w:lang w:eastAsia="ja-JP"/>
        </w:rPr>
        <w:t>diagnostic capability of the regional network of aquatic diagnostic laboratories in Southeast Asia and the Oceanic region to detect significant aquatic transboundary diseases. These outcomes are increasingly important as countries in the Asia-Pacific are major producers and trading partners of aquaculture products with Australia. The future of production in the Asia-Pacific region only appears to accelerate. Further</w:t>
      </w:r>
      <w:r w:rsidRPr="006774EB">
        <w:rPr>
          <w:lang w:eastAsia="ja-JP"/>
        </w:rPr>
        <w:t>, the APL-PT program continued the work to increase confidence in the testing performance of Australia’s trading partner laboratories that are certified or approved to test the presence or absence of disease agents for aquatic animal commodity exports.</w:t>
      </w:r>
    </w:p>
    <w:p w14:paraId="2401E222" w14:textId="5A9178D5" w:rsidR="008B28D6" w:rsidRDefault="008B28D6" w:rsidP="008B28D6">
      <w:r>
        <w:rPr>
          <w:lang w:eastAsia="ja-JP"/>
        </w:rPr>
        <w:t xml:space="preserve">The APL-PT program was developed as an initiative of the Australian Government </w:t>
      </w:r>
      <w:r w:rsidRPr="002A7CF8">
        <w:rPr>
          <w:lang w:eastAsia="ja-JP"/>
        </w:rPr>
        <w:t xml:space="preserve">Department of Agriculture, Water and the Environment </w:t>
      </w:r>
      <w:r>
        <w:rPr>
          <w:lang w:eastAsia="ja-JP"/>
        </w:rPr>
        <w:t>(DAWR; now replaced by the Department of Agriculture, Fisheries and Forestry (DAFF). The program was jointly managed by DAFF and the CSIRO</w:t>
      </w:r>
      <w:r w:rsidRPr="00D6532F">
        <w:t xml:space="preserve"> </w:t>
      </w:r>
      <w:r w:rsidRPr="00D6532F">
        <w:rPr>
          <w:lang w:eastAsia="ja-JP"/>
        </w:rPr>
        <w:t>Australian Animal Health Laboratory</w:t>
      </w:r>
      <w:r>
        <w:rPr>
          <w:lang w:eastAsia="ja-JP"/>
        </w:rPr>
        <w:t xml:space="preserve"> (AAHL; now renamed the </w:t>
      </w:r>
      <w:r w:rsidRPr="00D6532F">
        <w:rPr>
          <w:lang w:eastAsia="ja-JP"/>
        </w:rPr>
        <w:t>Australian Centre for Disease Preparedness</w:t>
      </w:r>
      <w:r>
        <w:rPr>
          <w:lang w:eastAsia="ja-JP"/>
        </w:rPr>
        <w:t xml:space="preserve"> (ACDP). Development and implementation of the APL-PT program was managed by the Steering Committee</w:t>
      </w:r>
      <w:r w:rsidR="00D47EEC">
        <w:rPr>
          <w:lang w:eastAsia="ja-JP"/>
        </w:rPr>
        <w:t>,</w:t>
      </w:r>
      <w:r>
        <w:rPr>
          <w:lang w:eastAsia="ja-JP"/>
        </w:rPr>
        <w:t xml:space="preserve"> which c</w:t>
      </w:r>
      <w:r w:rsidR="00E144E8">
        <w:rPr>
          <w:lang w:eastAsia="ja-JP"/>
        </w:rPr>
        <w:t>a</w:t>
      </w:r>
      <w:r>
        <w:rPr>
          <w:lang w:eastAsia="ja-JP"/>
        </w:rPr>
        <w:t>onsisted of members from</w:t>
      </w:r>
      <w:r w:rsidRPr="004A092D">
        <w:t xml:space="preserve"> </w:t>
      </w:r>
      <w:r w:rsidRPr="00BB060B">
        <w:t>ACDP Fish Diseases Laboratory (ACDP-AFDL)</w:t>
      </w:r>
      <w:r w:rsidRPr="00BB060B">
        <w:rPr>
          <w:lang w:eastAsia="ja-JP"/>
        </w:rPr>
        <w:t xml:space="preserve">, ACDP </w:t>
      </w:r>
      <w:r w:rsidRPr="00BB060B">
        <w:t>Proficiency Testing Scheme Provider (ACDP-PTSP), and DAFF.</w:t>
      </w:r>
    </w:p>
    <w:p w14:paraId="774D0764" w14:textId="562BBBE5" w:rsidR="008B28D6" w:rsidRDefault="008B28D6" w:rsidP="008B28D6">
      <w:pPr>
        <w:rPr>
          <w:lang w:eastAsia="ja-JP"/>
        </w:rPr>
      </w:pPr>
      <w:r>
        <w:rPr>
          <w:lang w:eastAsia="ja-JP"/>
        </w:rPr>
        <w:t xml:space="preserve">A total of 57 laboratories including 19 countries in the Asia-Pacific region participated in the APL-PT program. </w:t>
      </w:r>
      <w:r w:rsidR="00AE0DE8">
        <w:rPr>
          <w:lang w:eastAsia="ja-JP"/>
        </w:rPr>
        <w:t xml:space="preserve">8 </w:t>
      </w:r>
      <w:r>
        <w:rPr>
          <w:lang w:eastAsia="ja-JP"/>
        </w:rPr>
        <w:t>rounds were conducted according to</w:t>
      </w:r>
      <w:r w:rsidRPr="006A3198">
        <w:rPr>
          <w:lang w:eastAsia="ja-JP"/>
        </w:rPr>
        <w:t xml:space="preserve"> ISO 17043 standards</w:t>
      </w:r>
      <w:r>
        <w:rPr>
          <w:lang w:eastAsia="ja-JP"/>
        </w:rPr>
        <w:t xml:space="preserve"> and </w:t>
      </w:r>
      <w:r w:rsidRPr="006A3198">
        <w:rPr>
          <w:lang w:eastAsia="ja-JP"/>
        </w:rPr>
        <w:t>participants</w:t>
      </w:r>
      <w:r>
        <w:rPr>
          <w:lang w:eastAsia="ja-JP"/>
        </w:rPr>
        <w:t xml:space="preserve"> were provided</w:t>
      </w:r>
      <w:r w:rsidRPr="006A3198">
        <w:rPr>
          <w:lang w:eastAsia="ja-JP"/>
        </w:rPr>
        <w:t xml:space="preserve"> with confidential reports on their testing proficiency</w:t>
      </w:r>
      <w:r>
        <w:rPr>
          <w:lang w:eastAsia="ja-JP"/>
        </w:rPr>
        <w:t xml:space="preserve"> after each round</w:t>
      </w:r>
      <w:r w:rsidRPr="006A3198">
        <w:rPr>
          <w:lang w:eastAsia="ja-JP"/>
        </w:rPr>
        <w:t xml:space="preserve">. </w:t>
      </w:r>
      <w:r>
        <w:rPr>
          <w:lang w:eastAsia="ja-JP"/>
        </w:rPr>
        <w:t xml:space="preserve">CSIRO-ACDP was available to provide technical guidance to participants experiencing difficulties in achieving accurate results. </w:t>
      </w:r>
      <w:r w:rsidRPr="00E32FD4">
        <w:rPr>
          <w:lang w:eastAsia="ja-JP"/>
        </w:rPr>
        <w:t xml:space="preserve">Diagnostic performance </w:t>
      </w:r>
      <w:r>
        <w:rPr>
          <w:lang w:eastAsia="ja-JP"/>
        </w:rPr>
        <w:t>was</w:t>
      </w:r>
      <w:r w:rsidRPr="00E32FD4">
        <w:rPr>
          <w:lang w:eastAsia="ja-JP"/>
        </w:rPr>
        <w:t xml:space="preserve"> assessed against </w:t>
      </w:r>
      <w:r>
        <w:rPr>
          <w:lang w:eastAsia="ja-JP"/>
        </w:rPr>
        <w:t>10</w:t>
      </w:r>
      <w:r w:rsidRPr="00E32FD4">
        <w:rPr>
          <w:lang w:eastAsia="ja-JP"/>
        </w:rPr>
        <w:t xml:space="preserve"> priority fish and crustacean diseases</w:t>
      </w:r>
      <w:r>
        <w:rPr>
          <w:lang w:eastAsia="ja-JP"/>
        </w:rPr>
        <w:t>, with the selection of pathogens chosen from the following agreed-upon list:</w:t>
      </w:r>
    </w:p>
    <w:p w14:paraId="61218DBF" w14:textId="77777777" w:rsidR="008B28D6" w:rsidRPr="00C001B0" w:rsidRDefault="008B28D6" w:rsidP="00C001B0">
      <w:pPr>
        <w:pStyle w:val="ListNumber"/>
      </w:pPr>
      <w:r>
        <w:rPr>
          <w:lang w:eastAsia="ja-JP"/>
        </w:rPr>
        <w:t xml:space="preserve">White spot </w:t>
      </w:r>
      <w:r w:rsidRPr="00C001B0">
        <w:t>syndrome virus (WSSV)</w:t>
      </w:r>
    </w:p>
    <w:p w14:paraId="5F47D37E" w14:textId="77777777" w:rsidR="008B28D6" w:rsidRPr="00C001B0" w:rsidRDefault="008B28D6" w:rsidP="00C001B0">
      <w:pPr>
        <w:pStyle w:val="ListNumber"/>
      </w:pPr>
      <w:r w:rsidRPr="00C001B0">
        <w:t>Yellow head virus genotype 1 (YHV-1)</w:t>
      </w:r>
    </w:p>
    <w:p w14:paraId="61897352" w14:textId="77777777" w:rsidR="008B28D6" w:rsidRPr="00C001B0" w:rsidRDefault="008B28D6" w:rsidP="00C001B0">
      <w:pPr>
        <w:pStyle w:val="ListNumber"/>
      </w:pPr>
      <w:r w:rsidRPr="00C001B0">
        <w:t>Taura syndrome virus (TSV)</w:t>
      </w:r>
    </w:p>
    <w:p w14:paraId="7119F5DD" w14:textId="77777777" w:rsidR="008B28D6" w:rsidRPr="00C001B0" w:rsidRDefault="008B28D6" w:rsidP="00C001B0">
      <w:pPr>
        <w:pStyle w:val="ListNumber"/>
      </w:pPr>
      <w:r w:rsidRPr="00C001B0">
        <w:t>Infectious myonecrosis virus (IMNV)</w:t>
      </w:r>
    </w:p>
    <w:p w14:paraId="0BFA20C4" w14:textId="77777777" w:rsidR="008B28D6" w:rsidRPr="00C001B0" w:rsidRDefault="008B28D6" w:rsidP="00C001B0">
      <w:pPr>
        <w:pStyle w:val="ListNumber"/>
      </w:pPr>
      <w:r w:rsidRPr="00C001B0">
        <w:t>Infectious hypodermal and haematopoietic necrosis virus (IHHNV)</w:t>
      </w:r>
    </w:p>
    <w:p w14:paraId="2752BC6A" w14:textId="15C1F6D0" w:rsidR="00981B84" w:rsidRPr="00C001B0" w:rsidRDefault="008B28D6" w:rsidP="00E144E8">
      <w:pPr>
        <w:pStyle w:val="ListNumber"/>
        <w:rPr>
          <w:rStyle w:val="Emphasis"/>
          <w:i w:val="0"/>
          <w:iCs w:val="0"/>
        </w:rPr>
      </w:pPr>
      <w:r w:rsidRPr="00C001B0">
        <w:rPr>
          <w:rStyle w:val="Emphasis"/>
        </w:rPr>
        <w:t>Vibrio parahaemolyticus</w:t>
      </w:r>
      <w:r w:rsidRPr="00C001B0">
        <w:t xml:space="preserve"> Pir-A and Pir-B toxin gene</w:t>
      </w:r>
      <w:r w:rsidR="00981B84">
        <w:t xml:space="preserve"> (AHPND) </w:t>
      </w:r>
    </w:p>
    <w:p w14:paraId="28669729" w14:textId="7DFC2EE0" w:rsidR="008B28D6" w:rsidRPr="00C001B0" w:rsidRDefault="00981B84" w:rsidP="00C001B0">
      <w:pPr>
        <w:pStyle w:val="ListNumber"/>
      </w:pPr>
      <w:r>
        <w:rPr>
          <w:rStyle w:val="Emphasis"/>
        </w:rPr>
        <w:t>Me</w:t>
      </w:r>
      <w:r w:rsidR="008B28D6" w:rsidRPr="00C001B0">
        <w:rPr>
          <w:rStyle w:val="Emphasis"/>
        </w:rPr>
        <w:t>galocytivirus</w:t>
      </w:r>
      <w:r w:rsidR="008B28D6" w:rsidRPr="00C001B0">
        <w:t xml:space="preserve"> (RSIV) </w:t>
      </w:r>
    </w:p>
    <w:p w14:paraId="02C1D47E" w14:textId="77777777" w:rsidR="008B28D6" w:rsidRPr="00C001B0" w:rsidRDefault="008B28D6" w:rsidP="00C001B0">
      <w:pPr>
        <w:pStyle w:val="ListNumber"/>
      </w:pPr>
      <w:r w:rsidRPr="00C001B0">
        <w:t>Nervous necrosis virus (NNV)</w:t>
      </w:r>
    </w:p>
    <w:p w14:paraId="61019C05" w14:textId="77777777" w:rsidR="008B28D6" w:rsidRPr="00C001B0" w:rsidRDefault="008B28D6" w:rsidP="00C001B0">
      <w:pPr>
        <w:pStyle w:val="ListNumber"/>
      </w:pPr>
      <w:r w:rsidRPr="00C001B0">
        <w:t>Koi herpesvirus (KHV)</w:t>
      </w:r>
    </w:p>
    <w:p w14:paraId="15CB5924" w14:textId="405C990D" w:rsidR="008B28D6" w:rsidRDefault="008B28D6">
      <w:pPr>
        <w:pStyle w:val="ListNumber"/>
      </w:pPr>
      <w:r w:rsidRPr="00C001B0">
        <w:t>Spring viraemia of carp virus (SVCV)</w:t>
      </w:r>
      <w:r>
        <w:t>.</w:t>
      </w:r>
    </w:p>
    <w:p w14:paraId="588C6914" w14:textId="2FFB166E" w:rsidR="00981B84" w:rsidRPr="00C001B0" w:rsidRDefault="00981B84" w:rsidP="00C001B0">
      <w:r>
        <w:lastRenderedPageBreak/>
        <w:t>T</w:t>
      </w:r>
      <w:r w:rsidRPr="00981B84">
        <w:t>esting for acute hepatopancreatic necrosis disease causing Vibrio parahaemolyticus (AHPND)</w:t>
      </w:r>
      <w:r>
        <w:t xml:space="preserve"> </w:t>
      </w:r>
      <w:r w:rsidRPr="00981B84">
        <w:t>became accredited under ISO17043 for the APL-PT program in December 2020.</w:t>
      </w:r>
    </w:p>
    <w:p w14:paraId="35278515" w14:textId="5008EE68" w:rsidR="008B28D6" w:rsidRPr="00E239B9" w:rsidRDefault="008B28D6" w:rsidP="008B28D6">
      <w:r w:rsidRPr="00E239B9">
        <w:t xml:space="preserve">Over </w:t>
      </w:r>
      <w:r w:rsidR="006D51D7">
        <w:t>8</w:t>
      </w:r>
      <w:r w:rsidRPr="00E239B9">
        <w:t xml:space="preserve"> rounds of testing, 57 laboratories from 19 countries were assessed, with an overall accuracy of 78%. The qPCR method consistently outperformed conventional PCR across all disease agents, with higher accuracy rates. </w:t>
      </w:r>
      <w:r w:rsidR="006D51D7">
        <w:t>C</w:t>
      </w:r>
      <w:r w:rsidRPr="00E239B9">
        <w:t xml:space="preserve">ertain pathogens like SVCV and NNV showed variability and lower accuracy with conventional PCR, </w:t>
      </w:r>
      <w:r w:rsidR="006D51D7">
        <w:t xml:space="preserve">but </w:t>
      </w:r>
      <w:r w:rsidRPr="00E239B9">
        <w:t>qPCR yielded more reliable results, particularly for IHHNV, KHV, and YHV-1. Despite some fluctuations in accuracy, particularly with specific pathogens like TSV in certain rounds, the overall diagnostic performance was strong, with laboratories generally achieving over 80% accuracy using qPCR. The program successfully met its objectives, demonstrating the laboratories' ability to improve their accuracy in detecting selected priority aquatic pathogens.</w:t>
      </w:r>
    </w:p>
    <w:p w14:paraId="482949A6" w14:textId="2E470F74" w:rsidR="008B28D6" w:rsidRPr="00E239B9" w:rsidRDefault="008B28D6" w:rsidP="008B28D6">
      <w:r w:rsidRPr="00E239B9">
        <w:t xml:space="preserve">The APL-PT program has been essential in ensuring accurate diagnostics and maintaining quality assurance in laboratories involved in aquatic animal health management. It supports countries' trade declarations, industry sustainability, and disease prevention. The program provided a critical opportunity for regional laboratories to enhance their diagnostic capabilities, especially since no similar international program exists. Participation in the program and its associated workshops allowed laboratories to improve their skills, share ideas, and address diagnostic challenges. </w:t>
      </w:r>
      <w:r w:rsidR="008008C6">
        <w:t xml:space="preserve">The </w:t>
      </w:r>
      <w:hyperlink r:id="rId13" w:history="1">
        <w:r w:rsidR="008008C6" w:rsidRPr="008008C6">
          <w:rPr>
            <w:rStyle w:val="Hyperlink"/>
          </w:rPr>
          <w:t>report for the regional workshop</w:t>
        </w:r>
      </w:hyperlink>
      <w:r w:rsidR="008008C6">
        <w:t xml:space="preserve"> held in 2018 in Thailand can be found on the NACA website. </w:t>
      </w:r>
      <w:r w:rsidR="00981B84">
        <w:t xml:space="preserve">The participants and the steering committee have </w:t>
      </w:r>
      <w:r w:rsidRPr="00E239B9">
        <w:t>recommended to continue fostering collaboration and discussion through similar structure PT programs and workshops, to further improve diagnostic performance and regional cooperation.</w:t>
      </w:r>
    </w:p>
    <w:p w14:paraId="72FB4908" w14:textId="42D8C9FC" w:rsidR="008B28D6" w:rsidRPr="00E239B9" w:rsidRDefault="005306B3" w:rsidP="008B28D6">
      <w:pPr>
        <w:pStyle w:val="Heading3"/>
        <w:numPr>
          <w:ilvl w:val="0"/>
          <w:numId w:val="0"/>
        </w:numPr>
        <w:ind w:left="964" w:hanging="964"/>
      </w:pPr>
      <w:bookmarkStart w:id="1" w:name="_Toc214555620"/>
      <w:r>
        <w:t>P</w:t>
      </w:r>
      <w:r w:rsidRPr="00E239B9">
        <w:t xml:space="preserve">roficiency </w:t>
      </w:r>
      <w:r>
        <w:t>T</w:t>
      </w:r>
      <w:r w:rsidRPr="00E239B9">
        <w:t>esting</w:t>
      </w:r>
      <w:r w:rsidR="008B28D6" w:rsidRPr="00E239B9">
        <w:t xml:space="preserve"> provider</w:t>
      </w:r>
      <w:bookmarkEnd w:id="1"/>
      <w:r w:rsidR="008B28D6" w:rsidRPr="00E239B9">
        <w:t xml:space="preserve"> </w:t>
      </w:r>
    </w:p>
    <w:p w14:paraId="2D2DAF0B" w14:textId="77777777" w:rsidR="008B28D6" w:rsidRPr="00E239B9" w:rsidRDefault="008B28D6" w:rsidP="008B28D6">
      <w:r w:rsidRPr="00E239B9">
        <w:t>The program provided access to proficiency testing services from an accredited provider and drew on the expertise of ACDP-PTSP and ACDP-AFDL to develop required testing reagents and materials for participants. ACDP was selected on a non-competitive basis due to its established record of delivering laboratory proficiency testing programs, specialist expertise and availability of material requires for the testing programs. The ACDP-PTSP is also a</w:t>
      </w:r>
      <w:r>
        <w:t xml:space="preserve"> </w:t>
      </w:r>
      <w:r w:rsidRPr="0074692A">
        <w:t>National Association of Testing Authorities</w:t>
      </w:r>
      <w:r>
        <w:t xml:space="preserve"> (</w:t>
      </w:r>
      <w:r w:rsidRPr="00E239B9">
        <w:t>NATA</w:t>
      </w:r>
      <w:r>
        <w:t>)</w:t>
      </w:r>
      <w:r w:rsidRPr="00E239B9">
        <w:t xml:space="preserve"> accredited proficiency testing provider (ISO 17043). </w:t>
      </w:r>
    </w:p>
    <w:p w14:paraId="5DBE0273" w14:textId="540C70AC" w:rsidR="008B28D6" w:rsidRDefault="008B28D6" w:rsidP="008B28D6">
      <w:r w:rsidRPr="008B28D6">
        <w:t>ACDP-AFDL is also Australia’s national reference laboratory for aquatic animal diseases and has the required experience and biosecurity infrastructure to coordinate delivery of this large-scale program. Roles and responsibilities were well-defined for project collaborators to ensure the effective contribution of expertise necessary to manage the program. Throughout the program, scientists in the PT provider team and ACDP-AFDL were able to provide expert advice troubleshooting to participants to improve their procedures if required.</w:t>
      </w:r>
      <w:r>
        <w:br w:type="page"/>
      </w:r>
    </w:p>
    <w:sdt>
      <w:sdtPr>
        <w:rPr>
          <w:rFonts w:ascii="Cambria" w:eastAsiaTheme="minorHAnsi" w:hAnsi="Cambria"/>
          <w:bCs w:val="0"/>
          <w:sz w:val="22"/>
          <w:szCs w:val="22"/>
          <w:lang w:eastAsia="en-US"/>
        </w:rPr>
        <w:id w:val="-760297017"/>
        <w:docPartObj>
          <w:docPartGallery w:val="Table of Contents"/>
          <w:docPartUnique/>
        </w:docPartObj>
      </w:sdtPr>
      <w:sdtEndPr>
        <w:rPr>
          <w:rFonts w:asciiTheme="minorHAnsi" w:hAnsiTheme="minorHAnsi"/>
          <w:b/>
          <w:noProof/>
        </w:rPr>
      </w:sdtEndPr>
      <w:sdtContent>
        <w:p w14:paraId="7DFFBE85" w14:textId="47CF8994" w:rsidR="00764D6A" w:rsidRDefault="00E91D72">
          <w:pPr>
            <w:pStyle w:val="TOCHeading"/>
          </w:pPr>
          <w:r>
            <w:t>Contents</w:t>
          </w:r>
        </w:p>
        <w:p w14:paraId="69DB838F" w14:textId="645E8EFF" w:rsidR="004134CB"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4555619" w:history="1">
            <w:r w:rsidR="004134CB" w:rsidRPr="00741724">
              <w:rPr>
                <w:rStyle w:val="Hyperlink"/>
              </w:rPr>
              <w:t>Summary</w:t>
            </w:r>
            <w:r w:rsidR="004134CB">
              <w:rPr>
                <w:webHidden/>
              </w:rPr>
              <w:tab/>
            </w:r>
            <w:r w:rsidR="004134CB">
              <w:rPr>
                <w:webHidden/>
              </w:rPr>
              <w:fldChar w:fldCharType="begin"/>
            </w:r>
            <w:r w:rsidR="004134CB">
              <w:rPr>
                <w:webHidden/>
              </w:rPr>
              <w:instrText xml:space="preserve"> PAGEREF _Toc214555619 \h </w:instrText>
            </w:r>
            <w:r w:rsidR="004134CB">
              <w:rPr>
                <w:webHidden/>
              </w:rPr>
            </w:r>
            <w:r w:rsidR="004134CB">
              <w:rPr>
                <w:webHidden/>
              </w:rPr>
              <w:fldChar w:fldCharType="separate"/>
            </w:r>
            <w:r w:rsidR="00491B46">
              <w:rPr>
                <w:webHidden/>
              </w:rPr>
              <w:t>iii</w:t>
            </w:r>
            <w:r w:rsidR="004134CB">
              <w:rPr>
                <w:webHidden/>
              </w:rPr>
              <w:fldChar w:fldCharType="end"/>
            </w:r>
          </w:hyperlink>
        </w:p>
        <w:p w14:paraId="255305C1" w14:textId="211F6DF4" w:rsidR="004134CB" w:rsidRDefault="004134CB">
          <w:pPr>
            <w:pStyle w:val="TOC2"/>
            <w:rPr>
              <w:rFonts w:eastAsiaTheme="minorEastAsia"/>
              <w:kern w:val="2"/>
              <w:sz w:val="24"/>
              <w:szCs w:val="24"/>
              <w:lang w:eastAsia="en-AU"/>
              <w14:ligatures w14:val="standardContextual"/>
            </w:rPr>
          </w:pPr>
          <w:hyperlink w:anchor="_Toc214555620" w:history="1">
            <w:r w:rsidRPr="00741724">
              <w:rPr>
                <w:rStyle w:val="Hyperlink"/>
              </w:rPr>
              <w:t>Proficiency Testing provider</w:t>
            </w:r>
            <w:r>
              <w:rPr>
                <w:webHidden/>
              </w:rPr>
              <w:tab/>
            </w:r>
            <w:r>
              <w:rPr>
                <w:webHidden/>
              </w:rPr>
              <w:fldChar w:fldCharType="begin"/>
            </w:r>
            <w:r>
              <w:rPr>
                <w:webHidden/>
              </w:rPr>
              <w:instrText xml:space="preserve"> PAGEREF _Toc214555620 \h </w:instrText>
            </w:r>
            <w:r>
              <w:rPr>
                <w:webHidden/>
              </w:rPr>
            </w:r>
            <w:r>
              <w:rPr>
                <w:webHidden/>
              </w:rPr>
              <w:fldChar w:fldCharType="separate"/>
            </w:r>
            <w:r w:rsidR="00491B46">
              <w:rPr>
                <w:webHidden/>
              </w:rPr>
              <w:t>iv</w:t>
            </w:r>
            <w:r>
              <w:rPr>
                <w:webHidden/>
              </w:rPr>
              <w:fldChar w:fldCharType="end"/>
            </w:r>
          </w:hyperlink>
        </w:p>
        <w:p w14:paraId="7D1079CD" w14:textId="5545AD49" w:rsidR="004134CB" w:rsidRDefault="004134CB">
          <w:pPr>
            <w:pStyle w:val="TOC1"/>
            <w:rPr>
              <w:rFonts w:eastAsiaTheme="minorEastAsia"/>
              <w:b w:val="0"/>
              <w:kern w:val="2"/>
              <w:sz w:val="24"/>
              <w:szCs w:val="24"/>
              <w:lang w:eastAsia="en-AU"/>
              <w14:ligatures w14:val="standardContextual"/>
            </w:rPr>
          </w:pPr>
          <w:hyperlink w:anchor="_Toc214555621" w:history="1">
            <w:r w:rsidRPr="00741724">
              <w:rPr>
                <w:rStyle w:val="Hyperlink"/>
              </w:rPr>
              <w:t>1</w:t>
            </w:r>
            <w:r>
              <w:rPr>
                <w:rFonts w:eastAsiaTheme="minorEastAsia"/>
                <w:b w:val="0"/>
                <w:kern w:val="2"/>
                <w:sz w:val="24"/>
                <w:szCs w:val="24"/>
                <w:lang w:eastAsia="en-AU"/>
                <w14:ligatures w14:val="standardContextual"/>
              </w:rPr>
              <w:tab/>
            </w:r>
            <w:r w:rsidRPr="00741724">
              <w:rPr>
                <w:rStyle w:val="Hyperlink"/>
              </w:rPr>
              <w:t>Program objectives and expected outcomes</w:t>
            </w:r>
            <w:r>
              <w:rPr>
                <w:webHidden/>
              </w:rPr>
              <w:tab/>
            </w:r>
            <w:r>
              <w:rPr>
                <w:webHidden/>
              </w:rPr>
              <w:fldChar w:fldCharType="begin"/>
            </w:r>
            <w:r>
              <w:rPr>
                <w:webHidden/>
              </w:rPr>
              <w:instrText xml:space="preserve"> PAGEREF _Toc214555621 \h </w:instrText>
            </w:r>
            <w:r>
              <w:rPr>
                <w:webHidden/>
              </w:rPr>
            </w:r>
            <w:r>
              <w:rPr>
                <w:webHidden/>
              </w:rPr>
              <w:fldChar w:fldCharType="separate"/>
            </w:r>
            <w:r w:rsidR="00491B46">
              <w:rPr>
                <w:webHidden/>
              </w:rPr>
              <w:t>1</w:t>
            </w:r>
            <w:r>
              <w:rPr>
                <w:webHidden/>
              </w:rPr>
              <w:fldChar w:fldCharType="end"/>
            </w:r>
          </w:hyperlink>
        </w:p>
        <w:p w14:paraId="7C1DB29E" w14:textId="70E9C072" w:rsidR="004134CB" w:rsidRDefault="004134CB">
          <w:pPr>
            <w:pStyle w:val="TOC2"/>
            <w:tabs>
              <w:tab w:val="left" w:pos="1200"/>
            </w:tabs>
            <w:rPr>
              <w:rFonts w:eastAsiaTheme="minorEastAsia"/>
              <w:kern w:val="2"/>
              <w:sz w:val="24"/>
              <w:szCs w:val="24"/>
              <w:lang w:eastAsia="en-AU"/>
              <w14:ligatures w14:val="standardContextual"/>
            </w:rPr>
          </w:pPr>
          <w:hyperlink w:anchor="_Toc214555622" w:history="1">
            <w:r w:rsidRPr="00741724">
              <w:rPr>
                <w:rStyle w:val="Hyperlink"/>
                <w:lang w:eastAsia="ja-JP"/>
              </w:rPr>
              <w:t>1.1</w:t>
            </w:r>
            <w:r>
              <w:rPr>
                <w:rFonts w:eastAsiaTheme="minorEastAsia"/>
                <w:kern w:val="2"/>
                <w:sz w:val="24"/>
                <w:szCs w:val="24"/>
                <w:lang w:eastAsia="en-AU"/>
                <w14:ligatures w14:val="standardContextual"/>
              </w:rPr>
              <w:tab/>
            </w:r>
            <w:r w:rsidRPr="00741724">
              <w:rPr>
                <w:rStyle w:val="Hyperlink"/>
                <w:lang w:eastAsia="ja-JP"/>
              </w:rPr>
              <w:t>Objectives</w:t>
            </w:r>
            <w:r>
              <w:rPr>
                <w:webHidden/>
              </w:rPr>
              <w:tab/>
            </w:r>
            <w:r>
              <w:rPr>
                <w:webHidden/>
              </w:rPr>
              <w:fldChar w:fldCharType="begin"/>
            </w:r>
            <w:r>
              <w:rPr>
                <w:webHidden/>
              </w:rPr>
              <w:instrText xml:space="preserve"> PAGEREF _Toc214555622 \h </w:instrText>
            </w:r>
            <w:r>
              <w:rPr>
                <w:webHidden/>
              </w:rPr>
            </w:r>
            <w:r>
              <w:rPr>
                <w:webHidden/>
              </w:rPr>
              <w:fldChar w:fldCharType="separate"/>
            </w:r>
            <w:r w:rsidR="00491B46">
              <w:rPr>
                <w:webHidden/>
              </w:rPr>
              <w:t>1</w:t>
            </w:r>
            <w:r>
              <w:rPr>
                <w:webHidden/>
              </w:rPr>
              <w:fldChar w:fldCharType="end"/>
            </w:r>
          </w:hyperlink>
        </w:p>
        <w:p w14:paraId="1A5A4F10" w14:textId="65F965D5" w:rsidR="004134CB" w:rsidRDefault="004134CB">
          <w:pPr>
            <w:pStyle w:val="TOC2"/>
            <w:tabs>
              <w:tab w:val="left" w:pos="1200"/>
            </w:tabs>
            <w:rPr>
              <w:rFonts w:eastAsiaTheme="minorEastAsia"/>
              <w:kern w:val="2"/>
              <w:sz w:val="24"/>
              <w:szCs w:val="24"/>
              <w:lang w:eastAsia="en-AU"/>
              <w14:ligatures w14:val="standardContextual"/>
            </w:rPr>
          </w:pPr>
          <w:hyperlink w:anchor="_Toc214555623" w:history="1">
            <w:r w:rsidRPr="00741724">
              <w:rPr>
                <w:rStyle w:val="Hyperlink"/>
              </w:rPr>
              <w:t>1.2</w:t>
            </w:r>
            <w:r>
              <w:rPr>
                <w:rFonts w:eastAsiaTheme="minorEastAsia"/>
                <w:kern w:val="2"/>
                <w:sz w:val="24"/>
                <w:szCs w:val="24"/>
                <w:lang w:eastAsia="en-AU"/>
                <w14:ligatures w14:val="standardContextual"/>
              </w:rPr>
              <w:tab/>
            </w:r>
            <w:r w:rsidRPr="00741724">
              <w:rPr>
                <w:rStyle w:val="Hyperlink"/>
              </w:rPr>
              <w:t>Expected outcomes</w:t>
            </w:r>
            <w:r>
              <w:rPr>
                <w:webHidden/>
              </w:rPr>
              <w:tab/>
            </w:r>
            <w:r>
              <w:rPr>
                <w:webHidden/>
              </w:rPr>
              <w:fldChar w:fldCharType="begin"/>
            </w:r>
            <w:r>
              <w:rPr>
                <w:webHidden/>
              </w:rPr>
              <w:instrText xml:space="preserve"> PAGEREF _Toc214555623 \h </w:instrText>
            </w:r>
            <w:r>
              <w:rPr>
                <w:webHidden/>
              </w:rPr>
            </w:r>
            <w:r>
              <w:rPr>
                <w:webHidden/>
              </w:rPr>
              <w:fldChar w:fldCharType="separate"/>
            </w:r>
            <w:r w:rsidR="00491B46">
              <w:rPr>
                <w:webHidden/>
              </w:rPr>
              <w:t>1</w:t>
            </w:r>
            <w:r>
              <w:rPr>
                <w:webHidden/>
              </w:rPr>
              <w:fldChar w:fldCharType="end"/>
            </w:r>
          </w:hyperlink>
        </w:p>
        <w:p w14:paraId="1597CF70" w14:textId="301F78A8" w:rsidR="004134CB" w:rsidRDefault="004134CB">
          <w:pPr>
            <w:pStyle w:val="TOC1"/>
            <w:rPr>
              <w:rFonts w:eastAsiaTheme="minorEastAsia"/>
              <w:b w:val="0"/>
              <w:kern w:val="2"/>
              <w:sz w:val="24"/>
              <w:szCs w:val="24"/>
              <w:lang w:eastAsia="en-AU"/>
              <w14:ligatures w14:val="standardContextual"/>
            </w:rPr>
          </w:pPr>
          <w:hyperlink w:anchor="_Toc214555624" w:history="1">
            <w:r w:rsidRPr="00741724">
              <w:rPr>
                <w:rStyle w:val="Hyperlink"/>
              </w:rPr>
              <w:t>2</w:t>
            </w:r>
            <w:r>
              <w:rPr>
                <w:rFonts w:eastAsiaTheme="minorEastAsia"/>
                <w:b w:val="0"/>
                <w:kern w:val="2"/>
                <w:sz w:val="24"/>
                <w:szCs w:val="24"/>
                <w:lang w:eastAsia="en-AU"/>
                <w14:ligatures w14:val="standardContextual"/>
              </w:rPr>
              <w:tab/>
            </w:r>
            <w:r w:rsidRPr="00741724">
              <w:rPr>
                <w:rStyle w:val="Hyperlink"/>
              </w:rPr>
              <w:t>Planning and preparation – 2017</w:t>
            </w:r>
            <w:r>
              <w:rPr>
                <w:webHidden/>
              </w:rPr>
              <w:tab/>
            </w:r>
            <w:r>
              <w:rPr>
                <w:webHidden/>
              </w:rPr>
              <w:fldChar w:fldCharType="begin"/>
            </w:r>
            <w:r>
              <w:rPr>
                <w:webHidden/>
              </w:rPr>
              <w:instrText xml:space="preserve"> PAGEREF _Toc214555624 \h </w:instrText>
            </w:r>
            <w:r>
              <w:rPr>
                <w:webHidden/>
              </w:rPr>
            </w:r>
            <w:r>
              <w:rPr>
                <w:webHidden/>
              </w:rPr>
              <w:fldChar w:fldCharType="separate"/>
            </w:r>
            <w:r w:rsidR="00491B46">
              <w:rPr>
                <w:webHidden/>
              </w:rPr>
              <w:t>2</w:t>
            </w:r>
            <w:r>
              <w:rPr>
                <w:webHidden/>
              </w:rPr>
              <w:fldChar w:fldCharType="end"/>
            </w:r>
          </w:hyperlink>
        </w:p>
        <w:p w14:paraId="7BFDBF1F" w14:textId="275B17C4" w:rsidR="004134CB" w:rsidRDefault="004134CB">
          <w:pPr>
            <w:pStyle w:val="TOC2"/>
            <w:tabs>
              <w:tab w:val="left" w:pos="1200"/>
            </w:tabs>
            <w:rPr>
              <w:rFonts w:eastAsiaTheme="minorEastAsia"/>
              <w:kern w:val="2"/>
              <w:sz w:val="24"/>
              <w:szCs w:val="24"/>
              <w:lang w:eastAsia="en-AU"/>
              <w14:ligatures w14:val="standardContextual"/>
            </w:rPr>
          </w:pPr>
          <w:hyperlink w:anchor="_Toc214555625" w:history="1">
            <w:r w:rsidRPr="00741724">
              <w:rPr>
                <w:rStyle w:val="Hyperlink"/>
              </w:rPr>
              <w:t>2.1</w:t>
            </w:r>
            <w:r>
              <w:rPr>
                <w:rFonts w:eastAsiaTheme="minorEastAsia"/>
                <w:kern w:val="2"/>
                <w:sz w:val="24"/>
                <w:szCs w:val="24"/>
                <w:lang w:eastAsia="en-AU"/>
                <w14:ligatures w14:val="standardContextual"/>
              </w:rPr>
              <w:tab/>
            </w:r>
            <w:r w:rsidRPr="00741724">
              <w:rPr>
                <w:rStyle w:val="Hyperlink"/>
              </w:rPr>
              <w:t>Collaborator responsibilities and pre-planning</w:t>
            </w:r>
            <w:r>
              <w:rPr>
                <w:webHidden/>
              </w:rPr>
              <w:tab/>
            </w:r>
            <w:r>
              <w:rPr>
                <w:webHidden/>
              </w:rPr>
              <w:fldChar w:fldCharType="begin"/>
            </w:r>
            <w:r>
              <w:rPr>
                <w:webHidden/>
              </w:rPr>
              <w:instrText xml:space="preserve"> PAGEREF _Toc214555625 \h </w:instrText>
            </w:r>
            <w:r>
              <w:rPr>
                <w:webHidden/>
              </w:rPr>
            </w:r>
            <w:r>
              <w:rPr>
                <w:webHidden/>
              </w:rPr>
              <w:fldChar w:fldCharType="separate"/>
            </w:r>
            <w:r w:rsidR="00491B46">
              <w:rPr>
                <w:webHidden/>
              </w:rPr>
              <w:t>2</w:t>
            </w:r>
            <w:r>
              <w:rPr>
                <w:webHidden/>
              </w:rPr>
              <w:fldChar w:fldCharType="end"/>
            </w:r>
          </w:hyperlink>
        </w:p>
        <w:p w14:paraId="5099F462" w14:textId="0A787CE9" w:rsidR="004134CB" w:rsidRDefault="004134CB">
          <w:pPr>
            <w:pStyle w:val="TOC2"/>
            <w:tabs>
              <w:tab w:val="left" w:pos="1200"/>
            </w:tabs>
            <w:rPr>
              <w:rFonts w:eastAsiaTheme="minorEastAsia"/>
              <w:kern w:val="2"/>
              <w:sz w:val="24"/>
              <w:szCs w:val="24"/>
              <w:lang w:eastAsia="en-AU"/>
              <w14:ligatures w14:val="standardContextual"/>
            </w:rPr>
          </w:pPr>
          <w:hyperlink w:anchor="_Toc214555626" w:history="1">
            <w:r w:rsidRPr="00741724">
              <w:rPr>
                <w:rStyle w:val="Hyperlink"/>
              </w:rPr>
              <w:t>2.2</w:t>
            </w:r>
            <w:r>
              <w:rPr>
                <w:rFonts w:eastAsiaTheme="minorEastAsia"/>
                <w:kern w:val="2"/>
                <w:sz w:val="24"/>
                <w:szCs w:val="24"/>
                <w:lang w:eastAsia="en-AU"/>
                <w14:ligatures w14:val="standardContextual"/>
              </w:rPr>
              <w:tab/>
            </w:r>
            <w:r w:rsidRPr="00741724">
              <w:rPr>
                <w:rStyle w:val="Hyperlink"/>
              </w:rPr>
              <w:t>Requirements for participation</w:t>
            </w:r>
            <w:r>
              <w:rPr>
                <w:webHidden/>
              </w:rPr>
              <w:tab/>
            </w:r>
            <w:r>
              <w:rPr>
                <w:webHidden/>
              </w:rPr>
              <w:fldChar w:fldCharType="begin"/>
            </w:r>
            <w:r>
              <w:rPr>
                <w:webHidden/>
              </w:rPr>
              <w:instrText xml:space="preserve"> PAGEREF _Toc214555626 \h </w:instrText>
            </w:r>
            <w:r>
              <w:rPr>
                <w:webHidden/>
              </w:rPr>
            </w:r>
            <w:r>
              <w:rPr>
                <w:webHidden/>
              </w:rPr>
              <w:fldChar w:fldCharType="separate"/>
            </w:r>
            <w:r w:rsidR="00491B46">
              <w:rPr>
                <w:webHidden/>
              </w:rPr>
              <w:t>2</w:t>
            </w:r>
            <w:r>
              <w:rPr>
                <w:webHidden/>
              </w:rPr>
              <w:fldChar w:fldCharType="end"/>
            </w:r>
          </w:hyperlink>
        </w:p>
        <w:p w14:paraId="3D4131A3" w14:textId="3AA71393" w:rsidR="004134CB" w:rsidRDefault="004134CB">
          <w:pPr>
            <w:pStyle w:val="TOC2"/>
            <w:tabs>
              <w:tab w:val="left" w:pos="1200"/>
            </w:tabs>
            <w:rPr>
              <w:rFonts w:eastAsiaTheme="minorEastAsia"/>
              <w:kern w:val="2"/>
              <w:sz w:val="24"/>
              <w:szCs w:val="24"/>
              <w:lang w:eastAsia="en-AU"/>
              <w14:ligatures w14:val="standardContextual"/>
            </w:rPr>
          </w:pPr>
          <w:hyperlink w:anchor="_Toc214555627" w:history="1">
            <w:r w:rsidRPr="00741724">
              <w:rPr>
                <w:rStyle w:val="Hyperlink"/>
              </w:rPr>
              <w:t>2.3</w:t>
            </w:r>
            <w:r>
              <w:rPr>
                <w:rFonts w:eastAsiaTheme="minorEastAsia"/>
                <w:kern w:val="2"/>
                <w:sz w:val="24"/>
                <w:szCs w:val="24"/>
                <w:lang w:eastAsia="en-AU"/>
                <w14:ligatures w14:val="standardContextual"/>
              </w:rPr>
              <w:tab/>
            </w:r>
            <w:r w:rsidRPr="00741724">
              <w:rPr>
                <w:rStyle w:val="Hyperlink"/>
              </w:rPr>
              <w:t>NACA hosted workshop</w:t>
            </w:r>
            <w:r>
              <w:rPr>
                <w:webHidden/>
              </w:rPr>
              <w:tab/>
            </w:r>
            <w:r>
              <w:rPr>
                <w:webHidden/>
              </w:rPr>
              <w:fldChar w:fldCharType="begin"/>
            </w:r>
            <w:r>
              <w:rPr>
                <w:webHidden/>
              </w:rPr>
              <w:instrText xml:space="preserve"> PAGEREF _Toc214555627 \h </w:instrText>
            </w:r>
            <w:r>
              <w:rPr>
                <w:webHidden/>
              </w:rPr>
            </w:r>
            <w:r>
              <w:rPr>
                <w:webHidden/>
              </w:rPr>
              <w:fldChar w:fldCharType="separate"/>
            </w:r>
            <w:r w:rsidR="00491B46">
              <w:rPr>
                <w:webHidden/>
              </w:rPr>
              <w:t>3</w:t>
            </w:r>
            <w:r>
              <w:rPr>
                <w:webHidden/>
              </w:rPr>
              <w:fldChar w:fldCharType="end"/>
            </w:r>
          </w:hyperlink>
        </w:p>
        <w:p w14:paraId="091A127C" w14:textId="38093C70" w:rsidR="004134CB" w:rsidRDefault="004134CB">
          <w:pPr>
            <w:pStyle w:val="TOC1"/>
            <w:rPr>
              <w:rFonts w:eastAsiaTheme="minorEastAsia"/>
              <w:b w:val="0"/>
              <w:kern w:val="2"/>
              <w:sz w:val="24"/>
              <w:szCs w:val="24"/>
              <w:lang w:eastAsia="en-AU"/>
              <w14:ligatures w14:val="standardContextual"/>
            </w:rPr>
          </w:pPr>
          <w:hyperlink w:anchor="_Toc214555628" w:history="1">
            <w:r w:rsidRPr="00741724">
              <w:rPr>
                <w:rStyle w:val="Hyperlink"/>
              </w:rPr>
              <w:t>3</w:t>
            </w:r>
            <w:r>
              <w:rPr>
                <w:rFonts w:eastAsiaTheme="minorEastAsia"/>
                <w:b w:val="0"/>
                <w:kern w:val="2"/>
                <w:sz w:val="24"/>
                <w:szCs w:val="24"/>
                <w:lang w:eastAsia="en-AU"/>
                <w14:ligatures w14:val="standardContextual"/>
              </w:rPr>
              <w:tab/>
            </w:r>
            <w:r w:rsidRPr="00741724">
              <w:rPr>
                <w:rStyle w:val="Hyperlink"/>
              </w:rPr>
              <w:t>Program implementation – 2018 to 2022</w:t>
            </w:r>
            <w:r>
              <w:rPr>
                <w:webHidden/>
              </w:rPr>
              <w:tab/>
            </w:r>
            <w:r>
              <w:rPr>
                <w:webHidden/>
              </w:rPr>
              <w:fldChar w:fldCharType="begin"/>
            </w:r>
            <w:r>
              <w:rPr>
                <w:webHidden/>
              </w:rPr>
              <w:instrText xml:space="preserve"> PAGEREF _Toc214555628 \h </w:instrText>
            </w:r>
            <w:r>
              <w:rPr>
                <w:webHidden/>
              </w:rPr>
            </w:r>
            <w:r>
              <w:rPr>
                <w:webHidden/>
              </w:rPr>
              <w:fldChar w:fldCharType="separate"/>
            </w:r>
            <w:r w:rsidR="00491B46">
              <w:rPr>
                <w:webHidden/>
              </w:rPr>
              <w:t>4</w:t>
            </w:r>
            <w:r>
              <w:rPr>
                <w:webHidden/>
              </w:rPr>
              <w:fldChar w:fldCharType="end"/>
            </w:r>
          </w:hyperlink>
        </w:p>
        <w:p w14:paraId="4843D179" w14:textId="6CDC60FA" w:rsidR="004134CB" w:rsidRDefault="004134CB">
          <w:pPr>
            <w:pStyle w:val="TOC2"/>
            <w:tabs>
              <w:tab w:val="left" w:pos="1200"/>
            </w:tabs>
            <w:rPr>
              <w:rFonts w:eastAsiaTheme="minorEastAsia"/>
              <w:kern w:val="2"/>
              <w:sz w:val="24"/>
              <w:szCs w:val="24"/>
              <w:lang w:eastAsia="en-AU"/>
              <w14:ligatures w14:val="standardContextual"/>
            </w:rPr>
          </w:pPr>
          <w:hyperlink w:anchor="_Toc214555629" w:history="1">
            <w:r w:rsidRPr="00741724">
              <w:rPr>
                <w:rStyle w:val="Hyperlink"/>
              </w:rPr>
              <w:t>3.1</w:t>
            </w:r>
            <w:r>
              <w:rPr>
                <w:rFonts w:eastAsiaTheme="minorEastAsia"/>
                <w:kern w:val="2"/>
                <w:sz w:val="24"/>
                <w:szCs w:val="24"/>
                <w:lang w:eastAsia="en-AU"/>
                <w14:ligatures w14:val="standardContextual"/>
              </w:rPr>
              <w:tab/>
            </w:r>
            <w:r w:rsidRPr="00741724">
              <w:rPr>
                <w:rStyle w:val="Hyperlink"/>
              </w:rPr>
              <w:t>Sample preparation</w:t>
            </w:r>
            <w:r>
              <w:rPr>
                <w:webHidden/>
              </w:rPr>
              <w:tab/>
            </w:r>
            <w:r>
              <w:rPr>
                <w:webHidden/>
              </w:rPr>
              <w:fldChar w:fldCharType="begin"/>
            </w:r>
            <w:r>
              <w:rPr>
                <w:webHidden/>
              </w:rPr>
              <w:instrText xml:space="preserve"> PAGEREF _Toc214555629 \h </w:instrText>
            </w:r>
            <w:r>
              <w:rPr>
                <w:webHidden/>
              </w:rPr>
            </w:r>
            <w:r>
              <w:rPr>
                <w:webHidden/>
              </w:rPr>
              <w:fldChar w:fldCharType="separate"/>
            </w:r>
            <w:r w:rsidR="00491B46">
              <w:rPr>
                <w:webHidden/>
              </w:rPr>
              <w:t>4</w:t>
            </w:r>
            <w:r>
              <w:rPr>
                <w:webHidden/>
              </w:rPr>
              <w:fldChar w:fldCharType="end"/>
            </w:r>
          </w:hyperlink>
        </w:p>
        <w:p w14:paraId="6CC7F229" w14:textId="40EC8CDD" w:rsidR="004134CB" w:rsidRDefault="004134CB">
          <w:pPr>
            <w:pStyle w:val="TOC2"/>
            <w:tabs>
              <w:tab w:val="left" w:pos="1200"/>
            </w:tabs>
            <w:rPr>
              <w:rFonts w:eastAsiaTheme="minorEastAsia"/>
              <w:kern w:val="2"/>
              <w:sz w:val="24"/>
              <w:szCs w:val="24"/>
              <w:lang w:eastAsia="en-AU"/>
              <w14:ligatures w14:val="standardContextual"/>
            </w:rPr>
          </w:pPr>
          <w:hyperlink w:anchor="_Toc214555630" w:history="1">
            <w:r w:rsidRPr="00741724">
              <w:rPr>
                <w:rStyle w:val="Hyperlink"/>
              </w:rPr>
              <w:t>3.2</w:t>
            </w:r>
            <w:r>
              <w:rPr>
                <w:rFonts w:eastAsiaTheme="minorEastAsia"/>
                <w:kern w:val="2"/>
                <w:sz w:val="24"/>
                <w:szCs w:val="24"/>
                <w:lang w:eastAsia="en-AU"/>
                <w14:ligatures w14:val="standardContextual"/>
              </w:rPr>
              <w:tab/>
            </w:r>
            <w:r w:rsidRPr="00741724">
              <w:rPr>
                <w:rStyle w:val="Hyperlink"/>
              </w:rPr>
              <w:t>Quality control – homogeneity testing</w:t>
            </w:r>
            <w:r>
              <w:rPr>
                <w:webHidden/>
              </w:rPr>
              <w:tab/>
            </w:r>
            <w:r>
              <w:rPr>
                <w:webHidden/>
              </w:rPr>
              <w:fldChar w:fldCharType="begin"/>
            </w:r>
            <w:r>
              <w:rPr>
                <w:webHidden/>
              </w:rPr>
              <w:instrText xml:space="preserve"> PAGEREF _Toc214555630 \h </w:instrText>
            </w:r>
            <w:r>
              <w:rPr>
                <w:webHidden/>
              </w:rPr>
            </w:r>
            <w:r>
              <w:rPr>
                <w:webHidden/>
              </w:rPr>
              <w:fldChar w:fldCharType="separate"/>
            </w:r>
            <w:r w:rsidR="00491B46">
              <w:rPr>
                <w:webHidden/>
              </w:rPr>
              <w:t>5</w:t>
            </w:r>
            <w:r>
              <w:rPr>
                <w:webHidden/>
              </w:rPr>
              <w:fldChar w:fldCharType="end"/>
            </w:r>
          </w:hyperlink>
        </w:p>
        <w:p w14:paraId="4DA1FB9D" w14:textId="605CADC4" w:rsidR="004134CB" w:rsidRDefault="004134CB">
          <w:pPr>
            <w:pStyle w:val="TOC2"/>
            <w:tabs>
              <w:tab w:val="left" w:pos="1200"/>
            </w:tabs>
            <w:rPr>
              <w:rFonts w:eastAsiaTheme="minorEastAsia"/>
              <w:kern w:val="2"/>
              <w:sz w:val="24"/>
              <w:szCs w:val="24"/>
              <w:lang w:eastAsia="en-AU"/>
              <w14:ligatures w14:val="standardContextual"/>
            </w:rPr>
          </w:pPr>
          <w:hyperlink w:anchor="_Toc214555631" w:history="1">
            <w:r w:rsidRPr="00741724">
              <w:rPr>
                <w:rStyle w:val="Hyperlink"/>
              </w:rPr>
              <w:t>3.3</w:t>
            </w:r>
            <w:r>
              <w:rPr>
                <w:rFonts w:eastAsiaTheme="minorEastAsia"/>
                <w:kern w:val="2"/>
                <w:sz w:val="24"/>
                <w:szCs w:val="24"/>
                <w:lang w:eastAsia="en-AU"/>
                <w14:ligatures w14:val="standardContextual"/>
              </w:rPr>
              <w:tab/>
            </w:r>
            <w:r w:rsidRPr="00741724">
              <w:rPr>
                <w:rStyle w:val="Hyperlink"/>
              </w:rPr>
              <w:t>Quality control – stability testing</w:t>
            </w:r>
            <w:r>
              <w:rPr>
                <w:webHidden/>
              </w:rPr>
              <w:tab/>
            </w:r>
            <w:r>
              <w:rPr>
                <w:webHidden/>
              </w:rPr>
              <w:fldChar w:fldCharType="begin"/>
            </w:r>
            <w:r>
              <w:rPr>
                <w:webHidden/>
              </w:rPr>
              <w:instrText xml:space="preserve"> PAGEREF _Toc214555631 \h </w:instrText>
            </w:r>
            <w:r>
              <w:rPr>
                <w:webHidden/>
              </w:rPr>
            </w:r>
            <w:r>
              <w:rPr>
                <w:webHidden/>
              </w:rPr>
              <w:fldChar w:fldCharType="separate"/>
            </w:r>
            <w:r w:rsidR="00491B46">
              <w:rPr>
                <w:webHidden/>
              </w:rPr>
              <w:t>5</w:t>
            </w:r>
            <w:r>
              <w:rPr>
                <w:webHidden/>
              </w:rPr>
              <w:fldChar w:fldCharType="end"/>
            </w:r>
          </w:hyperlink>
        </w:p>
        <w:p w14:paraId="5A3EA574" w14:textId="69C1AED7" w:rsidR="004134CB" w:rsidRDefault="004134CB">
          <w:pPr>
            <w:pStyle w:val="TOC2"/>
            <w:tabs>
              <w:tab w:val="left" w:pos="1200"/>
            </w:tabs>
            <w:rPr>
              <w:rFonts w:eastAsiaTheme="minorEastAsia"/>
              <w:kern w:val="2"/>
              <w:sz w:val="24"/>
              <w:szCs w:val="24"/>
              <w:lang w:eastAsia="en-AU"/>
              <w14:ligatures w14:val="standardContextual"/>
            </w:rPr>
          </w:pPr>
          <w:hyperlink w:anchor="_Toc214555632" w:history="1">
            <w:r w:rsidRPr="00741724">
              <w:rPr>
                <w:rStyle w:val="Hyperlink"/>
              </w:rPr>
              <w:t>3.4</w:t>
            </w:r>
            <w:r>
              <w:rPr>
                <w:rFonts w:eastAsiaTheme="minorEastAsia"/>
                <w:kern w:val="2"/>
                <w:sz w:val="24"/>
                <w:szCs w:val="24"/>
                <w:lang w:eastAsia="en-AU"/>
                <w14:ligatures w14:val="standardContextual"/>
              </w:rPr>
              <w:tab/>
            </w:r>
            <w:r w:rsidRPr="00741724">
              <w:rPr>
                <w:rStyle w:val="Hyperlink"/>
              </w:rPr>
              <w:t>Positive controls</w:t>
            </w:r>
            <w:r>
              <w:rPr>
                <w:webHidden/>
              </w:rPr>
              <w:tab/>
            </w:r>
            <w:r>
              <w:rPr>
                <w:webHidden/>
              </w:rPr>
              <w:fldChar w:fldCharType="begin"/>
            </w:r>
            <w:r>
              <w:rPr>
                <w:webHidden/>
              </w:rPr>
              <w:instrText xml:space="preserve"> PAGEREF _Toc214555632 \h </w:instrText>
            </w:r>
            <w:r>
              <w:rPr>
                <w:webHidden/>
              </w:rPr>
            </w:r>
            <w:r>
              <w:rPr>
                <w:webHidden/>
              </w:rPr>
              <w:fldChar w:fldCharType="separate"/>
            </w:r>
            <w:r w:rsidR="00491B46">
              <w:rPr>
                <w:webHidden/>
              </w:rPr>
              <w:t>6</w:t>
            </w:r>
            <w:r>
              <w:rPr>
                <w:webHidden/>
              </w:rPr>
              <w:fldChar w:fldCharType="end"/>
            </w:r>
          </w:hyperlink>
        </w:p>
        <w:p w14:paraId="305E30CD" w14:textId="080D4D82" w:rsidR="004134CB" w:rsidRDefault="004134CB">
          <w:pPr>
            <w:pStyle w:val="TOC2"/>
            <w:tabs>
              <w:tab w:val="left" w:pos="1200"/>
            </w:tabs>
            <w:rPr>
              <w:rFonts w:eastAsiaTheme="minorEastAsia"/>
              <w:kern w:val="2"/>
              <w:sz w:val="24"/>
              <w:szCs w:val="24"/>
              <w:lang w:eastAsia="en-AU"/>
              <w14:ligatures w14:val="standardContextual"/>
            </w:rPr>
          </w:pPr>
          <w:hyperlink w:anchor="_Toc214555633" w:history="1">
            <w:r w:rsidRPr="00741724">
              <w:rPr>
                <w:rStyle w:val="Hyperlink"/>
              </w:rPr>
              <w:t>3.5</w:t>
            </w:r>
            <w:r>
              <w:rPr>
                <w:rFonts w:eastAsiaTheme="minorEastAsia"/>
                <w:kern w:val="2"/>
                <w:sz w:val="24"/>
                <w:szCs w:val="24"/>
                <w:lang w:eastAsia="en-AU"/>
                <w14:ligatures w14:val="standardContextual"/>
              </w:rPr>
              <w:tab/>
            </w:r>
            <w:r w:rsidRPr="00741724">
              <w:rPr>
                <w:rStyle w:val="Hyperlink"/>
              </w:rPr>
              <w:t>Sample distribution</w:t>
            </w:r>
            <w:r>
              <w:rPr>
                <w:webHidden/>
              </w:rPr>
              <w:tab/>
            </w:r>
            <w:r>
              <w:rPr>
                <w:webHidden/>
              </w:rPr>
              <w:fldChar w:fldCharType="begin"/>
            </w:r>
            <w:r>
              <w:rPr>
                <w:webHidden/>
              </w:rPr>
              <w:instrText xml:space="preserve"> PAGEREF _Toc214555633 \h </w:instrText>
            </w:r>
            <w:r>
              <w:rPr>
                <w:webHidden/>
              </w:rPr>
            </w:r>
            <w:r>
              <w:rPr>
                <w:webHidden/>
              </w:rPr>
              <w:fldChar w:fldCharType="separate"/>
            </w:r>
            <w:r w:rsidR="00491B46">
              <w:rPr>
                <w:webHidden/>
              </w:rPr>
              <w:t>6</w:t>
            </w:r>
            <w:r>
              <w:rPr>
                <w:webHidden/>
              </w:rPr>
              <w:fldChar w:fldCharType="end"/>
            </w:r>
          </w:hyperlink>
        </w:p>
        <w:p w14:paraId="28830443" w14:textId="516A736B" w:rsidR="004134CB" w:rsidRDefault="004134CB">
          <w:pPr>
            <w:pStyle w:val="TOC2"/>
            <w:tabs>
              <w:tab w:val="left" w:pos="1200"/>
            </w:tabs>
            <w:rPr>
              <w:rFonts w:eastAsiaTheme="minorEastAsia"/>
              <w:kern w:val="2"/>
              <w:sz w:val="24"/>
              <w:szCs w:val="24"/>
              <w:lang w:eastAsia="en-AU"/>
              <w14:ligatures w14:val="standardContextual"/>
            </w:rPr>
          </w:pPr>
          <w:hyperlink w:anchor="_Toc214555634" w:history="1">
            <w:r w:rsidRPr="00741724">
              <w:rPr>
                <w:rStyle w:val="Hyperlink"/>
              </w:rPr>
              <w:t>3.6</w:t>
            </w:r>
            <w:r>
              <w:rPr>
                <w:rFonts w:eastAsiaTheme="minorEastAsia"/>
                <w:kern w:val="2"/>
                <w:sz w:val="24"/>
                <w:szCs w:val="24"/>
                <w:lang w:eastAsia="en-AU"/>
                <w14:ligatures w14:val="standardContextual"/>
              </w:rPr>
              <w:tab/>
            </w:r>
            <w:r w:rsidRPr="00741724">
              <w:rPr>
                <w:rStyle w:val="Hyperlink"/>
              </w:rPr>
              <w:t>Testing and reporting</w:t>
            </w:r>
            <w:r>
              <w:rPr>
                <w:webHidden/>
              </w:rPr>
              <w:tab/>
            </w:r>
            <w:r>
              <w:rPr>
                <w:webHidden/>
              </w:rPr>
              <w:fldChar w:fldCharType="begin"/>
            </w:r>
            <w:r>
              <w:rPr>
                <w:webHidden/>
              </w:rPr>
              <w:instrText xml:space="preserve"> PAGEREF _Toc214555634 \h </w:instrText>
            </w:r>
            <w:r>
              <w:rPr>
                <w:webHidden/>
              </w:rPr>
            </w:r>
            <w:r>
              <w:rPr>
                <w:webHidden/>
              </w:rPr>
              <w:fldChar w:fldCharType="separate"/>
            </w:r>
            <w:r w:rsidR="00491B46">
              <w:rPr>
                <w:webHidden/>
              </w:rPr>
              <w:t>6</w:t>
            </w:r>
            <w:r>
              <w:rPr>
                <w:webHidden/>
              </w:rPr>
              <w:fldChar w:fldCharType="end"/>
            </w:r>
          </w:hyperlink>
        </w:p>
        <w:p w14:paraId="4547455F" w14:textId="10D28F8E" w:rsidR="004134CB" w:rsidRDefault="004134CB">
          <w:pPr>
            <w:pStyle w:val="TOC2"/>
            <w:tabs>
              <w:tab w:val="left" w:pos="1200"/>
            </w:tabs>
            <w:rPr>
              <w:rFonts w:eastAsiaTheme="minorEastAsia"/>
              <w:kern w:val="2"/>
              <w:sz w:val="24"/>
              <w:szCs w:val="24"/>
              <w:lang w:eastAsia="en-AU"/>
              <w14:ligatures w14:val="standardContextual"/>
            </w:rPr>
          </w:pPr>
          <w:hyperlink w:anchor="_Toc214555635" w:history="1">
            <w:r w:rsidRPr="00741724">
              <w:rPr>
                <w:rStyle w:val="Hyperlink"/>
              </w:rPr>
              <w:t>3.7</w:t>
            </w:r>
            <w:r>
              <w:rPr>
                <w:rFonts w:eastAsiaTheme="minorEastAsia"/>
                <w:kern w:val="2"/>
                <w:sz w:val="24"/>
                <w:szCs w:val="24"/>
                <w:lang w:eastAsia="en-AU"/>
                <w14:ligatures w14:val="standardContextual"/>
              </w:rPr>
              <w:tab/>
            </w:r>
            <w:r w:rsidRPr="00741724">
              <w:rPr>
                <w:rStyle w:val="Hyperlink"/>
              </w:rPr>
              <w:t>Results analysis</w:t>
            </w:r>
            <w:r>
              <w:rPr>
                <w:webHidden/>
              </w:rPr>
              <w:tab/>
            </w:r>
            <w:r>
              <w:rPr>
                <w:webHidden/>
              </w:rPr>
              <w:fldChar w:fldCharType="begin"/>
            </w:r>
            <w:r>
              <w:rPr>
                <w:webHidden/>
              </w:rPr>
              <w:instrText xml:space="preserve"> PAGEREF _Toc214555635 \h </w:instrText>
            </w:r>
            <w:r>
              <w:rPr>
                <w:webHidden/>
              </w:rPr>
            </w:r>
            <w:r>
              <w:rPr>
                <w:webHidden/>
              </w:rPr>
              <w:fldChar w:fldCharType="separate"/>
            </w:r>
            <w:r w:rsidR="00491B46">
              <w:rPr>
                <w:webHidden/>
              </w:rPr>
              <w:t>7</w:t>
            </w:r>
            <w:r>
              <w:rPr>
                <w:webHidden/>
              </w:rPr>
              <w:fldChar w:fldCharType="end"/>
            </w:r>
          </w:hyperlink>
        </w:p>
        <w:p w14:paraId="5A3D2ED8" w14:textId="5D159BE5" w:rsidR="004134CB" w:rsidRDefault="004134CB">
          <w:pPr>
            <w:pStyle w:val="TOC1"/>
            <w:rPr>
              <w:rFonts w:eastAsiaTheme="minorEastAsia"/>
              <w:b w:val="0"/>
              <w:kern w:val="2"/>
              <w:sz w:val="24"/>
              <w:szCs w:val="24"/>
              <w:lang w:eastAsia="en-AU"/>
              <w14:ligatures w14:val="standardContextual"/>
            </w:rPr>
          </w:pPr>
          <w:hyperlink w:anchor="_Toc214555636" w:history="1">
            <w:r w:rsidRPr="00741724">
              <w:rPr>
                <w:rStyle w:val="Hyperlink"/>
                <w:rFonts w:eastAsia="Cambria"/>
              </w:rPr>
              <w:t>4</w:t>
            </w:r>
            <w:r>
              <w:rPr>
                <w:rFonts w:eastAsiaTheme="minorEastAsia"/>
                <w:b w:val="0"/>
                <w:kern w:val="2"/>
                <w:sz w:val="24"/>
                <w:szCs w:val="24"/>
                <w:lang w:eastAsia="en-AU"/>
                <w14:ligatures w14:val="standardContextual"/>
              </w:rPr>
              <w:tab/>
            </w:r>
            <w:r w:rsidRPr="00741724">
              <w:rPr>
                <w:rStyle w:val="Hyperlink"/>
                <w:rFonts w:eastAsia="Cambria"/>
              </w:rPr>
              <w:t>Program results</w:t>
            </w:r>
            <w:r>
              <w:rPr>
                <w:webHidden/>
              </w:rPr>
              <w:tab/>
            </w:r>
            <w:r>
              <w:rPr>
                <w:webHidden/>
              </w:rPr>
              <w:fldChar w:fldCharType="begin"/>
            </w:r>
            <w:r>
              <w:rPr>
                <w:webHidden/>
              </w:rPr>
              <w:instrText xml:space="preserve"> PAGEREF _Toc214555636 \h </w:instrText>
            </w:r>
            <w:r>
              <w:rPr>
                <w:webHidden/>
              </w:rPr>
            </w:r>
            <w:r>
              <w:rPr>
                <w:webHidden/>
              </w:rPr>
              <w:fldChar w:fldCharType="separate"/>
            </w:r>
            <w:r w:rsidR="00491B46">
              <w:rPr>
                <w:webHidden/>
              </w:rPr>
              <w:t>9</w:t>
            </w:r>
            <w:r>
              <w:rPr>
                <w:webHidden/>
              </w:rPr>
              <w:fldChar w:fldCharType="end"/>
            </w:r>
          </w:hyperlink>
        </w:p>
        <w:p w14:paraId="783AEC6E" w14:textId="2C2BBD3B" w:rsidR="004134CB" w:rsidRDefault="004134CB">
          <w:pPr>
            <w:pStyle w:val="TOC2"/>
            <w:tabs>
              <w:tab w:val="left" w:pos="1200"/>
            </w:tabs>
            <w:rPr>
              <w:rFonts w:eastAsiaTheme="minorEastAsia"/>
              <w:kern w:val="2"/>
              <w:sz w:val="24"/>
              <w:szCs w:val="24"/>
              <w:lang w:eastAsia="en-AU"/>
              <w14:ligatures w14:val="standardContextual"/>
            </w:rPr>
          </w:pPr>
          <w:hyperlink w:anchor="_Toc214555637" w:history="1">
            <w:r w:rsidRPr="00741724">
              <w:rPr>
                <w:rStyle w:val="Hyperlink"/>
              </w:rPr>
              <w:t>4.1</w:t>
            </w:r>
            <w:r>
              <w:rPr>
                <w:rFonts w:eastAsiaTheme="minorEastAsia"/>
                <w:kern w:val="2"/>
                <w:sz w:val="24"/>
                <w:szCs w:val="24"/>
                <w:lang w:eastAsia="en-AU"/>
                <w14:ligatures w14:val="standardContextual"/>
              </w:rPr>
              <w:tab/>
            </w:r>
            <w:r w:rsidRPr="00741724">
              <w:rPr>
                <w:rStyle w:val="Hyperlink"/>
              </w:rPr>
              <w:t>Laboratory testing</w:t>
            </w:r>
            <w:r>
              <w:rPr>
                <w:webHidden/>
              </w:rPr>
              <w:tab/>
            </w:r>
            <w:r>
              <w:rPr>
                <w:webHidden/>
              </w:rPr>
              <w:fldChar w:fldCharType="begin"/>
            </w:r>
            <w:r>
              <w:rPr>
                <w:webHidden/>
              </w:rPr>
              <w:instrText xml:space="preserve"> PAGEREF _Toc214555637 \h </w:instrText>
            </w:r>
            <w:r>
              <w:rPr>
                <w:webHidden/>
              </w:rPr>
            </w:r>
            <w:r>
              <w:rPr>
                <w:webHidden/>
              </w:rPr>
              <w:fldChar w:fldCharType="separate"/>
            </w:r>
            <w:r w:rsidR="00491B46">
              <w:rPr>
                <w:webHidden/>
              </w:rPr>
              <w:t>9</w:t>
            </w:r>
            <w:r>
              <w:rPr>
                <w:webHidden/>
              </w:rPr>
              <w:fldChar w:fldCharType="end"/>
            </w:r>
          </w:hyperlink>
        </w:p>
        <w:p w14:paraId="078D419C" w14:textId="25BD4580" w:rsidR="004134CB" w:rsidRDefault="004134CB">
          <w:pPr>
            <w:pStyle w:val="TOC2"/>
            <w:tabs>
              <w:tab w:val="left" w:pos="1200"/>
            </w:tabs>
            <w:rPr>
              <w:rFonts w:eastAsiaTheme="minorEastAsia"/>
              <w:kern w:val="2"/>
              <w:sz w:val="24"/>
              <w:szCs w:val="24"/>
              <w:lang w:eastAsia="en-AU"/>
              <w14:ligatures w14:val="standardContextual"/>
            </w:rPr>
          </w:pPr>
          <w:hyperlink w:anchor="_Toc214555638" w:history="1">
            <w:r w:rsidRPr="00741724">
              <w:rPr>
                <w:rStyle w:val="Hyperlink"/>
              </w:rPr>
              <w:t>4.2</w:t>
            </w:r>
            <w:r>
              <w:rPr>
                <w:rFonts w:eastAsiaTheme="minorEastAsia"/>
                <w:kern w:val="2"/>
                <w:sz w:val="24"/>
                <w:szCs w:val="24"/>
                <w:lang w:eastAsia="en-AU"/>
                <w14:ligatures w14:val="standardContextual"/>
              </w:rPr>
              <w:tab/>
            </w:r>
            <w:r w:rsidRPr="00741724">
              <w:rPr>
                <w:rStyle w:val="Hyperlink"/>
              </w:rPr>
              <w:t>Laboratory issues and feedback</w:t>
            </w:r>
            <w:r>
              <w:rPr>
                <w:webHidden/>
              </w:rPr>
              <w:tab/>
            </w:r>
            <w:r>
              <w:rPr>
                <w:webHidden/>
              </w:rPr>
              <w:fldChar w:fldCharType="begin"/>
            </w:r>
            <w:r>
              <w:rPr>
                <w:webHidden/>
              </w:rPr>
              <w:instrText xml:space="preserve"> PAGEREF _Toc214555638 \h </w:instrText>
            </w:r>
            <w:r>
              <w:rPr>
                <w:webHidden/>
              </w:rPr>
            </w:r>
            <w:r>
              <w:rPr>
                <w:webHidden/>
              </w:rPr>
              <w:fldChar w:fldCharType="separate"/>
            </w:r>
            <w:r w:rsidR="00491B46">
              <w:rPr>
                <w:webHidden/>
              </w:rPr>
              <w:t>17</w:t>
            </w:r>
            <w:r>
              <w:rPr>
                <w:webHidden/>
              </w:rPr>
              <w:fldChar w:fldCharType="end"/>
            </w:r>
          </w:hyperlink>
        </w:p>
        <w:p w14:paraId="511AA4B5" w14:textId="0D680814" w:rsidR="004134CB" w:rsidRDefault="004134CB">
          <w:pPr>
            <w:pStyle w:val="TOC1"/>
            <w:rPr>
              <w:rFonts w:eastAsiaTheme="minorEastAsia"/>
              <w:b w:val="0"/>
              <w:kern w:val="2"/>
              <w:sz w:val="24"/>
              <w:szCs w:val="24"/>
              <w:lang w:eastAsia="en-AU"/>
              <w14:ligatures w14:val="standardContextual"/>
            </w:rPr>
          </w:pPr>
          <w:hyperlink w:anchor="_Toc214555639" w:history="1">
            <w:r w:rsidRPr="00741724">
              <w:rPr>
                <w:rStyle w:val="Hyperlink"/>
              </w:rPr>
              <w:t>5</w:t>
            </w:r>
            <w:r>
              <w:rPr>
                <w:rFonts w:eastAsiaTheme="minorEastAsia"/>
                <w:b w:val="0"/>
                <w:kern w:val="2"/>
                <w:sz w:val="24"/>
                <w:szCs w:val="24"/>
                <w:lang w:eastAsia="en-AU"/>
                <w14:ligatures w14:val="standardContextual"/>
              </w:rPr>
              <w:tab/>
            </w:r>
            <w:r w:rsidRPr="00741724">
              <w:rPr>
                <w:rStyle w:val="Hyperlink"/>
              </w:rPr>
              <w:t>Assessment against objectives and outcomes</w:t>
            </w:r>
            <w:r>
              <w:rPr>
                <w:webHidden/>
              </w:rPr>
              <w:tab/>
            </w:r>
            <w:r>
              <w:rPr>
                <w:webHidden/>
              </w:rPr>
              <w:fldChar w:fldCharType="begin"/>
            </w:r>
            <w:r>
              <w:rPr>
                <w:webHidden/>
              </w:rPr>
              <w:instrText xml:space="preserve"> PAGEREF _Toc214555639 \h </w:instrText>
            </w:r>
            <w:r>
              <w:rPr>
                <w:webHidden/>
              </w:rPr>
            </w:r>
            <w:r>
              <w:rPr>
                <w:webHidden/>
              </w:rPr>
              <w:fldChar w:fldCharType="separate"/>
            </w:r>
            <w:r w:rsidR="00491B46">
              <w:rPr>
                <w:webHidden/>
              </w:rPr>
              <w:t>19</w:t>
            </w:r>
            <w:r>
              <w:rPr>
                <w:webHidden/>
              </w:rPr>
              <w:fldChar w:fldCharType="end"/>
            </w:r>
          </w:hyperlink>
        </w:p>
        <w:p w14:paraId="062DA5F3" w14:textId="0F750CFE" w:rsidR="004134CB" w:rsidRDefault="004134CB">
          <w:pPr>
            <w:pStyle w:val="TOC2"/>
            <w:tabs>
              <w:tab w:val="left" w:pos="1200"/>
            </w:tabs>
            <w:rPr>
              <w:rFonts w:eastAsiaTheme="minorEastAsia"/>
              <w:kern w:val="2"/>
              <w:sz w:val="24"/>
              <w:szCs w:val="24"/>
              <w:lang w:eastAsia="en-AU"/>
              <w14:ligatures w14:val="standardContextual"/>
            </w:rPr>
          </w:pPr>
          <w:hyperlink w:anchor="_Toc214555640" w:history="1">
            <w:r w:rsidRPr="00741724">
              <w:rPr>
                <w:rStyle w:val="Hyperlink"/>
              </w:rPr>
              <w:t>5.1</w:t>
            </w:r>
            <w:r>
              <w:rPr>
                <w:rFonts w:eastAsiaTheme="minorEastAsia"/>
                <w:kern w:val="2"/>
                <w:sz w:val="24"/>
                <w:szCs w:val="24"/>
                <w:lang w:eastAsia="en-AU"/>
                <w14:ligatures w14:val="standardContextual"/>
              </w:rPr>
              <w:tab/>
            </w:r>
            <w:r w:rsidRPr="00741724">
              <w:rPr>
                <w:rStyle w:val="Hyperlink"/>
              </w:rPr>
              <w:t>Statement against the program objectives</w:t>
            </w:r>
            <w:r>
              <w:rPr>
                <w:webHidden/>
              </w:rPr>
              <w:tab/>
            </w:r>
            <w:r>
              <w:rPr>
                <w:webHidden/>
              </w:rPr>
              <w:fldChar w:fldCharType="begin"/>
            </w:r>
            <w:r>
              <w:rPr>
                <w:webHidden/>
              </w:rPr>
              <w:instrText xml:space="preserve"> PAGEREF _Toc214555640 \h </w:instrText>
            </w:r>
            <w:r>
              <w:rPr>
                <w:webHidden/>
              </w:rPr>
            </w:r>
            <w:r>
              <w:rPr>
                <w:webHidden/>
              </w:rPr>
              <w:fldChar w:fldCharType="separate"/>
            </w:r>
            <w:r w:rsidR="00491B46">
              <w:rPr>
                <w:webHidden/>
              </w:rPr>
              <w:t>19</w:t>
            </w:r>
            <w:r>
              <w:rPr>
                <w:webHidden/>
              </w:rPr>
              <w:fldChar w:fldCharType="end"/>
            </w:r>
          </w:hyperlink>
        </w:p>
        <w:p w14:paraId="204407DD" w14:textId="095137C4" w:rsidR="004134CB" w:rsidRDefault="004134CB">
          <w:pPr>
            <w:pStyle w:val="TOC2"/>
            <w:tabs>
              <w:tab w:val="left" w:pos="1200"/>
            </w:tabs>
            <w:rPr>
              <w:rFonts w:eastAsiaTheme="minorEastAsia"/>
              <w:kern w:val="2"/>
              <w:sz w:val="24"/>
              <w:szCs w:val="24"/>
              <w:lang w:eastAsia="en-AU"/>
              <w14:ligatures w14:val="standardContextual"/>
            </w:rPr>
          </w:pPr>
          <w:hyperlink w:anchor="_Toc214555641" w:history="1">
            <w:r w:rsidRPr="00741724">
              <w:rPr>
                <w:rStyle w:val="Hyperlink"/>
              </w:rPr>
              <w:t>5.2</w:t>
            </w:r>
            <w:r>
              <w:rPr>
                <w:rFonts w:eastAsiaTheme="minorEastAsia"/>
                <w:kern w:val="2"/>
                <w:sz w:val="24"/>
                <w:szCs w:val="24"/>
                <w:lang w:eastAsia="en-AU"/>
                <w14:ligatures w14:val="standardContextual"/>
              </w:rPr>
              <w:tab/>
            </w:r>
            <w:r w:rsidRPr="00741724">
              <w:rPr>
                <w:rStyle w:val="Hyperlink"/>
              </w:rPr>
              <w:t>Assessment against the expected outcomes</w:t>
            </w:r>
            <w:r>
              <w:rPr>
                <w:webHidden/>
              </w:rPr>
              <w:tab/>
            </w:r>
            <w:r>
              <w:rPr>
                <w:webHidden/>
              </w:rPr>
              <w:fldChar w:fldCharType="begin"/>
            </w:r>
            <w:r>
              <w:rPr>
                <w:webHidden/>
              </w:rPr>
              <w:instrText xml:space="preserve"> PAGEREF _Toc214555641 \h </w:instrText>
            </w:r>
            <w:r>
              <w:rPr>
                <w:webHidden/>
              </w:rPr>
            </w:r>
            <w:r>
              <w:rPr>
                <w:webHidden/>
              </w:rPr>
              <w:fldChar w:fldCharType="separate"/>
            </w:r>
            <w:r w:rsidR="00491B46">
              <w:rPr>
                <w:webHidden/>
              </w:rPr>
              <w:t>20</w:t>
            </w:r>
            <w:r>
              <w:rPr>
                <w:webHidden/>
              </w:rPr>
              <w:fldChar w:fldCharType="end"/>
            </w:r>
          </w:hyperlink>
        </w:p>
        <w:p w14:paraId="6CEE5FAE" w14:textId="089FD0B2" w:rsidR="004134CB" w:rsidRDefault="004134CB">
          <w:pPr>
            <w:pStyle w:val="TOC1"/>
            <w:rPr>
              <w:rFonts w:eastAsiaTheme="minorEastAsia"/>
              <w:b w:val="0"/>
              <w:kern w:val="2"/>
              <w:sz w:val="24"/>
              <w:szCs w:val="24"/>
              <w:lang w:eastAsia="en-AU"/>
              <w14:ligatures w14:val="standardContextual"/>
            </w:rPr>
          </w:pPr>
          <w:hyperlink w:anchor="_Toc214555642" w:history="1">
            <w:r w:rsidRPr="00741724">
              <w:rPr>
                <w:rStyle w:val="Hyperlink"/>
              </w:rPr>
              <w:t>6</w:t>
            </w:r>
            <w:r>
              <w:rPr>
                <w:rFonts w:eastAsiaTheme="minorEastAsia"/>
                <w:b w:val="0"/>
                <w:kern w:val="2"/>
                <w:sz w:val="24"/>
                <w:szCs w:val="24"/>
                <w:lang w:eastAsia="en-AU"/>
                <w14:ligatures w14:val="standardContextual"/>
              </w:rPr>
              <w:tab/>
            </w:r>
            <w:r w:rsidRPr="00741724">
              <w:rPr>
                <w:rStyle w:val="Hyperlink"/>
              </w:rPr>
              <w:t>Recommendations for future proficiency testing programs</w:t>
            </w:r>
            <w:r>
              <w:rPr>
                <w:webHidden/>
              </w:rPr>
              <w:tab/>
            </w:r>
            <w:r>
              <w:rPr>
                <w:webHidden/>
              </w:rPr>
              <w:fldChar w:fldCharType="begin"/>
            </w:r>
            <w:r>
              <w:rPr>
                <w:webHidden/>
              </w:rPr>
              <w:instrText xml:space="preserve"> PAGEREF _Toc214555642 \h </w:instrText>
            </w:r>
            <w:r>
              <w:rPr>
                <w:webHidden/>
              </w:rPr>
            </w:r>
            <w:r>
              <w:rPr>
                <w:webHidden/>
              </w:rPr>
              <w:fldChar w:fldCharType="separate"/>
            </w:r>
            <w:r w:rsidR="00491B46">
              <w:rPr>
                <w:webHidden/>
              </w:rPr>
              <w:t>22</w:t>
            </w:r>
            <w:r>
              <w:rPr>
                <w:webHidden/>
              </w:rPr>
              <w:fldChar w:fldCharType="end"/>
            </w:r>
          </w:hyperlink>
        </w:p>
        <w:p w14:paraId="0FD99179" w14:textId="42D864AE" w:rsidR="004134CB" w:rsidRDefault="004134CB">
          <w:pPr>
            <w:pStyle w:val="TOC2"/>
            <w:tabs>
              <w:tab w:val="left" w:pos="1200"/>
            </w:tabs>
            <w:rPr>
              <w:rFonts w:eastAsiaTheme="minorEastAsia"/>
              <w:kern w:val="2"/>
              <w:sz w:val="24"/>
              <w:szCs w:val="24"/>
              <w:lang w:eastAsia="en-AU"/>
              <w14:ligatures w14:val="standardContextual"/>
            </w:rPr>
          </w:pPr>
          <w:hyperlink w:anchor="_Toc214555643" w:history="1">
            <w:r w:rsidRPr="00741724">
              <w:rPr>
                <w:rStyle w:val="Hyperlink"/>
              </w:rPr>
              <w:t>6.1</w:t>
            </w:r>
            <w:r>
              <w:rPr>
                <w:rFonts w:eastAsiaTheme="minorEastAsia"/>
                <w:kern w:val="2"/>
                <w:sz w:val="24"/>
                <w:szCs w:val="24"/>
                <w:lang w:eastAsia="en-AU"/>
                <w14:ligatures w14:val="standardContextual"/>
              </w:rPr>
              <w:tab/>
            </w:r>
            <w:r w:rsidRPr="00741724">
              <w:rPr>
                <w:rStyle w:val="Hyperlink"/>
              </w:rPr>
              <w:t>Ensure participant familiarity with proficiency testing processes</w:t>
            </w:r>
            <w:r>
              <w:rPr>
                <w:webHidden/>
              </w:rPr>
              <w:tab/>
            </w:r>
            <w:r>
              <w:rPr>
                <w:webHidden/>
              </w:rPr>
              <w:fldChar w:fldCharType="begin"/>
            </w:r>
            <w:r>
              <w:rPr>
                <w:webHidden/>
              </w:rPr>
              <w:instrText xml:space="preserve"> PAGEREF _Toc214555643 \h </w:instrText>
            </w:r>
            <w:r>
              <w:rPr>
                <w:webHidden/>
              </w:rPr>
            </w:r>
            <w:r>
              <w:rPr>
                <w:webHidden/>
              </w:rPr>
              <w:fldChar w:fldCharType="separate"/>
            </w:r>
            <w:r w:rsidR="00491B46">
              <w:rPr>
                <w:webHidden/>
              </w:rPr>
              <w:t>22</w:t>
            </w:r>
            <w:r>
              <w:rPr>
                <w:webHidden/>
              </w:rPr>
              <w:fldChar w:fldCharType="end"/>
            </w:r>
          </w:hyperlink>
        </w:p>
        <w:p w14:paraId="28AE7ACB" w14:textId="1AADCF4B" w:rsidR="004134CB" w:rsidRDefault="004134CB">
          <w:pPr>
            <w:pStyle w:val="TOC2"/>
            <w:tabs>
              <w:tab w:val="left" w:pos="1200"/>
            </w:tabs>
            <w:rPr>
              <w:rFonts w:eastAsiaTheme="minorEastAsia"/>
              <w:kern w:val="2"/>
              <w:sz w:val="24"/>
              <w:szCs w:val="24"/>
              <w:lang w:eastAsia="en-AU"/>
              <w14:ligatures w14:val="standardContextual"/>
            </w:rPr>
          </w:pPr>
          <w:hyperlink w:anchor="_Toc214555644" w:history="1">
            <w:r w:rsidRPr="00741724">
              <w:rPr>
                <w:rStyle w:val="Hyperlink"/>
              </w:rPr>
              <w:t>6.2</w:t>
            </w:r>
            <w:r>
              <w:rPr>
                <w:rFonts w:eastAsiaTheme="minorEastAsia"/>
                <w:kern w:val="2"/>
                <w:sz w:val="24"/>
                <w:szCs w:val="24"/>
                <w:lang w:eastAsia="en-AU"/>
                <w14:ligatures w14:val="standardContextual"/>
              </w:rPr>
              <w:tab/>
            </w:r>
            <w:r w:rsidRPr="00741724">
              <w:rPr>
                <w:rStyle w:val="Hyperlink"/>
              </w:rPr>
              <w:t>Ensure diseases are of highest priority to participants</w:t>
            </w:r>
            <w:r>
              <w:rPr>
                <w:webHidden/>
              </w:rPr>
              <w:tab/>
            </w:r>
            <w:r>
              <w:rPr>
                <w:webHidden/>
              </w:rPr>
              <w:fldChar w:fldCharType="begin"/>
            </w:r>
            <w:r>
              <w:rPr>
                <w:webHidden/>
              </w:rPr>
              <w:instrText xml:space="preserve"> PAGEREF _Toc214555644 \h </w:instrText>
            </w:r>
            <w:r>
              <w:rPr>
                <w:webHidden/>
              </w:rPr>
            </w:r>
            <w:r>
              <w:rPr>
                <w:webHidden/>
              </w:rPr>
              <w:fldChar w:fldCharType="separate"/>
            </w:r>
            <w:r w:rsidR="00491B46">
              <w:rPr>
                <w:webHidden/>
              </w:rPr>
              <w:t>22</w:t>
            </w:r>
            <w:r>
              <w:rPr>
                <w:webHidden/>
              </w:rPr>
              <w:fldChar w:fldCharType="end"/>
            </w:r>
          </w:hyperlink>
        </w:p>
        <w:p w14:paraId="48A97B30" w14:textId="357A9C3F" w:rsidR="004134CB" w:rsidRDefault="004134CB">
          <w:pPr>
            <w:pStyle w:val="TOC2"/>
            <w:tabs>
              <w:tab w:val="left" w:pos="1200"/>
            </w:tabs>
            <w:rPr>
              <w:rFonts w:eastAsiaTheme="minorEastAsia"/>
              <w:kern w:val="2"/>
              <w:sz w:val="24"/>
              <w:szCs w:val="24"/>
              <w:lang w:eastAsia="en-AU"/>
              <w14:ligatures w14:val="standardContextual"/>
            </w:rPr>
          </w:pPr>
          <w:hyperlink w:anchor="_Toc214555645" w:history="1">
            <w:r w:rsidRPr="00741724">
              <w:rPr>
                <w:rStyle w:val="Hyperlink"/>
              </w:rPr>
              <w:t>6.3</w:t>
            </w:r>
            <w:r>
              <w:rPr>
                <w:rFonts w:eastAsiaTheme="minorEastAsia"/>
                <w:kern w:val="2"/>
                <w:sz w:val="24"/>
                <w:szCs w:val="24"/>
                <w:lang w:eastAsia="en-AU"/>
                <w14:ligatures w14:val="standardContextual"/>
              </w:rPr>
              <w:tab/>
            </w:r>
            <w:r w:rsidRPr="00741724">
              <w:rPr>
                <w:rStyle w:val="Hyperlink"/>
              </w:rPr>
              <w:t>Ensure the highest standards of quality assurance</w:t>
            </w:r>
            <w:r>
              <w:rPr>
                <w:webHidden/>
              </w:rPr>
              <w:tab/>
            </w:r>
            <w:r>
              <w:rPr>
                <w:webHidden/>
              </w:rPr>
              <w:fldChar w:fldCharType="begin"/>
            </w:r>
            <w:r>
              <w:rPr>
                <w:webHidden/>
              </w:rPr>
              <w:instrText xml:space="preserve"> PAGEREF _Toc214555645 \h </w:instrText>
            </w:r>
            <w:r>
              <w:rPr>
                <w:webHidden/>
              </w:rPr>
            </w:r>
            <w:r>
              <w:rPr>
                <w:webHidden/>
              </w:rPr>
              <w:fldChar w:fldCharType="separate"/>
            </w:r>
            <w:r w:rsidR="00491B46">
              <w:rPr>
                <w:webHidden/>
              </w:rPr>
              <w:t>22</w:t>
            </w:r>
            <w:r>
              <w:rPr>
                <w:webHidden/>
              </w:rPr>
              <w:fldChar w:fldCharType="end"/>
            </w:r>
          </w:hyperlink>
        </w:p>
        <w:p w14:paraId="28E7B82E" w14:textId="25104D61" w:rsidR="004134CB" w:rsidRDefault="004134CB">
          <w:pPr>
            <w:pStyle w:val="TOC2"/>
            <w:tabs>
              <w:tab w:val="left" w:pos="1200"/>
            </w:tabs>
            <w:rPr>
              <w:rFonts w:eastAsiaTheme="minorEastAsia"/>
              <w:kern w:val="2"/>
              <w:sz w:val="24"/>
              <w:szCs w:val="24"/>
              <w:lang w:eastAsia="en-AU"/>
              <w14:ligatures w14:val="standardContextual"/>
            </w:rPr>
          </w:pPr>
          <w:hyperlink w:anchor="_Toc214555646" w:history="1">
            <w:r w:rsidRPr="00741724">
              <w:rPr>
                <w:rStyle w:val="Hyperlink"/>
              </w:rPr>
              <w:t>6.4</w:t>
            </w:r>
            <w:r>
              <w:rPr>
                <w:rFonts w:eastAsiaTheme="minorEastAsia"/>
                <w:kern w:val="2"/>
                <w:sz w:val="24"/>
                <w:szCs w:val="24"/>
                <w:lang w:eastAsia="en-AU"/>
                <w14:ligatures w14:val="standardContextual"/>
              </w:rPr>
              <w:tab/>
            </w:r>
            <w:r w:rsidRPr="00741724">
              <w:rPr>
                <w:rStyle w:val="Hyperlink"/>
              </w:rPr>
              <w:t>Encourage testing continuity for all proficiency testing rounds</w:t>
            </w:r>
            <w:r>
              <w:rPr>
                <w:webHidden/>
              </w:rPr>
              <w:tab/>
            </w:r>
            <w:r>
              <w:rPr>
                <w:webHidden/>
              </w:rPr>
              <w:fldChar w:fldCharType="begin"/>
            </w:r>
            <w:r>
              <w:rPr>
                <w:webHidden/>
              </w:rPr>
              <w:instrText xml:space="preserve"> PAGEREF _Toc214555646 \h </w:instrText>
            </w:r>
            <w:r>
              <w:rPr>
                <w:webHidden/>
              </w:rPr>
            </w:r>
            <w:r>
              <w:rPr>
                <w:webHidden/>
              </w:rPr>
              <w:fldChar w:fldCharType="separate"/>
            </w:r>
            <w:r w:rsidR="00491B46">
              <w:rPr>
                <w:webHidden/>
              </w:rPr>
              <w:t>23</w:t>
            </w:r>
            <w:r>
              <w:rPr>
                <w:webHidden/>
              </w:rPr>
              <w:fldChar w:fldCharType="end"/>
            </w:r>
          </w:hyperlink>
        </w:p>
        <w:p w14:paraId="5C918B16" w14:textId="14B45DFE" w:rsidR="004134CB" w:rsidRDefault="004134CB">
          <w:pPr>
            <w:pStyle w:val="TOC2"/>
            <w:tabs>
              <w:tab w:val="left" w:pos="1200"/>
            </w:tabs>
            <w:rPr>
              <w:rFonts w:eastAsiaTheme="minorEastAsia"/>
              <w:kern w:val="2"/>
              <w:sz w:val="24"/>
              <w:szCs w:val="24"/>
              <w:lang w:eastAsia="en-AU"/>
              <w14:ligatures w14:val="standardContextual"/>
            </w:rPr>
          </w:pPr>
          <w:hyperlink w:anchor="_Toc214555647" w:history="1">
            <w:r w:rsidRPr="00741724">
              <w:rPr>
                <w:rStyle w:val="Hyperlink"/>
              </w:rPr>
              <w:t>6.5</w:t>
            </w:r>
            <w:r>
              <w:rPr>
                <w:rFonts w:eastAsiaTheme="minorEastAsia"/>
                <w:kern w:val="2"/>
                <w:sz w:val="24"/>
                <w:szCs w:val="24"/>
                <w:lang w:eastAsia="en-AU"/>
                <w14:ligatures w14:val="standardContextual"/>
              </w:rPr>
              <w:tab/>
            </w:r>
            <w:r w:rsidRPr="00741724">
              <w:rPr>
                <w:rStyle w:val="Hyperlink"/>
              </w:rPr>
              <w:t>Maintain confidentiality proficiency testing</w:t>
            </w:r>
            <w:r>
              <w:rPr>
                <w:webHidden/>
              </w:rPr>
              <w:tab/>
            </w:r>
            <w:r>
              <w:rPr>
                <w:webHidden/>
              </w:rPr>
              <w:fldChar w:fldCharType="begin"/>
            </w:r>
            <w:r>
              <w:rPr>
                <w:webHidden/>
              </w:rPr>
              <w:instrText xml:space="preserve"> PAGEREF _Toc214555647 \h </w:instrText>
            </w:r>
            <w:r>
              <w:rPr>
                <w:webHidden/>
              </w:rPr>
            </w:r>
            <w:r>
              <w:rPr>
                <w:webHidden/>
              </w:rPr>
              <w:fldChar w:fldCharType="separate"/>
            </w:r>
            <w:r w:rsidR="00491B46">
              <w:rPr>
                <w:webHidden/>
              </w:rPr>
              <w:t>23</w:t>
            </w:r>
            <w:r>
              <w:rPr>
                <w:webHidden/>
              </w:rPr>
              <w:fldChar w:fldCharType="end"/>
            </w:r>
          </w:hyperlink>
        </w:p>
        <w:p w14:paraId="5691A4AE" w14:textId="52F4F1DE" w:rsidR="004134CB" w:rsidRDefault="004134CB">
          <w:pPr>
            <w:pStyle w:val="TOC2"/>
            <w:tabs>
              <w:tab w:val="left" w:pos="1200"/>
            </w:tabs>
            <w:rPr>
              <w:rFonts w:eastAsiaTheme="minorEastAsia"/>
              <w:kern w:val="2"/>
              <w:sz w:val="24"/>
              <w:szCs w:val="24"/>
              <w:lang w:eastAsia="en-AU"/>
              <w14:ligatures w14:val="standardContextual"/>
            </w:rPr>
          </w:pPr>
          <w:hyperlink w:anchor="_Toc214555648" w:history="1">
            <w:r w:rsidRPr="00741724">
              <w:rPr>
                <w:rStyle w:val="Hyperlink"/>
              </w:rPr>
              <w:t>6.6</w:t>
            </w:r>
            <w:r>
              <w:rPr>
                <w:rFonts w:eastAsiaTheme="minorEastAsia"/>
                <w:kern w:val="2"/>
                <w:sz w:val="24"/>
                <w:szCs w:val="24"/>
                <w:lang w:eastAsia="en-AU"/>
                <w14:ligatures w14:val="standardContextual"/>
              </w:rPr>
              <w:tab/>
            </w:r>
            <w:r w:rsidRPr="00741724">
              <w:rPr>
                <w:rStyle w:val="Hyperlink"/>
              </w:rPr>
              <w:t>Enhance pre-border biosecurity</w:t>
            </w:r>
            <w:r>
              <w:rPr>
                <w:webHidden/>
              </w:rPr>
              <w:tab/>
            </w:r>
            <w:r>
              <w:rPr>
                <w:webHidden/>
              </w:rPr>
              <w:fldChar w:fldCharType="begin"/>
            </w:r>
            <w:r>
              <w:rPr>
                <w:webHidden/>
              </w:rPr>
              <w:instrText xml:space="preserve"> PAGEREF _Toc214555648 \h </w:instrText>
            </w:r>
            <w:r>
              <w:rPr>
                <w:webHidden/>
              </w:rPr>
            </w:r>
            <w:r>
              <w:rPr>
                <w:webHidden/>
              </w:rPr>
              <w:fldChar w:fldCharType="separate"/>
            </w:r>
            <w:r w:rsidR="00491B46">
              <w:rPr>
                <w:webHidden/>
              </w:rPr>
              <w:t>23</w:t>
            </w:r>
            <w:r>
              <w:rPr>
                <w:webHidden/>
              </w:rPr>
              <w:fldChar w:fldCharType="end"/>
            </w:r>
          </w:hyperlink>
        </w:p>
        <w:p w14:paraId="2C679150" w14:textId="1E97BDC9" w:rsidR="004134CB" w:rsidRDefault="004134CB">
          <w:pPr>
            <w:pStyle w:val="TOC2"/>
            <w:tabs>
              <w:tab w:val="left" w:pos="1200"/>
            </w:tabs>
            <w:rPr>
              <w:rFonts w:eastAsiaTheme="minorEastAsia"/>
              <w:kern w:val="2"/>
              <w:sz w:val="24"/>
              <w:szCs w:val="24"/>
              <w:lang w:eastAsia="en-AU"/>
              <w14:ligatures w14:val="standardContextual"/>
            </w:rPr>
          </w:pPr>
          <w:hyperlink w:anchor="_Toc214555649" w:history="1">
            <w:r w:rsidRPr="00741724">
              <w:rPr>
                <w:rStyle w:val="Hyperlink"/>
              </w:rPr>
              <w:t>6.7</w:t>
            </w:r>
            <w:r>
              <w:rPr>
                <w:rFonts w:eastAsiaTheme="minorEastAsia"/>
                <w:kern w:val="2"/>
                <w:sz w:val="24"/>
                <w:szCs w:val="24"/>
                <w:lang w:eastAsia="en-AU"/>
                <w14:ligatures w14:val="standardContextual"/>
              </w:rPr>
              <w:tab/>
            </w:r>
            <w:r w:rsidRPr="00741724">
              <w:rPr>
                <w:rStyle w:val="Hyperlink"/>
              </w:rPr>
              <w:t>Proficiency testing workshop</w:t>
            </w:r>
            <w:r>
              <w:rPr>
                <w:webHidden/>
              </w:rPr>
              <w:tab/>
            </w:r>
            <w:r>
              <w:rPr>
                <w:webHidden/>
              </w:rPr>
              <w:fldChar w:fldCharType="begin"/>
            </w:r>
            <w:r>
              <w:rPr>
                <w:webHidden/>
              </w:rPr>
              <w:instrText xml:space="preserve"> PAGEREF _Toc214555649 \h </w:instrText>
            </w:r>
            <w:r>
              <w:rPr>
                <w:webHidden/>
              </w:rPr>
            </w:r>
            <w:r>
              <w:rPr>
                <w:webHidden/>
              </w:rPr>
              <w:fldChar w:fldCharType="separate"/>
            </w:r>
            <w:r w:rsidR="00491B46">
              <w:rPr>
                <w:webHidden/>
              </w:rPr>
              <w:t>23</w:t>
            </w:r>
            <w:r>
              <w:rPr>
                <w:webHidden/>
              </w:rPr>
              <w:fldChar w:fldCharType="end"/>
            </w:r>
          </w:hyperlink>
        </w:p>
        <w:p w14:paraId="1C3E6555" w14:textId="669465A1" w:rsidR="004134CB" w:rsidRDefault="004134CB">
          <w:pPr>
            <w:pStyle w:val="TOC1"/>
            <w:rPr>
              <w:rFonts w:eastAsiaTheme="minorEastAsia"/>
              <w:b w:val="0"/>
              <w:kern w:val="2"/>
              <w:sz w:val="24"/>
              <w:szCs w:val="24"/>
              <w:lang w:eastAsia="en-AU"/>
              <w14:ligatures w14:val="standardContextual"/>
            </w:rPr>
          </w:pPr>
          <w:hyperlink w:anchor="_Toc214555650" w:history="1">
            <w:r w:rsidRPr="00741724">
              <w:rPr>
                <w:rStyle w:val="Hyperlink"/>
              </w:rPr>
              <w:t>7</w:t>
            </w:r>
            <w:r>
              <w:rPr>
                <w:rFonts w:eastAsiaTheme="minorEastAsia"/>
                <w:b w:val="0"/>
                <w:kern w:val="2"/>
                <w:sz w:val="24"/>
                <w:szCs w:val="24"/>
                <w:lang w:eastAsia="en-AU"/>
                <w14:ligatures w14:val="standardContextual"/>
              </w:rPr>
              <w:tab/>
            </w:r>
            <w:r w:rsidRPr="00741724">
              <w:rPr>
                <w:rStyle w:val="Hyperlink"/>
              </w:rPr>
              <w:t>Conclusions</w:t>
            </w:r>
            <w:r>
              <w:rPr>
                <w:webHidden/>
              </w:rPr>
              <w:tab/>
            </w:r>
            <w:r>
              <w:rPr>
                <w:webHidden/>
              </w:rPr>
              <w:fldChar w:fldCharType="begin"/>
            </w:r>
            <w:r>
              <w:rPr>
                <w:webHidden/>
              </w:rPr>
              <w:instrText xml:space="preserve"> PAGEREF _Toc214555650 \h </w:instrText>
            </w:r>
            <w:r>
              <w:rPr>
                <w:webHidden/>
              </w:rPr>
            </w:r>
            <w:r>
              <w:rPr>
                <w:webHidden/>
              </w:rPr>
              <w:fldChar w:fldCharType="separate"/>
            </w:r>
            <w:r w:rsidR="00491B46">
              <w:rPr>
                <w:webHidden/>
              </w:rPr>
              <w:t>25</w:t>
            </w:r>
            <w:r>
              <w:rPr>
                <w:webHidden/>
              </w:rPr>
              <w:fldChar w:fldCharType="end"/>
            </w:r>
          </w:hyperlink>
        </w:p>
        <w:p w14:paraId="20C23B5B" w14:textId="6D25143B" w:rsidR="004134CB" w:rsidRDefault="004134CB">
          <w:pPr>
            <w:pStyle w:val="TOC1"/>
            <w:rPr>
              <w:rFonts w:eastAsiaTheme="minorEastAsia"/>
              <w:b w:val="0"/>
              <w:kern w:val="2"/>
              <w:sz w:val="24"/>
              <w:szCs w:val="24"/>
              <w:lang w:eastAsia="en-AU"/>
              <w14:ligatures w14:val="standardContextual"/>
            </w:rPr>
          </w:pPr>
          <w:hyperlink w:anchor="_Toc214555651" w:history="1">
            <w:r w:rsidRPr="00741724">
              <w:rPr>
                <w:rStyle w:val="Hyperlink"/>
              </w:rPr>
              <w:t>Appendix A: Regional Proficiency Testing program partner responsibilities</w:t>
            </w:r>
            <w:r>
              <w:rPr>
                <w:webHidden/>
              </w:rPr>
              <w:tab/>
            </w:r>
            <w:r>
              <w:rPr>
                <w:webHidden/>
              </w:rPr>
              <w:fldChar w:fldCharType="begin"/>
            </w:r>
            <w:r>
              <w:rPr>
                <w:webHidden/>
              </w:rPr>
              <w:instrText xml:space="preserve"> PAGEREF _Toc214555651 \h </w:instrText>
            </w:r>
            <w:r>
              <w:rPr>
                <w:webHidden/>
              </w:rPr>
            </w:r>
            <w:r>
              <w:rPr>
                <w:webHidden/>
              </w:rPr>
              <w:fldChar w:fldCharType="separate"/>
            </w:r>
            <w:r w:rsidR="00491B46">
              <w:rPr>
                <w:webHidden/>
              </w:rPr>
              <w:t>26</w:t>
            </w:r>
            <w:r>
              <w:rPr>
                <w:webHidden/>
              </w:rPr>
              <w:fldChar w:fldCharType="end"/>
            </w:r>
          </w:hyperlink>
        </w:p>
        <w:p w14:paraId="566BE4DA" w14:textId="2BF0A435" w:rsidR="004134CB" w:rsidRDefault="004134CB">
          <w:pPr>
            <w:pStyle w:val="TOC1"/>
            <w:rPr>
              <w:rFonts w:eastAsiaTheme="minorEastAsia"/>
              <w:b w:val="0"/>
              <w:kern w:val="2"/>
              <w:sz w:val="24"/>
              <w:szCs w:val="24"/>
              <w:lang w:eastAsia="en-AU"/>
              <w14:ligatures w14:val="standardContextual"/>
            </w:rPr>
          </w:pPr>
          <w:hyperlink w:anchor="_Toc214555652" w:history="1">
            <w:r w:rsidRPr="00741724">
              <w:rPr>
                <w:rStyle w:val="Hyperlink"/>
              </w:rPr>
              <w:t>References</w:t>
            </w:r>
            <w:r>
              <w:rPr>
                <w:webHidden/>
              </w:rPr>
              <w:tab/>
            </w:r>
            <w:r>
              <w:rPr>
                <w:webHidden/>
              </w:rPr>
              <w:fldChar w:fldCharType="begin"/>
            </w:r>
            <w:r>
              <w:rPr>
                <w:webHidden/>
              </w:rPr>
              <w:instrText xml:space="preserve"> PAGEREF _Toc214555652 \h </w:instrText>
            </w:r>
            <w:r>
              <w:rPr>
                <w:webHidden/>
              </w:rPr>
            </w:r>
            <w:r>
              <w:rPr>
                <w:webHidden/>
              </w:rPr>
              <w:fldChar w:fldCharType="separate"/>
            </w:r>
            <w:r w:rsidR="00491B46">
              <w:rPr>
                <w:webHidden/>
              </w:rPr>
              <w:t>27</w:t>
            </w:r>
            <w:r>
              <w:rPr>
                <w:webHidden/>
              </w:rPr>
              <w:fldChar w:fldCharType="end"/>
            </w:r>
          </w:hyperlink>
        </w:p>
        <w:p w14:paraId="5F67B2FF" w14:textId="04377463" w:rsidR="00764D6A" w:rsidRDefault="00E91D72">
          <w:r>
            <w:rPr>
              <w:b/>
              <w:noProof/>
            </w:rPr>
            <w:lastRenderedPageBreak/>
            <w:fldChar w:fldCharType="end"/>
          </w:r>
        </w:p>
      </w:sdtContent>
    </w:sdt>
    <w:p w14:paraId="284AC2DF" w14:textId="77777777" w:rsidR="00764D6A" w:rsidRPr="004B6D34" w:rsidRDefault="00E91D72" w:rsidP="004B6D34">
      <w:pPr>
        <w:pStyle w:val="TOCHeading2"/>
        <w:rPr>
          <w:rStyle w:val="Strong"/>
          <w:b/>
          <w:bCs w:val="0"/>
        </w:rPr>
      </w:pPr>
      <w:r w:rsidRPr="004B6D34">
        <w:rPr>
          <w:rStyle w:val="Strong"/>
          <w:b/>
          <w:bCs w:val="0"/>
        </w:rPr>
        <w:t>Tables</w:t>
      </w:r>
    </w:p>
    <w:p w14:paraId="2CE658D6" w14:textId="2CAD657D" w:rsidR="00F10171"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4123129" w:history="1">
        <w:r w:rsidR="00F10171" w:rsidRPr="0080315E">
          <w:rPr>
            <w:rStyle w:val="Hyperlink"/>
            <w:noProof/>
          </w:rPr>
          <w:t>Table 1</w:t>
        </w:r>
        <w:r w:rsidR="00F10171" w:rsidRPr="0080315E">
          <w:rPr>
            <w:rStyle w:val="Hyperlink"/>
            <w:noProof/>
            <w:lang w:eastAsia="en-AU"/>
          </w:rPr>
          <w:t xml:space="preserve"> Disease agents in Crustacean and Finfish panel</w:t>
        </w:r>
        <w:r w:rsidR="00F10171">
          <w:rPr>
            <w:noProof/>
            <w:webHidden/>
          </w:rPr>
          <w:tab/>
        </w:r>
        <w:r w:rsidR="00F10171">
          <w:rPr>
            <w:noProof/>
            <w:webHidden/>
          </w:rPr>
          <w:fldChar w:fldCharType="begin"/>
        </w:r>
        <w:r w:rsidR="00F10171">
          <w:rPr>
            <w:noProof/>
            <w:webHidden/>
          </w:rPr>
          <w:instrText xml:space="preserve"> PAGEREF _Toc184123129 \h </w:instrText>
        </w:r>
        <w:r w:rsidR="00F10171">
          <w:rPr>
            <w:noProof/>
            <w:webHidden/>
          </w:rPr>
        </w:r>
        <w:r w:rsidR="00F10171">
          <w:rPr>
            <w:noProof/>
            <w:webHidden/>
          </w:rPr>
          <w:fldChar w:fldCharType="separate"/>
        </w:r>
        <w:r w:rsidR="00491B46">
          <w:rPr>
            <w:noProof/>
            <w:webHidden/>
          </w:rPr>
          <w:t>6</w:t>
        </w:r>
        <w:r w:rsidR="00F10171">
          <w:rPr>
            <w:noProof/>
            <w:webHidden/>
          </w:rPr>
          <w:fldChar w:fldCharType="end"/>
        </w:r>
      </w:hyperlink>
    </w:p>
    <w:p w14:paraId="1BEACC35" w14:textId="17AADF34"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30" w:history="1">
        <w:r w:rsidRPr="0080315E">
          <w:rPr>
            <w:rStyle w:val="Hyperlink"/>
            <w:noProof/>
          </w:rPr>
          <w:t>Table 2 Assessment Key</w:t>
        </w:r>
        <w:r>
          <w:rPr>
            <w:noProof/>
            <w:webHidden/>
          </w:rPr>
          <w:tab/>
        </w:r>
        <w:r>
          <w:rPr>
            <w:noProof/>
            <w:webHidden/>
          </w:rPr>
          <w:fldChar w:fldCharType="begin"/>
        </w:r>
        <w:r>
          <w:rPr>
            <w:noProof/>
            <w:webHidden/>
          </w:rPr>
          <w:instrText xml:space="preserve"> PAGEREF _Toc184123130 \h </w:instrText>
        </w:r>
        <w:r>
          <w:rPr>
            <w:noProof/>
            <w:webHidden/>
          </w:rPr>
        </w:r>
        <w:r>
          <w:rPr>
            <w:noProof/>
            <w:webHidden/>
          </w:rPr>
          <w:fldChar w:fldCharType="separate"/>
        </w:r>
        <w:r w:rsidR="00491B46">
          <w:rPr>
            <w:noProof/>
            <w:webHidden/>
          </w:rPr>
          <w:t>7</w:t>
        </w:r>
        <w:r>
          <w:rPr>
            <w:noProof/>
            <w:webHidden/>
          </w:rPr>
          <w:fldChar w:fldCharType="end"/>
        </w:r>
      </w:hyperlink>
    </w:p>
    <w:p w14:paraId="19A8C527" w14:textId="18438DE0"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31" w:history="1">
        <w:r w:rsidRPr="0080315E">
          <w:rPr>
            <w:rStyle w:val="Hyperlink"/>
            <w:noProof/>
          </w:rPr>
          <w:t>Table 3</w:t>
        </w:r>
        <w:r w:rsidRPr="0080315E">
          <w:rPr>
            <w:rStyle w:val="Hyperlink"/>
            <w:noProof/>
            <w:lang w:eastAsia="en-AU"/>
          </w:rPr>
          <w:t xml:space="preserve"> Example results summary table</w:t>
        </w:r>
        <w:r>
          <w:rPr>
            <w:noProof/>
            <w:webHidden/>
          </w:rPr>
          <w:tab/>
        </w:r>
        <w:r>
          <w:rPr>
            <w:noProof/>
            <w:webHidden/>
          </w:rPr>
          <w:fldChar w:fldCharType="begin"/>
        </w:r>
        <w:r>
          <w:rPr>
            <w:noProof/>
            <w:webHidden/>
          </w:rPr>
          <w:instrText xml:space="preserve"> PAGEREF _Toc184123131 \h </w:instrText>
        </w:r>
        <w:r>
          <w:rPr>
            <w:noProof/>
            <w:webHidden/>
          </w:rPr>
        </w:r>
        <w:r>
          <w:rPr>
            <w:noProof/>
            <w:webHidden/>
          </w:rPr>
          <w:fldChar w:fldCharType="separate"/>
        </w:r>
        <w:r w:rsidR="00491B46">
          <w:rPr>
            <w:noProof/>
            <w:webHidden/>
          </w:rPr>
          <w:t>8</w:t>
        </w:r>
        <w:r>
          <w:rPr>
            <w:noProof/>
            <w:webHidden/>
          </w:rPr>
          <w:fldChar w:fldCharType="end"/>
        </w:r>
      </w:hyperlink>
    </w:p>
    <w:p w14:paraId="7AA02FF9" w14:textId="7B22443D"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32" w:history="1">
        <w:r w:rsidRPr="0080315E">
          <w:rPr>
            <w:rStyle w:val="Hyperlink"/>
            <w:noProof/>
          </w:rPr>
          <w:t>Table 4 Average % of acceptable results across all rounds using conventional and qPCR</w:t>
        </w:r>
        <w:r>
          <w:rPr>
            <w:noProof/>
            <w:webHidden/>
          </w:rPr>
          <w:tab/>
        </w:r>
        <w:r>
          <w:rPr>
            <w:noProof/>
            <w:webHidden/>
          </w:rPr>
          <w:fldChar w:fldCharType="begin"/>
        </w:r>
        <w:r>
          <w:rPr>
            <w:noProof/>
            <w:webHidden/>
          </w:rPr>
          <w:instrText xml:space="preserve"> PAGEREF _Toc184123132 \h </w:instrText>
        </w:r>
        <w:r>
          <w:rPr>
            <w:noProof/>
            <w:webHidden/>
          </w:rPr>
        </w:r>
        <w:r>
          <w:rPr>
            <w:noProof/>
            <w:webHidden/>
          </w:rPr>
          <w:fldChar w:fldCharType="separate"/>
        </w:r>
        <w:r w:rsidR="00491B46">
          <w:rPr>
            <w:noProof/>
            <w:webHidden/>
          </w:rPr>
          <w:t>15</w:t>
        </w:r>
        <w:r>
          <w:rPr>
            <w:noProof/>
            <w:webHidden/>
          </w:rPr>
          <w:fldChar w:fldCharType="end"/>
        </w:r>
      </w:hyperlink>
    </w:p>
    <w:p w14:paraId="6E5D563F" w14:textId="71F53564"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33" w:history="1">
        <w:r w:rsidRPr="0080315E">
          <w:rPr>
            <w:rStyle w:val="Hyperlink"/>
            <w:noProof/>
          </w:rPr>
          <w:t>Table 5 Percentage increase of laboratories performing qPCR over time</w:t>
        </w:r>
        <w:r>
          <w:rPr>
            <w:noProof/>
            <w:webHidden/>
          </w:rPr>
          <w:tab/>
        </w:r>
        <w:r>
          <w:rPr>
            <w:noProof/>
            <w:webHidden/>
          </w:rPr>
          <w:fldChar w:fldCharType="begin"/>
        </w:r>
        <w:r>
          <w:rPr>
            <w:noProof/>
            <w:webHidden/>
          </w:rPr>
          <w:instrText xml:space="preserve"> PAGEREF _Toc184123133 \h </w:instrText>
        </w:r>
        <w:r>
          <w:rPr>
            <w:noProof/>
            <w:webHidden/>
          </w:rPr>
        </w:r>
        <w:r>
          <w:rPr>
            <w:noProof/>
            <w:webHidden/>
          </w:rPr>
          <w:fldChar w:fldCharType="separate"/>
        </w:r>
        <w:r w:rsidR="00491B46">
          <w:rPr>
            <w:noProof/>
            <w:webHidden/>
          </w:rPr>
          <w:t>17</w:t>
        </w:r>
        <w:r>
          <w:rPr>
            <w:noProof/>
            <w:webHidden/>
          </w:rPr>
          <w:fldChar w:fldCharType="end"/>
        </w:r>
      </w:hyperlink>
    </w:p>
    <w:p w14:paraId="0DC29338" w14:textId="26D46DBE"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34" w:history="1">
        <w:r w:rsidRPr="0080315E">
          <w:rPr>
            <w:rStyle w:val="Hyperlink"/>
            <w:noProof/>
          </w:rPr>
          <w:t>Table 6 Organisational responsibilities</w:t>
        </w:r>
        <w:r>
          <w:rPr>
            <w:noProof/>
            <w:webHidden/>
          </w:rPr>
          <w:tab/>
        </w:r>
        <w:r>
          <w:rPr>
            <w:noProof/>
            <w:webHidden/>
          </w:rPr>
          <w:fldChar w:fldCharType="begin"/>
        </w:r>
        <w:r>
          <w:rPr>
            <w:noProof/>
            <w:webHidden/>
          </w:rPr>
          <w:instrText xml:space="preserve"> PAGEREF _Toc184123134 \h </w:instrText>
        </w:r>
        <w:r>
          <w:rPr>
            <w:noProof/>
            <w:webHidden/>
          </w:rPr>
        </w:r>
        <w:r>
          <w:rPr>
            <w:noProof/>
            <w:webHidden/>
          </w:rPr>
          <w:fldChar w:fldCharType="separate"/>
        </w:r>
        <w:r w:rsidR="00491B46">
          <w:rPr>
            <w:noProof/>
            <w:webHidden/>
          </w:rPr>
          <w:t>26</w:t>
        </w:r>
        <w:r>
          <w:rPr>
            <w:noProof/>
            <w:webHidden/>
          </w:rPr>
          <w:fldChar w:fldCharType="end"/>
        </w:r>
      </w:hyperlink>
    </w:p>
    <w:p w14:paraId="45186F9C" w14:textId="0F37E5CF" w:rsidR="00764D6A" w:rsidRDefault="00E91D72" w:rsidP="007529E9">
      <w:pPr>
        <w:pStyle w:val="TableofFigures"/>
        <w:tabs>
          <w:tab w:val="right" w:leader="dot" w:pos="9060"/>
        </w:tabs>
      </w:pPr>
      <w:r>
        <w:rPr>
          <w:noProof/>
        </w:rPr>
        <w:fldChar w:fldCharType="end"/>
      </w:r>
    </w:p>
    <w:p w14:paraId="557E869E" w14:textId="77777777" w:rsidR="00764D6A" w:rsidRPr="004B6D34" w:rsidRDefault="00E91D72" w:rsidP="004B6D34">
      <w:pPr>
        <w:pStyle w:val="TOCHeading2"/>
        <w:rPr>
          <w:rStyle w:val="Strong"/>
          <w:b/>
          <w:bCs w:val="0"/>
        </w:rPr>
      </w:pPr>
      <w:r w:rsidRPr="004B6D34">
        <w:rPr>
          <w:rStyle w:val="Strong"/>
          <w:b/>
          <w:bCs w:val="0"/>
        </w:rPr>
        <w:t>Figures</w:t>
      </w:r>
    </w:p>
    <w:p w14:paraId="19B5104C" w14:textId="3E5A7D92" w:rsidR="00F10171" w:rsidRDefault="00E91D72">
      <w:pPr>
        <w:pStyle w:val="TableofFigures"/>
        <w:tabs>
          <w:tab w:val="right" w:leader="dot" w:pos="9060"/>
        </w:tabs>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184123167" w:history="1">
        <w:r w:rsidR="00F10171" w:rsidRPr="004C1C30">
          <w:rPr>
            <w:rStyle w:val="Hyperlink"/>
            <w:noProof/>
          </w:rPr>
          <w:t xml:space="preserve">Figure 1 </w:t>
        </w:r>
        <w:r w:rsidR="00F10171" w:rsidRPr="004C1C30">
          <w:rPr>
            <w:rStyle w:val="Hyperlink"/>
            <w:noProof/>
            <w:lang w:eastAsia="en-AU"/>
          </w:rPr>
          <w:t>Number of laboratories participating in PT for each pathogen in rounds 1 and 2</w:t>
        </w:r>
        <w:r w:rsidR="00F10171">
          <w:rPr>
            <w:noProof/>
            <w:webHidden/>
          </w:rPr>
          <w:tab/>
        </w:r>
        <w:r w:rsidR="00F10171">
          <w:rPr>
            <w:noProof/>
            <w:webHidden/>
          </w:rPr>
          <w:fldChar w:fldCharType="begin"/>
        </w:r>
        <w:r w:rsidR="00F10171">
          <w:rPr>
            <w:noProof/>
            <w:webHidden/>
          </w:rPr>
          <w:instrText xml:space="preserve"> PAGEREF _Toc184123167 \h </w:instrText>
        </w:r>
        <w:r w:rsidR="00F10171">
          <w:rPr>
            <w:noProof/>
            <w:webHidden/>
          </w:rPr>
        </w:r>
        <w:r w:rsidR="00F10171">
          <w:rPr>
            <w:noProof/>
            <w:webHidden/>
          </w:rPr>
          <w:fldChar w:fldCharType="separate"/>
        </w:r>
        <w:r w:rsidR="00491B46">
          <w:rPr>
            <w:noProof/>
            <w:webHidden/>
          </w:rPr>
          <w:t>9</w:t>
        </w:r>
        <w:r w:rsidR="00F10171">
          <w:rPr>
            <w:noProof/>
            <w:webHidden/>
          </w:rPr>
          <w:fldChar w:fldCharType="end"/>
        </w:r>
      </w:hyperlink>
    </w:p>
    <w:p w14:paraId="523EFAA4" w14:textId="25781802"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68" w:history="1">
        <w:r w:rsidRPr="004C1C30">
          <w:rPr>
            <w:rStyle w:val="Hyperlink"/>
            <w:noProof/>
          </w:rPr>
          <w:t>Figure 2 Number of laboratories participating in PT for crustacean and finfish panels from round 3 to 8</w:t>
        </w:r>
        <w:r>
          <w:rPr>
            <w:noProof/>
            <w:webHidden/>
          </w:rPr>
          <w:tab/>
        </w:r>
        <w:r>
          <w:rPr>
            <w:noProof/>
            <w:webHidden/>
          </w:rPr>
          <w:fldChar w:fldCharType="begin"/>
        </w:r>
        <w:r>
          <w:rPr>
            <w:noProof/>
            <w:webHidden/>
          </w:rPr>
          <w:instrText xml:space="preserve"> PAGEREF _Toc184123168 \h </w:instrText>
        </w:r>
        <w:r>
          <w:rPr>
            <w:noProof/>
            <w:webHidden/>
          </w:rPr>
        </w:r>
        <w:r>
          <w:rPr>
            <w:noProof/>
            <w:webHidden/>
          </w:rPr>
          <w:fldChar w:fldCharType="separate"/>
        </w:r>
        <w:r w:rsidR="00491B46">
          <w:rPr>
            <w:noProof/>
            <w:webHidden/>
          </w:rPr>
          <w:t>10</w:t>
        </w:r>
        <w:r>
          <w:rPr>
            <w:noProof/>
            <w:webHidden/>
          </w:rPr>
          <w:fldChar w:fldCharType="end"/>
        </w:r>
      </w:hyperlink>
    </w:p>
    <w:p w14:paraId="552246E9" w14:textId="59D9142C"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69" w:history="1">
        <w:r w:rsidRPr="004C1C30">
          <w:rPr>
            <w:rStyle w:val="Hyperlink"/>
            <w:noProof/>
          </w:rPr>
          <w:t>Figure 3 WSSV ‘acceptable’ results</w:t>
        </w:r>
        <w:r>
          <w:rPr>
            <w:noProof/>
            <w:webHidden/>
          </w:rPr>
          <w:tab/>
        </w:r>
        <w:r>
          <w:rPr>
            <w:noProof/>
            <w:webHidden/>
          </w:rPr>
          <w:fldChar w:fldCharType="begin"/>
        </w:r>
        <w:r>
          <w:rPr>
            <w:noProof/>
            <w:webHidden/>
          </w:rPr>
          <w:instrText xml:space="preserve"> PAGEREF _Toc184123169 \h </w:instrText>
        </w:r>
        <w:r>
          <w:rPr>
            <w:noProof/>
            <w:webHidden/>
          </w:rPr>
        </w:r>
        <w:r>
          <w:rPr>
            <w:noProof/>
            <w:webHidden/>
          </w:rPr>
          <w:fldChar w:fldCharType="separate"/>
        </w:r>
        <w:r w:rsidR="00491B46">
          <w:rPr>
            <w:noProof/>
            <w:webHidden/>
          </w:rPr>
          <w:t>10</w:t>
        </w:r>
        <w:r>
          <w:rPr>
            <w:noProof/>
            <w:webHidden/>
          </w:rPr>
          <w:fldChar w:fldCharType="end"/>
        </w:r>
      </w:hyperlink>
    </w:p>
    <w:p w14:paraId="1F07309D" w14:textId="130B653A"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0" w:history="1">
        <w:r w:rsidRPr="004C1C30">
          <w:rPr>
            <w:rStyle w:val="Hyperlink"/>
            <w:noProof/>
          </w:rPr>
          <w:t>Figure 4 YHV-1 ‘acceptable' results</w:t>
        </w:r>
        <w:r>
          <w:rPr>
            <w:noProof/>
            <w:webHidden/>
          </w:rPr>
          <w:tab/>
        </w:r>
        <w:r>
          <w:rPr>
            <w:noProof/>
            <w:webHidden/>
          </w:rPr>
          <w:fldChar w:fldCharType="begin"/>
        </w:r>
        <w:r>
          <w:rPr>
            <w:noProof/>
            <w:webHidden/>
          </w:rPr>
          <w:instrText xml:space="preserve"> PAGEREF _Toc184123170 \h </w:instrText>
        </w:r>
        <w:r>
          <w:rPr>
            <w:noProof/>
            <w:webHidden/>
          </w:rPr>
        </w:r>
        <w:r>
          <w:rPr>
            <w:noProof/>
            <w:webHidden/>
          </w:rPr>
          <w:fldChar w:fldCharType="separate"/>
        </w:r>
        <w:r w:rsidR="00491B46">
          <w:rPr>
            <w:noProof/>
            <w:webHidden/>
          </w:rPr>
          <w:t>11</w:t>
        </w:r>
        <w:r>
          <w:rPr>
            <w:noProof/>
            <w:webHidden/>
          </w:rPr>
          <w:fldChar w:fldCharType="end"/>
        </w:r>
      </w:hyperlink>
    </w:p>
    <w:p w14:paraId="71E0B3F3" w14:textId="595355BC"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1" w:history="1">
        <w:r w:rsidRPr="004C1C30">
          <w:rPr>
            <w:rStyle w:val="Hyperlink"/>
            <w:noProof/>
          </w:rPr>
          <w:t>Figure 5 TSV ‘acceptable’ results</w:t>
        </w:r>
        <w:r>
          <w:rPr>
            <w:noProof/>
            <w:webHidden/>
          </w:rPr>
          <w:tab/>
        </w:r>
        <w:r>
          <w:rPr>
            <w:noProof/>
            <w:webHidden/>
          </w:rPr>
          <w:fldChar w:fldCharType="begin"/>
        </w:r>
        <w:r>
          <w:rPr>
            <w:noProof/>
            <w:webHidden/>
          </w:rPr>
          <w:instrText xml:space="preserve"> PAGEREF _Toc184123171 \h </w:instrText>
        </w:r>
        <w:r>
          <w:rPr>
            <w:noProof/>
            <w:webHidden/>
          </w:rPr>
        </w:r>
        <w:r>
          <w:rPr>
            <w:noProof/>
            <w:webHidden/>
          </w:rPr>
          <w:fldChar w:fldCharType="separate"/>
        </w:r>
        <w:r w:rsidR="00491B46">
          <w:rPr>
            <w:noProof/>
            <w:webHidden/>
          </w:rPr>
          <w:t>11</w:t>
        </w:r>
        <w:r>
          <w:rPr>
            <w:noProof/>
            <w:webHidden/>
          </w:rPr>
          <w:fldChar w:fldCharType="end"/>
        </w:r>
      </w:hyperlink>
    </w:p>
    <w:p w14:paraId="546464F7" w14:textId="2453ACA5"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2" w:history="1">
        <w:r w:rsidRPr="004C1C30">
          <w:rPr>
            <w:rStyle w:val="Hyperlink"/>
            <w:noProof/>
          </w:rPr>
          <w:t>Figure 6 IMNV ‘acceptable’ results</w:t>
        </w:r>
        <w:r>
          <w:rPr>
            <w:noProof/>
            <w:webHidden/>
          </w:rPr>
          <w:tab/>
        </w:r>
        <w:r>
          <w:rPr>
            <w:noProof/>
            <w:webHidden/>
          </w:rPr>
          <w:fldChar w:fldCharType="begin"/>
        </w:r>
        <w:r>
          <w:rPr>
            <w:noProof/>
            <w:webHidden/>
          </w:rPr>
          <w:instrText xml:space="preserve"> PAGEREF _Toc184123172 \h </w:instrText>
        </w:r>
        <w:r>
          <w:rPr>
            <w:noProof/>
            <w:webHidden/>
          </w:rPr>
        </w:r>
        <w:r>
          <w:rPr>
            <w:noProof/>
            <w:webHidden/>
          </w:rPr>
          <w:fldChar w:fldCharType="separate"/>
        </w:r>
        <w:r w:rsidR="00491B46">
          <w:rPr>
            <w:noProof/>
            <w:webHidden/>
          </w:rPr>
          <w:t>12</w:t>
        </w:r>
        <w:r>
          <w:rPr>
            <w:noProof/>
            <w:webHidden/>
          </w:rPr>
          <w:fldChar w:fldCharType="end"/>
        </w:r>
      </w:hyperlink>
    </w:p>
    <w:p w14:paraId="2A8242F4" w14:textId="29D5CE67"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3" w:history="1">
        <w:r w:rsidRPr="004C1C30">
          <w:rPr>
            <w:rStyle w:val="Hyperlink"/>
            <w:noProof/>
          </w:rPr>
          <w:t>Figure 7 IHHNV ‘acceptable' results</w:t>
        </w:r>
        <w:r>
          <w:rPr>
            <w:noProof/>
            <w:webHidden/>
          </w:rPr>
          <w:tab/>
        </w:r>
        <w:r>
          <w:rPr>
            <w:noProof/>
            <w:webHidden/>
          </w:rPr>
          <w:fldChar w:fldCharType="begin"/>
        </w:r>
        <w:r>
          <w:rPr>
            <w:noProof/>
            <w:webHidden/>
          </w:rPr>
          <w:instrText xml:space="preserve"> PAGEREF _Toc184123173 \h </w:instrText>
        </w:r>
        <w:r>
          <w:rPr>
            <w:noProof/>
            <w:webHidden/>
          </w:rPr>
        </w:r>
        <w:r>
          <w:rPr>
            <w:noProof/>
            <w:webHidden/>
          </w:rPr>
          <w:fldChar w:fldCharType="separate"/>
        </w:r>
        <w:r w:rsidR="00491B46">
          <w:rPr>
            <w:noProof/>
            <w:webHidden/>
          </w:rPr>
          <w:t>12</w:t>
        </w:r>
        <w:r>
          <w:rPr>
            <w:noProof/>
            <w:webHidden/>
          </w:rPr>
          <w:fldChar w:fldCharType="end"/>
        </w:r>
      </w:hyperlink>
    </w:p>
    <w:p w14:paraId="624F61B5" w14:textId="065F6FBF"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4" w:history="1">
        <w:r w:rsidRPr="004C1C30">
          <w:rPr>
            <w:rStyle w:val="Hyperlink"/>
            <w:noProof/>
          </w:rPr>
          <w:t>Figure 8 AHPND</w:t>
        </w:r>
        <w:r w:rsidRPr="004C1C30">
          <w:rPr>
            <w:rStyle w:val="Hyperlink"/>
            <w:i/>
            <w:iCs/>
            <w:noProof/>
          </w:rPr>
          <w:t xml:space="preserve"> </w:t>
        </w:r>
        <w:r w:rsidRPr="004C1C30">
          <w:rPr>
            <w:rStyle w:val="Hyperlink"/>
            <w:noProof/>
          </w:rPr>
          <w:t>‘acceptable’ results</w:t>
        </w:r>
        <w:r>
          <w:rPr>
            <w:noProof/>
            <w:webHidden/>
          </w:rPr>
          <w:tab/>
        </w:r>
        <w:r>
          <w:rPr>
            <w:noProof/>
            <w:webHidden/>
          </w:rPr>
          <w:fldChar w:fldCharType="begin"/>
        </w:r>
        <w:r>
          <w:rPr>
            <w:noProof/>
            <w:webHidden/>
          </w:rPr>
          <w:instrText xml:space="preserve"> PAGEREF _Toc184123174 \h </w:instrText>
        </w:r>
        <w:r>
          <w:rPr>
            <w:noProof/>
            <w:webHidden/>
          </w:rPr>
        </w:r>
        <w:r>
          <w:rPr>
            <w:noProof/>
            <w:webHidden/>
          </w:rPr>
          <w:fldChar w:fldCharType="separate"/>
        </w:r>
        <w:r w:rsidR="00491B46">
          <w:rPr>
            <w:noProof/>
            <w:webHidden/>
          </w:rPr>
          <w:t>13</w:t>
        </w:r>
        <w:r>
          <w:rPr>
            <w:noProof/>
            <w:webHidden/>
          </w:rPr>
          <w:fldChar w:fldCharType="end"/>
        </w:r>
      </w:hyperlink>
    </w:p>
    <w:p w14:paraId="1A643925" w14:textId="60CDF182"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5" w:history="1">
        <w:r w:rsidRPr="004C1C30">
          <w:rPr>
            <w:rStyle w:val="Hyperlink"/>
            <w:noProof/>
          </w:rPr>
          <w:t xml:space="preserve">Figure 9 </w:t>
        </w:r>
        <w:r w:rsidRPr="004C1C30">
          <w:rPr>
            <w:rStyle w:val="Hyperlink"/>
            <w:i/>
            <w:iCs/>
            <w:noProof/>
          </w:rPr>
          <w:t>Megalocytivirus</w:t>
        </w:r>
        <w:r w:rsidRPr="004C1C30">
          <w:rPr>
            <w:rStyle w:val="Hyperlink"/>
            <w:noProof/>
          </w:rPr>
          <w:t xml:space="preserve"> ‘acceptable' results</w:t>
        </w:r>
        <w:r>
          <w:rPr>
            <w:noProof/>
            <w:webHidden/>
          </w:rPr>
          <w:tab/>
        </w:r>
        <w:r>
          <w:rPr>
            <w:noProof/>
            <w:webHidden/>
          </w:rPr>
          <w:fldChar w:fldCharType="begin"/>
        </w:r>
        <w:r>
          <w:rPr>
            <w:noProof/>
            <w:webHidden/>
          </w:rPr>
          <w:instrText xml:space="preserve"> PAGEREF _Toc184123175 \h </w:instrText>
        </w:r>
        <w:r>
          <w:rPr>
            <w:noProof/>
            <w:webHidden/>
          </w:rPr>
        </w:r>
        <w:r>
          <w:rPr>
            <w:noProof/>
            <w:webHidden/>
          </w:rPr>
          <w:fldChar w:fldCharType="separate"/>
        </w:r>
        <w:r w:rsidR="00491B46">
          <w:rPr>
            <w:noProof/>
            <w:webHidden/>
          </w:rPr>
          <w:t>13</w:t>
        </w:r>
        <w:r>
          <w:rPr>
            <w:noProof/>
            <w:webHidden/>
          </w:rPr>
          <w:fldChar w:fldCharType="end"/>
        </w:r>
      </w:hyperlink>
    </w:p>
    <w:p w14:paraId="11F0F27F" w14:textId="224A06F7"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6" w:history="1">
        <w:r w:rsidRPr="004C1C30">
          <w:rPr>
            <w:rStyle w:val="Hyperlink"/>
            <w:noProof/>
          </w:rPr>
          <w:t>Figure 10 NNV ‘acceptable’ results</w:t>
        </w:r>
        <w:r>
          <w:rPr>
            <w:noProof/>
            <w:webHidden/>
          </w:rPr>
          <w:tab/>
        </w:r>
        <w:r>
          <w:rPr>
            <w:noProof/>
            <w:webHidden/>
          </w:rPr>
          <w:fldChar w:fldCharType="begin"/>
        </w:r>
        <w:r>
          <w:rPr>
            <w:noProof/>
            <w:webHidden/>
          </w:rPr>
          <w:instrText xml:space="preserve"> PAGEREF _Toc184123176 \h </w:instrText>
        </w:r>
        <w:r>
          <w:rPr>
            <w:noProof/>
            <w:webHidden/>
          </w:rPr>
        </w:r>
        <w:r>
          <w:rPr>
            <w:noProof/>
            <w:webHidden/>
          </w:rPr>
          <w:fldChar w:fldCharType="separate"/>
        </w:r>
        <w:r w:rsidR="00491B46">
          <w:rPr>
            <w:noProof/>
            <w:webHidden/>
          </w:rPr>
          <w:t>14</w:t>
        </w:r>
        <w:r>
          <w:rPr>
            <w:noProof/>
            <w:webHidden/>
          </w:rPr>
          <w:fldChar w:fldCharType="end"/>
        </w:r>
      </w:hyperlink>
    </w:p>
    <w:p w14:paraId="6393B280" w14:textId="6C0E5A93"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7" w:history="1">
        <w:r w:rsidRPr="004C1C30">
          <w:rPr>
            <w:rStyle w:val="Hyperlink"/>
            <w:noProof/>
          </w:rPr>
          <w:t>Figure 11 KHV ‘acceptable’ results</w:t>
        </w:r>
        <w:r>
          <w:rPr>
            <w:noProof/>
            <w:webHidden/>
          </w:rPr>
          <w:tab/>
        </w:r>
        <w:r>
          <w:rPr>
            <w:noProof/>
            <w:webHidden/>
          </w:rPr>
          <w:fldChar w:fldCharType="begin"/>
        </w:r>
        <w:r>
          <w:rPr>
            <w:noProof/>
            <w:webHidden/>
          </w:rPr>
          <w:instrText xml:space="preserve"> PAGEREF _Toc184123177 \h </w:instrText>
        </w:r>
        <w:r>
          <w:rPr>
            <w:noProof/>
            <w:webHidden/>
          </w:rPr>
        </w:r>
        <w:r>
          <w:rPr>
            <w:noProof/>
            <w:webHidden/>
          </w:rPr>
          <w:fldChar w:fldCharType="separate"/>
        </w:r>
        <w:r w:rsidR="00491B46">
          <w:rPr>
            <w:noProof/>
            <w:webHidden/>
          </w:rPr>
          <w:t>14</w:t>
        </w:r>
        <w:r>
          <w:rPr>
            <w:noProof/>
            <w:webHidden/>
          </w:rPr>
          <w:fldChar w:fldCharType="end"/>
        </w:r>
      </w:hyperlink>
    </w:p>
    <w:p w14:paraId="3433B377" w14:textId="3F3C8574"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8" w:history="1">
        <w:r w:rsidRPr="004C1C30">
          <w:rPr>
            <w:rStyle w:val="Hyperlink"/>
            <w:noProof/>
          </w:rPr>
          <w:t>Figure 12 SVCV 'acceptable’ results</w:t>
        </w:r>
        <w:r>
          <w:rPr>
            <w:noProof/>
            <w:webHidden/>
          </w:rPr>
          <w:tab/>
        </w:r>
        <w:r>
          <w:rPr>
            <w:noProof/>
            <w:webHidden/>
          </w:rPr>
          <w:fldChar w:fldCharType="begin"/>
        </w:r>
        <w:r>
          <w:rPr>
            <w:noProof/>
            <w:webHidden/>
          </w:rPr>
          <w:instrText xml:space="preserve"> PAGEREF _Toc184123178 \h </w:instrText>
        </w:r>
        <w:r>
          <w:rPr>
            <w:noProof/>
            <w:webHidden/>
          </w:rPr>
        </w:r>
        <w:r>
          <w:rPr>
            <w:noProof/>
            <w:webHidden/>
          </w:rPr>
          <w:fldChar w:fldCharType="separate"/>
        </w:r>
        <w:r w:rsidR="00491B46">
          <w:rPr>
            <w:noProof/>
            <w:webHidden/>
          </w:rPr>
          <w:t>15</w:t>
        </w:r>
        <w:r>
          <w:rPr>
            <w:noProof/>
            <w:webHidden/>
          </w:rPr>
          <w:fldChar w:fldCharType="end"/>
        </w:r>
      </w:hyperlink>
    </w:p>
    <w:p w14:paraId="3E78A356" w14:textId="00A29680" w:rsidR="00F10171" w:rsidRDefault="00F10171">
      <w:pPr>
        <w:pStyle w:val="TableofFigures"/>
        <w:tabs>
          <w:tab w:val="right" w:leader="dot" w:pos="9060"/>
        </w:tabs>
        <w:rPr>
          <w:rFonts w:eastAsiaTheme="minorEastAsia"/>
          <w:noProof/>
          <w:kern w:val="2"/>
          <w:sz w:val="24"/>
          <w:szCs w:val="24"/>
          <w:lang w:eastAsia="en-AU"/>
          <w14:ligatures w14:val="standardContextual"/>
        </w:rPr>
      </w:pPr>
      <w:hyperlink w:anchor="_Toc184123179" w:history="1">
        <w:r w:rsidRPr="004C1C30">
          <w:rPr>
            <w:rStyle w:val="Hyperlink"/>
            <w:noProof/>
          </w:rPr>
          <w:t>Figure 13 Average % of acceptable results across all rounds using conventional and qPCR</w:t>
        </w:r>
        <w:r>
          <w:rPr>
            <w:noProof/>
            <w:webHidden/>
          </w:rPr>
          <w:tab/>
        </w:r>
        <w:r>
          <w:rPr>
            <w:noProof/>
            <w:webHidden/>
          </w:rPr>
          <w:fldChar w:fldCharType="begin"/>
        </w:r>
        <w:r>
          <w:rPr>
            <w:noProof/>
            <w:webHidden/>
          </w:rPr>
          <w:instrText xml:space="preserve"> PAGEREF _Toc184123179 \h </w:instrText>
        </w:r>
        <w:r>
          <w:rPr>
            <w:noProof/>
            <w:webHidden/>
          </w:rPr>
        </w:r>
        <w:r>
          <w:rPr>
            <w:noProof/>
            <w:webHidden/>
          </w:rPr>
          <w:fldChar w:fldCharType="separate"/>
        </w:r>
        <w:r w:rsidR="00491B46">
          <w:rPr>
            <w:noProof/>
            <w:webHidden/>
          </w:rPr>
          <w:t>16</w:t>
        </w:r>
        <w:r>
          <w:rPr>
            <w:noProof/>
            <w:webHidden/>
          </w:rPr>
          <w:fldChar w:fldCharType="end"/>
        </w:r>
      </w:hyperlink>
    </w:p>
    <w:p w14:paraId="2FAB0592" w14:textId="4CD5D868" w:rsidR="00764D6A" w:rsidRDefault="00E91D72" w:rsidP="00C001B0">
      <w:pPr>
        <w:pStyle w:val="TableofFigures"/>
        <w:tabs>
          <w:tab w:val="right" w:leader="dot" w:pos="9060"/>
        </w:tabs>
      </w:pPr>
      <w:r>
        <w:fldChar w:fldCharType="end"/>
      </w:r>
    </w:p>
    <w:p w14:paraId="39CB1EF4" w14:textId="7D1B6A53" w:rsidR="00E239B9" w:rsidRPr="00E239B9" w:rsidRDefault="00E239B9" w:rsidP="00E239B9">
      <w:r w:rsidRPr="00E239B9">
        <w:t xml:space="preserve"> </w:t>
      </w:r>
    </w:p>
    <w:p w14:paraId="75401FFA" w14:textId="77777777" w:rsidR="008F30CE" w:rsidRDefault="008F30CE" w:rsidP="00C952B6">
      <w:pPr>
        <w:sectPr w:rsidR="008F30CE" w:rsidSect="008F30CE">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567" w:footer="283" w:gutter="0"/>
          <w:pgNumType w:fmt="lowerRoman"/>
          <w:cols w:space="708"/>
          <w:titlePg/>
          <w:docGrid w:linePitch="360"/>
        </w:sectPr>
      </w:pPr>
    </w:p>
    <w:p w14:paraId="17956021" w14:textId="2C9E146A" w:rsidR="00AA0044" w:rsidRDefault="00AA0044" w:rsidP="00C001B0">
      <w:pPr>
        <w:pStyle w:val="Heading2"/>
        <w:numPr>
          <w:ilvl w:val="0"/>
          <w:numId w:val="44"/>
        </w:numPr>
      </w:pPr>
      <w:bookmarkStart w:id="2" w:name="_Toc425945595"/>
      <w:bookmarkStart w:id="3" w:name="_Toc426459658"/>
      <w:bookmarkStart w:id="4" w:name="_Toc214555621"/>
      <w:r>
        <w:lastRenderedPageBreak/>
        <w:t>Program objectives and expected outcomes</w:t>
      </w:r>
      <w:bookmarkEnd w:id="2"/>
      <w:bookmarkEnd w:id="3"/>
      <w:bookmarkEnd w:id="4"/>
    </w:p>
    <w:p w14:paraId="3BF72EE6" w14:textId="3D3063F4" w:rsidR="00AA0044" w:rsidRPr="00811F78" w:rsidRDefault="000F5B45" w:rsidP="00811F78">
      <w:pPr>
        <w:rPr>
          <w:b/>
          <w:bCs/>
          <w:lang w:eastAsia="ja-JP"/>
        </w:rPr>
      </w:pPr>
      <w:r w:rsidRPr="000F5B45">
        <w:rPr>
          <w:lang w:eastAsia="ja-JP"/>
        </w:rPr>
        <w:t xml:space="preserve">Proficiency testing is a means for laboratories to assess </w:t>
      </w:r>
      <w:r w:rsidR="00305035">
        <w:rPr>
          <w:lang w:eastAsia="ja-JP"/>
        </w:rPr>
        <w:t xml:space="preserve">the effectiveness of </w:t>
      </w:r>
      <w:r w:rsidRPr="000F5B45">
        <w:rPr>
          <w:lang w:eastAsia="ja-JP"/>
        </w:rPr>
        <w:t xml:space="preserve">their methods </w:t>
      </w:r>
      <w:r w:rsidR="00305035">
        <w:rPr>
          <w:lang w:eastAsia="ja-JP"/>
        </w:rPr>
        <w:t xml:space="preserve">to detect pathogens. </w:t>
      </w:r>
      <w:r w:rsidR="0062785F">
        <w:rPr>
          <w:lang w:eastAsia="ja-JP"/>
        </w:rPr>
        <w:t xml:space="preserve">It is an opportunity for them to identify technical issues </w:t>
      </w:r>
      <w:r w:rsidR="00B94793">
        <w:rPr>
          <w:lang w:eastAsia="ja-JP"/>
        </w:rPr>
        <w:t>with their practices and to improve their performance over successive rounds</w:t>
      </w:r>
      <w:r w:rsidR="0093664C">
        <w:rPr>
          <w:lang w:eastAsia="ja-JP"/>
        </w:rPr>
        <w:t xml:space="preserve"> with </w:t>
      </w:r>
      <w:r w:rsidR="0027274C">
        <w:rPr>
          <w:lang w:eastAsia="ja-JP"/>
        </w:rPr>
        <w:t>expertise</w:t>
      </w:r>
      <w:r w:rsidR="0093664C">
        <w:rPr>
          <w:lang w:eastAsia="ja-JP"/>
        </w:rPr>
        <w:t xml:space="preserve"> from the </w:t>
      </w:r>
      <w:r w:rsidR="00845070">
        <w:rPr>
          <w:lang w:eastAsia="ja-JP"/>
        </w:rPr>
        <w:t>ACDP</w:t>
      </w:r>
      <w:r w:rsidR="0093664C">
        <w:rPr>
          <w:lang w:eastAsia="ja-JP"/>
        </w:rPr>
        <w:t>-PTSP and the AFDL</w:t>
      </w:r>
      <w:r w:rsidR="00B94793">
        <w:rPr>
          <w:lang w:eastAsia="ja-JP"/>
        </w:rPr>
        <w:t xml:space="preserve">. </w:t>
      </w:r>
      <w:r w:rsidR="004044B8">
        <w:rPr>
          <w:lang w:eastAsia="ja-JP"/>
        </w:rPr>
        <w:t xml:space="preserve">Laboratories who participated in the </w:t>
      </w:r>
      <w:hyperlink r:id="rId20" w:history="1">
        <w:r w:rsidR="004044B8" w:rsidRPr="00AA62D1">
          <w:rPr>
            <w:rStyle w:val="Hyperlink"/>
            <w:lang w:eastAsia="ja-JP"/>
          </w:rPr>
          <w:t>previous regional PT program</w:t>
        </w:r>
      </w:hyperlink>
      <w:r w:rsidR="00212891" w:rsidRPr="00C001B0">
        <w:t xml:space="preserve"> (2013</w:t>
      </w:r>
      <w:r w:rsidR="002571BC" w:rsidRPr="00C001B0">
        <w:t xml:space="preserve"> to </w:t>
      </w:r>
      <w:r w:rsidR="00212891" w:rsidRPr="00C001B0">
        <w:t>2014)</w:t>
      </w:r>
      <w:r w:rsidR="004044B8">
        <w:rPr>
          <w:lang w:eastAsia="ja-JP"/>
        </w:rPr>
        <w:t xml:space="preserve"> showed </w:t>
      </w:r>
      <w:r w:rsidR="000735E8">
        <w:rPr>
          <w:lang w:eastAsia="ja-JP"/>
        </w:rPr>
        <w:t xml:space="preserve">significant improvement in their diagnostic performance </w:t>
      </w:r>
      <w:r w:rsidR="00D52477">
        <w:rPr>
          <w:lang w:eastAsia="ja-JP"/>
        </w:rPr>
        <w:t>for</w:t>
      </w:r>
      <w:r w:rsidR="000735E8">
        <w:rPr>
          <w:lang w:eastAsia="ja-JP"/>
        </w:rPr>
        <w:t xml:space="preserve"> detect</w:t>
      </w:r>
      <w:r w:rsidR="00D52477">
        <w:rPr>
          <w:lang w:eastAsia="ja-JP"/>
        </w:rPr>
        <w:t>ion of</w:t>
      </w:r>
      <w:r w:rsidR="000735E8">
        <w:rPr>
          <w:lang w:eastAsia="ja-JP"/>
        </w:rPr>
        <w:t xml:space="preserve"> aquatic </w:t>
      </w:r>
      <w:r w:rsidR="008E6864">
        <w:rPr>
          <w:lang w:eastAsia="ja-JP"/>
        </w:rPr>
        <w:t>animal</w:t>
      </w:r>
      <w:r w:rsidR="000735E8">
        <w:rPr>
          <w:lang w:eastAsia="ja-JP"/>
        </w:rPr>
        <w:t xml:space="preserve"> pathogens. </w:t>
      </w:r>
      <w:r w:rsidR="00AB296B">
        <w:rPr>
          <w:lang w:eastAsia="ja-JP"/>
        </w:rPr>
        <w:t xml:space="preserve">This initiative </w:t>
      </w:r>
      <w:r w:rsidR="00A73651">
        <w:rPr>
          <w:lang w:eastAsia="ja-JP"/>
        </w:rPr>
        <w:t xml:space="preserve">supports </w:t>
      </w:r>
      <w:r w:rsidR="00353CE7">
        <w:rPr>
          <w:lang w:eastAsia="ja-JP"/>
        </w:rPr>
        <w:t>Australia’s</w:t>
      </w:r>
      <w:r w:rsidR="00AB296B">
        <w:rPr>
          <w:lang w:eastAsia="ja-JP"/>
        </w:rPr>
        <w:t xml:space="preserve"> commitment </w:t>
      </w:r>
      <w:r w:rsidR="00EB7BB1">
        <w:rPr>
          <w:lang w:eastAsia="ja-JP"/>
        </w:rPr>
        <w:t>to address the</w:t>
      </w:r>
      <w:r w:rsidR="00BB2DC2">
        <w:rPr>
          <w:lang w:eastAsia="ja-JP"/>
        </w:rPr>
        <w:t xml:space="preserve"> lack of </w:t>
      </w:r>
      <w:r w:rsidR="003D0CA5">
        <w:rPr>
          <w:lang w:eastAsia="ja-JP"/>
        </w:rPr>
        <w:t>ongoing</w:t>
      </w:r>
      <w:r w:rsidR="00BB2DC2">
        <w:rPr>
          <w:lang w:eastAsia="ja-JP"/>
        </w:rPr>
        <w:t xml:space="preserve"> and accessible </w:t>
      </w:r>
      <w:r w:rsidR="006F25D7">
        <w:rPr>
          <w:lang w:eastAsia="ja-JP"/>
        </w:rPr>
        <w:t>proficiency</w:t>
      </w:r>
      <w:r w:rsidR="00BB2DC2">
        <w:rPr>
          <w:lang w:eastAsia="ja-JP"/>
        </w:rPr>
        <w:t xml:space="preserve"> testing programs for aquatic </w:t>
      </w:r>
      <w:r w:rsidR="006F25D7">
        <w:rPr>
          <w:lang w:eastAsia="ja-JP"/>
        </w:rPr>
        <w:t>animal</w:t>
      </w:r>
      <w:r w:rsidR="00BB2DC2">
        <w:rPr>
          <w:lang w:eastAsia="ja-JP"/>
        </w:rPr>
        <w:t xml:space="preserve"> health laboratories in the </w:t>
      </w:r>
      <w:r w:rsidR="006F25D7">
        <w:rPr>
          <w:lang w:eastAsia="ja-JP"/>
        </w:rPr>
        <w:t>Asia-</w:t>
      </w:r>
      <w:r w:rsidR="0027274C">
        <w:rPr>
          <w:lang w:eastAsia="ja-JP"/>
        </w:rPr>
        <w:t>P</w:t>
      </w:r>
      <w:r w:rsidR="006F25D7">
        <w:rPr>
          <w:lang w:eastAsia="ja-JP"/>
        </w:rPr>
        <w:t>acific</w:t>
      </w:r>
      <w:r w:rsidR="002571BC">
        <w:rPr>
          <w:lang w:eastAsia="ja-JP"/>
        </w:rPr>
        <w:t>, which was</w:t>
      </w:r>
      <w:r w:rsidR="006F25D7">
        <w:rPr>
          <w:lang w:eastAsia="ja-JP"/>
        </w:rPr>
        <w:t xml:space="preserve"> identified </w:t>
      </w:r>
      <w:r w:rsidR="008E7EA3">
        <w:rPr>
          <w:lang w:eastAsia="ja-JP"/>
        </w:rPr>
        <w:t xml:space="preserve">as a major capability deficit </w:t>
      </w:r>
      <w:r w:rsidR="006F25D7">
        <w:rPr>
          <w:lang w:eastAsia="ja-JP"/>
        </w:rPr>
        <w:t xml:space="preserve">by </w:t>
      </w:r>
      <w:r w:rsidR="008E6864">
        <w:t xml:space="preserve">the Regional Advisory Group for Aquatic Animal Health (an advisory group to </w:t>
      </w:r>
      <w:r w:rsidR="002A27DF">
        <w:t>Network of Aquaculture Centres in Asia-Pacific (</w:t>
      </w:r>
      <w:r w:rsidR="008E6864">
        <w:t>NACA)</w:t>
      </w:r>
      <w:r w:rsidR="00AA62D1">
        <w:t>)</w:t>
      </w:r>
      <w:r w:rsidR="008E6864">
        <w:t xml:space="preserve"> </w:t>
      </w:r>
      <w:r w:rsidR="008E7EA3">
        <w:t xml:space="preserve">at their ninth meeting in November 2010 </w:t>
      </w:r>
      <w:r w:rsidR="00C318C7">
        <w:t xml:space="preserve">and </w:t>
      </w:r>
      <w:r w:rsidR="00812D96">
        <w:t>re-iterated</w:t>
      </w:r>
      <w:r w:rsidR="00811F78">
        <w:t xml:space="preserve"> at the</w:t>
      </w:r>
      <w:r w:rsidR="00D074CF">
        <w:t xml:space="preserve">ir </w:t>
      </w:r>
      <w:r w:rsidR="002571BC">
        <w:t>19th</w:t>
      </w:r>
      <w:r w:rsidR="00811F78">
        <w:t xml:space="preserve"> </w:t>
      </w:r>
      <w:r w:rsidR="00D074CF">
        <w:t xml:space="preserve">meeting in </w:t>
      </w:r>
      <w:r w:rsidR="00812D96">
        <w:t>November</w:t>
      </w:r>
      <w:r w:rsidR="00D074CF">
        <w:t xml:space="preserve"> 2020</w:t>
      </w:r>
      <w:r w:rsidR="00812D96">
        <w:t xml:space="preserve"> (NACA 2010,</w:t>
      </w:r>
      <w:r w:rsidR="000275A7">
        <w:t xml:space="preserve"> NACA 2020).</w:t>
      </w:r>
    </w:p>
    <w:p w14:paraId="7AD895A2" w14:textId="39777DD8" w:rsidR="007141E2" w:rsidRDefault="007141E2" w:rsidP="00576EC9">
      <w:pPr>
        <w:pStyle w:val="Heading3"/>
        <w:rPr>
          <w:lang w:eastAsia="ja-JP"/>
        </w:rPr>
      </w:pPr>
      <w:bookmarkStart w:id="5" w:name="_Toc214555622"/>
      <w:r>
        <w:rPr>
          <w:lang w:eastAsia="ja-JP"/>
        </w:rPr>
        <w:t>Objectives</w:t>
      </w:r>
      <w:bookmarkEnd w:id="5"/>
      <w:r>
        <w:rPr>
          <w:lang w:eastAsia="ja-JP"/>
        </w:rPr>
        <w:t xml:space="preserve"> </w:t>
      </w:r>
    </w:p>
    <w:p w14:paraId="6B0F347B" w14:textId="04775319" w:rsidR="007141E2" w:rsidRDefault="00163067" w:rsidP="00C001B0">
      <w:pPr>
        <w:rPr>
          <w:lang w:eastAsia="ja-JP"/>
        </w:rPr>
      </w:pPr>
      <w:r>
        <w:rPr>
          <w:lang w:eastAsia="ja-JP"/>
        </w:rPr>
        <w:t xml:space="preserve">The </w:t>
      </w:r>
      <w:r w:rsidR="00C961B4">
        <w:rPr>
          <w:lang w:eastAsia="ja-JP"/>
        </w:rPr>
        <w:t>4</w:t>
      </w:r>
      <w:r w:rsidR="000D6DD4">
        <w:rPr>
          <w:lang w:eastAsia="ja-JP"/>
        </w:rPr>
        <w:t xml:space="preserve"> </w:t>
      </w:r>
      <w:r w:rsidR="001A5B2A">
        <w:rPr>
          <w:lang w:eastAsia="ja-JP"/>
        </w:rPr>
        <w:t xml:space="preserve">objectives of the </w:t>
      </w:r>
      <w:r w:rsidR="001A5B2A" w:rsidRPr="00C001B0">
        <w:t>regional</w:t>
      </w:r>
      <w:r w:rsidR="001A5B2A">
        <w:rPr>
          <w:lang w:eastAsia="ja-JP"/>
        </w:rPr>
        <w:t xml:space="preserve"> PT program were</w:t>
      </w:r>
      <w:r w:rsidR="00EF00AD">
        <w:rPr>
          <w:lang w:eastAsia="ja-JP"/>
        </w:rPr>
        <w:t xml:space="preserve"> to</w:t>
      </w:r>
      <w:r w:rsidR="001A5B2A">
        <w:rPr>
          <w:lang w:eastAsia="ja-JP"/>
        </w:rPr>
        <w:t xml:space="preserve">: </w:t>
      </w:r>
    </w:p>
    <w:p w14:paraId="2646AFA3" w14:textId="77777777" w:rsidR="001A5B2A" w:rsidRDefault="001A5B2A" w:rsidP="00576EC9">
      <w:pPr>
        <w:pStyle w:val="ListNumber"/>
        <w:numPr>
          <w:ilvl w:val="0"/>
          <w:numId w:val="13"/>
        </w:numPr>
      </w:pPr>
      <w:r w:rsidRPr="001A5B2A">
        <w:t>Strengthen regional capability to diagnose important aquatic diseases that impact on trade, industry sustainability and/or productivity</w:t>
      </w:r>
    </w:p>
    <w:p w14:paraId="5117E9E4" w14:textId="5865E54C" w:rsidR="001A5B2A" w:rsidRDefault="001A5B2A" w:rsidP="00576EC9">
      <w:pPr>
        <w:pStyle w:val="ListNumber"/>
        <w:numPr>
          <w:ilvl w:val="0"/>
          <w:numId w:val="13"/>
        </w:numPr>
      </w:pPr>
      <w:r>
        <w:t>S</w:t>
      </w:r>
      <w:r w:rsidRPr="001A5B2A">
        <w:t>upport</w:t>
      </w:r>
      <w:r w:rsidRPr="00F3724C">
        <w:t xml:space="preserve"> </w:t>
      </w:r>
      <w:r w:rsidR="00F3724C">
        <w:t>the region</w:t>
      </w:r>
      <w:r w:rsidR="00C91B13">
        <w:t xml:space="preserve">’s </w:t>
      </w:r>
      <w:r w:rsidR="00F3724C" w:rsidRPr="00F3724C">
        <w:t>g</w:t>
      </w:r>
      <w:r w:rsidR="00F3724C" w:rsidRPr="00AA62D1">
        <w:rPr>
          <w:lang w:eastAsia="ja-JP"/>
        </w:rPr>
        <w:t>overnment</w:t>
      </w:r>
      <w:r w:rsidR="00F3724C">
        <w:rPr>
          <w:i/>
          <w:iCs/>
          <w:lang w:eastAsia="ja-JP"/>
        </w:rPr>
        <w:t xml:space="preserve"> </w:t>
      </w:r>
      <w:r w:rsidRPr="001A5B2A">
        <w:t>laboratories in maintaining/improving their capacity to diagnose aquatic animal diseases through a proficiency testing service that includes analysis of results, provision of reports to laboratories and repeat testing (if necessary)</w:t>
      </w:r>
    </w:p>
    <w:p w14:paraId="51CA2554" w14:textId="3EB57C0E" w:rsidR="00353CE7" w:rsidRDefault="00353CE7" w:rsidP="00576EC9">
      <w:pPr>
        <w:pStyle w:val="ListNumber"/>
        <w:numPr>
          <w:ilvl w:val="0"/>
          <w:numId w:val="13"/>
        </w:numPr>
      </w:pPr>
      <w:r>
        <w:t>I</w:t>
      </w:r>
      <w:r w:rsidRPr="00353CE7">
        <w:t>ncrease confidence in the testing performance of Australia’s trading partner laboratories that are certified or approved to test the presence or absence of disease agents for aquatic animal commodity exports</w:t>
      </w:r>
    </w:p>
    <w:p w14:paraId="40A59FC9" w14:textId="271F6120" w:rsidR="001A5B2A" w:rsidRDefault="001A5B2A" w:rsidP="00576EC9">
      <w:pPr>
        <w:pStyle w:val="ListNumber"/>
        <w:numPr>
          <w:ilvl w:val="0"/>
          <w:numId w:val="13"/>
        </w:numPr>
      </w:pPr>
      <w:r w:rsidRPr="001A5B2A">
        <w:t xml:space="preserve">Determine the potential for a self-supported laboratory proficiency testing program that meets regional needs and Australian objectives for aquatic animal health </w:t>
      </w:r>
      <w:r w:rsidR="009732A2">
        <w:t xml:space="preserve">management </w:t>
      </w:r>
      <w:r w:rsidRPr="001A5B2A">
        <w:t>in the region.</w:t>
      </w:r>
    </w:p>
    <w:p w14:paraId="2CB6FD4D" w14:textId="53D74650" w:rsidR="00966F89" w:rsidRDefault="00966F89" w:rsidP="00966F89">
      <w:pPr>
        <w:pStyle w:val="Heading3"/>
      </w:pPr>
      <w:bookmarkStart w:id="6" w:name="_Toc214555623"/>
      <w:r>
        <w:t>Expected outcomes</w:t>
      </w:r>
      <w:bookmarkEnd w:id="6"/>
      <w:r>
        <w:t xml:space="preserve"> </w:t>
      </w:r>
    </w:p>
    <w:p w14:paraId="7C2026EC" w14:textId="3FFB214E" w:rsidR="006E38FB" w:rsidRDefault="006E38FB" w:rsidP="00C001B0">
      <w:r>
        <w:t>Expected outcomes from the regional PT program included:</w:t>
      </w:r>
    </w:p>
    <w:p w14:paraId="516495C1" w14:textId="70BB962F" w:rsidR="0081756C" w:rsidRPr="0081756C" w:rsidRDefault="0081756C" w:rsidP="0081756C">
      <w:pPr>
        <w:pStyle w:val="ListNumber"/>
        <w:numPr>
          <w:ilvl w:val="0"/>
          <w:numId w:val="14"/>
        </w:numPr>
      </w:pPr>
      <w:r w:rsidRPr="0081756C">
        <w:t>Increased confidence in the testing performance of laboratories certified/licensed by trading partner countries to test the disease status of aquatic animal commodity exports. This will be based on evidence that laboratory methods, protocols and reporting criteria are appropriate</w:t>
      </w:r>
      <w:r w:rsidR="00834D3F">
        <w:t xml:space="preserve"> </w:t>
      </w:r>
      <w:r w:rsidRPr="0081756C">
        <w:t>and that accurate results for proficiency testing rounds are reported</w:t>
      </w:r>
    </w:p>
    <w:p w14:paraId="20397F62" w14:textId="21CB1177" w:rsidR="006E38FB" w:rsidRPr="0081756C" w:rsidRDefault="0081756C" w:rsidP="0081756C">
      <w:pPr>
        <w:pStyle w:val="ListNumber"/>
      </w:pPr>
      <w:r w:rsidRPr="0081756C">
        <w:t xml:space="preserve">Improved diagnostic capability of the regional network of aquatic diagnostic laboratories in </w:t>
      </w:r>
      <w:r w:rsidR="007422FC" w:rsidRPr="0081756C">
        <w:t>Southeast</w:t>
      </w:r>
      <w:r w:rsidRPr="0081756C">
        <w:t xml:space="preserve"> Asia and the Oceanic region to detect important aquatic transboundary diseases. This will be measurable during the life of the project based on improvements in aggregated diagnostic proficiency testing results.   </w:t>
      </w:r>
    </w:p>
    <w:p w14:paraId="585417D2" w14:textId="4452105A" w:rsidR="00764D6A" w:rsidRPr="007E39EF" w:rsidRDefault="00470A0F" w:rsidP="004E2475">
      <w:pPr>
        <w:pStyle w:val="Heading2"/>
      </w:pPr>
      <w:bookmarkStart w:id="7" w:name="_Toc214555624"/>
      <w:r>
        <w:lastRenderedPageBreak/>
        <w:t>Planning and preparation – 2017</w:t>
      </w:r>
      <w:bookmarkEnd w:id="7"/>
      <w:r>
        <w:t xml:space="preserve"> </w:t>
      </w:r>
    </w:p>
    <w:p w14:paraId="661D74D6" w14:textId="1AEA00FB" w:rsidR="003F380B" w:rsidRDefault="003F380B" w:rsidP="004E2475">
      <w:pPr>
        <w:pStyle w:val="Heading3"/>
      </w:pPr>
      <w:bookmarkStart w:id="8" w:name="_Toc214555625"/>
      <w:bookmarkStart w:id="9" w:name="_Toc425945599"/>
      <w:bookmarkStart w:id="10" w:name="_Toc426459662"/>
      <w:r w:rsidRPr="004E2475">
        <w:t>Collaborator</w:t>
      </w:r>
      <w:r>
        <w:t xml:space="preserve"> responsibilities and pre-planning</w:t>
      </w:r>
      <w:bookmarkEnd w:id="8"/>
      <w:r>
        <w:t xml:space="preserve"> </w:t>
      </w:r>
    </w:p>
    <w:p w14:paraId="5B20D2F7" w14:textId="145CCA97" w:rsidR="00755ED8" w:rsidRPr="008D14B5" w:rsidRDefault="00E034EA" w:rsidP="00755ED8">
      <w:r w:rsidRPr="008D14B5">
        <w:t xml:space="preserve">The project </w:t>
      </w:r>
      <w:r w:rsidR="009862FD" w:rsidRPr="008D14B5">
        <w:t xml:space="preserve">ran </w:t>
      </w:r>
      <w:r w:rsidR="00E239B9" w:rsidRPr="008D14B5">
        <w:t xml:space="preserve">for </w:t>
      </w:r>
      <w:r w:rsidR="00AE0DE8" w:rsidRPr="00927FE1">
        <w:t xml:space="preserve">5 </w:t>
      </w:r>
      <w:r w:rsidR="009862FD" w:rsidRPr="008D14B5">
        <w:t>years</w:t>
      </w:r>
      <w:r w:rsidR="00060945" w:rsidRPr="008D14B5">
        <w:t xml:space="preserve"> from 201</w:t>
      </w:r>
      <w:r w:rsidR="00E239B9" w:rsidRPr="008D14B5">
        <w:t>8</w:t>
      </w:r>
      <w:r w:rsidR="00060945" w:rsidRPr="008D14B5">
        <w:t xml:space="preserve"> to 2022</w:t>
      </w:r>
      <w:r w:rsidR="00BE69B5" w:rsidRPr="008D14B5">
        <w:t xml:space="preserve">, though </w:t>
      </w:r>
      <w:r w:rsidR="009862FD" w:rsidRPr="008D14B5">
        <w:t>preparatory activities</w:t>
      </w:r>
      <w:r w:rsidR="00BE69B5" w:rsidRPr="008D14B5">
        <w:t xml:space="preserve"> occurred in 2017. Y</w:t>
      </w:r>
      <w:r w:rsidR="009862FD" w:rsidRPr="008D14B5">
        <w:t xml:space="preserve">ears </w:t>
      </w:r>
      <w:r w:rsidR="00AE0DE8" w:rsidRPr="00927FE1">
        <w:t xml:space="preserve">2 </w:t>
      </w:r>
      <w:r w:rsidR="009862FD" w:rsidRPr="00927FE1">
        <w:t xml:space="preserve">to </w:t>
      </w:r>
      <w:r w:rsidR="00AE0DE8" w:rsidRPr="00927FE1">
        <w:t xml:space="preserve">5 </w:t>
      </w:r>
      <w:r w:rsidR="009862FD" w:rsidRPr="008D14B5">
        <w:t xml:space="preserve">involved </w:t>
      </w:r>
      <w:r w:rsidR="00AE0DE8" w:rsidRPr="00927FE1">
        <w:t xml:space="preserve">8 </w:t>
      </w:r>
      <w:r w:rsidR="009862FD" w:rsidRPr="008D14B5">
        <w:t xml:space="preserve">rounds of proficiency testing </w:t>
      </w:r>
      <w:r w:rsidR="009E5CCC" w:rsidRPr="008D14B5">
        <w:t>(</w:t>
      </w:r>
      <w:r w:rsidR="00AE0DE8" w:rsidRPr="00927FE1">
        <w:t xml:space="preserve">2 </w:t>
      </w:r>
      <w:r w:rsidR="009E5CCC" w:rsidRPr="008D14B5">
        <w:t xml:space="preserve">rounds a year) </w:t>
      </w:r>
      <w:r w:rsidR="009862FD" w:rsidRPr="008D14B5">
        <w:t xml:space="preserve">for </w:t>
      </w:r>
      <w:r w:rsidR="009E5CCC" w:rsidRPr="008D14B5">
        <w:t>participating</w:t>
      </w:r>
      <w:r w:rsidR="009862FD" w:rsidRPr="008D14B5">
        <w:t xml:space="preserve"> laboratories. </w:t>
      </w:r>
      <w:bookmarkStart w:id="11" w:name="_Toc430782154"/>
      <w:bookmarkEnd w:id="9"/>
      <w:bookmarkEnd w:id="10"/>
    </w:p>
    <w:p w14:paraId="1EA14E96" w14:textId="573F8810" w:rsidR="009E5CCC" w:rsidRDefault="00E63B89" w:rsidP="00755ED8">
      <w:r w:rsidRPr="008D14B5">
        <w:t xml:space="preserve">The project was overseen by a steering committee consisting of representatives from the </w:t>
      </w:r>
      <w:r w:rsidR="00AE0DE8" w:rsidRPr="00927FE1">
        <w:t xml:space="preserve">2 </w:t>
      </w:r>
      <w:r w:rsidRPr="008D14B5">
        <w:t>partner</w:t>
      </w:r>
      <w:r w:rsidRPr="00E63B89">
        <w:t xml:space="preserve"> organisations</w:t>
      </w:r>
      <w:r w:rsidR="009B6FBB">
        <w:t xml:space="preserve">: </w:t>
      </w:r>
      <w:r w:rsidR="00745F95">
        <w:t>DAWR</w:t>
      </w:r>
      <w:r w:rsidR="003752F1">
        <w:t xml:space="preserve"> (now DAFF)</w:t>
      </w:r>
      <w:r w:rsidR="00745F95">
        <w:t xml:space="preserve"> and AAHL </w:t>
      </w:r>
      <w:r w:rsidR="00225513">
        <w:t>(now ACDP)</w:t>
      </w:r>
      <w:r w:rsidRPr="00E63B89">
        <w:t xml:space="preserve">. The Steering Committee </w:t>
      </w:r>
      <w:r w:rsidR="00DE384C">
        <w:t>was</w:t>
      </w:r>
      <w:r w:rsidRPr="00E63B89">
        <w:t xml:space="preserve"> responsible for:</w:t>
      </w:r>
    </w:p>
    <w:p w14:paraId="47052D69" w14:textId="3B53C446" w:rsidR="0040701F" w:rsidRDefault="00C961B4" w:rsidP="0040701F">
      <w:pPr>
        <w:pStyle w:val="ListBullet"/>
      </w:pPr>
      <w:r>
        <w:t>f</w:t>
      </w:r>
      <w:r w:rsidR="0040701F">
        <w:t>inalis</w:t>
      </w:r>
      <w:r w:rsidR="0080190A">
        <w:t>ing the regional PT</w:t>
      </w:r>
      <w:r w:rsidR="0040701F">
        <w:t xml:space="preserve"> </w:t>
      </w:r>
      <w:r w:rsidR="0040701F" w:rsidRPr="00C001B0">
        <w:t>implementation plan</w:t>
      </w:r>
    </w:p>
    <w:p w14:paraId="2CABDE6D" w14:textId="179D91F1" w:rsidR="0040701F" w:rsidRDefault="00C961B4" w:rsidP="0040701F">
      <w:pPr>
        <w:pStyle w:val="ListBullet"/>
      </w:pPr>
      <w:r>
        <w:t>d</w:t>
      </w:r>
      <w:r w:rsidR="0040701F">
        <w:t>etermining which international laboratories will participate in the program</w:t>
      </w:r>
    </w:p>
    <w:p w14:paraId="5880C7CC" w14:textId="12F47C3B" w:rsidR="0040701F" w:rsidRDefault="00C961B4" w:rsidP="0040701F">
      <w:pPr>
        <w:pStyle w:val="ListBullet"/>
      </w:pPr>
      <w:r>
        <w:t>d</w:t>
      </w:r>
      <w:r w:rsidR="0040701F">
        <w:t>etermining priority diseases to be included in the program</w:t>
      </w:r>
    </w:p>
    <w:p w14:paraId="5F7DD2E5" w14:textId="484EA752" w:rsidR="0040701F" w:rsidRDefault="00C961B4" w:rsidP="0040701F">
      <w:pPr>
        <w:pStyle w:val="ListBullet"/>
      </w:pPr>
      <w:r>
        <w:t>c</w:t>
      </w:r>
      <w:r w:rsidR="0040701F">
        <w:t>onsider</w:t>
      </w:r>
      <w:r w:rsidR="00353F5D">
        <w:t xml:space="preserve">ing </w:t>
      </w:r>
      <w:r w:rsidR="0040701F">
        <w:t>communications and technical support required to encourage participation</w:t>
      </w:r>
    </w:p>
    <w:p w14:paraId="791089B5" w14:textId="0C75BDFF" w:rsidR="0040701F" w:rsidRDefault="00C961B4" w:rsidP="0040701F">
      <w:pPr>
        <w:pStyle w:val="ListBullet"/>
      </w:pPr>
      <w:r>
        <w:t>c</w:t>
      </w:r>
      <w:r w:rsidR="0040701F">
        <w:t>onsider</w:t>
      </w:r>
      <w:r w:rsidR="00353F5D">
        <w:t>ing</w:t>
      </w:r>
      <w:r w:rsidR="0040701F">
        <w:t xml:space="preserve"> risks to project implementation and providing advice on actions to mitigate those risks</w:t>
      </w:r>
    </w:p>
    <w:p w14:paraId="0A7FE1E3" w14:textId="1C06A4DF" w:rsidR="0040701F" w:rsidRDefault="00C961B4" w:rsidP="0040701F">
      <w:pPr>
        <w:pStyle w:val="ListBullet"/>
      </w:pPr>
      <w:r>
        <w:t>m</w:t>
      </w:r>
      <w:r w:rsidR="0040701F">
        <w:t xml:space="preserve">onitoring project progress </w:t>
      </w:r>
    </w:p>
    <w:p w14:paraId="5547EB80" w14:textId="45EFD28F" w:rsidR="0040701F" w:rsidRDefault="00C961B4" w:rsidP="0040701F">
      <w:pPr>
        <w:pStyle w:val="ListBullet"/>
      </w:pPr>
      <w:r>
        <w:t>r</w:t>
      </w:r>
      <w:r w:rsidR="0040701F">
        <w:t>eviewing project reports and communications</w:t>
      </w:r>
      <w:r w:rsidR="00D057B6">
        <w:t>.</w:t>
      </w:r>
    </w:p>
    <w:p w14:paraId="41F2023F" w14:textId="535647A2" w:rsidR="00240A5F" w:rsidRDefault="002D2221" w:rsidP="00240A5F">
      <w:r>
        <w:t xml:space="preserve">The </w:t>
      </w:r>
      <w:r w:rsidR="009B58D9">
        <w:t>department</w:t>
      </w:r>
      <w:r w:rsidR="00192A08">
        <w:t xml:space="preserve"> </w:t>
      </w:r>
      <w:r w:rsidR="002D355A">
        <w:t xml:space="preserve">was responsible for </w:t>
      </w:r>
      <w:r w:rsidR="00C41746">
        <w:t>funding</w:t>
      </w:r>
      <w:r w:rsidR="00192A08">
        <w:t xml:space="preserve"> the project </w:t>
      </w:r>
      <w:r w:rsidR="009B58D9">
        <w:t xml:space="preserve">through the Agriculture Competitiveness White Paper </w:t>
      </w:r>
      <w:r w:rsidR="00C41746">
        <w:t>and overall project</w:t>
      </w:r>
      <w:r w:rsidR="00B25C58">
        <w:t xml:space="preserve"> </w:t>
      </w:r>
      <w:r w:rsidR="00C41746">
        <w:t>coordination</w:t>
      </w:r>
      <w:r w:rsidR="009F05BC">
        <w:t xml:space="preserve">. </w:t>
      </w:r>
      <w:r w:rsidR="000419F3">
        <w:t>The A</w:t>
      </w:r>
      <w:r w:rsidR="00845070">
        <w:t>CDP</w:t>
      </w:r>
      <w:r w:rsidR="000419F3">
        <w:t>-PTSP was responsible for</w:t>
      </w:r>
      <w:r w:rsidR="009C2BCB">
        <w:t xml:space="preserve"> communication with </w:t>
      </w:r>
      <w:r w:rsidR="00051411">
        <w:t>participating</w:t>
      </w:r>
      <w:r w:rsidR="006E02AC">
        <w:t xml:space="preserve"> laboratories </w:t>
      </w:r>
      <w:r w:rsidR="009C2BCB">
        <w:t xml:space="preserve">and logistics </w:t>
      </w:r>
      <w:r w:rsidR="00F21448">
        <w:t>around</w:t>
      </w:r>
      <w:r w:rsidR="009C2BCB">
        <w:t xml:space="preserve"> fulfilling contractual obligations</w:t>
      </w:r>
      <w:r w:rsidR="006E02AC">
        <w:t xml:space="preserve">. This included </w:t>
      </w:r>
      <w:r w:rsidR="00F23405">
        <w:t>preparing sample material</w:t>
      </w:r>
      <w:r w:rsidR="00B51D17">
        <w:t>s</w:t>
      </w:r>
      <w:r w:rsidR="00051411">
        <w:t>,</w:t>
      </w:r>
      <w:r w:rsidR="00F23405">
        <w:t xml:space="preserve"> conducting quality assurance</w:t>
      </w:r>
      <w:r w:rsidR="002D1000">
        <w:t xml:space="preserve"> checks</w:t>
      </w:r>
      <w:r w:rsidR="00F23405">
        <w:t xml:space="preserve"> in accordance with ISO 17043 requirements</w:t>
      </w:r>
      <w:r w:rsidR="00051411">
        <w:t xml:space="preserve"> and drafting de-identified reports for each testing round</w:t>
      </w:r>
      <w:r w:rsidR="00F23405">
        <w:t xml:space="preserve">. </w:t>
      </w:r>
      <w:r w:rsidR="00AA62D1">
        <w:t>ACDP</w:t>
      </w:r>
      <w:r w:rsidR="00184AC8">
        <w:t xml:space="preserve"> </w:t>
      </w:r>
      <w:r w:rsidR="00535B2E">
        <w:t xml:space="preserve">oversaw the </w:t>
      </w:r>
      <w:r w:rsidR="00AE6C1F">
        <w:t>sourcing</w:t>
      </w:r>
      <w:r w:rsidR="00535B2E">
        <w:t xml:space="preserve"> and </w:t>
      </w:r>
      <w:r w:rsidR="00AE6C1F">
        <w:t>inactivation</w:t>
      </w:r>
      <w:r w:rsidR="00535B2E">
        <w:t xml:space="preserve"> of disease materials</w:t>
      </w:r>
      <w:r w:rsidR="00861407">
        <w:t>, provid</w:t>
      </w:r>
      <w:r w:rsidR="006A4300">
        <w:t>ed</w:t>
      </w:r>
      <w:r w:rsidR="00861407">
        <w:t xml:space="preserve"> </w:t>
      </w:r>
      <w:r w:rsidR="006A4300">
        <w:t>support</w:t>
      </w:r>
      <w:r w:rsidR="00861407">
        <w:t xml:space="preserve"> in the preparation of sample materials</w:t>
      </w:r>
      <w:r w:rsidR="006A4300">
        <w:t>, conducted quality assessment on the prepared samples and provided technical adv</w:t>
      </w:r>
      <w:r w:rsidR="00056623">
        <w:t xml:space="preserve">ice on the </w:t>
      </w:r>
      <w:r w:rsidR="007307E3">
        <w:t xml:space="preserve">running of each round. </w:t>
      </w:r>
      <w:r w:rsidR="00BC46CD">
        <w:t>NACA was responsible for co-hosting a workshop</w:t>
      </w:r>
      <w:r w:rsidR="00DD1CC7">
        <w:t xml:space="preserve"> in March 2019 as a means of </w:t>
      </w:r>
      <w:r w:rsidR="00116C9F">
        <w:t xml:space="preserve">direct </w:t>
      </w:r>
      <w:r w:rsidR="005B6228">
        <w:t>communication</w:t>
      </w:r>
      <w:r w:rsidR="00116C9F">
        <w:t xml:space="preserve"> between </w:t>
      </w:r>
      <w:r w:rsidR="005B6228">
        <w:t xml:space="preserve">representatives from the program </w:t>
      </w:r>
      <w:r w:rsidR="00116C9F">
        <w:t xml:space="preserve">and </w:t>
      </w:r>
      <w:r w:rsidR="005B6228">
        <w:t>laboratory participants</w:t>
      </w:r>
      <w:r w:rsidR="00116C9F" w:rsidRPr="00A13456">
        <w:t>.</w:t>
      </w:r>
      <w:r w:rsidR="00BC46CD" w:rsidRPr="00A13456">
        <w:t xml:space="preserve"> </w:t>
      </w:r>
      <w:bookmarkStart w:id="12" w:name="_Hlk175045895"/>
      <w:r w:rsidR="00240A5F" w:rsidRPr="00A13456">
        <w:rPr>
          <w:rFonts w:cstheme="minorHAnsi"/>
        </w:rPr>
        <w:t xml:space="preserve">Specific </w:t>
      </w:r>
      <w:r w:rsidR="00240A5F" w:rsidRPr="00A13456">
        <w:t xml:space="preserve">roles and responsibilities for each collaborative partner are detailed in </w:t>
      </w:r>
      <w:hyperlink w:anchor="_Appendix_B:_Regional" w:history="1">
        <w:r w:rsidR="008008C6" w:rsidRPr="008008C6">
          <w:rPr>
            <w:rStyle w:val="Hyperlink"/>
          </w:rPr>
          <w:t xml:space="preserve">Appendix </w:t>
        </w:r>
        <w:r w:rsidR="008008C6">
          <w:rPr>
            <w:rStyle w:val="Hyperlink"/>
          </w:rPr>
          <w:t>A</w:t>
        </w:r>
        <w:r w:rsidR="008008C6" w:rsidRPr="008008C6">
          <w:rPr>
            <w:rStyle w:val="Hyperlink"/>
          </w:rPr>
          <w:t>: Regional PT program partner responsibilities</w:t>
        </w:r>
      </w:hyperlink>
      <w:r w:rsidR="00240A5F" w:rsidRPr="00A13456">
        <w:t>.</w:t>
      </w:r>
      <w:r w:rsidR="00240A5F">
        <w:t xml:space="preserve"> </w:t>
      </w:r>
      <w:bookmarkEnd w:id="12"/>
    </w:p>
    <w:p w14:paraId="5CED6EE5" w14:textId="4A2A61C8" w:rsidR="00755ED8" w:rsidRDefault="00061E00" w:rsidP="00061E00">
      <w:pPr>
        <w:pStyle w:val="Heading3"/>
      </w:pPr>
      <w:bookmarkStart w:id="13" w:name="_Toc214555626"/>
      <w:r>
        <w:t>Requirements for participation</w:t>
      </w:r>
      <w:bookmarkEnd w:id="13"/>
      <w:r>
        <w:t xml:space="preserve"> </w:t>
      </w:r>
    </w:p>
    <w:p w14:paraId="49557876" w14:textId="10A4CA84" w:rsidR="008B5A5D" w:rsidRDefault="00AE0DE8" w:rsidP="00610F78">
      <w:r>
        <w:t>Across</w:t>
      </w:r>
      <w:r w:rsidR="00610F78">
        <w:t xml:space="preserve"> </w:t>
      </w:r>
      <w:r w:rsidR="00E239B9">
        <w:t>19 countries (</w:t>
      </w:r>
      <w:r w:rsidR="00610F78">
        <w:t xml:space="preserve">14 </w:t>
      </w:r>
      <w:r w:rsidR="00E239B9">
        <w:t xml:space="preserve">being </w:t>
      </w:r>
      <w:r w:rsidR="00610F78">
        <w:t>NACA member countries</w:t>
      </w:r>
      <w:r w:rsidR="00E239B9">
        <w:t>),</w:t>
      </w:r>
      <w:r w:rsidR="00610F78">
        <w:t xml:space="preserve"> </w:t>
      </w:r>
      <w:r>
        <w:t xml:space="preserve">57 laboratories </w:t>
      </w:r>
      <w:r w:rsidR="00610F78">
        <w:t xml:space="preserve">participated in the </w:t>
      </w:r>
      <w:r>
        <w:t xml:space="preserve">8 </w:t>
      </w:r>
      <w:r w:rsidR="00610F78">
        <w:t xml:space="preserve">rounds of aquatic animal disease diagnostic proficiency testing. Participating countries included </w:t>
      </w:r>
      <w:r w:rsidR="00F94FC0" w:rsidRPr="00F94FC0">
        <w:t>Bangladesh, Cambodia, China, Hong Kong SAR, India, Indonesia, Iran, Malaysia, Philippines, Sri Lanka, Thailand</w:t>
      </w:r>
      <w:r w:rsidR="00F94FC0">
        <w:t xml:space="preserve"> and </w:t>
      </w:r>
      <w:r w:rsidR="00F94FC0" w:rsidRPr="00F94FC0">
        <w:t>Vietnam</w:t>
      </w:r>
      <w:r w:rsidR="00F94FC0">
        <w:t xml:space="preserve">. </w:t>
      </w:r>
    </w:p>
    <w:p w14:paraId="32BB1615" w14:textId="5BC512C6" w:rsidR="008B5A5D" w:rsidRDefault="00E271CE" w:rsidP="00610F78">
      <w:r>
        <w:t>The Competent Authority</w:t>
      </w:r>
      <w:r w:rsidR="00FD6FE4">
        <w:t xml:space="preserve"> (CA)</w:t>
      </w:r>
      <w:r>
        <w:t xml:space="preserve"> in each country nominated </w:t>
      </w:r>
      <w:r w:rsidR="00FD6FE4">
        <w:t xml:space="preserve">laboratories to participate in the program. </w:t>
      </w:r>
      <w:r w:rsidR="003F4A79">
        <w:t>Nominated</w:t>
      </w:r>
      <w:r w:rsidR="00FD6FE4">
        <w:t xml:space="preserve"> laboratories were </w:t>
      </w:r>
      <w:r w:rsidR="00767E76">
        <w:t xml:space="preserve">principally government laboratories that </w:t>
      </w:r>
      <w:r w:rsidR="006E0F6C">
        <w:t>were directly</w:t>
      </w:r>
      <w:r w:rsidR="00FD6FE4">
        <w:t xml:space="preserve"> responsible for assisting the national CA </w:t>
      </w:r>
      <w:r w:rsidR="00B74782">
        <w:t xml:space="preserve">with aquatic animal health </w:t>
      </w:r>
      <w:r w:rsidR="00F60144">
        <w:t>management</w:t>
      </w:r>
      <w:r w:rsidR="00B74782">
        <w:t>, which includes</w:t>
      </w:r>
      <w:r w:rsidR="0066458B">
        <w:t xml:space="preserve"> coordinating the national surveillance and </w:t>
      </w:r>
      <w:r w:rsidR="00F60144">
        <w:t>disease</w:t>
      </w:r>
      <w:r w:rsidR="0066458B">
        <w:t xml:space="preserve"> reporting system, diagnosis of emergency </w:t>
      </w:r>
      <w:r w:rsidR="00F60144">
        <w:t>aquatic</w:t>
      </w:r>
      <w:r w:rsidR="0066458B">
        <w:t xml:space="preserve"> animal diseases and </w:t>
      </w:r>
      <w:r w:rsidR="003F4A79">
        <w:t xml:space="preserve">other diagnostic activities to support trade of aquatic animals and their products. </w:t>
      </w:r>
      <w:r w:rsidR="003D2092">
        <w:t xml:space="preserve">Laboratories </w:t>
      </w:r>
      <w:r w:rsidR="003D2092">
        <w:lastRenderedPageBreak/>
        <w:t>were also required to possess adequate infrastructure</w:t>
      </w:r>
      <w:r w:rsidR="0097624E">
        <w:t>, including trained personnel, hardware and reagents</w:t>
      </w:r>
      <w:r w:rsidR="00091D1C">
        <w:t xml:space="preserve">, to participate in at least </w:t>
      </w:r>
      <w:r w:rsidR="00AE0DE8">
        <w:t xml:space="preserve">1 </w:t>
      </w:r>
      <w:r w:rsidR="00091D1C">
        <w:t>round</w:t>
      </w:r>
      <w:r w:rsidR="00061F66">
        <w:t xml:space="preserve"> </w:t>
      </w:r>
      <w:r w:rsidR="00091D1C">
        <w:t xml:space="preserve">of </w:t>
      </w:r>
      <w:r w:rsidR="00AC10A6">
        <w:t>polymerase chain reaction</w:t>
      </w:r>
      <w:r w:rsidR="00091D1C">
        <w:t xml:space="preserve">. Up to </w:t>
      </w:r>
      <w:r w:rsidR="00AE0DE8">
        <w:t xml:space="preserve">5 </w:t>
      </w:r>
      <w:r w:rsidR="00483202">
        <w:t>diagnostic laboratories</w:t>
      </w:r>
      <w:r w:rsidR="00A32333">
        <w:t xml:space="preserve"> of </w:t>
      </w:r>
      <w:r w:rsidR="00645017">
        <w:t xml:space="preserve">all countries in the Asia-Pacific region that receive an Official Development Assistance (ODA) defined by the United Nations, </w:t>
      </w:r>
      <w:r w:rsidR="00A32333">
        <w:t xml:space="preserve">were </w:t>
      </w:r>
      <w:r w:rsidR="00B82218">
        <w:t>invited</w:t>
      </w:r>
      <w:r w:rsidR="00A32333">
        <w:t xml:space="preserve"> to participate</w:t>
      </w:r>
      <w:r w:rsidR="00645017">
        <w:t xml:space="preserve"> in the program </w:t>
      </w:r>
      <w:r w:rsidR="00E239B9">
        <w:t>at</w:t>
      </w:r>
      <w:r w:rsidR="00645017">
        <w:t xml:space="preserve"> no cost</w:t>
      </w:r>
      <w:r w:rsidR="00E239B9">
        <w:t xml:space="preserve"> to the participant</w:t>
      </w:r>
      <w:r w:rsidR="00645017">
        <w:t>.</w:t>
      </w:r>
      <w:r w:rsidR="00E239B9">
        <w:t xml:space="preserve"> </w:t>
      </w:r>
      <w:r w:rsidR="00645017">
        <w:t>A</w:t>
      </w:r>
      <w:r w:rsidR="00A32333">
        <w:t xml:space="preserve">dditional </w:t>
      </w:r>
      <w:r w:rsidR="00483202">
        <w:t>laboratories</w:t>
      </w:r>
      <w:r w:rsidR="00A32333">
        <w:t xml:space="preserve"> </w:t>
      </w:r>
      <w:r w:rsidR="0046715F">
        <w:t xml:space="preserve">from some countries </w:t>
      </w:r>
      <w:r w:rsidR="00A80073">
        <w:t xml:space="preserve">were able to </w:t>
      </w:r>
      <w:r w:rsidR="00061F66">
        <w:t>participate</w:t>
      </w:r>
      <w:r w:rsidR="00B82218">
        <w:t xml:space="preserve"> in later rounds as </w:t>
      </w:r>
      <w:r w:rsidR="0046715F">
        <w:t>other</w:t>
      </w:r>
      <w:r w:rsidR="001F7A0C">
        <w:t xml:space="preserve"> countries could not nom</w:t>
      </w:r>
      <w:r w:rsidR="008D5C8B">
        <w:t>inate</w:t>
      </w:r>
      <w:r w:rsidR="001F7A0C">
        <w:t xml:space="preserve"> </w:t>
      </w:r>
      <w:r w:rsidR="00AE0DE8">
        <w:t xml:space="preserve">5 </w:t>
      </w:r>
      <w:r w:rsidR="00E239B9">
        <w:t>laboratories or</w:t>
      </w:r>
      <w:r w:rsidR="001F7A0C">
        <w:t xml:space="preserve"> were willing to </w:t>
      </w:r>
      <w:r w:rsidR="008D5C8B">
        <w:t>pay</w:t>
      </w:r>
      <w:r w:rsidR="00645017">
        <w:t xml:space="preserve"> fees</w:t>
      </w:r>
      <w:r w:rsidR="008D5C8B">
        <w:t xml:space="preserve"> for their involvement. </w:t>
      </w:r>
      <w:r w:rsidR="00645017">
        <w:t xml:space="preserve">In general, non-ODA recipient countries were asked to pay small pre-determined fees. </w:t>
      </w:r>
      <w:r w:rsidR="005F4DCF">
        <w:t xml:space="preserve">Some private laboratories were able to participate </w:t>
      </w:r>
      <w:r w:rsidR="00645017">
        <w:t xml:space="preserve">with the fees </w:t>
      </w:r>
      <w:r w:rsidR="00926C96">
        <w:t>upon the</w:t>
      </w:r>
      <w:r w:rsidR="00E86168">
        <w:t>ir</w:t>
      </w:r>
      <w:r w:rsidR="00926C96">
        <w:t xml:space="preserve"> nomination</w:t>
      </w:r>
      <w:r w:rsidR="00E86168">
        <w:t>s</w:t>
      </w:r>
      <w:r w:rsidR="00926C96">
        <w:t xml:space="preserve"> by C</w:t>
      </w:r>
      <w:r w:rsidR="00E86168">
        <w:t>A</w:t>
      </w:r>
      <w:r w:rsidR="00926C96">
        <w:t xml:space="preserve">s, </w:t>
      </w:r>
      <w:r w:rsidR="005F4DCF">
        <w:t>if they provid</w:t>
      </w:r>
      <w:r w:rsidR="00C41D64">
        <w:t>ed</w:t>
      </w:r>
      <w:r w:rsidR="005F4DCF">
        <w:t xml:space="preserve"> diagnostic services</w:t>
      </w:r>
      <w:r w:rsidR="00645017">
        <w:t>,</w:t>
      </w:r>
      <w:r w:rsidR="005F4DCF">
        <w:t xml:space="preserve"> </w:t>
      </w:r>
      <w:r w:rsidR="00645017">
        <w:t xml:space="preserve">on behalf of the relevant CAs, </w:t>
      </w:r>
      <w:r w:rsidR="00CF2178">
        <w:t xml:space="preserve">for </w:t>
      </w:r>
      <w:r w:rsidR="00DD2C98">
        <w:t>live aquatic animals (</w:t>
      </w:r>
      <w:r w:rsidR="006E0F6C">
        <w:t>that is,</w:t>
      </w:r>
      <w:r w:rsidR="00DD2C98">
        <w:t xml:space="preserve"> ornamental fish) or seafood </w:t>
      </w:r>
      <w:r w:rsidR="00CF2178">
        <w:t xml:space="preserve">commodities </w:t>
      </w:r>
      <w:r w:rsidR="00E93F87">
        <w:t>(</w:t>
      </w:r>
      <w:r w:rsidR="006E0F6C">
        <w:t>for example,</w:t>
      </w:r>
      <w:r w:rsidR="00E93F87">
        <w:t xml:space="preserve"> frozen prawns for human consumption) </w:t>
      </w:r>
      <w:r w:rsidR="00CF2178">
        <w:t xml:space="preserve">that </w:t>
      </w:r>
      <w:r w:rsidR="00C41D64">
        <w:t>were</w:t>
      </w:r>
      <w:r w:rsidR="00CF2178">
        <w:t xml:space="preserve"> traded with Australia.</w:t>
      </w:r>
      <w:r w:rsidR="005F4DCF">
        <w:t xml:space="preserve"> </w:t>
      </w:r>
    </w:p>
    <w:p w14:paraId="4BE0FC33" w14:textId="11A2AE78" w:rsidR="009A6696" w:rsidRDefault="009A6696" w:rsidP="009A6696">
      <w:pPr>
        <w:pStyle w:val="Heading3"/>
      </w:pPr>
      <w:bookmarkStart w:id="14" w:name="_Toc214555627"/>
      <w:r>
        <w:t>NACA hosted workshop</w:t>
      </w:r>
      <w:bookmarkEnd w:id="14"/>
    </w:p>
    <w:p w14:paraId="165AA04E" w14:textId="7F698F2B" w:rsidR="00433575" w:rsidRDefault="00107B9A" w:rsidP="009A6696">
      <w:r>
        <w:t>A</w:t>
      </w:r>
      <w:r w:rsidR="00CE4F9D" w:rsidRPr="00CE4F9D">
        <w:t xml:space="preserve"> workshop on the APL</w:t>
      </w:r>
      <w:r w:rsidR="00D47EEC">
        <w:t>-</w:t>
      </w:r>
      <w:r w:rsidR="00CE4F9D" w:rsidRPr="00CE4F9D">
        <w:t xml:space="preserve">PT program </w:t>
      </w:r>
      <w:r>
        <w:t xml:space="preserve">was </w:t>
      </w:r>
      <w:r w:rsidR="002940CF">
        <w:t xml:space="preserve">hosted </w:t>
      </w:r>
      <w:r w:rsidR="000A7FE3">
        <w:t>by</w:t>
      </w:r>
      <w:r w:rsidR="002940CF">
        <w:t xml:space="preserve"> NACA </w:t>
      </w:r>
      <w:r>
        <w:t>on 13</w:t>
      </w:r>
      <w:r w:rsidR="00D47EEC">
        <w:t xml:space="preserve"> and </w:t>
      </w:r>
      <w:r>
        <w:t xml:space="preserve">14 March 2019 in </w:t>
      </w:r>
      <w:r w:rsidR="002940CF">
        <w:t>Bangkok, Thailand</w:t>
      </w:r>
      <w:r w:rsidR="000A7FE3">
        <w:t xml:space="preserve">. The aim was to provide an avenue for direct communication with laboratory representatives </w:t>
      </w:r>
      <w:r w:rsidR="00BA2016">
        <w:t xml:space="preserve">to discuss issues </w:t>
      </w:r>
      <w:r w:rsidR="00EC7D03">
        <w:t xml:space="preserve">participants had during the first </w:t>
      </w:r>
      <w:r w:rsidR="00AE0DE8">
        <w:t xml:space="preserve">2 </w:t>
      </w:r>
      <w:r w:rsidR="00EC7D03">
        <w:t xml:space="preserve">rounds of completed testing. It was an opportunity for participants to enhance their </w:t>
      </w:r>
      <w:r w:rsidR="00216E07">
        <w:t xml:space="preserve">understanding </w:t>
      </w:r>
      <w:r w:rsidR="00EC7D03">
        <w:t xml:space="preserve">of </w:t>
      </w:r>
      <w:r w:rsidR="00216E07">
        <w:t>diagnostic</w:t>
      </w:r>
      <w:r w:rsidR="00EC7D03">
        <w:t xml:space="preserve"> </w:t>
      </w:r>
      <w:r w:rsidR="00216E07">
        <w:t>standards</w:t>
      </w:r>
      <w:r w:rsidR="005274E7">
        <w:t>, quality assurance</w:t>
      </w:r>
      <w:r w:rsidR="00216E07">
        <w:t xml:space="preserve"> and </w:t>
      </w:r>
      <w:r w:rsidR="00EC7D03">
        <w:t>proficiency testing procedures</w:t>
      </w:r>
      <w:r w:rsidR="00216E07">
        <w:t xml:space="preserve"> within a </w:t>
      </w:r>
      <w:r w:rsidR="00B33C5C">
        <w:t>collaborative</w:t>
      </w:r>
      <w:r w:rsidR="00216E07">
        <w:t xml:space="preserve"> setting. </w:t>
      </w:r>
    </w:p>
    <w:p w14:paraId="40AFF6F1" w14:textId="635011D8" w:rsidR="009A6696" w:rsidRDefault="00433575" w:rsidP="009A6696">
      <w:r>
        <w:t>I</w:t>
      </w:r>
      <w:r w:rsidR="00B33C5C">
        <w:t>n</w:t>
      </w:r>
      <w:r>
        <w:t xml:space="preserve"> total</w:t>
      </w:r>
      <w:r w:rsidR="00D47EEC">
        <w:t>,</w:t>
      </w:r>
      <w:r>
        <w:t xml:space="preserve"> </w:t>
      </w:r>
      <w:r w:rsidR="00D47EEC">
        <w:t>50</w:t>
      </w:r>
      <w:r w:rsidR="00CE4F9D" w:rsidRPr="00CE4F9D">
        <w:t xml:space="preserve"> people</w:t>
      </w:r>
      <w:r w:rsidR="00B33C5C">
        <w:t xml:space="preserve"> representing 33 laboratories across </w:t>
      </w:r>
      <w:r w:rsidR="00CE4F9D" w:rsidRPr="00CE4F9D">
        <w:t xml:space="preserve">12 participating </w:t>
      </w:r>
      <w:r w:rsidR="00B33C5C">
        <w:t xml:space="preserve">Asia-Pacific </w:t>
      </w:r>
      <w:r w:rsidR="00CE4F9D" w:rsidRPr="00CE4F9D">
        <w:t>countries attended the workshop.</w:t>
      </w:r>
      <w:r w:rsidR="00BE3EB7">
        <w:t xml:space="preserve"> Experts from the </w:t>
      </w:r>
      <w:r w:rsidR="00D00006">
        <w:t xml:space="preserve">then </w:t>
      </w:r>
      <w:r w:rsidR="00BE3EB7">
        <w:t>Australian Government Department of Agriculture</w:t>
      </w:r>
      <w:r w:rsidR="00D00006">
        <w:t>, Water and the Environment</w:t>
      </w:r>
      <w:r w:rsidR="00BE3EB7">
        <w:t xml:space="preserve"> (</w:t>
      </w:r>
      <w:r w:rsidR="00C41D64">
        <w:t>now DAFF</w:t>
      </w:r>
      <w:r w:rsidR="00BE3EB7">
        <w:t>), NACA and CSIRO-</w:t>
      </w:r>
      <w:r w:rsidR="00C41D64">
        <w:t>ACDP</w:t>
      </w:r>
      <w:r w:rsidR="00BE3EB7">
        <w:t xml:space="preserve"> </w:t>
      </w:r>
      <w:r w:rsidR="000525C6">
        <w:t>facilitated the</w:t>
      </w:r>
      <w:r w:rsidR="00BE3EB7">
        <w:t xml:space="preserve"> workshop.</w:t>
      </w:r>
      <w:r w:rsidR="006D1E12">
        <w:t xml:space="preserve"> </w:t>
      </w:r>
      <w:r w:rsidR="00D47EEC">
        <w:t>Learn more about the</w:t>
      </w:r>
      <w:r w:rsidR="006D1E12">
        <w:t xml:space="preserve"> </w:t>
      </w:r>
      <w:hyperlink r:id="rId21" w:history="1">
        <w:r w:rsidR="00D47EEC" w:rsidRPr="00D47EEC">
          <w:rPr>
            <w:rStyle w:val="Hyperlink"/>
          </w:rPr>
          <w:t xml:space="preserve">2018 to 2022 </w:t>
        </w:r>
        <w:r w:rsidR="006D1E12" w:rsidRPr="00D47EEC">
          <w:rPr>
            <w:rStyle w:val="Hyperlink"/>
          </w:rPr>
          <w:t>workshop report</w:t>
        </w:r>
      </w:hyperlink>
      <w:r w:rsidR="0074692A">
        <w:t>.</w:t>
      </w:r>
    </w:p>
    <w:p w14:paraId="575C9D89" w14:textId="549BE070" w:rsidR="00CE6EF2" w:rsidRDefault="00CE6EF2" w:rsidP="00CE6EF2">
      <w:pPr>
        <w:pStyle w:val="Heading2"/>
      </w:pPr>
      <w:bookmarkStart w:id="15" w:name="_Toc425945602"/>
      <w:bookmarkStart w:id="16" w:name="_Toc426459665"/>
      <w:bookmarkStart w:id="17" w:name="_Toc214555628"/>
      <w:r>
        <w:lastRenderedPageBreak/>
        <w:t xml:space="preserve">Program </w:t>
      </w:r>
      <w:r w:rsidRPr="00863B9A">
        <w:t>implementation</w:t>
      </w:r>
      <w:bookmarkEnd w:id="15"/>
      <w:bookmarkEnd w:id="16"/>
      <w:r>
        <w:t xml:space="preserve"> </w:t>
      </w:r>
      <w:r w:rsidR="006F0922">
        <w:t>–</w:t>
      </w:r>
      <w:r>
        <w:t xml:space="preserve"> </w:t>
      </w:r>
      <w:r w:rsidR="006F0922">
        <w:t xml:space="preserve">2018 </w:t>
      </w:r>
      <w:r w:rsidR="00812DBC">
        <w:t>to 2022</w:t>
      </w:r>
      <w:bookmarkEnd w:id="17"/>
    </w:p>
    <w:p w14:paraId="67719D3E" w14:textId="64F1D678" w:rsidR="004C710E" w:rsidRDefault="004C710E" w:rsidP="004C710E">
      <w:pPr>
        <w:pStyle w:val="Heading3"/>
      </w:pPr>
      <w:bookmarkStart w:id="18" w:name="_Toc425945603"/>
      <w:bookmarkStart w:id="19" w:name="_Toc426459666"/>
      <w:bookmarkStart w:id="20" w:name="_Toc214555629"/>
      <w:r w:rsidRPr="004C710E">
        <w:t>Sample preparation</w:t>
      </w:r>
      <w:bookmarkEnd w:id="18"/>
      <w:bookmarkEnd w:id="19"/>
      <w:bookmarkEnd w:id="20"/>
    </w:p>
    <w:p w14:paraId="59B7FC08" w14:textId="54A74DBE" w:rsidR="00AE0DE8" w:rsidRDefault="00B3716A" w:rsidP="005D077A">
      <w:r>
        <w:t>ACDP</w:t>
      </w:r>
      <w:r w:rsidR="00C41D64">
        <w:t xml:space="preserve">-PTSP </w:t>
      </w:r>
      <w:r w:rsidR="006D1E12">
        <w:t xml:space="preserve">and ACDP-AFDL </w:t>
      </w:r>
      <w:r w:rsidR="00347022">
        <w:t xml:space="preserve">were responsible for preparing testing materials for the program. </w:t>
      </w:r>
      <w:r w:rsidR="000438FF">
        <w:t>Pathogen material for the 10</w:t>
      </w:r>
      <w:r w:rsidR="001E0FEC">
        <w:t xml:space="preserve"> previously identified</w:t>
      </w:r>
      <w:r w:rsidR="000438FF">
        <w:t xml:space="preserve"> priority diseases w</w:t>
      </w:r>
      <w:r w:rsidR="001E0FEC">
        <w:t>ere</w:t>
      </w:r>
      <w:r w:rsidR="000438FF">
        <w:t xml:space="preserve"> generated and rigorous quality assurance procedures followed to develop test materials. </w:t>
      </w:r>
      <w:r w:rsidR="006073A2">
        <w:t>In</w:t>
      </w:r>
      <w:r w:rsidR="00D57F7D">
        <w:t xml:space="preserve"> </w:t>
      </w:r>
      <w:r w:rsidR="006073A2">
        <w:t>2018, b</w:t>
      </w:r>
      <w:r w:rsidR="000438FF">
        <w:t xml:space="preserve">ulk lots of </w:t>
      </w:r>
      <w:r w:rsidR="006073A2">
        <w:t>ethanol-</w:t>
      </w:r>
      <w:r w:rsidR="000438FF">
        <w:t xml:space="preserve">fixed </w:t>
      </w:r>
      <w:r w:rsidR="006073A2" w:rsidRPr="008D14B5">
        <w:t xml:space="preserve">material (prawn </w:t>
      </w:r>
      <w:r w:rsidR="000438FF" w:rsidRPr="008D14B5">
        <w:t>tissue</w:t>
      </w:r>
      <w:r w:rsidR="006073A2" w:rsidRPr="008D14B5">
        <w:t>, bacterial suspensions and cell culture) containing non-viable (non-infectious) pathogens</w:t>
      </w:r>
      <w:r w:rsidR="00350909" w:rsidRPr="008D14B5">
        <w:t xml:space="preserve"> </w:t>
      </w:r>
      <w:r w:rsidR="006073A2" w:rsidRPr="008D14B5">
        <w:t xml:space="preserve">were produced at </w:t>
      </w:r>
      <w:r w:rsidR="00AE0DE8" w:rsidRPr="008D14B5">
        <w:t xml:space="preserve">2 </w:t>
      </w:r>
      <w:r w:rsidR="006073A2" w:rsidRPr="008D14B5">
        <w:t>different concentrations. In 2019</w:t>
      </w:r>
      <w:r w:rsidR="00D57F7D" w:rsidRPr="008D14B5">
        <w:t xml:space="preserve"> and </w:t>
      </w:r>
      <w:r w:rsidR="006073A2" w:rsidRPr="008D14B5">
        <w:t>2020</w:t>
      </w:r>
      <w:r w:rsidR="00D57F7D" w:rsidRPr="008D14B5">
        <w:t>,</w:t>
      </w:r>
      <w:r w:rsidR="006073A2" w:rsidRPr="008D14B5">
        <w:t xml:space="preserve"> bulk lots of</w:t>
      </w:r>
      <w:r w:rsidR="00ED1CA0" w:rsidRPr="008D14B5">
        <w:t xml:space="preserve"> prawn </w:t>
      </w:r>
      <w:r w:rsidR="00DB004B" w:rsidRPr="008D14B5">
        <w:t>h</w:t>
      </w:r>
      <w:r w:rsidR="0084168F" w:rsidRPr="008D14B5">
        <w:t>a</w:t>
      </w:r>
      <w:r w:rsidR="00DB004B" w:rsidRPr="008D14B5">
        <w:t>emolymph,</w:t>
      </w:r>
      <w:r w:rsidR="00307873" w:rsidRPr="008D14B5">
        <w:t xml:space="preserve"> bacterial suspensions (for AHPND) </w:t>
      </w:r>
      <w:r w:rsidR="00ED1CA0" w:rsidRPr="008D14B5">
        <w:t>or cell culture</w:t>
      </w:r>
      <w:r w:rsidR="00B33A95" w:rsidRPr="008D14B5">
        <w:t xml:space="preserve"> supernatant</w:t>
      </w:r>
      <w:r w:rsidR="00ED1CA0" w:rsidRPr="008D14B5">
        <w:t xml:space="preserve"> </w:t>
      </w:r>
      <w:r w:rsidR="000438FF" w:rsidRPr="008D14B5">
        <w:t xml:space="preserve">containing non-viable (non-infectious) </w:t>
      </w:r>
      <w:r w:rsidR="006D1E12" w:rsidRPr="008D14B5">
        <w:t>pathogen</w:t>
      </w:r>
      <w:r w:rsidR="000438FF" w:rsidRPr="008D14B5">
        <w:t xml:space="preserve"> were produced at </w:t>
      </w:r>
      <w:r w:rsidR="00AE0DE8" w:rsidRPr="008D14B5">
        <w:t xml:space="preserve">2 </w:t>
      </w:r>
      <w:r w:rsidR="000438FF" w:rsidRPr="008D14B5">
        <w:t>different concentrations</w:t>
      </w:r>
      <w:r w:rsidR="000438FF">
        <w:t xml:space="preserve"> </w:t>
      </w:r>
      <w:r w:rsidR="00AE6F09">
        <w:t>via inactivation with 50</w:t>
      </w:r>
      <w:r w:rsidR="00D57F7D">
        <w:t> </w:t>
      </w:r>
      <w:r w:rsidR="00AE6F09">
        <w:t>kGy of gamma</w:t>
      </w:r>
      <w:r w:rsidR="00ED1CA0">
        <w:t>-</w:t>
      </w:r>
      <w:r w:rsidR="00662B6B">
        <w:t>irradiation</w:t>
      </w:r>
      <w:r w:rsidR="00AE6F09">
        <w:t xml:space="preserve">. </w:t>
      </w:r>
      <w:hyperlink w:anchor="_Quality_control_–" w:history="1">
        <w:r w:rsidR="00662B6B" w:rsidRPr="00AE0DE8">
          <w:rPr>
            <w:rStyle w:val="Hyperlink"/>
          </w:rPr>
          <w:t>Homogeneity</w:t>
        </w:r>
      </w:hyperlink>
      <w:r w:rsidR="00AE6F09">
        <w:t xml:space="preserve"> and </w:t>
      </w:r>
      <w:hyperlink w:anchor="_Quality_control_–_1" w:history="1">
        <w:r w:rsidR="00AE6F09" w:rsidRPr="00AE0DE8">
          <w:rPr>
            <w:rStyle w:val="Hyperlink"/>
          </w:rPr>
          <w:t>stability testing</w:t>
        </w:r>
      </w:hyperlink>
      <w:r w:rsidR="00AE6F09">
        <w:t xml:space="preserve"> were </w:t>
      </w:r>
      <w:r w:rsidR="00662B6B">
        <w:t>performed</w:t>
      </w:r>
      <w:r w:rsidR="00AE6F09">
        <w:t xml:space="preserve"> </w:t>
      </w:r>
      <w:r w:rsidR="00662B6B">
        <w:t>on these samples afterwards</w:t>
      </w:r>
      <w:r w:rsidR="00AE0DE8">
        <w:t>.</w:t>
      </w:r>
      <w:r w:rsidR="0074692A">
        <w:t xml:space="preserve"> </w:t>
      </w:r>
    </w:p>
    <w:p w14:paraId="15B01E50" w14:textId="58DDC7EB" w:rsidR="00C91210" w:rsidRDefault="00E10450" w:rsidP="005D077A">
      <w:r w:rsidRPr="00E10450">
        <w:t xml:space="preserve">Inactivated samples were sent to each participating laboratory with instructions to test for </w:t>
      </w:r>
      <w:r w:rsidR="006423C0">
        <w:t>the pathogen</w:t>
      </w:r>
      <w:r w:rsidRPr="00E10450">
        <w:t xml:space="preserve"> using their standard diagnostic PCR assay</w:t>
      </w:r>
      <w:r w:rsidR="00F11872">
        <w:t xml:space="preserve"> </w:t>
      </w:r>
      <w:r w:rsidR="00F11872" w:rsidRPr="00F11872">
        <w:t>according to the diagnostic capability of their laboratory.</w:t>
      </w:r>
      <w:r w:rsidR="003E1BEA">
        <w:t xml:space="preserve"> </w:t>
      </w:r>
      <w:r w:rsidR="00B3716A">
        <w:t xml:space="preserve">Participants were blinded to the disease agent contained in the sample, that is, laboratories did not know which pathogen they were testing for. </w:t>
      </w:r>
      <w:r w:rsidR="00036060">
        <w:t>Participating</w:t>
      </w:r>
      <w:r w:rsidR="003E1BEA">
        <w:t xml:space="preserve"> laboratories </w:t>
      </w:r>
      <w:r w:rsidR="006B1281">
        <w:t xml:space="preserve">used a variety of extraction methods and PCR methodologies, </w:t>
      </w:r>
      <w:r w:rsidR="00036060">
        <w:t>including</w:t>
      </w:r>
      <w:r w:rsidR="006B1281">
        <w:t xml:space="preserve"> conventional PCR and real-time PCR</w:t>
      </w:r>
      <w:r w:rsidR="006D1E12">
        <w:t xml:space="preserve"> (qPCR)</w:t>
      </w:r>
      <w:r w:rsidR="006B1281">
        <w:t xml:space="preserve">, commercial kit methods and referenced methods (such as </w:t>
      </w:r>
      <w:r w:rsidR="00187D4E">
        <w:t>those referenced in the</w:t>
      </w:r>
      <w:r w:rsidR="006B1281">
        <w:t xml:space="preserve"> </w:t>
      </w:r>
      <w:r w:rsidR="006D1E12">
        <w:t>WOAH</w:t>
      </w:r>
      <w:r w:rsidR="006B1281">
        <w:t xml:space="preserve"> </w:t>
      </w:r>
      <w:r w:rsidR="00187D4E">
        <w:t>Aquatic Manual</w:t>
      </w:r>
      <w:r w:rsidR="006B1281">
        <w:t>).</w:t>
      </w:r>
    </w:p>
    <w:p w14:paraId="168EECCC" w14:textId="4484CB11" w:rsidR="00F974BC" w:rsidRDefault="002F253B" w:rsidP="00F974BC">
      <w:bookmarkStart w:id="21" w:name="_Hlk175663055"/>
      <w:r w:rsidRPr="008D14B5">
        <w:t>In</w:t>
      </w:r>
      <w:r w:rsidR="00D57F7D" w:rsidRPr="008D14B5">
        <w:t xml:space="preserve"> </w:t>
      </w:r>
      <w:r w:rsidR="00B044BB" w:rsidRPr="008D14B5">
        <w:t>2018</w:t>
      </w:r>
      <w:r w:rsidRPr="008D14B5">
        <w:t xml:space="preserve"> t</w:t>
      </w:r>
      <w:r w:rsidR="00F974BC" w:rsidRPr="008D14B5">
        <w:t xml:space="preserve">he </w:t>
      </w:r>
      <w:r w:rsidR="00AE0DE8" w:rsidRPr="008D14B5">
        <w:t xml:space="preserve">4 </w:t>
      </w:r>
      <w:r w:rsidR="00F974BC" w:rsidRPr="008D14B5">
        <w:t xml:space="preserve">finfish viruses were prepared in cell culture and then fixed in a final ethanol concentration of </w:t>
      </w:r>
      <w:r w:rsidR="00B044BB" w:rsidRPr="008D14B5">
        <w:t>80</w:t>
      </w:r>
      <w:r w:rsidR="00F974BC" w:rsidRPr="008D14B5">
        <w:t>% (v/v) at 23</w:t>
      </w:r>
      <w:r w:rsidR="00D57F7D" w:rsidRPr="008D14B5">
        <w:t xml:space="preserve">°C to </w:t>
      </w:r>
      <w:r w:rsidR="00F974BC" w:rsidRPr="008D14B5">
        <w:t xml:space="preserve">24°C for 24 hours. Following primary </w:t>
      </w:r>
      <w:r w:rsidR="000E3D62" w:rsidRPr="008D14B5">
        <w:t>inactivation,</w:t>
      </w:r>
      <w:r w:rsidR="00F974BC" w:rsidRPr="008D14B5">
        <w:t xml:space="preserve"> the precipitate was consolidated by centrifugation, the supernatant discarded and the pellet resuspended in fresh 80% (v/v) ethanol to produce the working stock. The stock was further diluted in 80% (v/v) ethanol containing uninfected cell culture supernatant to achieve a range of concentrations expected in naturally infected fish. Negative samples were prepared using uninfected cell cultures.</w:t>
      </w:r>
      <w:r w:rsidRPr="008D14B5">
        <w:t xml:space="preserve"> </w:t>
      </w:r>
      <w:r w:rsidR="00B044BB" w:rsidRPr="008D14B5">
        <w:t>In 2019</w:t>
      </w:r>
      <w:r w:rsidR="00D57F7D" w:rsidRPr="008D14B5">
        <w:t xml:space="preserve"> and </w:t>
      </w:r>
      <w:r w:rsidR="00B044BB" w:rsidRPr="008D14B5">
        <w:t>2020, the sample format changed from ethanol-fixed to gamma-irradiated (50 kGy) lyophilised samples</w:t>
      </w:r>
      <w:r w:rsidR="00B33A95" w:rsidRPr="008D14B5">
        <w:t xml:space="preserve"> </w:t>
      </w:r>
      <w:r w:rsidR="00B044BB" w:rsidRPr="008D14B5">
        <w:t xml:space="preserve">to facilitate more </w:t>
      </w:r>
      <w:r w:rsidR="00B33A95" w:rsidRPr="008D14B5">
        <w:t>cost-effective</w:t>
      </w:r>
      <w:r w:rsidR="00B044BB" w:rsidRPr="008D14B5">
        <w:t xml:space="preserve"> transportation. The </w:t>
      </w:r>
      <w:r w:rsidR="00AE0DE8" w:rsidRPr="008D14B5">
        <w:t>4 finfish</w:t>
      </w:r>
      <w:r w:rsidR="00B044BB" w:rsidRPr="008D14B5">
        <w:t xml:space="preserve"> viruses</w:t>
      </w:r>
      <w:r w:rsidR="00B044BB">
        <w:t xml:space="preserve"> were prepared in cell culture and gamma-irradiated (50</w:t>
      </w:r>
      <w:r w:rsidR="00D57F7D">
        <w:t> </w:t>
      </w:r>
      <w:r w:rsidR="00B044BB">
        <w:t>kGy). After irradiation</w:t>
      </w:r>
      <w:r w:rsidR="00B33A95">
        <w:t>, the stock material was diluted in uninfected cell culture supernatant (</w:t>
      </w:r>
      <w:r w:rsidR="00C55ECE">
        <w:t xml:space="preserve">also </w:t>
      </w:r>
      <w:r w:rsidR="00B33A95">
        <w:t xml:space="preserve">gamma-irradiated 50 kGy) to produce a range of concentrations expected in naturally infected fish.  Negative samples were prepared using uninfected cell cultures. </w:t>
      </w:r>
    </w:p>
    <w:p w14:paraId="0F9DDBAA" w14:textId="03E61C63" w:rsidR="00C91210" w:rsidRDefault="00F974BC" w:rsidP="00F974BC">
      <w:r>
        <w:t xml:space="preserve">The </w:t>
      </w:r>
      <w:r w:rsidR="00AE0DE8">
        <w:t xml:space="preserve">6 </w:t>
      </w:r>
      <w:r>
        <w:t xml:space="preserve">prawn </w:t>
      </w:r>
      <w:r w:rsidR="00B33A95">
        <w:t xml:space="preserve">pathogens </w:t>
      </w:r>
      <w:r>
        <w:t xml:space="preserve">were </w:t>
      </w:r>
      <w:r w:rsidR="002F253B">
        <w:t>initially</w:t>
      </w:r>
      <w:r w:rsidR="00B33A95">
        <w:t xml:space="preserve"> (2018)</w:t>
      </w:r>
      <w:r w:rsidR="002F253B">
        <w:t xml:space="preserve"> </w:t>
      </w:r>
      <w:r>
        <w:t>supplied as non-infectious prawn tissue homogenate</w:t>
      </w:r>
      <w:r w:rsidR="00B33A95">
        <w:t>s</w:t>
      </w:r>
      <w:r w:rsidR="008B5D51">
        <w:t xml:space="preserve"> and bacterial suspensions</w:t>
      </w:r>
      <w:r>
        <w:t xml:space="preserve">, fixed in 80% (v/v) ethanol. </w:t>
      </w:r>
      <w:r w:rsidR="00AE0DE8">
        <w:t xml:space="preserve">1 </w:t>
      </w:r>
      <w:r>
        <w:t>batch of confirmed test-negative uninfected prawn tissue was used as a negative sample for all agents and was also used as the “diluent” for preparing positive samples of varying concentration.</w:t>
      </w:r>
      <w:r w:rsidR="00B33A95">
        <w:t xml:space="preserve"> </w:t>
      </w:r>
      <w:r w:rsidR="008B5D51">
        <w:t xml:space="preserve">For the prawn viral pathogens, haemolymph was used and for the prawn bacterial pathogen, a bacterial suspension was used. Gamma-irradiated haemolymph and bacterial suspensions were diluted in a </w:t>
      </w:r>
      <w:r w:rsidR="00DF673F">
        <w:t xml:space="preserve">gamma-irradiated uninfected negative diluent to prepare positive samples of varying concentrations. The uninfected negative diluent was used </w:t>
      </w:r>
      <w:r w:rsidR="00F66096">
        <w:t xml:space="preserve">as </w:t>
      </w:r>
      <w:r w:rsidR="00DF673F">
        <w:t>a negative sample for all prawn pathogens.</w:t>
      </w:r>
      <w:r w:rsidR="008B5D51">
        <w:t xml:space="preserve"> </w:t>
      </w:r>
    </w:p>
    <w:bookmarkEnd w:id="21"/>
    <w:p w14:paraId="08A5AAE1" w14:textId="09EBB622" w:rsidR="00284BA3" w:rsidRDefault="004659FF" w:rsidP="00284BA3">
      <w:r>
        <w:lastRenderedPageBreak/>
        <w:t>ACDP</w:t>
      </w:r>
      <w:r w:rsidR="006D1E12">
        <w:t>-AFDL</w:t>
      </w:r>
      <w:r>
        <w:t xml:space="preserve"> prepared large volume</w:t>
      </w:r>
      <w:r w:rsidR="00671BE4">
        <w:t>s</w:t>
      </w:r>
      <w:r>
        <w:t xml:space="preserve"> (&gt;100</w:t>
      </w:r>
      <w:r w:rsidR="00D57F7D">
        <w:t> </w:t>
      </w:r>
      <w:r>
        <w:t xml:space="preserve">mL) of </w:t>
      </w:r>
      <w:r w:rsidR="00222D52">
        <w:t>moderate and weak concentrations of sample</w:t>
      </w:r>
      <w:r w:rsidR="00C43828">
        <w:t xml:space="preserve"> for the program. T</w:t>
      </w:r>
      <w:r w:rsidR="00BD7008">
        <w:t xml:space="preserve">he bulk preparations </w:t>
      </w:r>
      <w:r w:rsidR="00222D52">
        <w:t>were checked in triplicate using real</w:t>
      </w:r>
      <w:r w:rsidR="006D1E12">
        <w:t>-</w:t>
      </w:r>
      <w:r w:rsidR="00222D52">
        <w:t>time PCR</w:t>
      </w:r>
      <w:r w:rsidR="00BD7008">
        <w:t xml:space="preserve"> </w:t>
      </w:r>
      <w:r w:rsidR="006D1E12">
        <w:t>(qPCR)</w:t>
      </w:r>
      <w:r w:rsidR="00F60E98">
        <w:t>, prior to samples being aliquoted.</w:t>
      </w:r>
      <w:r w:rsidR="006D1E12">
        <w:t xml:space="preserve"> </w:t>
      </w:r>
      <w:r w:rsidR="00222D52">
        <w:t xml:space="preserve">The </w:t>
      </w:r>
      <w:r w:rsidR="00743494">
        <w:t xml:space="preserve">ethanol-fixed </w:t>
      </w:r>
      <w:r w:rsidR="00222D52">
        <w:t xml:space="preserve">samples were aliquoted into tubes </w:t>
      </w:r>
      <w:r w:rsidR="00284BA3">
        <w:t>of 500</w:t>
      </w:r>
      <w:r w:rsidR="00D57F7D">
        <w:t> </w:t>
      </w:r>
      <w:r w:rsidR="00743494">
        <w:rPr>
          <w:rFonts w:cstheme="minorHAnsi"/>
        </w:rPr>
        <w:t>µ</w:t>
      </w:r>
      <w:r w:rsidR="00284BA3">
        <w:t>L each</w:t>
      </w:r>
      <w:r w:rsidR="000A0A96">
        <w:t>,</w:t>
      </w:r>
      <w:r w:rsidR="00284BA3">
        <w:t xml:space="preserve"> which </w:t>
      </w:r>
      <w:r w:rsidR="00284BA3" w:rsidRPr="002B5499">
        <w:t xml:space="preserve">permitted a single extraction </w:t>
      </w:r>
      <w:r w:rsidR="00284BA3">
        <w:t xml:space="preserve">only. </w:t>
      </w:r>
      <w:r w:rsidR="00743494">
        <w:t>The gamma-irradi</w:t>
      </w:r>
      <w:r w:rsidR="000A0A96">
        <w:t>a</w:t>
      </w:r>
      <w:r w:rsidR="00743494">
        <w:t xml:space="preserve">ted samples were aliquoted into </w:t>
      </w:r>
      <w:r w:rsidR="000A0A96">
        <w:t xml:space="preserve">glass vials of 200 </w:t>
      </w:r>
      <w:r w:rsidR="000A0A96">
        <w:rPr>
          <w:rFonts w:cstheme="minorHAnsi"/>
        </w:rPr>
        <w:t>µ</w:t>
      </w:r>
      <w:r w:rsidR="000A0A96">
        <w:t xml:space="preserve">L each, which permitted multiple extractions. </w:t>
      </w:r>
      <w:r w:rsidR="004D51A7">
        <w:t xml:space="preserve">They then underwent </w:t>
      </w:r>
      <w:r w:rsidR="004D51A7" w:rsidRPr="00090A1F">
        <w:t>homogeneity testing</w:t>
      </w:r>
      <w:r w:rsidR="004D51A7">
        <w:t xml:space="preserve">. </w:t>
      </w:r>
      <w:r w:rsidR="00284BA3">
        <w:t xml:space="preserve">Samples for DNA or </w:t>
      </w:r>
      <w:r w:rsidR="00284BA3" w:rsidRPr="002B5499">
        <w:t>RNA extraction were identified in the instructions provided to participants.</w:t>
      </w:r>
      <w:r w:rsidR="00F1149B">
        <w:t xml:space="preserve"> A negative </w:t>
      </w:r>
      <w:r w:rsidR="002513A9">
        <w:t xml:space="preserve">and positive </w:t>
      </w:r>
      <w:r w:rsidR="00F1149B">
        <w:t xml:space="preserve">control was </w:t>
      </w:r>
      <w:r w:rsidR="002513A9">
        <w:t xml:space="preserve">required for each test as part of internal quality control. </w:t>
      </w:r>
      <w:r w:rsidR="00F1149B">
        <w:t xml:space="preserve"> </w:t>
      </w:r>
    </w:p>
    <w:p w14:paraId="238E7B93" w14:textId="7932FB9D" w:rsidR="00CD66F1" w:rsidRDefault="00665C0D" w:rsidP="00284BA3">
      <w:pPr>
        <w:rPr>
          <w:lang w:eastAsia="ja-JP"/>
        </w:rPr>
      </w:pPr>
      <w:bookmarkStart w:id="22" w:name="_Hlk176807832"/>
      <w:r>
        <w:rPr>
          <w:lang w:eastAsia="ja-JP"/>
        </w:rPr>
        <w:t>In 2018 on commencement of round 1, ethanol-fixed samples were used to prepare the panels, and this continued until the completion of round 5 in 2020. In 2021</w:t>
      </w:r>
      <w:r w:rsidR="00671BE4">
        <w:rPr>
          <w:lang w:eastAsia="ja-JP"/>
        </w:rPr>
        <w:t>,</w:t>
      </w:r>
      <w:r>
        <w:rPr>
          <w:lang w:eastAsia="ja-JP"/>
        </w:rPr>
        <w:t xml:space="preserve"> on commencement of round 6 and until the end of round 8 in 2022, gamma-irradiated lyophilised samples were used.</w:t>
      </w:r>
    </w:p>
    <w:bookmarkEnd w:id="22"/>
    <w:p w14:paraId="2D767AAE" w14:textId="2DDBBD3C" w:rsidR="00CD66F1" w:rsidRDefault="00CD66F1" w:rsidP="00284BA3">
      <w:pPr>
        <w:rPr>
          <w:lang w:eastAsia="ja-JP"/>
        </w:rPr>
      </w:pPr>
      <w:r>
        <w:rPr>
          <w:lang w:eastAsia="ja-JP"/>
        </w:rPr>
        <w:t xml:space="preserve">In 2019 on commencement of round 3, </w:t>
      </w:r>
      <w:r w:rsidR="00665C0D">
        <w:rPr>
          <w:lang w:eastAsia="ja-JP"/>
        </w:rPr>
        <w:t xml:space="preserve">all </w:t>
      </w:r>
      <w:r>
        <w:rPr>
          <w:lang w:eastAsia="ja-JP"/>
        </w:rPr>
        <w:t xml:space="preserve">disease agents were presented in combined pathogen panels covering diseases of crustacea and finfish, however prior to this, disease agents were presented </w:t>
      </w:r>
      <w:r w:rsidR="00665C0D">
        <w:rPr>
          <w:lang w:eastAsia="ja-JP"/>
        </w:rPr>
        <w:t xml:space="preserve">pathogen specific </w:t>
      </w:r>
      <w:r>
        <w:rPr>
          <w:lang w:eastAsia="ja-JP"/>
        </w:rPr>
        <w:t xml:space="preserve">panels. </w:t>
      </w:r>
    </w:p>
    <w:p w14:paraId="1C4166BB" w14:textId="61F77445" w:rsidR="00F831AA" w:rsidRDefault="00F831AA" w:rsidP="00F831AA">
      <w:pPr>
        <w:pStyle w:val="Heading3"/>
      </w:pPr>
      <w:bookmarkStart w:id="23" w:name="_Quality_control_–"/>
      <w:bookmarkStart w:id="24" w:name="_Toc425945604"/>
      <w:bookmarkStart w:id="25" w:name="_Toc426459667"/>
      <w:bookmarkStart w:id="26" w:name="_Toc214555630"/>
      <w:bookmarkEnd w:id="23"/>
      <w:r>
        <w:t>Quality control</w:t>
      </w:r>
      <w:r w:rsidR="002206F7">
        <w:t xml:space="preserve"> – </w:t>
      </w:r>
      <w:r w:rsidR="00D57F7D">
        <w:t>h</w:t>
      </w:r>
      <w:r>
        <w:t>omogeneity testing</w:t>
      </w:r>
      <w:bookmarkEnd w:id="24"/>
      <w:bookmarkEnd w:id="25"/>
      <w:bookmarkEnd w:id="26"/>
    </w:p>
    <w:p w14:paraId="7B26F1DC" w14:textId="02C6B47B" w:rsidR="00A20BBE" w:rsidRDefault="00A20BBE" w:rsidP="00A20BBE">
      <w:r>
        <w:t>Quality control via homogeneity testing was conducted in accordance with NAT</w:t>
      </w:r>
      <w:r w:rsidR="0074692A">
        <w:t>A</w:t>
      </w:r>
      <w:r>
        <w:t xml:space="preserve"> ISO/IEC 17043 standards. </w:t>
      </w:r>
    </w:p>
    <w:p w14:paraId="4CD180A7" w14:textId="3D62452D" w:rsidR="00F831AA" w:rsidRPr="004C710E" w:rsidRDefault="00194D60" w:rsidP="00194D60">
      <w:bookmarkStart w:id="27" w:name="_Hlk176807613"/>
      <w:r>
        <w:t xml:space="preserve">Homogeneity quality control testing </w:t>
      </w:r>
      <w:r w:rsidR="007932B5">
        <w:t>was</w:t>
      </w:r>
      <w:r>
        <w:t xml:space="preserve"> performed on all new sample batches by randomly selecting </w:t>
      </w:r>
      <w:r w:rsidRPr="00F66096">
        <w:t>10 samples</w:t>
      </w:r>
      <w:r w:rsidR="001A0A1A">
        <w:t xml:space="preserve"> (tubes)</w:t>
      </w:r>
      <w:r>
        <w:t xml:space="preserve"> and </w:t>
      </w:r>
      <w:r w:rsidR="00C26BBB">
        <w:t>performing</w:t>
      </w:r>
      <w:r>
        <w:t xml:space="preserve"> </w:t>
      </w:r>
      <w:r w:rsidR="007932B5">
        <w:t>q</w:t>
      </w:r>
      <w:r>
        <w:t xml:space="preserve">PCR testing in duplicate. Where available, </w:t>
      </w:r>
      <w:r w:rsidR="00B3716A">
        <w:t>WOAH</w:t>
      </w:r>
      <w:r w:rsidR="00ED1CA0">
        <w:t>-</w:t>
      </w:r>
      <w:r>
        <w:t>recommended primers and probes were used for quality control analysis</w:t>
      </w:r>
      <w:r w:rsidR="00F06AC8">
        <w:t xml:space="preserve"> but if they were unavailable, </w:t>
      </w:r>
      <w:r>
        <w:t>A</w:t>
      </w:r>
      <w:r w:rsidR="007932B5">
        <w:t>CDP-AFDL</w:t>
      </w:r>
      <w:r>
        <w:t xml:space="preserve"> ‘in-house</w:t>
      </w:r>
      <w:r w:rsidR="0074692A">
        <w:t>’ qPCR</w:t>
      </w:r>
      <w:r>
        <w:t xml:space="preserve"> assays were used</w:t>
      </w:r>
      <w:r w:rsidR="00F06AC8">
        <w:t>.</w:t>
      </w:r>
      <w:r>
        <w:t xml:space="preserve"> </w:t>
      </w:r>
      <w:r w:rsidR="009645A6" w:rsidRPr="009645A6">
        <w:t>Only samples passing homogeneity</w:t>
      </w:r>
      <w:r w:rsidR="00A94261">
        <w:t>, with a coefficient of variation less than 5%,</w:t>
      </w:r>
      <w:r w:rsidR="009645A6" w:rsidRPr="009645A6">
        <w:t xml:space="preserve"> </w:t>
      </w:r>
      <w:r w:rsidR="00DF2776">
        <w:t>were</w:t>
      </w:r>
      <w:r w:rsidR="009645A6" w:rsidRPr="009645A6">
        <w:t xml:space="preserve"> utilised for proficiency testing.</w:t>
      </w:r>
      <w:r w:rsidR="009645A6">
        <w:t xml:space="preserve"> </w:t>
      </w:r>
      <w:bookmarkEnd w:id="27"/>
    </w:p>
    <w:p w14:paraId="45A0D8A3" w14:textId="6D347439" w:rsidR="00075E1E" w:rsidRPr="00075E1E" w:rsidRDefault="00075E1E" w:rsidP="00075E1E">
      <w:pPr>
        <w:pStyle w:val="Heading3"/>
      </w:pPr>
      <w:bookmarkStart w:id="28" w:name="_Quality_control_–_1"/>
      <w:bookmarkStart w:id="29" w:name="_Toc425945605"/>
      <w:bookmarkStart w:id="30" w:name="_Toc426459668"/>
      <w:bookmarkStart w:id="31" w:name="_Toc214555631"/>
      <w:bookmarkEnd w:id="28"/>
      <w:r w:rsidRPr="00075E1E">
        <w:t>Quality control</w:t>
      </w:r>
      <w:r>
        <w:t xml:space="preserve"> – </w:t>
      </w:r>
      <w:r w:rsidR="00D57F7D">
        <w:t>s</w:t>
      </w:r>
      <w:r w:rsidRPr="00075E1E">
        <w:t>tability testing</w:t>
      </w:r>
      <w:bookmarkEnd w:id="29"/>
      <w:bookmarkEnd w:id="30"/>
      <w:bookmarkEnd w:id="31"/>
    </w:p>
    <w:p w14:paraId="308BD43C" w14:textId="77777777" w:rsidR="00A20BBE" w:rsidRDefault="00A20BBE" w:rsidP="00A20BBE">
      <w:pPr>
        <w:rPr>
          <w:lang w:eastAsia="ja-JP"/>
        </w:rPr>
      </w:pPr>
      <w:r>
        <w:rPr>
          <w:lang w:eastAsia="ja-JP"/>
        </w:rPr>
        <w:t>Stability quality control testing was performed in line with NATA ISO/IEC 17043 standards and CSIRO ACDP stability testing protocols.</w:t>
      </w:r>
    </w:p>
    <w:p w14:paraId="5E609A95" w14:textId="7DABAC00" w:rsidR="004F1FA6" w:rsidRDefault="00727DDC" w:rsidP="00194D60">
      <w:r>
        <w:t xml:space="preserve">Stability testing was performed before and after of each round of PT. </w:t>
      </w:r>
      <w:r w:rsidR="002E04B6">
        <w:t xml:space="preserve">If samples </w:t>
      </w:r>
      <w:r>
        <w:t xml:space="preserve">did </w:t>
      </w:r>
      <w:r w:rsidR="002E04B6">
        <w:t>not meet stability criteria</w:t>
      </w:r>
      <w:r>
        <w:t xml:space="preserve"> during pre-round testing</w:t>
      </w:r>
      <w:r w:rsidR="002E04B6">
        <w:t xml:space="preserve">, </w:t>
      </w:r>
      <w:r>
        <w:t xml:space="preserve">then these </w:t>
      </w:r>
      <w:r w:rsidR="002E04B6">
        <w:t xml:space="preserve">will </w:t>
      </w:r>
      <w:r w:rsidR="00AF4F8E">
        <w:t xml:space="preserve">not be </w:t>
      </w:r>
      <w:r w:rsidR="00555356">
        <w:t>included in</w:t>
      </w:r>
      <w:r w:rsidR="00AF4F8E">
        <w:t xml:space="preserve"> the </w:t>
      </w:r>
      <w:r>
        <w:t xml:space="preserve">PT </w:t>
      </w:r>
      <w:r w:rsidR="00AF4F8E">
        <w:t>panel.</w:t>
      </w:r>
      <w:r>
        <w:t xml:space="preserve"> If samples did not meet stability criteria during post-round testing</w:t>
      </w:r>
      <w:r w:rsidR="00A05E61">
        <w:t>,</w:t>
      </w:r>
      <w:r>
        <w:t xml:space="preserve"> then these samples will </w:t>
      </w:r>
      <w:r>
        <w:rPr>
          <w:lang w:eastAsia="ja-JP"/>
        </w:rPr>
        <w:t>not to be included in statistical analysis and would be for observation only.</w:t>
      </w:r>
    </w:p>
    <w:p w14:paraId="55421BA2" w14:textId="39D22EAE" w:rsidR="00925BCA" w:rsidRDefault="00555356" w:rsidP="00925BCA">
      <w:r>
        <w:t>For pre-round stability testing, s</w:t>
      </w:r>
      <w:r w:rsidR="0095217C">
        <w:t xml:space="preserve">amples </w:t>
      </w:r>
      <w:r w:rsidR="0078489C">
        <w:t>were</w:t>
      </w:r>
      <w:r w:rsidR="0095217C">
        <w:t xml:space="preserve"> checked within </w:t>
      </w:r>
      <w:r w:rsidR="00AE0DE8">
        <w:t xml:space="preserve">6 </w:t>
      </w:r>
      <w:r w:rsidR="009D5CBF">
        <w:t>months of a PT round commencing</w:t>
      </w:r>
      <w:r w:rsidR="00A05E61">
        <w:t>,</w:t>
      </w:r>
      <w:r w:rsidR="000E3D62">
        <w:t xml:space="preserve"> </w:t>
      </w:r>
      <w:r w:rsidR="00A05E61">
        <w:t>and f</w:t>
      </w:r>
      <w:r>
        <w:t>or post-round stability testing, u</w:t>
      </w:r>
      <w:r w:rsidR="00727DDC">
        <w:t>pon completion of each round</w:t>
      </w:r>
      <w:r w:rsidR="009D5CBF">
        <w:t xml:space="preserve"> </w:t>
      </w:r>
      <w:r w:rsidR="00AE0DE8">
        <w:t xml:space="preserve">4 </w:t>
      </w:r>
      <w:r w:rsidR="009D5CBF">
        <w:t xml:space="preserve"> samples </w:t>
      </w:r>
      <w:r w:rsidR="0078489C">
        <w:t>were</w:t>
      </w:r>
      <w:r w:rsidR="009D5CBF">
        <w:t xml:space="preserve"> re-checked to ensure samples </w:t>
      </w:r>
      <w:r w:rsidR="00DF2776">
        <w:t>were</w:t>
      </w:r>
      <w:r w:rsidR="009D5CBF">
        <w:t xml:space="preserve"> stable</w:t>
      </w:r>
      <w:r>
        <w:t>.</w:t>
      </w:r>
      <w:r w:rsidR="009D5CBF">
        <w:t xml:space="preserve"> </w:t>
      </w:r>
      <w:r>
        <w:t>Pre</w:t>
      </w:r>
      <w:r w:rsidR="00D57F7D">
        <w:t>-</w:t>
      </w:r>
      <w:r>
        <w:t xml:space="preserve"> and post-round stability testing was undertaken </w:t>
      </w:r>
      <w:r w:rsidR="009D5CBF">
        <w:t>using real</w:t>
      </w:r>
      <w:r>
        <w:t>-</w:t>
      </w:r>
      <w:r w:rsidR="009D5CBF">
        <w:t>time PCR</w:t>
      </w:r>
      <w:r>
        <w:t>.</w:t>
      </w:r>
      <w:r w:rsidR="009D5CBF">
        <w:t xml:space="preserve"> </w:t>
      </w:r>
      <w:r w:rsidR="00925BCA">
        <w:t xml:space="preserve">All samples were adequately stable for use in the </w:t>
      </w:r>
      <w:r w:rsidR="00AE0DE8">
        <w:t xml:space="preserve">8 </w:t>
      </w:r>
      <w:r w:rsidR="00925BCA">
        <w:t>PT rounds.</w:t>
      </w:r>
    </w:p>
    <w:p w14:paraId="630B9130" w14:textId="383F8EF9" w:rsidR="0095217C" w:rsidRDefault="002F781B" w:rsidP="00194D60">
      <w:r>
        <w:t xml:space="preserve">The </w:t>
      </w:r>
      <w:r w:rsidR="00925BCA">
        <w:t>Quality</w:t>
      </w:r>
      <w:r>
        <w:t xml:space="preserve"> Assurance system accounts for </w:t>
      </w:r>
      <w:r w:rsidR="004025E4">
        <w:t xml:space="preserve">homogeneity results and stability outcomes and acceptance criteria for a sample </w:t>
      </w:r>
      <w:r w:rsidR="00C26BFA">
        <w:t>was</w:t>
      </w:r>
      <w:r w:rsidR="00B842AE">
        <w:t xml:space="preserve"> a mean Ct coefficient of variation of less than 5%. </w:t>
      </w:r>
    </w:p>
    <w:p w14:paraId="6D585FD7" w14:textId="7FB02217" w:rsidR="00DF2776" w:rsidRDefault="00DF2776" w:rsidP="00DF2776">
      <w:pPr>
        <w:pStyle w:val="Heading3"/>
      </w:pPr>
      <w:bookmarkStart w:id="32" w:name="_Toc214555632"/>
      <w:r>
        <w:lastRenderedPageBreak/>
        <w:t>Positive controls</w:t>
      </w:r>
      <w:bookmarkEnd w:id="32"/>
      <w:r>
        <w:t xml:space="preserve"> </w:t>
      </w:r>
    </w:p>
    <w:p w14:paraId="36A24299" w14:textId="79A23E55" w:rsidR="00DF2776" w:rsidRPr="00DF2776" w:rsidRDefault="00DF2776" w:rsidP="00DF2776">
      <w:pPr>
        <w:rPr>
          <w:lang w:eastAsia="en-AU"/>
        </w:rPr>
      </w:pPr>
      <w:r>
        <w:rPr>
          <w:lang w:eastAsia="en-AU"/>
        </w:rPr>
        <w:t xml:space="preserve">A panel of positive control material for PCR testing was able to be prepared and sent to participating laboratories at their request. This was free of charge and for the purpose of initial PCR setup and to ensure conditions were adequate for testing in rounds. </w:t>
      </w:r>
    </w:p>
    <w:p w14:paraId="56243F31" w14:textId="77777777" w:rsidR="002614A4" w:rsidRDefault="002614A4" w:rsidP="002614A4">
      <w:pPr>
        <w:pStyle w:val="Heading3"/>
      </w:pPr>
      <w:bookmarkStart w:id="33" w:name="_Toc425945606"/>
      <w:bookmarkStart w:id="34" w:name="_Toc426459669"/>
      <w:bookmarkStart w:id="35" w:name="_Toc214555633"/>
      <w:r>
        <w:t>Sample distribution</w:t>
      </w:r>
      <w:bookmarkEnd w:id="33"/>
      <w:bookmarkEnd w:id="34"/>
      <w:bookmarkEnd w:id="35"/>
    </w:p>
    <w:p w14:paraId="772993D6" w14:textId="00211781" w:rsidR="00F37C06" w:rsidRDefault="007932B5" w:rsidP="001C5C39">
      <w:pPr>
        <w:rPr>
          <w:lang w:eastAsia="en-AU"/>
        </w:rPr>
      </w:pPr>
      <w:r>
        <w:rPr>
          <w:lang w:eastAsia="en-AU"/>
        </w:rPr>
        <w:t xml:space="preserve">The PT panels were presented as </w:t>
      </w:r>
      <w:r w:rsidRPr="00F37C06">
        <w:rPr>
          <w:lang w:eastAsia="en-AU"/>
        </w:rPr>
        <w:t xml:space="preserve">either </w:t>
      </w:r>
      <w:r w:rsidRPr="008D14B5">
        <w:rPr>
          <w:lang w:eastAsia="en-AU"/>
        </w:rPr>
        <w:t xml:space="preserve">the crustacean and/or finfish panels, containing </w:t>
      </w:r>
      <w:r w:rsidR="00AE0DE8" w:rsidRPr="008D14B5">
        <w:rPr>
          <w:lang w:eastAsia="en-AU"/>
        </w:rPr>
        <w:t xml:space="preserve">6 </w:t>
      </w:r>
      <w:r w:rsidRPr="008D14B5">
        <w:rPr>
          <w:lang w:eastAsia="en-AU"/>
        </w:rPr>
        <w:t xml:space="preserve">or </w:t>
      </w:r>
      <w:r w:rsidR="00AE0DE8" w:rsidRPr="008D14B5">
        <w:rPr>
          <w:lang w:eastAsia="en-AU"/>
        </w:rPr>
        <w:t xml:space="preserve">4 </w:t>
      </w:r>
      <w:r w:rsidR="00AE0DE8">
        <w:rPr>
          <w:lang w:eastAsia="en-AU"/>
        </w:rPr>
        <w:t>disease</w:t>
      </w:r>
      <w:r w:rsidRPr="00F37C06">
        <w:rPr>
          <w:lang w:eastAsia="en-AU"/>
        </w:rPr>
        <w:t xml:space="preserve"> agent</w:t>
      </w:r>
      <w:r>
        <w:rPr>
          <w:lang w:eastAsia="en-AU"/>
        </w:rPr>
        <w:t xml:space="preserve">s respectively. </w:t>
      </w:r>
      <w:r w:rsidR="00F37C06" w:rsidRPr="00F37C06">
        <w:rPr>
          <w:lang w:eastAsia="en-AU"/>
        </w:rPr>
        <w:t>Participating</w:t>
      </w:r>
      <w:r w:rsidR="007121E5" w:rsidRPr="00F37C06">
        <w:rPr>
          <w:lang w:eastAsia="en-AU"/>
        </w:rPr>
        <w:t xml:space="preserve"> laboratories selected one or both </w:t>
      </w:r>
      <w:r w:rsidR="00343114" w:rsidRPr="00F37C06">
        <w:rPr>
          <w:lang w:eastAsia="en-AU"/>
        </w:rPr>
        <w:t>species disease panels</w:t>
      </w:r>
      <w:r w:rsidR="0074692A">
        <w:rPr>
          <w:lang w:eastAsia="en-AU"/>
        </w:rPr>
        <w:t>.</w:t>
      </w:r>
    </w:p>
    <w:p w14:paraId="7DCA50AB" w14:textId="7DFBE204" w:rsidR="00F37C06" w:rsidRDefault="00D25BDE" w:rsidP="00D25BDE">
      <w:pPr>
        <w:pStyle w:val="Caption"/>
        <w:rPr>
          <w:lang w:eastAsia="en-AU"/>
        </w:rPr>
      </w:pPr>
      <w:bookmarkStart w:id="36" w:name="_Toc184123129"/>
      <w:bookmarkStart w:id="37" w:name="Agents"/>
      <w:bookmarkStart w:id="38" w:name="Table1"/>
      <w:r>
        <w:t xml:space="preserve">Table </w:t>
      </w:r>
      <w:r>
        <w:fldChar w:fldCharType="begin"/>
      </w:r>
      <w:r>
        <w:instrText xml:space="preserve"> SEQ Table \* ARABIC </w:instrText>
      </w:r>
      <w:r>
        <w:fldChar w:fldCharType="separate"/>
      </w:r>
      <w:r w:rsidR="00491B46">
        <w:rPr>
          <w:noProof/>
        </w:rPr>
        <w:t>1</w:t>
      </w:r>
      <w:r>
        <w:fldChar w:fldCharType="end"/>
      </w:r>
      <w:r w:rsidR="00AE0DE8">
        <w:rPr>
          <w:lang w:eastAsia="en-AU"/>
        </w:rPr>
        <w:t xml:space="preserve"> </w:t>
      </w:r>
      <w:r w:rsidR="006349ED">
        <w:rPr>
          <w:lang w:eastAsia="en-AU"/>
        </w:rPr>
        <w:t>Disease agents in Crustacean and Finfish panel</w:t>
      </w:r>
      <w:bookmarkEnd w:id="3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698"/>
        <w:gridCol w:w="7372"/>
      </w:tblGrid>
      <w:tr w:rsidR="00D57F7D" w14:paraId="363446C9" w14:textId="77777777" w:rsidTr="007C7864">
        <w:trPr>
          <w:cantSplit/>
          <w:tblHeader/>
        </w:trPr>
        <w:tc>
          <w:tcPr>
            <w:tcW w:w="936" w:type="pct"/>
          </w:tcPr>
          <w:bookmarkEnd w:id="37"/>
          <w:bookmarkEnd w:id="38"/>
          <w:p w14:paraId="41AF01D8" w14:textId="46E23F47" w:rsidR="00D57F7D" w:rsidRDefault="00D57F7D" w:rsidP="00E144E8">
            <w:pPr>
              <w:pStyle w:val="TableHeading"/>
              <w:rPr>
                <w:lang w:eastAsia="en-AU"/>
              </w:rPr>
            </w:pPr>
            <w:r>
              <w:rPr>
                <w:lang w:eastAsia="en-AU"/>
              </w:rPr>
              <w:t>Panel</w:t>
            </w:r>
          </w:p>
        </w:tc>
        <w:tc>
          <w:tcPr>
            <w:tcW w:w="4064" w:type="pct"/>
          </w:tcPr>
          <w:p w14:paraId="71E696CE" w14:textId="1880D9E7" w:rsidR="00D57F7D" w:rsidRDefault="00D57F7D" w:rsidP="00E144E8">
            <w:pPr>
              <w:pStyle w:val="TableHeading"/>
              <w:rPr>
                <w:lang w:eastAsia="en-AU"/>
              </w:rPr>
            </w:pPr>
            <w:r>
              <w:rPr>
                <w:lang w:eastAsia="en-AU"/>
              </w:rPr>
              <w:t>Disease agents</w:t>
            </w:r>
          </w:p>
        </w:tc>
      </w:tr>
      <w:tr w:rsidR="00D57F7D" w14:paraId="30707E95" w14:textId="77777777" w:rsidTr="007C7864">
        <w:tc>
          <w:tcPr>
            <w:tcW w:w="936" w:type="pct"/>
            <w:vMerge w:val="restart"/>
          </w:tcPr>
          <w:p w14:paraId="1673D62A" w14:textId="4FA6B415" w:rsidR="00D57F7D" w:rsidRDefault="00D57F7D" w:rsidP="00D57F7D">
            <w:pPr>
              <w:pStyle w:val="TableText"/>
              <w:rPr>
                <w:lang w:eastAsia="en-AU"/>
              </w:rPr>
            </w:pPr>
            <w:r>
              <w:rPr>
                <w:lang w:eastAsia="en-AU"/>
              </w:rPr>
              <w:t>Crustacean</w:t>
            </w:r>
          </w:p>
        </w:tc>
        <w:tc>
          <w:tcPr>
            <w:tcW w:w="4064" w:type="pct"/>
          </w:tcPr>
          <w:p w14:paraId="7D834810" w14:textId="61B500A7" w:rsidR="00D57F7D" w:rsidRDefault="00D57F7D" w:rsidP="00D57F7D">
            <w:pPr>
              <w:pStyle w:val="TableText"/>
              <w:rPr>
                <w:lang w:eastAsia="en-AU"/>
              </w:rPr>
            </w:pPr>
            <w:r w:rsidRPr="00696EAB">
              <w:rPr>
                <w:lang w:eastAsia="en-AU"/>
              </w:rPr>
              <w:t>White spot syndrome virus (WSSV)</w:t>
            </w:r>
          </w:p>
        </w:tc>
      </w:tr>
      <w:tr w:rsidR="00D57F7D" w14:paraId="2DF995A8" w14:textId="77777777" w:rsidTr="007C7864">
        <w:tc>
          <w:tcPr>
            <w:tcW w:w="936" w:type="pct"/>
            <w:vMerge/>
          </w:tcPr>
          <w:p w14:paraId="7D5C029B" w14:textId="77777777" w:rsidR="00D57F7D" w:rsidRDefault="00D57F7D" w:rsidP="00D57F7D">
            <w:pPr>
              <w:pStyle w:val="TableText"/>
              <w:rPr>
                <w:lang w:eastAsia="en-AU"/>
              </w:rPr>
            </w:pPr>
          </w:p>
        </w:tc>
        <w:tc>
          <w:tcPr>
            <w:tcW w:w="4064" w:type="pct"/>
          </w:tcPr>
          <w:p w14:paraId="4DDCE2E7" w14:textId="213419EE" w:rsidR="00D57F7D" w:rsidRPr="00696EAB" w:rsidRDefault="00D57F7D" w:rsidP="00D57F7D">
            <w:pPr>
              <w:pStyle w:val="TableText"/>
              <w:rPr>
                <w:lang w:eastAsia="en-AU"/>
              </w:rPr>
            </w:pPr>
            <w:r w:rsidRPr="00696EAB">
              <w:rPr>
                <w:lang w:eastAsia="en-AU"/>
              </w:rPr>
              <w:t>Yellow</w:t>
            </w:r>
            <w:r>
              <w:rPr>
                <w:lang w:eastAsia="en-AU"/>
              </w:rPr>
              <w:t xml:space="preserve"> </w:t>
            </w:r>
            <w:r w:rsidRPr="00696EAB">
              <w:rPr>
                <w:lang w:eastAsia="en-AU"/>
              </w:rPr>
              <w:t>head virus genotype 1 (YHV-1)</w:t>
            </w:r>
          </w:p>
        </w:tc>
      </w:tr>
      <w:tr w:rsidR="00D57F7D" w14:paraId="1C52EEF0" w14:textId="77777777" w:rsidTr="007C7864">
        <w:tc>
          <w:tcPr>
            <w:tcW w:w="936" w:type="pct"/>
            <w:vMerge/>
          </w:tcPr>
          <w:p w14:paraId="5AEF0A6C" w14:textId="77777777" w:rsidR="00D57F7D" w:rsidRDefault="00D57F7D" w:rsidP="00D57F7D">
            <w:pPr>
              <w:pStyle w:val="TableText"/>
              <w:rPr>
                <w:lang w:eastAsia="en-AU"/>
              </w:rPr>
            </w:pPr>
          </w:p>
        </w:tc>
        <w:tc>
          <w:tcPr>
            <w:tcW w:w="4064" w:type="pct"/>
          </w:tcPr>
          <w:p w14:paraId="1F6FBA83" w14:textId="22B999A2" w:rsidR="00D57F7D" w:rsidRPr="00696EAB" w:rsidRDefault="00D57F7D" w:rsidP="00D57F7D">
            <w:pPr>
              <w:pStyle w:val="TableText"/>
              <w:rPr>
                <w:lang w:eastAsia="en-AU"/>
              </w:rPr>
            </w:pPr>
            <w:r w:rsidRPr="00696EAB">
              <w:rPr>
                <w:lang w:eastAsia="en-AU"/>
              </w:rPr>
              <w:t>Taura syndrome virus (TSV)</w:t>
            </w:r>
          </w:p>
        </w:tc>
      </w:tr>
      <w:tr w:rsidR="00D57F7D" w14:paraId="41A0EC39" w14:textId="77777777" w:rsidTr="007C7864">
        <w:tc>
          <w:tcPr>
            <w:tcW w:w="936" w:type="pct"/>
            <w:vMerge/>
          </w:tcPr>
          <w:p w14:paraId="34A51B45" w14:textId="77777777" w:rsidR="00D57F7D" w:rsidRDefault="00D57F7D" w:rsidP="00D57F7D">
            <w:pPr>
              <w:pStyle w:val="TableText"/>
              <w:rPr>
                <w:lang w:eastAsia="en-AU"/>
              </w:rPr>
            </w:pPr>
          </w:p>
        </w:tc>
        <w:tc>
          <w:tcPr>
            <w:tcW w:w="4064" w:type="pct"/>
          </w:tcPr>
          <w:p w14:paraId="3D13F4BE" w14:textId="437781FC" w:rsidR="00D57F7D" w:rsidRPr="00696EAB" w:rsidRDefault="00D57F7D" w:rsidP="00D57F7D">
            <w:pPr>
              <w:pStyle w:val="TableText"/>
              <w:rPr>
                <w:lang w:eastAsia="en-AU"/>
              </w:rPr>
            </w:pPr>
            <w:r w:rsidRPr="00696EAB">
              <w:rPr>
                <w:lang w:eastAsia="en-AU"/>
              </w:rPr>
              <w:t>Infectious myonecrosis virus (IMNV)</w:t>
            </w:r>
          </w:p>
        </w:tc>
      </w:tr>
      <w:tr w:rsidR="00D57F7D" w14:paraId="5F01391F" w14:textId="77777777" w:rsidTr="007C7864">
        <w:tc>
          <w:tcPr>
            <w:tcW w:w="936" w:type="pct"/>
            <w:vMerge/>
          </w:tcPr>
          <w:p w14:paraId="55932052" w14:textId="77777777" w:rsidR="00D57F7D" w:rsidRDefault="00D57F7D" w:rsidP="00D57F7D">
            <w:pPr>
              <w:pStyle w:val="TableText"/>
              <w:rPr>
                <w:lang w:eastAsia="en-AU"/>
              </w:rPr>
            </w:pPr>
          </w:p>
        </w:tc>
        <w:tc>
          <w:tcPr>
            <w:tcW w:w="4064" w:type="pct"/>
          </w:tcPr>
          <w:p w14:paraId="084BCCEC" w14:textId="66B21368" w:rsidR="00D57F7D" w:rsidRPr="00696EAB" w:rsidRDefault="00D57F7D" w:rsidP="00D57F7D">
            <w:pPr>
              <w:pStyle w:val="TableText"/>
              <w:rPr>
                <w:lang w:eastAsia="en-AU"/>
              </w:rPr>
            </w:pPr>
            <w:r w:rsidRPr="00696EAB">
              <w:rPr>
                <w:lang w:eastAsia="en-AU"/>
              </w:rPr>
              <w:t>Infectious hypodermal and haematopoietic necrosis virus (IHHNV)</w:t>
            </w:r>
          </w:p>
        </w:tc>
      </w:tr>
      <w:tr w:rsidR="00D57F7D" w14:paraId="746D1DE4" w14:textId="77777777" w:rsidTr="007C7864">
        <w:tc>
          <w:tcPr>
            <w:tcW w:w="936" w:type="pct"/>
            <w:vMerge/>
          </w:tcPr>
          <w:p w14:paraId="4CF94DBA" w14:textId="77777777" w:rsidR="00D57F7D" w:rsidRDefault="00D57F7D" w:rsidP="00D57F7D">
            <w:pPr>
              <w:pStyle w:val="TableText"/>
              <w:rPr>
                <w:lang w:eastAsia="en-AU"/>
              </w:rPr>
            </w:pPr>
          </w:p>
        </w:tc>
        <w:tc>
          <w:tcPr>
            <w:tcW w:w="4064" w:type="pct"/>
          </w:tcPr>
          <w:p w14:paraId="1327AEE4" w14:textId="4719E6F0" w:rsidR="00D57F7D" w:rsidRPr="00696EAB" w:rsidRDefault="00D57F7D" w:rsidP="00D57F7D">
            <w:pPr>
              <w:pStyle w:val="TableText"/>
              <w:rPr>
                <w:lang w:eastAsia="en-AU"/>
              </w:rPr>
            </w:pPr>
            <w:r w:rsidRPr="00696EAB">
              <w:rPr>
                <w:i/>
                <w:iCs/>
                <w:lang w:eastAsia="en-AU"/>
              </w:rPr>
              <w:t>Vibrio parahaemolyticus</w:t>
            </w:r>
            <w:r w:rsidRPr="00696EAB">
              <w:rPr>
                <w:lang w:eastAsia="en-AU"/>
              </w:rPr>
              <w:t xml:space="preserve"> (AHPND)</w:t>
            </w:r>
          </w:p>
        </w:tc>
      </w:tr>
      <w:tr w:rsidR="00D57F7D" w14:paraId="552EC2EC" w14:textId="77777777" w:rsidTr="007C7864">
        <w:tc>
          <w:tcPr>
            <w:tcW w:w="936" w:type="pct"/>
            <w:vMerge w:val="restart"/>
          </w:tcPr>
          <w:p w14:paraId="5A112517" w14:textId="2568B810" w:rsidR="00D57F7D" w:rsidRPr="00696EAB" w:rsidRDefault="00D57F7D" w:rsidP="00D57F7D">
            <w:pPr>
              <w:pStyle w:val="TableText"/>
              <w:rPr>
                <w:lang w:eastAsia="en-AU"/>
              </w:rPr>
            </w:pPr>
            <w:r>
              <w:rPr>
                <w:lang w:eastAsia="en-AU"/>
              </w:rPr>
              <w:t>Finfish</w:t>
            </w:r>
          </w:p>
        </w:tc>
        <w:tc>
          <w:tcPr>
            <w:tcW w:w="4064" w:type="pct"/>
          </w:tcPr>
          <w:p w14:paraId="5EC8B759" w14:textId="13F4DF89" w:rsidR="00D57F7D" w:rsidRPr="00D57F7D" w:rsidRDefault="00D57F7D" w:rsidP="00D57F7D">
            <w:pPr>
              <w:pStyle w:val="TableText"/>
              <w:rPr>
                <w:i/>
                <w:iCs/>
                <w:lang w:eastAsia="en-AU"/>
              </w:rPr>
            </w:pPr>
            <w:r w:rsidRPr="00696EAB">
              <w:rPr>
                <w:i/>
                <w:iCs/>
                <w:lang w:eastAsia="en-AU"/>
              </w:rPr>
              <w:t>Megalocytivirus</w:t>
            </w:r>
          </w:p>
        </w:tc>
      </w:tr>
      <w:tr w:rsidR="00D57F7D" w14:paraId="71D6E81D" w14:textId="77777777" w:rsidTr="007C7864">
        <w:tc>
          <w:tcPr>
            <w:tcW w:w="936" w:type="pct"/>
            <w:vMerge/>
          </w:tcPr>
          <w:p w14:paraId="05B05A24" w14:textId="77777777" w:rsidR="00D57F7D" w:rsidRDefault="00D57F7D" w:rsidP="00D57F7D">
            <w:pPr>
              <w:pStyle w:val="TableText"/>
              <w:rPr>
                <w:lang w:eastAsia="en-AU"/>
              </w:rPr>
            </w:pPr>
          </w:p>
        </w:tc>
        <w:tc>
          <w:tcPr>
            <w:tcW w:w="4064" w:type="pct"/>
          </w:tcPr>
          <w:p w14:paraId="597ED5A4" w14:textId="65F17F32" w:rsidR="00D57F7D" w:rsidRPr="00D57F7D" w:rsidRDefault="00D57F7D" w:rsidP="00D57F7D">
            <w:pPr>
              <w:pStyle w:val="TableText"/>
              <w:rPr>
                <w:lang w:eastAsia="en-AU"/>
              </w:rPr>
            </w:pPr>
            <w:r w:rsidRPr="00696EAB">
              <w:rPr>
                <w:lang w:eastAsia="en-AU"/>
              </w:rPr>
              <w:t>Nervous necrosis virus (NNV)</w:t>
            </w:r>
          </w:p>
        </w:tc>
      </w:tr>
      <w:tr w:rsidR="00D57F7D" w14:paraId="7216311B" w14:textId="77777777" w:rsidTr="007C7864">
        <w:tc>
          <w:tcPr>
            <w:tcW w:w="936" w:type="pct"/>
            <w:vMerge/>
          </w:tcPr>
          <w:p w14:paraId="5C93A42F" w14:textId="77777777" w:rsidR="00D57F7D" w:rsidRDefault="00D57F7D" w:rsidP="00D57F7D">
            <w:pPr>
              <w:pStyle w:val="TableText"/>
              <w:rPr>
                <w:lang w:eastAsia="en-AU"/>
              </w:rPr>
            </w:pPr>
          </w:p>
        </w:tc>
        <w:tc>
          <w:tcPr>
            <w:tcW w:w="4064" w:type="pct"/>
          </w:tcPr>
          <w:p w14:paraId="270E7E76" w14:textId="5A9EE952" w:rsidR="00D57F7D" w:rsidRPr="00696EAB" w:rsidRDefault="00D57F7D" w:rsidP="00D57F7D">
            <w:pPr>
              <w:pStyle w:val="TableText"/>
              <w:rPr>
                <w:i/>
                <w:iCs/>
                <w:lang w:eastAsia="en-AU"/>
              </w:rPr>
            </w:pPr>
            <w:r w:rsidRPr="00696EAB">
              <w:rPr>
                <w:lang w:eastAsia="en-AU"/>
              </w:rPr>
              <w:t>Koi herpesvirus (KHV</w:t>
            </w:r>
            <w:r>
              <w:rPr>
                <w:lang w:eastAsia="en-AU"/>
              </w:rPr>
              <w:t>)</w:t>
            </w:r>
          </w:p>
        </w:tc>
      </w:tr>
      <w:tr w:rsidR="00D57F7D" w14:paraId="428C4CEA" w14:textId="77777777" w:rsidTr="007C7864">
        <w:tc>
          <w:tcPr>
            <w:tcW w:w="936" w:type="pct"/>
            <w:vMerge/>
          </w:tcPr>
          <w:p w14:paraId="5866DA82" w14:textId="77777777" w:rsidR="00D57F7D" w:rsidRDefault="00D57F7D" w:rsidP="00D57F7D">
            <w:pPr>
              <w:pStyle w:val="TableText"/>
              <w:rPr>
                <w:lang w:eastAsia="en-AU"/>
              </w:rPr>
            </w:pPr>
          </w:p>
        </w:tc>
        <w:tc>
          <w:tcPr>
            <w:tcW w:w="4064" w:type="pct"/>
          </w:tcPr>
          <w:p w14:paraId="7CD9973F" w14:textId="069B1C89" w:rsidR="00D57F7D" w:rsidRPr="00696EAB" w:rsidRDefault="00D57F7D" w:rsidP="00D57F7D">
            <w:pPr>
              <w:pStyle w:val="TableText"/>
              <w:rPr>
                <w:i/>
                <w:iCs/>
                <w:lang w:eastAsia="en-AU"/>
              </w:rPr>
            </w:pPr>
            <w:r w:rsidRPr="00696EAB">
              <w:rPr>
                <w:lang w:eastAsia="en-AU"/>
              </w:rPr>
              <w:t>Spring viraemia of carp virus (SVCV)</w:t>
            </w:r>
          </w:p>
        </w:tc>
      </w:tr>
    </w:tbl>
    <w:p w14:paraId="6059A171" w14:textId="77777777" w:rsidR="00D57F7D" w:rsidRDefault="00D57F7D" w:rsidP="007E655C">
      <w:pPr>
        <w:rPr>
          <w:rFonts w:ascii="Calibri" w:eastAsia="Cambria" w:hAnsi="Calibri" w:cs="Calibri"/>
          <w:lang w:eastAsia="en-AU"/>
        </w:rPr>
      </w:pPr>
    </w:p>
    <w:p w14:paraId="4814475D" w14:textId="0AC6B966" w:rsidR="006349ED" w:rsidRDefault="006349ED" w:rsidP="007E655C">
      <w:r>
        <w:rPr>
          <w:rFonts w:ascii="Calibri" w:eastAsia="Cambria" w:hAnsi="Calibri" w:cs="Calibri"/>
          <w:lang w:eastAsia="en-AU"/>
        </w:rPr>
        <w:t xml:space="preserve">Each country </w:t>
      </w:r>
      <w:r w:rsidR="007C3F33">
        <w:rPr>
          <w:rFonts w:ascii="Calibri" w:eastAsia="Cambria" w:hAnsi="Calibri" w:cs="Calibri"/>
          <w:lang w:eastAsia="en-AU"/>
        </w:rPr>
        <w:t>was</w:t>
      </w:r>
      <w:r w:rsidR="008914ED">
        <w:rPr>
          <w:rFonts w:ascii="Calibri" w:eastAsia="Cambria" w:hAnsi="Calibri" w:cs="Calibri"/>
          <w:lang w:eastAsia="en-AU"/>
        </w:rPr>
        <w:t xml:space="preserve"> to arrange appropriate permissions for import of the inactivated material and </w:t>
      </w:r>
      <w:r w:rsidR="008D1E40">
        <w:rPr>
          <w:rFonts w:ascii="Calibri" w:eastAsia="Cambria" w:hAnsi="Calibri" w:cs="Calibri"/>
          <w:lang w:eastAsia="en-AU"/>
        </w:rPr>
        <w:t>were to ensure appropriate disposal</w:t>
      </w:r>
      <w:r w:rsidR="00B17EA5">
        <w:rPr>
          <w:rFonts w:ascii="Calibri" w:eastAsia="Cambria" w:hAnsi="Calibri" w:cs="Calibri"/>
          <w:lang w:eastAsia="en-AU"/>
        </w:rPr>
        <w:t xml:space="preserve"> after testing. </w:t>
      </w:r>
      <w:r w:rsidR="00B17EA5">
        <w:t>Participating countries had a predetermined coordinating laboratory that received packaged samples and distributed them to other laboratories within that country, using a transport and distribution method of their choice.</w:t>
      </w:r>
    </w:p>
    <w:p w14:paraId="04F8C87A" w14:textId="04C32698" w:rsidR="00E82025" w:rsidRDefault="009B3C46" w:rsidP="007E655C">
      <w:r>
        <w:t xml:space="preserve">Samples for round </w:t>
      </w:r>
      <w:r w:rsidR="00D57F7D">
        <w:t xml:space="preserve">1 </w:t>
      </w:r>
      <w:r w:rsidR="005C4E1D">
        <w:t>was</w:t>
      </w:r>
      <w:r w:rsidR="00354918">
        <w:t xml:space="preserve"> sent in May 2018</w:t>
      </w:r>
      <w:r w:rsidR="00AC086B">
        <w:t>, round 2 in November 2018, round 3 in June 2019, round 4 in Nov 2019, round 5 in January 2021</w:t>
      </w:r>
      <w:r w:rsidR="005C4E1D">
        <w:t xml:space="preserve">, round 6 in September 2021, round 7 in 31 January 2022 and round 8 in September 2022. </w:t>
      </w:r>
    </w:p>
    <w:p w14:paraId="04A795B2" w14:textId="3F5D1D45" w:rsidR="00A743C4" w:rsidRPr="00741587" w:rsidRDefault="00A743C4" w:rsidP="007E655C">
      <w:r>
        <w:t>S</w:t>
      </w:r>
      <w:r w:rsidRPr="00A743C4">
        <w:t xml:space="preserve">amples were sent to each participating laboratory with instructions to test </w:t>
      </w:r>
      <w:r>
        <w:t>them</w:t>
      </w:r>
      <w:r w:rsidRPr="00A743C4">
        <w:t xml:space="preserve"> for specified pathogens</w:t>
      </w:r>
      <w:r>
        <w:t xml:space="preserve"> </w:t>
      </w:r>
      <w:r w:rsidRPr="00A743C4">
        <w:t>using their standard molecular diagnostic technique. Each laboratory received samples labelled with unique codes and could test the samples in any order.</w:t>
      </w:r>
    </w:p>
    <w:p w14:paraId="326D3ACE" w14:textId="5A5F8087" w:rsidR="00755ED8" w:rsidRDefault="00D42F7C" w:rsidP="00D42F7C">
      <w:pPr>
        <w:pStyle w:val="Heading3"/>
      </w:pPr>
      <w:bookmarkStart w:id="39" w:name="_Toc425945607"/>
      <w:bookmarkStart w:id="40" w:name="_Toc426459670"/>
      <w:bookmarkStart w:id="41" w:name="_Toc214555634"/>
      <w:r>
        <w:t>Testing and reporting</w:t>
      </w:r>
      <w:bookmarkEnd w:id="39"/>
      <w:bookmarkEnd w:id="40"/>
      <w:bookmarkEnd w:id="41"/>
    </w:p>
    <w:p w14:paraId="71425689" w14:textId="08D77269" w:rsidR="00692302" w:rsidRDefault="00E25E21" w:rsidP="00241A92">
      <w:pPr>
        <w:rPr>
          <w:lang w:eastAsia="en-AU"/>
        </w:rPr>
      </w:pPr>
      <w:r w:rsidRPr="00FA75E8">
        <w:rPr>
          <w:lang w:eastAsia="en-AU"/>
        </w:rPr>
        <w:t xml:space="preserve">Results </w:t>
      </w:r>
      <w:r w:rsidR="00B64140">
        <w:rPr>
          <w:lang w:eastAsia="en-AU"/>
        </w:rPr>
        <w:t>were</w:t>
      </w:r>
      <w:r w:rsidRPr="00FA75E8">
        <w:rPr>
          <w:lang w:eastAsia="en-AU"/>
        </w:rPr>
        <w:t xml:space="preserve"> </w:t>
      </w:r>
      <w:r w:rsidR="00B3716A">
        <w:rPr>
          <w:lang w:eastAsia="en-AU"/>
        </w:rPr>
        <w:t>reported</w:t>
      </w:r>
      <w:r w:rsidRPr="00FA75E8">
        <w:rPr>
          <w:lang w:eastAsia="en-AU"/>
        </w:rPr>
        <w:t xml:space="preserve"> by the </w:t>
      </w:r>
      <w:r w:rsidR="00152C26" w:rsidRPr="00FA75E8">
        <w:rPr>
          <w:lang w:eastAsia="en-AU"/>
        </w:rPr>
        <w:t>participating</w:t>
      </w:r>
      <w:r w:rsidRPr="00FA75E8">
        <w:rPr>
          <w:lang w:eastAsia="en-AU"/>
        </w:rPr>
        <w:t xml:space="preserve"> laboratory directly to </w:t>
      </w:r>
      <w:r w:rsidR="00B3716A">
        <w:rPr>
          <w:lang w:eastAsia="en-AU"/>
        </w:rPr>
        <w:t>ACDP</w:t>
      </w:r>
      <w:r w:rsidRPr="00FA75E8">
        <w:rPr>
          <w:lang w:eastAsia="en-AU"/>
        </w:rPr>
        <w:t>-</w:t>
      </w:r>
      <w:r w:rsidR="00276AC1">
        <w:rPr>
          <w:lang w:eastAsia="en-AU"/>
        </w:rPr>
        <w:t>PT</w:t>
      </w:r>
      <w:r w:rsidR="00B3716A">
        <w:rPr>
          <w:lang w:eastAsia="en-AU"/>
        </w:rPr>
        <w:t>SP</w:t>
      </w:r>
      <w:r w:rsidR="00276AC1">
        <w:rPr>
          <w:lang w:eastAsia="en-AU"/>
        </w:rPr>
        <w:t xml:space="preserve"> team</w:t>
      </w:r>
      <w:r w:rsidRPr="00FA75E8">
        <w:rPr>
          <w:lang w:eastAsia="en-AU"/>
        </w:rPr>
        <w:t xml:space="preserve">, who then </w:t>
      </w:r>
      <w:r w:rsidR="00B3716A">
        <w:rPr>
          <w:lang w:eastAsia="en-AU"/>
        </w:rPr>
        <w:t xml:space="preserve">provided </w:t>
      </w:r>
      <w:r w:rsidRPr="00FA75E8">
        <w:rPr>
          <w:lang w:eastAsia="en-AU"/>
        </w:rPr>
        <w:t>an independent assessment</w:t>
      </w:r>
      <w:r w:rsidR="0056174C" w:rsidRPr="00FA75E8">
        <w:rPr>
          <w:lang w:eastAsia="en-AU"/>
        </w:rPr>
        <w:t xml:space="preserve">. De-identified </w:t>
      </w:r>
      <w:r w:rsidR="00BD2D0C" w:rsidRPr="00FA75E8">
        <w:rPr>
          <w:lang w:eastAsia="en-AU"/>
        </w:rPr>
        <w:t xml:space="preserve">aggregate </w:t>
      </w:r>
      <w:r w:rsidR="0056174C" w:rsidRPr="00FA75E8">
        <w:rPr>
          <w:lang w:eastAsia="en-AU"/>
        </w:rPr>
        <w:t xml:space="preserve">results </w:t>
      </w:r>
      <w:r w:rsidR="00B64140">
        <w:rPr>
          <w:lang w:eastAsia="en-AU"/>
        </w:rPr>
        <w:t>were</w:t>
      </w:r>
      <w:r w:rsidR="0056174C" w:rsidRPr="00FA75E8">
        <w:rPr>
          <w:lang w:eastAsia="en-AU"/>
        </w:rPr>
        <w:t xml:space="preserve"> generated </w:t>
      </w:r>
      <w:r w:rsidR="00290753">
        <w:rPr>
          <w:lang w:eastAsia="en-AU"/>
        </w:rPr>
        <w:t xml:space="preserve">as progress reports, </w:t>
      </w:r>
      <w:r w:rsidR="0056174C" w:rsidRPr="00FA75E8">
        <w:rPr>
          <w:lang w:eastAsia="en-AU"/>
        </w:rPr>
        <w:t xml:space="preserve">which </w:t>
      </w:r>
      <w:r w:rsidR="00B3716A">
        <w:rPr>
          <w:lang w:eastAsia="en-AU"/>
        </w:rPr>
        <w:t>were</w:t>
      </w:r>
      <w:r w:rsidR="0056174C" w:rsidRPr="00FA75E8">
        <w:rPr>
          <w:lang w:eastAsia="en-AU"/>
        </w:rPr>
        <w:t xml:space="preserve"> shared with DA</w:t>
      </w:r>
      <w:r w:rsidR="00CA58DD" w:rsidRPr="00FA75E8">
        <w:rPr>
          <w:lang w:eastAsia="en-AU"/>
        </w:rPr>
        <w:t>FF</w:t>
      </w:r>
      <w:r w:rsidR="00B3716A">
        <w:rPr>
          <w:lang w:eastAsia="en-AU"/>
        </w:rPr>
        <w:t xml:space="preserve"> </w:t>
      </w:r>
      <w:r w:rsidR="00CF6A13" w:rsidRPr="00FA75E8">
        <w:rPr>
          <w:lang w:eastAsia="en-AU"/>
        </w:rPr>
        <w:t>and all participants</w:t>
      </w:r>
      <w:r w:rsidR="00CA58DD" w:rsidRPr="00FA75E8">
        <w:rPr>
          <w:lang w:eastAsia="en-AU"/>
        </w:rPr>
        <w:t xml:space="preserve">. </w:t>
      </w:r>
      <w:r w:rsidR="00215FA1">
        <w:rPr>
          <w:lang w:eastAsia="en-AU"/>
        </w:rPr>
        <w:t xml:space="preserve">Progress reports contained a summary of activities for the </w:t>
      </w:r>
      <w:r w:rsidR="00692302">
        <w:rPr>
          <w:lang w:eastAsia="en-AU"/>
        </w:rPr>
        <w:t>relevant</w:t>
      </w:r>
      <w:r w:rsidR="00215FA1">
        <w:rPr>
          <w:lang w:eastAsia="en-AU"/>
        </w:rPr>
        <w:t xml:space="preserve"> testing period, including </w:t>
      </w:r>
      <w:r w:rsidR="00692302">
        <w:rPr>
          <w:lang w:eastAsia="en-AU"/>
        </w:rPr>
        <w:t>information</w:t>
      </w:r>
      <w:r w:rsidR="00215FA1">
        <w:rPr>
          <w:lang w:eastAsia="en-AU"/>
        </w:rPr>
        <w:t xml:space="preserve"> on the tests provided, </w:t>
      </w:r>
      <w:r w:rsidR="00D31157">
        <w:rPr>
          <w:lang w:eastAsia="en-AU"/>
        </w:rPr>
        <w:t xml:space="preserve">a list of </w:t>
      </w:r>
      <w:r w:rsidR="007932B5">
        <w:rPr>
          <w:lang w:eastAsia="en-AU"/>
        </w:rPr>
        <w:t xml:space="preserve">participated </w:t>
      </w:r>
      <w:r w:rsidR="00215FA1">
        <w:rPr>
          <w:lang w:eastAsia="en-AU"/>
        </w:rPr>
        <w:t>laborator</w:t>
      </w:r>
      <w:r w:rsidR="007932B5">
        <w:rPr>
          <w:lang w:eastAsia="en-AU"/>
        </w:rPr>
        <w:t>ies for each round</w:t>
      </w:r>
      <w:r w:rsidR="004221AA">
        <w:rPr>
          <w:lang w:eastAsia="en-AU"/>
        </w:rPr>
        <w:t>,</w:t>
      </w:r>
      <w:r w:rsidR="00215FA1">
        <w:rPr>
          <w:lang w:eastAsia="en-AU"/>
        </w:rPr>
        <w:t xml:space="preserve"> </w:t>
      </w:r>
      <w:r w:rsidR="007932B5">
        <w:rPr>
          <w:lang w:eastAsia="en-AU"/>
        </w:rPr>
        <w:t xml:space="preserve">de-identified aggregate results </w:t>
      </w:r>
      <w:r w:rsidR="00D31157">
        <w:rPr>
          <w:lang w:eastAsia="en-AU"/>
        </w:rPr>
        <w:t xml:space="preserve">and a statistical analysis </w:t>
      </w:r>
      <w:r w:rsidR="007932B5">
        <w:rPr>
          <w:lang w:eastAsia="en-AU"/>
        </w:rPr>
        <w:t>for PT rounds. DAFF did not have access to information on the identity of each PT result for</w:t>
      </w:r>
      <w:r w:rsidR="004221AA">
        <w:rPr>
          <w:lang w:eastAsia="en-AU"/>
        </w:rPr>
        <w:t xml:space="preserve"> an</w:t>
      </w:r>
      <w:r w:rsidR="007932B5">
        <w:rPr>
          <w:lang w:eastAsia="en-AU"/>
        </w:rPr>
        <w:t xml:space="preserve"> individual participating laboratory.  </w:t>
      </w:r>
    </w:p>
    <w:p w14:paraId="7EB34D95" w14:textId="5B7F9A70" w:rsidR="00692302" w:rsidRDefault="00CA58DD" w:rsidP="00241A92">
      <w:pPr>
        <w:rPr>
          <w:lang w:eastAsia="en-AU"/>
        </w:rPr>
      </w:pPr>
      <w:r w:rsidRPr="00FA75E8">
        <w:rPr>
          <w:lang w:eastAsia="en-AU"/>
        </w:rPr>
        <w:lastRenderedPageBreak/>
        <w:t xml:space="preserve">A confidential report </w:t>
      </w:r>
      <w:r w:rsidR="00A07A11" w:rsidRPr="00FA75E8">
        <w:rPr>
          <w:lang w:eastAsia="en-AU"/>
        </w:rPr>
        <w:t>was</w:t>
      </w:r>
      <w:r w:rsidRPr="00FA75E8">
        <w:rPr>
          <w:lang w:eastAsia="en-AU"/>
        </w:rPr>
        <w:t xml:space="preserve"> provided back to each laborat</w:t>
      </w:r>
      <w:r w:rsidR="00152C26" w:rsidRPr="00FA75E8">
        <w:rPr>
          <w:lang w:eastAsia="en-AU"/>
        </w:rPr>
        <w:t>or</w:t>
      </w:r>
      <w:r w:rsidRPr="00FA75E8">
        <w:rPr>
          <w:lang w:eastAsia="en-AU"/>
        </w:rPr>
        <w:t xml:space="preserve">y </w:t>
      </w:r>
      <w:r w:rsidR="00F26B9B">
        <w:rPr>
          <w:lang w:eastAsia="en-AU"/>
        </w:rPr>
        <w:t>by CSIRO-</w:t>
      </w:r>
      <w:r w:rsidR="00B3716A">
        <w:rPr>
          <w:lang w:eastAsia="en-AU"/>
        </w:rPr>
        <w:t>PTSP</w:t>
      </w:r>
      <w:r w:rsidR="00F26B9B">
        <w:rPr>
          <w:lang w:eastAsia="en-AU"/>
        </w:rPr>
        <w:t xml:space="preserve"> </w:t>
      </w:r>
      <w:r w:rsidR="00A07A11" w:rsidRPr="00FA75E8">
        <w:rPr>
          <w:lang w:eastAsia="en-AU"/>
        </w:rPr>
        <w:t xml:space="preserve">after each round </w:t>
      </w:r>
      <w:r w:rsidRPr="00FA75E8">
        <w:rPr>
          <w:lang w:eastAsia="en-AU"/>
        </w:rPr>
        <w:t>and this</w:t>
      </w:r>
      <w:r w:rsidR="00B64596">
        <w:rPr>
          <w:lang w:eastAsia="en-AU"/>
        </w:rPr>
        <w:t xml:space="preserve"> was</w:t>
      </w:r>
      <w:r w:rsidRPr="00FA75E8">
        <w:rPr>
          <w:lang w:eastAsia="en-AU"/>
        </w:rPr>
        <w:t xml:space="preserve"> not </w:t>
      </w:r>
      <w:r w:rsidR="00CC7C2D" w:rsidRPr="00FA75E8">
        <w:rPr>
          <w:lang w:eastAsia="en-AU"/>
        </w:rPr>
        <w:t xml:space="preserve">shared with any other </w:t>
      </w:r>
      <w:r w:rsidR="00152C26" w:rsidRPr="00FA75E8">
        <w:rPr>
          <w:lang w:eastAsia="en-AU"/>
        </w:rPr>
        <w:t>organisation</w:t>
      </w:r>
      <w:r w:rsidR="004620B3">
        <w:rPr>
          <w:lang w:eastAsia="en-AU"/>
        </w:rPr>
        <w:t>. CSIRO-</w:t>
      </w:r>
      <w:r w:rsidR="00B3716A">
        <w:rPr>
          <w:lang w:eastAsia="en-AU"/>
        </w:rPr>
        <w:t>PTSP</w:t>
      </w:r>
      <w:r w:rsidR="004620B3">
        <w:rPr>
          <w:lang w:eastAsia="en-AU"/>
        </w:rPr>
        <w:t xml:space="preserve"> are </w:t>
      </w:r>
      <w:r w:rsidR="001046D8">
        <w:rPr>
          <w:lang w:eastAsia="en-AU"/>
        </w:rPr>
        <w:t>qualified</w:t>
      </w:r>
      <w:r w:rsidR="004620B3">
        <w:rPr>
          <w:lang w:eastAsia="en-AU"/>
        </w:rPr>
        <w:t xml:space="preserve"> to </w:t>
      </w:r>
      <w:r w:rsidR="00C57305">
        <w:rPr>
          <w:lang w:eastAsia="en-AU"/>
        </w:rPr>
        <w:t>provide</w:t>
      </w:r>
      <w:r w:rsidR="004620B3">
        <w:rPr>
          <w:lang w:eastAsia="en-AU"/>
        </w:rPr>
        <w:t xml:space="preserve"> this service by an independ</w:t>
      </w:r>
      <w:r w:rsidR="00C57305">
        <w:rPr>
          <w:lang w:eastAsia="en-AU"/>
        </w:rPr>
        <w:t>en</w:t>
      </w:r>
      <w:r w:rsidR="004620B3">
        <w:rPr>
          <w:lang w:eastAsia="en-AU"/>
        </w:rPr>
        <w:t xml:space="preserve">t laboratory </w:t>
      </w:r>
      <w:r w:rsidR="00C57305">
        <w:rPr>
          <w:lang w:eastAsia="en-AU"/>
        </w:rPr>
        <w:t>accreditation</w:t>
      </w:r>
      <w:r w:rsidR="004620B3">
        <w:rPr>
          <w:lang w:eastAsia="en-AU"/>
        </w:rPr>
        <w:t xml:space="preserve"> authority and </w:t>
      </w:r>
      <w:r w:rsidR="007B3BE5">
        <w:rPr>
          <w:lang w:eastAsia="en-AU"/>
        </w:rPr>
        <w:t>the terms of confidentiality are</w:t>
      </w:r>
      <w:r w:rsidR="00A07A11" w:rsidRPr="00FA75E8">
        <w:rPr>
          <w:lang w:eastAsia="en-AU"/>
        </w:rPr>
        <w:t xml:space="preserve"> consistent with contractual arrangements</w:t>
      </w:r>
      <w:r w:rsidR="00D31157">
        <w:rPr>
          <w:lang w:eastAsia="en-AU"/>
        </w:rPr>
        <w:t xml:space="preserve"> and meet </w:t>
      </w:r>
      <w:r w:rsidR="004221AA" w:rsidRPr="00E239B9">
        <w:t>ISO 17043</w:t>
      </w:r>
      <w:r w:rsidR="004221AA">
        <w:t xml:space="preserve"> standards. </w:t>
      </w:r>
    </w:p>
    <w:p w14:paraId="15D2FA14" w14:textId="4954AAC8" w:rsidR="00A62E54" w:rsidRDefault="00BB280B" w:rsidP="00241A92">
      <w:pPr>
        <w:rPr>
          <w:lang w:eastAsia="en-AU"/>
        </w:rPr>
      </w:pPr>
      <w:r>
        <w:rPr>
          <w:lang w:eastAsia="en-AU"/>
        </w:rPr>
        <w:t xml:space="preserve">A final report was provided to </w:t>
      </w:r>
      <w:r w:rsidR="00E43464">
        <w:rPr>
          <w:lang w:eastAsia="en-AU"/>
        </w:rPr>
        <w:t xml:space="preserve">DAFF on project completion. </w:t>
      </w:r>
      <w:r w:rsidR="004C6B5D">
        <w:rPr>
          <w:lang w:eastAsia="en-AU"/>
        </w:rPr>
        <w:t>It contain</w:t>
      </w:r>
      <w:r w:rsidR="008A1A84">
        <w:rPr>
          <w:lang w:eastAsia="en-AU"/>
        </w:rPr>
        <w:t>ed</w:t>
      </w:r>
      <w:r w:rsidR="004C6B5D">
        <w:rPr>
          <w:lang w:eastAsia="en-AU"/>
        </w:rPr>
        <w:t xml:space="preserve"> the</w:t>
      </w:r>
      <w:r w:rsidR="00E819E2">
        <w:rPr>
          <w:lang w:eastAsia="en-AU"/>
        </w:rPr>
        <w:t xml:space="preserve"> de-</w:t>
      </w:r>
      <w:r w:rsidR="004D19B7">
        <w:rPr>
          <w:lang w:eastAsia="en-AU"/>
        </w:rPr>
        <w:t>identified information</w:t>
      </w:r>
      <w:r w:rsidR="00D31157">
        <w:rPr>
          <w:lang w:eastAsia="en-AU"/>
        </w:rPr>
        <w:t xml:space="preserve"> on all rounds</w:t>
      </w:r>
      <w:r w:rsidR="004D19B7">
        <w:rPr>
          <w:lang w:eastAsia="en-AU"/>
        </w:rPr>
        <w:t>,</w:t>
      </w:r>
      <w:r w:rsidR="004C6B5D">
        <w:rPr>
          <w:lang w:eastAsia="en-AU"/>
        </w:rPr>
        <w:t xml:space="preserve"> </w:t>
      </w:r>
      <w:r w:rsidR="008A1A84">
        <w:rPr>
          <w:lang w:eastAsia="en-AU"/>
        </w:rPr>
        <w:t>along with</w:t>
      </w:r>
      <w:r w:rsidR="004C6B5D">
        <w:rPr>
          <w:lang w:eastAsia="en-AU"/>
        </w:rPr>
        <w:t xml:space="preserve"> consideration of requirements </w:t>
      </w:r>
      <w:r w:rsidR="00D31157">
        <w:rPr>
          <w:lang w:eastAsia="en-AU"/>
        </w:rPr>
        <w:t xml:space="preserve">and feedback </w:t>
      </w:r>
      <w:r w:rsidR="004C6B5D">
        <w:rPr>
          <w:lang w:eastAsia="en-AU"/>
        </w:rPr>
        <w:t xml:space="preserve">for ongoing aquatic animal proficiency testing and how this could be facilitated. </w:t>
      </w:r>
      <w:r w:rsidR="00A62E54" w:rsidRPr="00E819E2">
        <w:rPr>
          <w:lang w:eastAsia="en-AU"/>
        </w:rPr>
        <w:t xml:space="preserve">Countries or laboratories </w:t>
      </w:r>
      <w:r w:rsidR="00A62E54">
        <w:rPr>
          <w:lang w:eastAsia="en-AU"/>
        </w:rPr>
        <w:t xml:space="preserve">have the </w:t>
      </w:r>
      <w:r w:rsidR="009E10C4">
        <w:rPr>
          <w:lang w:eastAsia="en-AU"/>
        </w:rPr>
        <w:t>prerogative</w:t>
      </w:r>
      <w:r w:rsidR="00A62E54">
        <w:rPr>
          <w:lang w:eastAsia="en-AU"/>
        </w:rPr>
        <w:t xml:space="preserve"> to use the results from the program as they wish. </w:t>
      </w:r>
    </w:p>
    <w:p w14:paraId="79155EB5" w14:textId="4DAC52F6" w:rsidR="00755ED8" w:rsidRDefault="00972336" w:rsidP="00241A92">
      <w:pPr>
        <w:rPr>
          <w:lang w:eastAsia="en-AU"/>
        </w:rPr>
      </w:pPr>
      <w:r>
        <w:rPr>
          <w:lang w:eastAsia="en-AU"/>
        </w:rPr>
        <w:t>One</w:t>
      </w:r>
      <w:r w:rsidR="00AE0DE8">
        <w:rPr>
          <w:lang w:eastAsia="en-AU"/>
        </w:rPr>
        <w:t xml:space="preserve"> </w:t>
      </w:r>
      <w:r w:rsidR="00FC2C8F">
        <w:rPr>
          <w:lang w:eastAsia="en-AU"/>
        </w:rPr>
        <w:t xml:space="preserve">round of retesting was offered to laboratories who reported incorrect results at the end of each testing round. </w:t>
      </w:r>
    </w:p>
    <w:p w14:paraId="2AA50434" w14:textId="77777777" w:rsidR="005E3221" w:rsidRPr="002B6D7E" w:rsidRDefault="005E3221" w:rsidP="005E3221">
      <w:pPr>
        <w:pStyle w:val="Heading3"/>
      </w:pPr>
      <w:bookmarkStart w:id="42" w:name="_Toc425945608"/>
      <w:bookmarkStart w:id="43" w:name="_Toc426459671"/>
      <w:bookmarkStart w:id="44" w:name="_Toc214555635"/>
      <w:r w:rsidRPr="002B6D7E">
        <w:t>Results analysis</w:t>
      </w:r>
      <w:bookmarkEnd w:id="42"/>
      <w:bookmarkEnd w:id="43"/>
      <w:bookmarkEnd w:id="44"/>
    </w:p>
    <w:p w14:paraId="35211E9F" w14:textId="5FA5B2EF" w:rsidR="00E747D5" w:rsidRDefault="00E16CE8" w:rsidP="00E747D5">
      <w:r>
        <w:t xml:space="preserve">For real time assays, Ct values and a qualitative interpretation </w:t>
      </w:r>
      <w:r w:rsidR="00B3716A">
        <w:t>were</w:t>
      </w:r>
      <w:r>
        <w:t xml:space="preserve"> provided</w:t>
      </w:r>
      <w:r w:rsidR="00DC0DAC">
        <w:t xml:space="preserve">. For conventional assays, </w:t>
      </w:r>
      <w:r w:rsidR="0014710E">
        <w:t xml:space="preserve">only </w:t>
      </w:r>
      <w:r w:rsidR="00DC0DAC">
        <w:t xml:space="preserve">a qualitative interpretation </w:t>
      </w:r>
      <w:r w:rsidR="00B3716A">
        <w:t>were</w:t>
      </w:r>
      <w:r w:rsidR="00DC0DAC">
        <w:t xml:space="preserve"> provided</w:t>
      </w:r>
      <w:r w:rsidR="00475B31">
        <w:t>.</w:t>
      </w:r>
    </w:p>
    <w:p w14:paraId="52A08F08" w14:textId="66F7749E" w:rsidR="00E747D5" w:rsidRDefault="00E747D5" w:rsidP="00E747D5">
      <w:r>
        <w:t xml:space="preserve">Each laboratory </w:t>
      </w:r>
      <w:r w:rsidR="00B421E9">
        <w:t>was</w:t>
      </w:r>
      <w:r>
        <w:t xml:space="preserve"> assessed based on agreement with the qualitative values assigned to each sample in the panel</w:t>
      </w:r>
      <w:r w:rsidR="0096483C">
        <w:t xml:space="preserve">. Subsequent comments </w:t>
      </w:r>
      <w:r w:rsidR="00DF2776">
        <w:t>were</w:t>
      </w:r>
      <w:r w:rsidR="0096483C">
        <w:t xml:space="preserve"> </w:t>
      </w:r>
      <w:r w:rsidR="00C961B4">
        <w:t>rated</w:t>
      </w:r>
      <w:r>
        <w:t xml:space="preserve">: </w:t>
      </w:r>
    </w:p>
    <w:p w14:paraId="749BF481" w14:textId="3E41B5A7" w:rsidR="00E747D5" w:rsidRDefault="00C961B4" w:rsidP="00B421E9">
      <w:pPr>
        <w:pStyle w:val="ListBullet"/>
      </w:pPr>
      <w:r>
        <w:t>‘</w:t>
      </w:r>
      <w:r w:rsidR="00E747D5">
        <w:t>Acceptable</w:t>
      </w:r>
      <w:r>
        <w:t>’</w:t>
      </w:r>
      <w:r w:rsidR="00E747D5">
        <w:t xml:space="preserve"> if results agree</w:t>
      </w:r>
      <w:r w:rsidR="007C7864">
        <w:t>d</w:t>
      </w:r>
      <w:r w:rsidR="00E747D5">
        <w:t xml:space="preserve"> with assigned values</w:t>
      </w:r>
    </w:p>
    <w:p w14:paraId="1DFFE776" w14:textId="79E2A2DA" w:rsidR="00E747D5" w:rsidRDefault="00C961B4" w:rsidP="00B421E9">
      <w:pPr>
        <w:pStyle w:val="ListBullet"/>
      </w:pPr>
      <w:r>
        <w:t>‘</w:t>
      </w:r>
      <w:r w:rsidR="00E747D5">
        <w:t>Unacceptable</w:t>
      </w:r>
      <w:r>
        <w:t>’</w:t>
      </w:r>
      <w:r w:rsidR="00E747D5">
        <w:t xml:space="preserve"> if results d</w:t>
      </w:r>
      <w:r w:rsidR="007C7864">
        <w:t>id</w:t>
      </w:r>
      <w:r w:rsidR="00E747D5">
        <w:t xml:space="preserve"> not agree with assigned </w:t>
      </w:r>
      <w:r w:rsidR="004263BC">
        <w:t>‘positive’ or ‘negative’ label</w:t>
      </w:r>
      <w:r w:rsidR="00E747D5">
        <w:t>.</w:t>
      </w:r>
    </w:p>
    <w:p w14:paraId="2EA14782" w14:textId="3098FB00" w:rsidR="00475B31" w:rsidRDefault="00475B31" w:rsidP="0028690F">
      <w:r>
        <w:t xml:space="preserve">Where laboratories use real time PCR, additional statistical analysis </w:t>
      </w:r>
      <w:r w:rsidR="00DF2776">
        <w:t>was</w:t>
      </w:r>
      <w:r>
        <w:t xml:space="preserve"> performed on either identical or related samples to provide information on assay sensitivity and specificity. Laboratories </w:t>
      </w:r>
      <w:r w:rsidR="00DF2776">
        <w:t>needed to</w:t>
      </w:r>
      <w:r>
        <w:t xml:space="preserve"> report detection of each sample in a panel and provide the Ct value</w:t>
      </w:r>
      <w:r w:rsidR="00293DDB">
        <w:t xml:space="preserve"> </w:t>
      </w:r>
      <w:r w:rsidR="00834542">
        <w:t>for</w:t>
      </w:r>
      <w:r>
        <w:t xml:space="preserve"> statistical analysis to be possible. Outputs of analysis may result in additional assessment comments such as</w:t>
      </w:r>
      <w:r w:rsidR="0028690F">
        <w:t xml:space="preserve"> ‘A</w:t>
      </w:r>
      <w:r>
        <w:t>cceptable with observation</w:t>
      </w:r>
      <w:r w:rsidR="0028690F">
        <w:t>’ or ‘Acceptable</w:t>
      </w:r>
      <w:r>
        <w:t xml:space="preserve"> with conditio</w:t>
      </w:r>
      <w:r w:rsidR="00A17B40">
        <w:t>n</w:t>
      </w:r>
      <w:r w:rsidR="0028690F">
        <w:t xml:space="preserve">’. </w:t>
      </w:r>
    </w:p>
    <w:p w14:paraId="061ED9DB" w14:textId="4022F83D" w:rsidR="0028690F" w:rsidRDefault="0028690F" w:rsidP="0028690F">
      <w:r>
        <w:t xml:space="preserve">Each laboratory was assessed according to </w:t>
      </w:r>
      <w:r>
        <w:fldChar w:fldCharType="begin"/>
      </w:r>
      <w:r>
        <w:instrText xml:space="preserve"> REF _Ref174354557 \h </w:instrText>
      </w:r>
      <w:r>
        <w:fldChar w:fldCharType="separate"/>
      </w:r>
      <w:r w:rsidR="00491B46">
        <w:rPr>
          <w:b/>
          <w:bCs/>
          <w:lang w:val="en-US"/>
        </w:rPr>
        <w:t>Error! Reference source not found.</w:t>
      </w:r>
      <w:r>
        <w:fldChar w:fldCharType="end"/>
      </w:r>
      <w:r>
        <w:t xml:space="preserve"> based on agreement with the </w:t>
      </w:r>
      <w:r w:rsidRPr="009E0FD3">
        <w:rPr>
          <w:rFonts w:ascii="Calibri" w:hAnsi="Calibri" w:cs="Calibri"/>
        </w:rPr>
        <w:t>assigned qualitative values and performance in the statistical analysis.</w:t>
      </w:r>
      <w:r w:rsidRPr="00C14A5E">
        <w:t xml:space="preserve"> </w:t>
      </w:r>
      <w:r>
        <w:t>Ultimately, the basis of proficiency was based only on the qualitative interpretation of results submitted by the laboratory.</w:t>
      </w:r>
    </w:p>
    <w:p w14:paraId="264D600C" w14:textId="6A0A328A" w:rsidR="0028690F" w:rsidRDefault="00D25BDE" w:rsidP="00D25BDE">
      <w:pPr>
        <w:pStyle w:val="Caption"/>
      </w:pPr>
      <w:bookmarkStart w:id="45" w:name="Table2"/>
      <w:bookmarkStart w:id="46" w:name="_Ref164846537"/>
      <w:bookmarkStart w:id="47" w:name="_Toc166496290"/>
      <w:bookmarkStart w:id="48" w:name="_Toc184123130"/>
      <w:r>
        <w:t xml:space="preserve">Table </w:t>
      </w:r>
      <w:r>
        <w:fldChar w:fldCharType="begin"/>
      </w:r>
      <w:r>
        <w:instrText xml:space="preserve"> SEQ Table \* ARABIC </w:instrText>
      </w:r>
      <w:r>
        <w:fldChar w:fldCharType="separate"/>
      </w:r>
      <w:r w:rsidR="00491B46">
        <w:rPr>
          <w:noProof/>
        </w:rPr>
        <w:t>2</w:t>
      </w:r>
      <w:r>
        <w:fldChar w:fldCharType="end"/>
      </w:r>
      <w:r w:rsidR="0028690F">
        <w:t xml:space="preserve"> </w:t>
      </w:r>
      <w:bookmarkStart w:id="49" w:name="Assessment"/>
      <w:bookmarkEnd w:id="45"/>
      <w:r w:rsidR="0028690F">
        <w:t>Assessment Key</w:t>
      </w:r>
      <w:bookmarkEnd w:id="46"/>
      <w:bookmarkEnd w:id="47"/>
      <w:bookmarkEnd w:id="48"/>
      <w:r w:rsidR="0028690F">
        <w:t xml:space="preserve"> </w:t>
      </w:r>
      <w:bookmarkEnd w:id="49"/>
    </w:p>
    <w:tbl>
      <w:tblPr>
        <w:tblpPr w:leftFromText="180" w:rightFromText="180" w:vertAnchor="text" w:horzAnchor="margin" w:tblpY="5"/>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3535"/>
        <w:gridCol w:w="3784"/>
      </w:tblGrid>
      <w:tr w:rsidR="0028690F" w:rsidRPr="009E0FD3" w14:paraId="28AC2F9D" w14:textId="77777777" w:rsidTr="00C001B0">
        <w:tc>
          <w:tcPr>
            <w:tcW w:w="1484" w:type="dxa"/>
            <w:tcBorders>
              <w:top w:val="nil"/>
              <w:left w:val="nil"/>
              <w:bottom w:val="single" w:sz="4" w:space="0" w:color="auto"/>
              <w:right w:val="single" w:sz="4" w:space="0" w:color="auto"/>
            </w:tcBorders>
            <w:vAlign w:val="center"/>
          </w:tcPr>
          <w:p w14:paraId="016A80CF" w14:textId="77777777" w:rsidR="0028690F" w:rsidRPr="009E0FD3" w:rsidRDefault="0028690F" w:rsidP="003D5CF4">
            <w:pPr>
              <w:pStyle w:val="TableHeading"/>
            </w:pPr>
            <w:r w:rsidRPr="009E0FD3">
              <w:t>Qualitative Assessment</w:t>
            </w:r>
          </w:p>
        </w:tc>
        <w:tc>
          <w:tcPr>
            <w:tcW w:w="7319" w:type="dxa"/>
            <w:gridSpan w:val="2"/>
            <w:tcBorders>
              <w:top w:val="nil"/>
              <w:left w:val="single" w:sz="4" w:space="0" w:color="auto"/>
              <w:bottom w:val="single" w:sz="4" w:space="0" w:color="auto"/>
              <w:right w:val="nil"/>
            </w:tcBorders>
            <w:vAlign w:val="center"/>
          </w:tcPr>
          <w:p w14:paraId="6DDC2D82" w14:textId="77777777" w:rsidR="0028690F" w:rsidRPr="009E0FD3" w:rsidRDefault="0028690F" w:rsidP="00DC1C52">
            <w:pPr>
              <w:pStyle w:val="TableHeading"/>
            </w:pPr>
            <w:r w:rsidRPr="009E0FD3">
              <w:t>Comment</w:t>
            </w:r>
          </w:p>
          <w:p w14:paraId="32CAC9CB" w14:textId="77777777" w:rsidR="0028690F" w:rsidRPr="009E0FD3" w:rsidRDefault="0028690F" w:rsidP="00C001B0">
            <w:pPr>
              <w:pStyle w:val="TableText"/>
            </w:pPr>
            <w:r w:rsidRPr="009E0FD3">
              <w:t>The overall rating for each laboratory will reflect the most significant findings made, but less significant findings will also be noted.</w:t>
            </w:r>
          </w:p>
        </w:tc>
      </w:tr>
      <w:tr w:rsidR="0028690F" w:rsidRPr="009E0FD3" w14:paraId="72125D50" w14:textId="77777777" w:rsidTr="00C001B0">
        <w:trPr>
          <w:trHeight w:val="624"/>
        </w:trPr>
        <w:tc>
          <w:tcPr>
            <w:tcW w:w="1484" w:type="dxa"/>
            <w:tcBorders>
              <w:top w:val="single" w:sz="4" w:space="0" w:color="auto"/>
              <w:left w:val="nil"/>
              <w:bottom w:val="single" w:sz="4" w:space="0" w:color="auto"/>
              <w:right w:val="single" w:sz="4" w:space="0" w:color="auto"/>
            </w:tcBorders>
            <w:vAlign w:val="center"/>
          </w:tcPr>
          <w:p w14:paraId="70AB5CB8" w14:textId="77777777" w:rsidR="0028690F" w:rsidRPr="00273A06" w:rsidRDefault="0028690F" w:rsidP="003D5CF4">
            <w:pPr>
              <w:pStyle w:val="TableText"/>
              <w:rPr>
                <w:rStyle w:val="Strong"/>
              </w:rPr>
            </w:pPr>
            <w:r w:rsidRPr="00273A06">
              <w:rPr>
                <w:rStyle w:val="Strong"/>
              </w:rPr>
              <w:t>Acceptable</w:t>
            </w:r>
          </w:p>
        </w:tc>
        <w:tc>
          <w:tcPr>
            <w:tcW w:w="3535" w:type="dxa"/>
            <w:tcBorders>
              <w:top w:val="single" w:sz="4" w:space="0" w:color="auto"/>
              <w:left w:val="single" w:sz="4" w:space="0" w:color="auto"/>
              <w:bottom w:val="single" w:sz="4" w:space="0" w:color="auto"/>
              <w:right w:val="single" w:sz="4" w:space="0" w:color="auto"/>
            </w:tcBorders>
            <w:vAlign w:val="center"/>
          </w:tcPr>
          <w:p w14:paraId="7910F201" w14:textId="77777777" w:rsidR="0028690F" w:rsidRPr="009E0FD3" w:rsidRDefault="0028690F" w:rsidP="003D5CF4">
            <w:pPr>
              <w:pStyle w:val="TableText"/>
            </w:pPr>
            <w:r w:rsidRPr="009E0FD3">
              <w:t>Agreement with assigned results. No statistical differences were noted for the sample pair assessed. No specific follow-up is recommended.</w:t>
            </w:r>
          </w:p>
        </w:tc>
        <w:tc>
          <w:tcPr>
            <w:tcW w:w="3784" w:type="dxa"/>
            <w:tcBorders>
              <w:top w:val="single" w:sz="4" w:space="0" w:color="auto"/>
              <w:left w:val="single" w:sz="4" w:space="0" w:color="auto"/>
              <w:bottom w:val="single" w:sz="4" w:space="0" w:color="auto"/>
              <w:right w:val="nil"/>
            </w:tcBorders>
            <w:vAlign w:val="center"/>
          </w:tcPr>
          <w:p w14:paraId="1A21179D" w14:textId="77777777" w:rsidR="0028690F" w:rsidRPr="009E0FD3" w:rsidRDefault="0028690F" w:rsidP="003D5CF4">
            <w:pPr>
              <w:pStyle w:val="TableText"/>
            </w:pPr>
            <w:r w:rsidRPr="009E0FD3">
              <w:t>Qualitative results align with assigned result.</w:t>
            </w:r>
          </w:p>
          <w:p w14:paraId="02939045" w14:textId="77777777" w:rsidR="0028690F" w:rsidRPr="009E0FD3" w:rsidRDefault="0028690F" w:rsidP="003D5CF4">
            <w:pPr>
              <w:pStyle w:val="TableText"/>
            </w:pPr>
            <w:r w:rsidRPr="009E0FD3">
              <w:t>No statistical outliers identified.</w:t>
            </w:r>
          </w:p>
        </w:tc>
      </w:tr>
      <w:tr w:rsidR="0028690F" w:rsidRPr="009E0FD3" w14:paraId="4447DBF7" w14:textId="77777777" w:rsidTr="00C001B0">
        <w:trPr>
          <w:trHeight w:val="624"/>
        </w:trPr>
        <w:tc>
          <w:tcPr>
            <w:tcW w:w="1484" w:type="dxa"/>
            <w:tcBorders>
              <w:top w:val="single" w:sz="4" w:space="0" w:color="auto"/>
              <w:left w:val="nil"/>
              <w:bottom w:val="single" w:sz="4" w:space="0" w:color="auto"/>
              <w:right w:val="single" w:sz="4" w:space="0" w:color="auto"/>
            </w:tcBorders>
            <w:vAlign w:val="center"/>
          </w:tcPr>
          <w:p w14:paraId="4592B363" w14:textId="77777777" w:rsidR="0028690F" w:rsidRPr="00273A06" w:rsidRDefault="0028690F" w:rsidP="003D5CF4">
            <w:pPr>
              <w:pStyle w:val="TableText"/>
              <w:rPr>
                <w:rStyle w:val="Strong"/>
              </w:rPr>
            </w:pPr>
            <w:r w:rsidRPr="00273A06">
              <w:rPr>
                <w:rStyle w:val="Strong"/>
              </w:rPr>
              <w:t>Acceptable with observation</w:t>
            </w:r>
          </w:p>
        </w:tc>
        <w:tc>
          <w:tcPr>
            <w:tcW w:w="3535" w:type="dxa"/>
            <w:tcBorders>
              <w:top w:val="single" w:sz="4" w:space="0" w:color="auto"/>
              <w:left w:val="single" w:sz="4" w:space="0" w:color="auto"/>
              <w:bottom w:val="single" w:sz="4" w:space="0" w:color="auto"/>
              <w:right w:val="single" w:sz="4" w:space="0" w:color="auto"/>
            </w:tcBorders>
            <w:vAlign w:val="center"/>
          </w:tcPr>
          <w:p w14:paraId="27F8A7F8" w14:textId="77777777" w:rsidR="0028690F" w:rsidRPr="009E0FD3" w:rsidRDefault="0028690F" w:rsidP="003D5CF4">
            <w:pPr>
              <w:pStyle w:val="TableText"/>
              <w:rPr>
                <w:color w:val="00B050"/>
              </w:rPr>
            </w:pPr>
            <w:r w:rsidRPr="00DB150B">
              <w:rPr>
                <w:color w:val="005F00"/>
              </w:rPr>
              <w:t>Qualitative results are acceptable. Statistical differences are noted but not considered significant. No specific follow-up is recommended.</w:t>
            </w:r>
          </w:p>
        </w:tc>
        <w:tc>
          <w:tcPr>
            <w:tcW w:w="3784" w:type="dxa"/>
            <w:tcBorders>
              <w:top w:val="single" w:sz="4" w:space="0" w:color="auto"/>
              <w:left w:val="single" w:sz="4" w:space="0" w:color="auto"/>
              <w:bottom w:val="single" w:sz="4" w:space="0" w:color="auto"/>
              <w:right w:val="nil"/>
            </w:tcBorders>
            <w:vAlign w:val="center"/>
          </w:tcPr>
          <w:p w14:paraId="0950A81E" w14:textId="77777777" w:rsidR="0028690F" w:rsidRPr="009E0FD3" w:rsidRDefault="0028690F" w:rsidP="003D5CF4">
            <w:pPr>
              <w:pStyle w:val="TableText"/>
            </w:pPr>
            <w:r w:rsidRPr="009E0FD3">
              <w:t>Qualitative results align with assigned result.</w:t>
            </w:r>
          </w:p>
          <w:p w14:paraId="764E4443" w14:textId="77777777" w:rsidR="0028690F" w:rsidRPr="009E0FD3" w:rsidRDefault="0028690F" w:rsidP="003D5CF4">
            <w:pPr>
              <w:pStyle w:val="TableText"/>
            </w:pPr>
            <w:r w:rsidRPr="009E0FD3">
              <w:t>Results may be identified as an outlier in the Youden plot.</w:t>
            </w:r>
          </w:p>
          <w:p w14:paraId="339DB57A" w14:textId="77777777" w:rsidR="0028690F" w:rsidRPr="009E0FD3" w:rsidRDefault="0028690F" w:rsidP="003D5CF4">
            <w:pPr>
              <w:pStyle w:val="TableText"/>
            </w:pPr>
            <w:r w:rsidRPr="009E0FD3">
              <w:t>Results may be identified as an outlier in Z-score assessment where they are &lt;-3 - indicating increased analytical sensitivity compared to the median for the samples assessed.</w:t>
            </w:r>
          </w:p>
        </w:tc>
      </w:tr>
      <w:tr w:rsidR="0028690F" w:rsidRPr="009E0FD3" w14:paraId="20B97EC0" w14:textId="77777777" w:rsidTr="00C001B0">
        <w:trPr>
          <w:trHeight w:val="624"/>
        </w:trPr>
        <w:tc>
          <w:tcPr>
            <w:tcW w:w="1484" w:type="dxa"/>
            <w:tcBorders>
              <w:top w:val="single" w:sz="4" w:space="0" w:color="auto"/>
              <w:left w:val="nil"/>
              <w:bottom w:val="single" w:sz="4" w:space="0" w:color="auto"/>
              <w:right w:val="single" w:sz="4" w:space="0" w:color="auto"/>
            </w:tcBorders>
            <w:vAlign w:val="center"/>
          </w:tcPr>
          <w:p w14:paraId="13CE79FC" w14:textId="77777777" w:rsidR="0028690F" w:rsidRPr="00273A06" w:rsidRDefault="0028690F" w:rsidP="003D5CF4">
            <w:pPr>
              <w:pStyle w:val="TableText"/>
              <w:rPr>
                <w:rStyle w:val="Strong"/>
              </w:rPr>
            </w:pPr>
            <w:r w:rsidRPr="00273A06">
              <w:rPr>
                <w:rStyle w:val="Strong"/>
              </w:rPr>
              <w:lastRenderedPageBreak/>
              <w:t>Acceptable with condition</w:t>
            </w:r>
          </w:p>
        </w:tc>
        <w:tc>
          <w:tcPr>
            <w:tcW w:w="3535" w:type="dxa"/>
            <w:tcBorders>
              <w:top w:val="single" w:sz="4" w:space="0" w:color="auto"/>
              <w:left w:val="single" w:sz="4" w:space="0" w:color="auto"/>
              <w:bottom w:val="single" w:sz="4" w:space="0" w:color="auto"/>
              <w:right w:val="single" w:sz="4" w:space="0" w:color="auto"/>
            </w:tcBorders>
            <w:vAlign w:val="center"/>
          </w:tcPr>
          <w:p w14:paraId="732A778F" w14:textId="77777777" w:rsidR="0028690F" w:rsidRPr="009E0FD3" w:rsidRDefault="0028690F" w:rsidP="003D5CF4">
            <w:pPr>
              <w:pStyle w:val="TableText"/>
              <w:rPr>
                <w:color w:val="F79646"/>
              </w:rPr>
            </w:pPr>
            <w:r w:rsidRPr="00DB150B">
              <w:rPr>
                <w:color w:val="C05300"/>
              </w:rPr>
              <w:t>Qualitative results are acceptable. Statistical discrepancies are noted that warrant review.</w:t>
            </w:r>
          </w:p>
        </w:tc>
        <w:tc>
          <w:tcPr>
            <w:tcW w:w="3784" w:type="dxa"/>
            <w:tcBorders>
              <w:top w:val="single" w:sz="4" w:space="0" w:color="auto"/>
              <w:left w:val="single" w:sz="4" w:space="0" w:color="auto"/>
              <w:bottom w:val="single" w:sz="4" w:space="0" w:color="auto"/>
              <w:right w:val="nil"/>
            </w:tcBorders>
            <w:vAlign w:val="center"/>
          </w:tcPr>
          <w:p w14:paraId="3F399FF0" w14:textId="77777777" w:rsidR="0028690F" w:rsidRPr="009E0FD3" w:rsidRDefault="0028690F" w:rsidP="003D5CF4">
            <w:pPr>
              <w:pStyle w:val="TableText"/>
            </w:pPr>
            <w:r w:rsidRPr="009E0FD3">
              <w:t>Qualitative results align with assigned result. Results are identified as an outlier in the Z-score (and as a result the Youden plot) and are greater than the median.</w:t>
            </w:r>
          </w:p>
        </w:tc>
      </w:tr>
      <w:tr w:rsidR="0028690F" w:rsidRPr="009E0FD3" w14:paraId="54560C9E" w14:textId="77777777" w:rsidTr="00C001B0">
        <w:trPr>
          <w:trHeight w:val="624"/>
        </w:trPr>
        <w:tc>
          <w:tcPr>
            <w:tcW w:w="1484" w:type="dxa"/>
            <w:tcBorders>
              <w:top w:val="single" w:sz="4" w:space="0" w:color="auto"/>
              <w:left w:val="nil"/>
              <w:bottom w:val="single" w:sz="4" w:space="0" w:color="auto"/>
              <w:right w:val="single" w:sz="4" w:space="0" w:color="auto"/>
            </w:tcBorders>
            <w:vAlign w:val="center"/>
          </w:tcPr>
          <w:p w14:paraId="074046F2" w14:textId="77777777" w:rsidR="0028690F" w:rsidRPr="00273A06" w:rsidRDefault="0028690F" w:rsidP="003D5CF4">
            <w:pPr>
              <w:pStyle w:val="TableText"/>
              <w:rPr>
                <w:rStyle w:val="Strong"/>
              </w:rPr>
            </w:pPr>
            <w:r w:rsidRPr="00273A06">
              <w:rPr>
                <w:rStyle w:val="Strong"/>
              </w:rPr>
              <w:t>Unacceptable</w:t>
            </w:r>
          </w:p>
        </w:tc>
        <w:tc>
          <w:tcPr>
            <w:tcW w:w="3535" w:type="dxa"/>
            <w:tcBorders>
              <w:top w:val="single" w:sz="4" w:space="0" w:color="auto"/>
              <w:left w:val="single" w:sz="4" w:space="0" w:color="auto"/>
              <w:bottom w:val="single" w:sz="4" w:space="0" w:color="auto"/>
              <w:right w:val="single" w:sz="4" w:space="0" w:color="auto"/>
            </w:tcBorders>
            <w:vAlign w:val="center"/>
          </w:tcPr>
          <w:p w14:paraId="47EE786C" w14:textId="77777777" w:rsidR="0028690F" w:rsidRPr="009E0FD3" w:rsidRDefault="0028690F" w:rsidP="003D5CF4">
            <w:pPr>
              <w:pStyle w:val="TableText"/>
              <w:rPr>
                <w:color w:val="FF0000"/>
              </w:rPr>
            </w:pPr>
            <w:r w:rsidRPr="009E0FD3">
              <w:rPr>
                <w:color w:val="FF0000"/>
              </w:rPr>
              <w:t>Results do not agree with assigned values. Review of procedures is highly recommended.</w:t>
            </w:r>
          </w:p>
        </w:tc>
        <w:tc>
          <w:tcPr>
            <w:tcW w:w="3784" w:type="dxa"/>
            <w:tcBorders>
              <w:top w:val="single" w:sz="4" w:space="0" w:color="auto"/>
              <w:left w:val="single" w:sz="4" w:space="0" w:color="auto"/>
              <w:bottom w:val="single" w:sz="4" w:space="0" w:color="auto"/>
              <w:right w:val="nil"/>
            </w:tcBorders>
            <w:vAlign w:val="center"/>
          </w:tcPr>
          <w:p w14:paraId="228E9E27" w14:textId="77777777" w:rsidR="0028690F" w:rsidRPr="009E0FD3" w:rsidRDefault="0028690F" w:rsidP="003D5CF4">
            <w:pPr>
              <w:pStyle w:val="TableText"/>
            </w:pPr>
            <w:r w:rsidRPr="009E0FD3">
              <w:t>Irrespective of statistical analysis, qualitative results do not align with assigned results.</w:t>
            </w:r>
          </w:p>
        </w:tc>
      </w:tr>
      <w:tr w:rsidR="0028690F" w:rsidRPr="009E0FD3" w14:paraId="2AF3A4D2" w14:textId="77777777" w:rsidTr="00C001B0">
        <w:trPr>
          <w:trHeight w:val="624"/>
        </w:trPr>
        <w:tc>
          <w:tcPr>
            <w:tcW w:w="1484" w:type="dxa"/>
            <w:tcBorders>
              <w:top w:val="single" w:sz="4" w:space="0" w:color="auto"/>
              <w:left w:val="nil"/>
              <w:bottom w:val="nil"/>
              <w:right w:val="single" w:sz="4" w:space="0" w:color="auto"/>
            </w:tcBorders>
            <w:vAlign w:val="center"/>
          </w:tcPr>
          <w:p w14:paraId="042EEA0F" w14:textId="77777777" w:rsidR="0028690F" w:rsidRPr="00273A06" w:rsidRDefault="0028690F" w:rsidP="003D5CF4">
            <w:pPr>
              <w:pStyle w:val="TableText"/>
              <w:rPr>
                <w:rStyle w:val="Strong"/>
              </w:rPr>
            </w:pPr>
            <w:r w:rsidRPr="00273A06">
              <w:rPr>
                <w:rStyle w:val="Strong"/>
              </w:rPr>
              <w:t>Observation</w:t>
            </w:r>
          </w:p>
        </w:tc>
        <w:tc>
          <w:tcPr>
            <w:tcW w:w="7319" w:type="dxa"/>
            <w:gridSpan w:val="2"/>
            <w:tcBorders>
              <w:top w:val="single" w:sz="4" w:space="0" w:color="auto"/>
              <w:left w:val="single" w:sz="4" w:space="0" w:color="auto"/>
              <w:bottom w:val="nil"/>
              <w:right w:val="nil"/>
            </w:tcBorders>
            <w:vAlign w:val="center"/>
          </w:tcPr>
          <w:p w14:paraId="16D60111" w14:textId="77777777" w:rsidR="0028690F" w:rsidRPr="009E0FD3" w:rsidRDefault="0028690F" w:rsidP="003D5CF4">
            <w:pPr>
              <w:pStyle w:val="TableText"/>
            </w:pPr>
            <w:r w:rsidRPr="009E0FD3">
              <w:t>Observations noted about test results for additional assays performed beyond the scope of the PT panel.</w:t>
            </w:r>
          </w:p>
        </w:tc>
      </w:tr>
    </w:tbl>
    <w:p w14:paraId="6DE6189A" w14:textId="77777777" w:rsidR="003D5CF4" w:rsidRDefault="003D5CF4" w:rsidP="0028690F"/>
    <w:p w14:paraId="0FA8170D" w14:textId="5E2DF0B8" w:rsidR="00DC1C52" w:rsidRDefault="007F7F8D" w:rsidP="00DC1C52">
      <w:r>
        <w:t xml:space="preserve">Statistical analysis </w:t>
      </w:r>
      <w:r w:rsidR="008553FE">
        <w:t xml:space="preserve">provided a </w:t>
      </w:r>
      <w:r w:rsidR="004221AA">
        <w:t>Z</w:t>
      </w:r>
      <w:r w:rsidR="008553FE">
        <w:t xml:space="preserve">-score which </w:t>
      </w:r>
      <w:r w:rsidR="000F387E">
        <w:t xml:space="preserve">compared a </w:t>
      </w:r>
      <w:r w:rsidR="00AD1420">
        <w:t>laboratory result</w:t>
      </w:r>
      <w:r w:rsidR="000F387E">
        <w:t xml:space="preserve"> to the group median (and quartiles) and assessed the difference in Ct values reported by each laboratory. </w:t>
      </w:r>
      <w:r w:rsidR="00DC1C52">
        <w:t xml:space="preserve">Z-scores indicate how many standard deviations a data point (in this case, a laboratory CT result) is from the mean. </w:t>
      </w:r>
      <w:r w:rsidR="00356A5A">
        <w:t xml:space="preserve">Youden plots were used to analyse real time </w:t>
      </w:r>
      <w:r w:rsidR="00170D08">
        <w:t xml:space="preserve">PCR </w:t>
      </w:r>
      <w:r w:rsidR="00356A5A">
        <w:t>data</w:t>
      </w:r>
      <w:r w:rsidR="005369B1">
        <w:t>.</w:t>
      </w:r>
      <w:r w:rsidR="00DC1C52">
        <w:t xml:space="preserve"> These are graphs used to evaluate laboratory performance results; the closer the plot points to the central diagonal line, the more accurate the diagnostic result was to the reference sample.</w:t>
      </w:r>
    </w:p>
    <w:p w14:paraId="2940494E" w14:textId="5E30810C" w:rsidR="00DF2776" w:rsidRDefault="005369B1" w:rsidP="00DF2776">
      <w:r>
        <w:t>R</w:t>
      </w:r>
      <w:r w:rsidR="00C460DC">
        <w:t xml:space="preserve">esults outside the produced ellipse may have resulted in </w:t>
      </w:r>
      <w:r w:rsidR="00DA5E1F">
        <w:t>the additional assessment comments for the laboratory as it indicates a data point outside the 99</w:t>
      </w:r>
      <w:r w:rsidR="00DA5E1F" w:rsidRPr="00DA5E1F">
        <w:rPr>
          <w:vertAlign w:val="superscript"/>
        </w:rPr>
        <w:t>th</w:t>
      </w:r>
      <w:r w:rsidR="00DA5E1F">
        <w:t xml:space="preserve"> percentile boundary</w:t>
      </w:r>
      <w:r w:rsidR="00E54A6F">
        <w:t xml:space="preserve"> for median Ct values. </w:t>
      </w:r>
      <w:r w:rsidR="002A4341">
        <w:t>Data was provided in</w:t>
      </w:r>
      <w:r w:rsidR="00F10100">
        <w:t xml:space="preserve"> combination of</w:t>
      </w:r>
      <w:r w:rsidR="002A4341">
        <w:t xml:space="preserve"> graphs and tables. </w:t>
      </w:r>
      <w:r w:rsidR="00DF2776">
        <w:t xml:space="preserve">An example is provided in the </w:t>
      </w:r>
      <w:r w:rsidR="00DF2776">
        <w:rPr>
          <w:lang w:eastAsia="en-AU"/>
        </w:rPr>
        <w:t xml:space="preserve">summary, </w:t>
      </w:r>
      <w:r w:rsidR="00E46FB0">
        <w:fldChar w:fldCharType="begin"/>
      </w:r>
      <w:r w:rsidR="00E46FB0">
        <w:rPr>
          <w:lang w:eastAsia="en-AU"/>
        </w:rPr>
        <w:instrText xml:space="preserve"> REF _Ref214554808 \h </w:instrText>
      </w:r>
      <w:r w:rsidR="00E46FB0">
        <w:fldChar w:fldCharType="separate"/>
      </w:r>
      <w:r w:rsidR="00491B46">
        <w:t xml:space="preserve">Table </w:t>
      </w:r>
      <w:r w:rsidR="00491B46">
        <w:rPr>
          <w:noProof/>
        </w:rPr>
        <w:t>3</w:t>
      </w:r>
      <w:r w:rsidR="00491B46">
        <w:t xml:space="preserve"> </w:t>
      </w:r>
      <w:r w:rsidR="00491B46">
        <w:rPr>
          <w:lang w:eastAsia="en-AU"/>
        </w:rPr>
        <w:t>Example results summary table</w:t>
      </w:r>
      <w:r w:rsidR="00E46FB0">
        <w:fldChar w:fldCharType="end"/>
      </w:r>
      <w:r w:rsidR="00184231">
        <w:t xml:space="preserve">,  </w:t>
      </w:r>
      <w:r w:rsidR="00DF2776">
        <w:rPr>
          <w:lang w:eastAsia="en-AU"/>
        </w:rPr>
        <w:t xml:space="preserve">which compares the results of conventional PCR performed on KHV samples. </w:t>
      </w:r>
      <w:r w:rsidR="00D673DF">
        <w:rPr>
          <w:lang w:eastAsia="en-AU"/>
        </w:rPr>
        <w:t>Eight</w:t>
      </w:r>
      <w:r w:rsidR="00DF2776">
        <w:rPr>
          <w:lang w:eastAsia="en-AU"/>
        </w:rPr>
        <w:t xml:space="preserve"> of 10 laboratories submitted results that aligned with the assigned values.</w:t>
      </w:r>
    </w:p>
    <w:p w14:paraId="412C91D5" w14:textId="7BE610F2" w:rsidR="007231A0" w:rsidRDefault="00D25BDE" w:rsidP="00D25BDE">
      <w:pPr>
        <w:pStyle w:val="Caption"/>
        <w:rPr>
          <w:lang w:eastAsia="en-AU"/>
        </w:rPr>
      </w:pPr>
      <w:bookmarkStart w:id="50" w:name="Table3"/>
      <w:bookmarkStart w:id="51" w:name="_Toc184123131"/>
      <w:bookmarkStart w:id="52" w:name="_Ref214554808"/>
      <w:r>
        <w:t xml:space="preserve">Table </w:t>
      </w:r>
      <w:r>
        <w:fldChar w:fldCharType="begin"/>
      </w:r>
      <w:r>
        <w:instrText xml:space="preserve"> SEQ Table \* ARABIC </w:instrText>
      </w:r>
      <w:r>
        <w:fldChar w:fldCharType="separate"/>
      </w:r>
      <w:r w:rsidR="00491B46">
        <w:rPr>
          <w:noProof/>
        </w:rPr>
        <w:t>3</w:t>
      </w:r>
      <w:r>
        <w:fldChar w:fldCharType="end"/>
      </w:r>
      <w:bookmarkEnd w:id="50"/>
      <w:r>
        <w:t xml:space="preserve"> </w:t>
      </w:r>
      <w:r w:rsidR="00AF44FA">
        <w:rPr>
          <w:lang w:eastAsia="en-AU"/>
        </w:rPr>
        <w:t>Example results summary table</w:t>
      </w:r>
      <w:bookmarkEnd w:id="51"/>
      <w:bookmarkEnd w:id="52"/>
      <w:r w:rsidR="00AF44FA">
        <w:rPr>
          <w:lang w:eastAsia="en-AU"/>
        </w:rPr>
        <w:t xml:space="preserve"> </w:t>
      </w:r>
    </w:p>
    <w:tbl>
      <w:tblPr>
        <w:tblStyle w:val="TableGrid"/>
        <w:tblW w:w="0" w:type="auto"/>
        <w:tblLook w:val="04A0" w:firstRow="1" w:lastRow="0" w:firstColumn="1" w:lastColumn="0" w:noHBand="0" w:noVBand="1"/>
      </w:tblPr>
      <w:tblGrid>
        <w:gridCol w:w="513"/>
        <w:gridCol w:w="499"/>
        <w:gridCol w:w="649"/>
        <w:gridCol w:w="649"/>
        <w:gridCol w:w="649"/>
        <w:gridCol w:w="649"/>
        <w:gridCol w:w="649"/>
        <w:gridCol w:w="930"/>
        <w:gridCol w:w="649"/>
        <w:gridCol w:w="864"/>
        <w:gridCol w:w="649"/>
        <w:gridCol w:w="649"/>
        <w:gridCol w:w="774"/>
      </w:tblGrid>
      <w:tr w:rsidR="00DC1C52" w:rsidRPr="00DC1C52" w14:paraId="7086AC18" w14:textId="77777777" w:rsidTr="00C001B0">
        <w:trPr>
          <w:trHeight w:val="290"/>
        </w:trPr>
        <w:tc>
          <w:tcPr>
            <w:tcW w:w="0" w:type="auto"/>
            <w:noWrap/>
            <w:hideMark/>
          </w:tcPr>
          <w:p w14:paraId="233C32FB" w14:textId="77777777" w:rsidR="00DC1C52" w:rsidRPr="00C001B0" w:rsidRDefault="00DC1C52" w:rsidP="00C001B0">
            <w:pPr>
              <w:pStyle w:val="TableHeading"/>
              <w:rPr>
                <w:sz w:val="12"/>
                <w:szCs w:val="16"/>
                <w:lang w:eastAsia="en-AU"/>
              </w:rPr>
            </w:pPr>
            <w:r w:rsidRPr="00C001B0">
              <w:rPr>
                <w:sz w:val="12"/>
                <w:szCs w:val="16"/>
                <w:lang w:eastAsia="en-AU"/>
              </w:rPr>
              <w:t>Agent</w:t>
            </w:r>
          </w:p>
        </w:tc>
        <w:tc>
          <w:tcPr>
            <w:tcW w:w="0" w:type="auto"/>
            <w:noWrap/>
            <w:hideMark/>
          </w:tcPr>
          <w:p w14:paraId="577C861F" w14:textId="77777777" w:rsidR="00DC1C52" w:rsidRPr="00C001B0" w:rsidRDefault="00DC1C52" w:rsidP="00C001B0">
            <w:pPr>
              <w:pStyle w:val="TableHeading"/>
              <w:rPr>
                <w:sz w:val="12"/>
                <w:szCs w:val="16"/>
                <w:lang w:eastAsia="en-AU"/>
              </w:rPr>
            </w:pPr>
            <w:r w:rsidRPr="00C001B0">
              <w:rPr>
                <w:sz w:val="12"/>
                <w:szCs w:val="16"/>
                <w:lang w:eastAsia="en-AU"/>
              </w:rPr>
              <w:t>Batch</w:t>
            </w:r>
          </w:p>
        </w:tc>
        <w:tc>
          <w:tcPr>
            <w:tcW w:w="0" w:type="auto"/>
            <w:noWrap/>
            <w:hideMark/>
          </w:tcPr>
          <w:p w14:paraId="5F324347" w14:textId="77777777" w:rsidR="00DC1C52" w:rsidRPr="00C001B0" w:rsidRDefault="00DC1C52" w:rsidP="00C001B0">
            <w:pPr>
              <w:pStyle w:val="TableHeading"/>
              <w:rPr>
                <w:sz w:val="12"/>
                <w:szCs w:val="16"/>
                <w:lang w:eastAsia="en-AU"/>
              </w:rPr>
            </w:pPr>
            <w:r w:rsidRPr="00C001B0">
              <w:rPr>
                <w:sz w:val="12"/>
                <w:szCs w:val="16"/>
                <w:lang w:eastAsia="en-AU"/>
              </w:rPr>
              <w:t>C1</w:t>
            </w:r>
          </w:p>
        </w:tc>
        <w:tc>
          <w:tcPr>
            <w:tcW w:w="0" w:type="auto"/>
            <w:noWrap/>
            <w:hideMark/>
          </w:tcPr>
          <w:p w14:paraId="264BE9D7" w14:textId="77777777" w:rsidR="00DC1C52" w:rsidRPr="00C001B0" w:rsidRDefault="00DC1C52" w:rsidP="00C001B0">
            <w:pPr>
              <w:pStyle w:val="TableHeading"/>
              <w:rPr>
                <w:sz w:val="12"/>
                <w:szCs w:val="16"/>
                <w:lang w:eastAsia="en-AU"/>
              </w:rPr>
            </w:pPr>
            <w:r w:rsidRPr="00C001B0">
              <w:rPr>
                <w:sz w:val="12"/>
                <w:szCs w:val="16"/>
                <w:lang w:eastAsia="en-AU"/>
              </w:rPr>
              <w:t>F1</w:t>
            </w:r>
          </w:p>
        </w:tc>
        <w:tc>
          <w:tcPr>
            <w:tcW w:w="0" w:type="auto"/>
            <w:noWrap/>
            <w:hideMark/>
          </w:tcPr>
          <w:p w14:paraId="495697ED" w14:textId="77777777" w:rsidR="00DC1C52" w:rsidRPr="00C001B0" w:rsidRDefault="00DC1C52" w:rsidP="00C001B0">
            <w:pPr>
              <w:pStyle w:val="TableHeading"/>
              <w:rPr>
                <w:sz w:val="12"/>
                <w:szCs w:val="16"/>
                <w:lang w:eastAsia="en-AU"/>
              </w:rPr>
            </w:pPr>
            <w:r w:rsidRPr="00C001B0">
              <w:rPr>
                <w:sz w:val="12"/>
                <w:szCs w:val="16"/>
                <w:lang w:eastAsia="en-AU"/>
              </w:rPr>
              <w:t xml:space="preserve">H1 </w:t>
            </w:r>
          </w:p>
        </w:tc>
        <w:tc>
          <w:tcPr>
            <w:tcW w:w="0" w:type="auto"/>
            <w:noWrap/>
            <w:hideMark/>
          </w:tcPr>
          <w:p w14:paraId="1A0F2921" w14:textId="77777777" w:rsidR="00DC1C52" w:rsidRPr="00C001B0" w:rsidRDefault="00DC1C52" w:rsidP="00C001B0">
            <w:pPr>
              <w:pStyle w:val="TableHeading"/>
              <w:rPr>
                <w:sz w:val="12"/>
                <w:szCs w:val="16"/>
                <w:lang w:eastAsia="en-AU"/>
              </w:rPr>
            </w:pPr>
            <w:r w:rsidRPr="00C001B0">
              <w:rPr>
                <w:sz w:val="12"/>
                <w:szCs w:val="16"/>
                <w:lang w:eastAsia="en-AU"/>
              </w:rPr>
              <w:t>I1</w:t>
            </w:r>
          </w:p>
        </w:tc>
        <w:tc>
          <w:tcPr>
            <w:tcW w:w="0" w:type="auto"/>
            <w:noWrap/>
            <w:hideMark/>
          </w:tcPr>
          <w:p w14:paraId="52A99C25" w14:textId="77777777" w:rsidR="00DC1C52" w:rsidRPr="00C001B0" w:rsidRDefault="00DC1C52" w:rsidP="00C001B0">
            <w:pPr>
              <w:pStyle w:val="TableHeading"/>
              <w:rPr>
                <w:sz w:val="12"/>
                <w:szCs w:val="16"/>
                <w:lang w:eastAsia="en-AU"/>
              </w:rPr>
            </w:pPr>
            <w:r w:rsidRPr="00C001B0">
              <w:rPr>
                <w:sz w:val="12"/>
                <w:szCs w:val="16"/>
                <w:lang w:eastAsia="en-AU"/>
              </w:rPr>
              <w:t>R1</w:t>
            </w:r>
          </w:p>
        </w:tc>
        <w:tc>
          <w:tcPr>
            <w:tcW w:w="0" w:type="auto"/>
            <w:noWrap/>
            <w:hideMark/>
          </w:tcPr>
          <w:p w14:paraId="4FD82A61" w14:textId="77777777" w:rsidR="00DC1C52" w:rsidRPr="00C001B0" w:rsidRDefault="00DC1C52" w:rsidP="00C001B0">
            <w:pPr>
              <w:pStyle w:val="TableHeading"/>
              <w:rPr>
                <w:sz w:val="12"/>
                <w:szCs w:val="16"/>
                <w:lang w:eastAsia="en-AU"/>
              </w:rPr>
            </w:pPr>
            <w:r w:rsidRPr="00C001B0">
              <w:rPr>
                <w:sz w:val="12"/>
                <w:szCs w:val="16"/>
                <w:lang w:eastAsia="en-AU"/>
              </w:rPr>
              <w:t>T1</w:t>
            </w:r>
          </w:p>
        </w:tc>
        <w:tc>
          <w:tcPr>
            <w:tcW w:w="0" w:type="auto"/>
            <w:noWrap/>
            <w:hideMark/>
          </w:tcPr>
          <w:p w14:paraId="32DEBD81" w14:textId="77777777" w:rsidR="00DC1C52" w:rsidRPr="00C001B0" w:rsidRDefault="00DC1C52" w:rsidP="00C001B0">
            <w:pPr>
              <w:pStyle w:val="TableHeading"/>
              <w:rPr>
                <w:sz w:val="12"/>
                <w:szCs w:val="16"/>
                <w:lang w:eastAsia="en-AU"/>
              </w:rPr>
            </w:pPr>
            <w:r w:rsidRPr="00C001B0">
              <w:rPr>
                <w:sz w:val="12"/>
                <w:szCs w:val="16"/>
                <w:lang w:eastAsia="en-AU"/>
              </w:rPr>
              <w:t>U1</w:t>
            </w:r>
          </w:p>
        </w:tc>
        <w:tc>
          <w:tcPr>
            <w:tcW w:w="0" w:type="auto"/>
            <w:noWrap/>
            <w:hideMark/>
          </w:tcPr>
          <w:p w14:paraId="2618D7C7" w14:textId="77777777" w:rsidR="00DC1C52" w:rsidRPr="00C001B0" w:rsidRDefault="00DC1C52" w:rsidP="00C001B0">
            <w:pPr>
              <w:pStyle w:val="TableHeading"/>
              <w:rPr>
                <w:sz w:val="12"/>
                <w:szCs w:val="16"/>
                <w:lang w:eastAsia="en-AU"/>
              </w:rPr>
            </w:pPr>
            <w:r w:rsidRPr="00C001B0">
              <w:rPr>
                <w:sz w:val="12"/>
                <w:szCs w:val="16"/>
                <w:lang w:eastAsia="en-AU"/>
              </w:rPr>
              <w:t>AD1</w:t>
            </w:r>
          </w:p>
        </w:tc>
        <w:tc>
          <w:tcPr>
            <w:tcW w:w="0" w:type="auto"/>
            <w:noWrap/>
            <w:hideMark/>
          </w:tcPr>
          <w:p w14:paraId="221AC5EF" w14:textId="77777777" w:rsidR="00DC1C52" w:rsidRPr="00C001B0" w:rsidRDefault="00DC1C52" w:rsidP="00C001B0">
            <w:pPr>
              <w:pStyle w:val="TableHeading"/>
              <w:rPr>
                <w:sz w:val="12"/>
                <w:szCs w:val="16"/>
                <w:lang w:eastAsia="en-AU"/>
              </w:rPr>
            </w:pPr>
            <w:r w:rsidRPr="00C001B0">
              <w:rPr>
                <w:sz w:val="12"/>
                <w:szCs w:val="16"/>
                <w:lang w:eastAsia="en-AU"/>
              </w:rPr>
              <w:t>AN1</w:t>
            </w:r>
          </w:p>
        </w:tc>
        <w:tc>
          <w:tcPr>
            <w:tcW w:w="0" w:type="auto"/>
            <w:noWrap/>
            <w:hideMark/>
          </w:tcPr>
          <w:p w14:paraId="78283717" w14:textId="77777777" w:rsidR="00DC1C52" w:rsidRPr="00C001B0" w:rsidRDefault="00DC1C52" w:rsidP="00C001B0">
            <w:pPr>
              <w:pStyle w:val="TableHeading"/>
              <w:rPr>
                <w:sz w:val="12"/>
                <w:szCs w:val="16"/>
                <w:lang w:eastAsia="en-AU"/>
              </w:rPr>
            </w:pPr>
            <w:r w:rsidRPr="00C001B0">
              <w:rPr>
                <w:sz w:val="12"/>
                <w:szCs w:val="16"/>
                <w:lang w:eastAsia="en-AU"/>
              </w:rPr>
              <w:t>AT1</w:t>
            </w:r>
          </w:p>
        </w:tc>
        <w:tc>
          <w:tcPr>
            <w:tcW w:w="0" w:type="auto"/>
            <w:noWrap/>
            <w:hideMark/>
          </w:tcPr>
          <w:p w14:paraId="39D66252" w14:textId="77777777" w:rsidR="00DC1C52" w:rsidRPr="00C001B0" w:rsidRDefault="00DC1C52" w:rsidP="00C001B0">
            <w:pPr>
              <w:pStyle w:val="TableHeading"/>
              <w:rPr>
                <w:sz w:val="12"/>
                <w:szCs w:val="16"/>
                <w:lang w:eastAsia="en-AU"/>
              </w:rPr>
            </w:pPr>
            <w:r w:rsidRPr="00C001B0">
              <w:rPr>
                <w:sz w:val="12"/>
                <w:szCs w:val="16"/>
                <w:lang w:eastAsia="en-AU"/>
              </w:rPr>
              <w:t xml:space="preserve">Agreement </w:t>
            </w:r>
          </w:p>
        </w:tc>
      </w:tr>
      <w:tr w:rsidR="00DC1C52" w:rsidRPr="00DC1C52" w14:paraId="714B341A" w14:textId="77777777" w:rsidTr="00C001B0">
        <w:trPr>
          <w:trHeight w:val="290"/>
        </w:trPr>
        <w:tc>
          <w:tcPr>
            <w:tcW w:w="0" w:type="auto"/>
            <w:noWrap/>
            <w:hideMark/>
          </w:tcPr>
          <w:p w14:paraId="7984F96B" w14:textId="77777777" w:rsidR="00DC1C52" w:rsidRPr="00C001B0" w:rsidRDefault="00DC1C52" w:rsidP="00C001B0">
            <w:pPr>
              <w:pStyle w:val="TableText"/>
              <w:rPr>
                <w:sz w:val="12"/>
                <w:szCs w:val="16"/>
                <w:lang w:eastAsia="en-AU"/>
              </w:rPr>
            </w:pPr>
            <w:r w:rsidRPr="00C001B0">
              <w:rPr>
                <w:sz w:val="12"/>
                <w:szCs w:val="16"/>
                <w:lang w:eastAsia="en-AU"/>
              </w:rPr>
              <w:t>KHV</w:t>
            </w:r>
          </w:p>
        </w:tc>
        <w:tc>
          <w:tcPr>
            <w:tcW w:w="0" w:type="auto"/>
            <w:noWrap/>
            <w:hideMark/>
          </w:tcPr>
          <w:p w14:paraId="7D6182DE" w14:textId="77777777" w:rsidR="00DC1C52" w:rsidRPr="00C001B0" w:rsidRDefault="00DC1C52" w:rsidP="00C001B0">
            <w:pPr>
              <w:pStyle w:val="TableText"/>
              <w:rPr>
                <w:sz w:val="12"/>
                <w:szCs w:val="16"/>
                <w:lang w:eastAsia="en-AU"/>
              </w:rPr>
            </w:pPr>
            <w:r w:rsidRPr="00C001B0">
              <w:rPr>
                <w:sz w:val="12"/>
                <w:szCs w:val="16"/>
                <w:lang w:eastAsia="en-AU"/>
              </w:rPr>
              <w:t>Mod</w:t>
            </w:r>
          </w:p>
        </w:tc>
        <w:tc>
          <w:tcPr>
            <w:tcW w:w="0" w:type="auto"/>
            <w:noWrap/>
            <w:hideMark/>
          </w:tcPr>
          <w:p w14:paraId="20E66860"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423EE9BD"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0299E0B7"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644E72EB"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309B822F"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58DE0343" w14:textId="77777777" w:rsidR="00DC1C52" w:rsidRPr="00C001B0" w:rsidRDefault="00DC1C52" w:rsidP="00C001B0">
            <w:pPr>
              <w:pStyle w:val="TableText"/>
              <w:rPr>
                <w:sz w:val="12"/>
                <w:szCs w:val="16"/>
                <w:lang w:eastAsia="en-AU"/>
              </w:rPr>
            </w:pPr>
            <w:r w:rsidRPr="00C001B0">
              <w:rPr>
                <w:sz w:val="12"/>
                <w:szCs w:val="16"/>
                <w:lang w:eastAsia="en-AU"/>
              </w:rPr>
              <w:t>Highly positive</w:t>
            </w:r>
          </w:p>
        </w:tc>
        <w:tc>
          <w:tcPr>
            <w:tcW w:w="0" w:type="auto"/>
            <w:noWrap/>
            <w:hideMark/>
          </w:tcPr>
          <w:p w14:paraId="58301866"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4824F2F2" w14:textId="77777777" w:rsidR="00DC1C52" w:rsidRPr="00C001B0" w:rsidRDefault="00DC1C52" w:rsidP="00C001B0">
            <w:pPr>
              <w:pStyle w:val="TableText"/>
              <w:rPr>
                <w:sz w:val="12"/>
                <w:szCs w:val="16"/>
                <w:lang w:eastAsia="en-AU"/>
              </w:rPr>
            </w:pPr>
            <w:r w:rsidRPr="00C001B0">
              <w:rPr>
                <w:sz w:val="12"/>
                <w:szCs w:val="16"/>
                <w:lang w:eastAsia="en-AU"/>
              </w:rPr>
              <w:t xml:space="preserve">Light positive </w:t>
            </w:r>
          </w:p>
        </w:tc>
        <w:tc>
          <w:tcPr>
            <w:tcW w:w="0" w:type="auto"/>
            <w:noWrap/>
            <w:hideMark/>
          </w:tcPr>
          <w:p w14:paraId="4C890B59"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40854294"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5357FB29" w14:textId="77777777" w:rsidR="00DC1C52" w:rsidRPr="00C001B0" w:rsidRDefault="00DC1C52" w:rsidP="00C001B0">
            <w:pPr>
              <w:pStyle w:val="TableText"/>
              <w:rPr>
                <w:sz w:val="12"/>
                <w:szCs w:val="16"/>
                <w:lang w:eastAsia="en-AU"/>
              </w:rPr>
            </w:pPr>
            <w:r w:rsidRPr="00C001B0">
              <w:rPr>
                <w:sz w:val="12"/>
                <w:szCs w:val="16"/>
                <w:lang w:eastAsia="en-AU"/>
              </w:rPr>
              <w:t>90%</w:t>
            </w:r>
          </w:p>
        </w:tc>
      </w:tr>
      <w:tr w:rsidR="00DC1C52" w:rsidRPr="00DC1C52" w14:paraId="35C3C17C" w14:textId="77777777" w:rsidTr="00C001B0">
        <w:trPr>
          <w:trHeight w:val="290"/>
        </w:trPr>
        <w:tc>
          <w:tcPr>
            <w:tcW w:w="0" w:type="auto"/>
            <w:noWrap/>
            <w:hideMark/>
          </w:tcPr>
          <w:p w14:paraId="6D1AABF9" w14:textId="77777777" w:rsidR="00DC1C52" w:rsidRPr="00C001B0" w:rsidRDefault="00DC1C52" w:rsidP="00C001B0">
            <w:pPr>
              <w:pStyle w:val="TableText"/>
              <w:rPr>
                <w:sz w:val="12"/>
                <w:szCs w:val="16"/>
                <w:lang w:eastAsia="en-AU"/>
              </w:rPr>
            </w:pPr>
            <w:r w:rsidRPr="00C001B0">
              <w:rPr>
                <w:sz w:val="12"/>
                <w:szCs w:val="16"/>
                <w:lang w:eastAsia="en-AU"/>
              </w:rPr>
              <w:t>KHV</w:t>
            </w:r>
          </w:p>
        </w:tc>
        <w:tc>
          <w:tcPr>
            <w:tcW w:w="0" w:type="auto"/>
            <w:noWrap/>
            <w:hideMark/>
          </w:tcPr>
          <w:p w14:paraId="33446A44" w14:textId="77777777" w:rsidR="00DC1C52" w:rsidRPr="00C001B0" w:rsidRDefault="00DC1C52" w:rsidP="00C001B0">
            <w:pPr>
              <w:pStyle w:val="TableText"/>
              <w:rPr>
                <w:sz w:val="12"/>
                <w:szCs w:val="16"/>
                <w:lang w:eastAsia="en-AU"/>
              </w:rPr>
            </w:pPr>
            <w:r w:rsidRPr="00C001B0">
              <w:rPr>
                <w:sz w:val="12"/>
                <w:szCs w:val="16"/>
                <w:lang w:eastAsia="en-AU"/>
              </w:rPr>
              <w:t>Weak</w:t>
            </w:r>
          </w:p>
        </w:tc>
        <w:tc>
          <w:tcPr>
            <w:tcW w:w="0" w:type="auto"/>
            <w:noWrap/>
            <w:hideMark/>
          </w:tcPr>
          <w:p w14:paraId="62AD8173"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354C154F"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42DA4D31"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4BD0344E"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0D737692"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2198778A" w14:textId="77777777" w:rsidR="00DC1C52" w:rsidRPr="00C001B0" w:rsidRDefault="00DC1C52" w:rsidP="00C001B0">
            <w:pPr>
              <w:pStyle w:val="TableText"/>
              <w:rPr>
                <w:sz w:val="12"/>
                <w:szCs w:val="16"/>
                <w:lang w:eastAsia="en-AU"/>
              </w:rPr>
            </w:pPr>
            <w:r w:rsidRPr="00C001B0">
              <w:rPr>
                <w:sz w:val="12"/>
                <w:szCs w:val="16"/>
                <w:lang w:eastAsia="en-AU"/>
              </w:rPr>
              <w:t>Mild positive</w:t>
            </w:r>
          </w:p>
        </w:tc>
        <w:tc>
          <w:tcPr>
            <w:tcW w:w="0" w:type="auto"/>
            <w:noWrap/>
            <w:hideMark/>
          </w:tcPr>
          <w:p w14:paraId="712E9AF5"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23FBA13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76395C4"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12754630"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38126BF1" w14:textId="77777777" w:rsidR="00DC1C52" w:rsidRPr="00C001B0" w:rsidRDefault="00DC1C52" w:rsidP="00C001B0">
            <w:pPr>
              <w:pStyle w:val="TableText"/>
              <w:rPr>
                <w:sz w:val="12"/>
                <w:szCs w:val="16"/>
                <w:lang w:eastAsia="en-AU"/>
              </w:rPr>
            </w:pPr>
            <w:r w:rsidRPr="00C001B0">
              <w:rPr>
                <w:sz w:val="12"/>
                <w:szCs w:val="16"/>
                <w:lang w:eastAsia="en-AU"/>
              </w:rPr>
              <w:t>90%</w:t>
            </w:r>
          </w:p>
        </w:tc>
      </w:tr>
      <w:tr w:rsidR="00DC1C52" w:rsidRPr="00DC1C52" w14:paraId="2F1B8345" w14:textId="77777777" w:rsidTr="00C001B0">
        <w:trPr>
          <w:trHeight w:val="290"/>
        </w:trPr>
        <w:tc>
          <w:tcPr>
            <w:tcW w:w="0" w:type="auto"/>
            <w:noWrap/>
            <w:hideMark/>
          </w:tcPr>
          <w:p w14:paraId="31E29015" w14:textId="77777777" w:rsidR="00DC1C52" w:rsidRPr="00C001B0" w:rsidRDefault="00DC1C52" w:rsidP="00C001B0">
            <w:pPr>
              <w:pStyle w:val="TableText"/>
              <w:rPr>
                <w:sz w:val="12"/>
                <w:szCs w:val="16"/>
                <w:lang w:eastAsia="en-AU"/>
              </w:rPr>
            </w:pPr>
            <w:r w:rsidRPr="00C001B0">
              <w:rPr>
                <w:sz w:val="12"/>
                <w:szCs w:val="16"/>
                <w:lang w:eastAsia="en-AU"/>
              </w:rPr>
              <w:t>KHV</w:t>
            </w:r>
          </w:p>
        </w:tc>
        <w:tc>
          <w:tcPr>
            <w:tcW w:w="0" w:type="auto"/>
            <w:noWrap/>
            <w:hideMark/>
          </w:tcPr>
          <w:p w14:paraId="5BBE4DE5" w14:textId="77777777" w:rsidR="00DC1C52" w:rsidRPr="00C001B0" w:rsidRDefault="00DC1C52" w:rsidP="00C001B0">
            <w:pPr>
              <w:pStyle w:val="TableText"/>
              <w:rPr>
                <w:sz w:val="12"/>
                <w:szCs w:val="16"/>
                <w:lang w:eastAsia="en-AU"/>
              </w:rPr>
            </w:pPr>
            <w:r w:rsidRPr="00C001B0">
              <w:rPr>
                <w:sz w:val="12"/>
                <w:szCs w:val="16"/>
                <w:lang w:eastAsia="en-AU"/>
              </w:rPr>
              <w:t>Weak</w:t>
            </w:r>
          </w:p>
        </w:tc>
        <w:tc>
          <w:tcPr>
            <w:tcW w:w="0" w:type="auto"/>
            <w:noWrap/>
            <w:hideMark/>
          </w:tcPr>
          <w:p w14:paraId="2EBF22FC"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75ADDA63"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299FF4B0"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787ACCFD"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1A1709F0"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00E4F1C4" w14:textId="77777777" w:rsidR="00DC1C52" w:rsidRPr="00C001B0" w:rsidRDefault="00DC1C52" w:rsidP="00C001B0">
            <w:pPr>
              <w:pStyle w:val="TableText"/>
              <w:rPr>
                <w:sz w:val="12"/>
                <w:szCs w:val="16"/>
                <w:lang w:eastAsia="en-AU"/>
              </w:rPr>
            </w:pPr>
            <w:r w:rsidRPr="00C001B0">
              <w:rPr>
                <w:sz w:val="12"/>
                <w:szCs w:val="16"/>
                <w:lang w:eastAsia="en-AU"/>
              </w:rPr>
              <w:t xml:space="preserve">Weak positive </w:t>
            </w:r>
          </w:p>
        </w:tc>
        <w:tc>
          <w:tcPr>
            <w:tcW w:w="0" w:type="auto"/>
            <w:noWrap/>
            <w:hideMark/>
          </w:tcPr>
          <w:p w14:paraId="6A1B9ACE"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400ED04A"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3598B11"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6D38B908" w14:textId="77777777" w:rsidR="00DC1C52" w:rsidRPr="00C001B0" w:rsidRDefault="00DC1C52" w:rsidP="00C001B0">
            <w:pPr>
              <w:pStyle w:val="TableText"/>
              <w:rPr>
                <w:sz w:val="12"/>
                <w:szCs w:val="16"/>
                <w:lang w:eastAsia="en-AU"/>
              </w:rPr>
            </w:pPr>
            <w:r w:rsidRPr="00C001B0">
              <w:rPr>
                <w:sz w:val="12"/>
                <w:szCs w:val="16"/>
                <w:lang w:eastAsia="en-AU"/>
              </w:rPr>
              <w:t>Positive</w:t>
            </w:r>
          </w:p>
        </w:tc>
        <w:tc>
          <w:tcPr>
            <w:tcW w:w="0" w:type="auto"/>
            <w:noWrap/>
            <w:hideMark/>
          </w:tcPr>
          <w:p w14:paraId="341F480A" w14:textId="77777777" w:rsidR="00DC1C52" w:rsidRPr="00C001B0" w:rsidRDefault="00DC1C52" w:rsidP="00C001B0">
            <w:pPr>
              <w:pStyle w:val="TableText"/>
              <w:rPr>
                <w:sz w:val="12"/>
                <w:szCs w:val="16"/>
                <w:lang w:eastAsia="en-AU"/>
              </w:rPr>
            </w:pPr>
            <w:r w:rsidRPr="00C001B0">
              <w:rPr>
                <w:sz w:val="12"/>
                <w:szCs w:val="16"/>
                <w:lang w:eastAsia="en-AU"/>
              </w:rPr>
              <w:t>90%</w:t>
            </w:r>
          </w:p>
        </w:tc>
      </w:tr>
      <w:tr w:rsidR="00DC1C52" w:rsidRPr="00DC1C52" w14:paraId="475584EC" w14:textId="77777777" w:rsidTr="00C001B0">
        <w:trPr>
          <w:trHeight w:val="290"/>
        </w:trPr>
        <w:tc>
          <w:tcPr>
            <w:tcW w:w="0" w:type="auto"/>
            <w:noWrap/>
            <w:hideMark/>
          </w:tcPr>
          <w:p w14:paraId="4D87CD86" w14:textId="77777777" w:rsidR="00DC1C52" w:rsidRPr="00C001B0" w:rsidRDefault="00DC1C52" w:rsidP="00C001B0">
            <w:pPr>
              <w:pStyle w:val="TableText"/>
              <w:rPr>
                <w:sz w:val="12"/>
                <w:szCs w:val="16"/>
                <w:lang w:eastAsia="en-AU"/>
              </w:rPr>
            </w:pPr>
            <w:r w:rsidRPr="00C001B0">
              <w:rPr>
                <w:sz w:val="12"/>
                <w:szCs w:val="16"/>
                <w:lang w:eastAsia="en-AU"/>
              </w:rPr>
              <w:t>RSIV</w:t>
            </w:r>
          </w:p>
        </w:tc>
        <w:tc>
          <w:tcPr>
            <w:tcW w:w="0" w:type="auto"/>
            <w:noWrap/>
            <w:hideMark/>
          </w:tcPr>
          <w:p w14:paraId="6DE47740" w14:textId="77777777" w:rsidR="00DC1C52" w:rsidRPr="00C001B0" w:rsidRDefault="00DC1C52" w:rsidP="00C001B0">
            <w:pPr>
              <w:pStyle w:val="TableText"/>
              <w:rPr>
                <w:sz w:val="12"/>
                <w:szCs w:val="16"/>
                <w:lang w:eastAsia="en-AU"/>
              </w:rPr>
            </w:pPr>
            <w:r w:rsidRPr="00C001B0">
              <w:rPr>
                <w:sz w:val="12"/>
                <w:szCs w:val="16"/>
                <w:lang w:eastAsia="en-AU"/>
              </w:rPr>
              <w:t>Mod</w:t>
            </w:r>
          </w:p>
        </w:tc>
        <w:tc>
          <w:tcPr>
            <w:tcW w:w="0" w:type="auto"/>
            <w:noWrap/>
            <w:hideMark/>
          </w:tcPr>
          <w:p w14:paraId="70BFCFD4"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994E258"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2FBBF3DB"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5886E0A3"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4964C360"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9A824E0"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29B678A"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EDFDB8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CF5549D"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ABBC69B"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0BEEB4B"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6DDED29E" w14:textId="77777777" w:rsidTr="00C001B0">
        <w:trPr>
          <w:trHeight w:val="290"/>
        </w:trPr>
        <w:tc>
          <w:tcPr>
            <w:tcW w:w="0" w:type="auto"/>
            <w:noWrap/>
            <w:hideMark/>
          </w:tcPr>
          <w:p w14:paraId="36D9220F" w14:textId="77777777" w:rsidR="00DC1C52" w:rsidRPr="00C001B0" w:rsidRDefault="00DC1C52" w:rsidP="00C001B0">
            <w:pPr>
              <w:pStyle w:val="TableText"/>
              <w:rPr>
                <w:sz w:val="12"/>
                <w:szCs w:val="16"/>
                <w:lang w:eastAsia="en-AU"/>
              </w:rPr>
            </w:pPr>
            <w:r w:rsidRPr="00C001B0">
              <w:rPr>
                <w:sz w:val="12"/>
                <w:szCs w:val="16"/>
                <w:lang w:eastAsia="en-AU"/>
              </w:rPr>
              <w:t>RSIV</w:t>
            </w:r>
          </w:p>
        </w:tc>
        <w:tc>
          <w:tcPr>
            <w:tcW w:w="0" w:type="auto"/>
            <w:noWrap/>
            <w:hideMark/>
          </w:tcPr>
          <w:p w14:paraId="42FC6880" w14:textId="77777777" w:rsidR="00DC1C52" w:rsidRPr="00C001B0" w:rsidRDefault="00DC1C52" w:rsidP="00C001B0">
            <w:pPr>
              <w:pStyle w:val="TableText"/>
              <w:rPr>
                <w:sz w:val="12"/>
                <w:szCs w:val="16"/>
                <w:lang w:eastAsia="en-AU"/>
              </w:rPr>
            </w:pPr>
            <w:r w:rsidRPr="00C001B0">
              <w:rPr>
                <w:sz w:val="12"/>
                <w:szCs w:val="16"/>
                <w:lang w:eastAsia="en-AU"/>
              </w:rPr>
              <w:t>Weak</w:t>
            </w:r>
          </w:p>
        </w:tc>
        <w:tc>
          <w:tcPr>
            <w:tcW w:w="0" w:type="auto"/>
            <w:noWrap/>
            <w:hideMark/>
          </w:tcPr>
          <w:p w14:paraId="6841C22D"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3DC323B8"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23E2EDA"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26980EFA"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328365FD"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5EC6B3B"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9DAABDA"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24FF6F9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6689977"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25D4717A"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21229EA"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293C09E1" w14:textId="77777777" w:rsidTr="00C001B0">
        <w:trPr>
          <w:trHeight w:val="290"/>
        </w:trPr>
        <w:tc>
          <w:tcPr>
            <w:tcW w:w="0" w:type="auto"/>
            <w:noWrap/>
            <w:hideMark/>
          </w:tcPr>
          <w:p w14:paraId="1842E4B9" w14:textId="77777777" w:rsidR="00DC1C52" w:rsidRPr="00C001B0" w:rsidRDefault="00DC1C52" w:rsidP="00C001B0">
            <w:pPr>
              <w:pStyle w:val="TableText"/>
              <w:rPr>
                <w:sz w:val="12"/>
                <w:szCs w:val="16"/>
                <w:lang w:eastAsia="en-AU"/>
              </w:rPr>
            </w:pPr>
            <w:r w:rsidRPr="00C001B0">
              <w:rPr>
                <w:sz w:val="12"/>
                <w:szCs w:val="16"/>
                <w:lang w:eastAsia="en-AU"/>
              </w:rPr>
              <w:t>RSIV</w:t>
            </w:r>
          </w:p>
        </w:tc>
        <w:tc>
          <w:tcPr>
            <w:tcW w:w="0" w:type="auto"/>
            <w:noWrap/>
            <w:hideMark/>
          </w:tcPr>
          <w:p w14:paraId="594D4148" w14:textId="77777777" w:rsidR="00DC1C52" w:rsidRPr="00C001B0" w:rsidRDefault="00DC1C52" w:rsidP="00C001B0">
            <w:pPr>
              <w:pStyle w:val="TableText"/>
              <w:rPr>
                <w:sz w:val="12"/>
                <w:szCs w:val="16"/>
                <w:lang w:eastAsia="en-AU"/>
              </w:rPr>
            </w:pPr>
            <w:r w:rsidRPr="00C001B0">
              <w:rPr>
                <w:sz w:val="12"/>
                <w:szCs w:val="16"/>
                <w:lang w:eastAsia="en-AU"/>
              </w:rPr>
              <w:t>Weak</w:t>
            </w:r>
          </w:p>
        </w:tc>
        <w:tc>
          <w:tcPr>
            <w:tcW w:w="0" w:type="auto"/>
            <w:noWrap/>
            <w:hideMark/>
          </w:tcPr>
          <w:p w14:paraId="03CE4A37"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1C01D867"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DD7B8A5"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27D34186"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6E857244"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07D8A93"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B39E439"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6F528BD"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6289FD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F8807DE"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0A29BB3"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4E64D57D" w14:textId="77777777" w:rsidTr="00C001B0">
        <w:trPr>
          <w:trHeight w:val="290"/>
        </w:trPr>
        <w:tc>
          <w:tcPr>
            <w:tcW w:w="0" w:type="auto"/>
            <w:noWrap/>
            <w:hideMark/>
          </w:tcPr>
          <w:p w14:paraId="7F53CD48" w14:textId="77777777" w:rsidR="00DC1C52" w:rsidRPr="00C001B0" w:rsidRDefault="00DC1C52" w:rsidP="00C001B0">
            <w:pPr>
              <w:pStyle w:val="TableText"/>
              <w:rPr>
                <w:sz w:val="12"/>
                <w:szCs w:val="16"/>
                <w:lang w:eastAsia="en-AU"/>
              </w:rPr>
            </w:pPr>
            <w:r w:rsidRPr="00C001B0">
              <w:rPr>
                <w:sz w:val="12"/>
                <w:szCs w:val="16"/>
                <w:lang w:eastAsia="en-AU"/>
              </w:rPr>
              <w:t>NNV</w:t>
            </w:r>
          </w:p>
        </w:tc>
        <w:tc>
          <w:tcPr>
            <w:tcW w:w="0" w:type="auto"/>
            <w:noWrap/>
            <w:hideMark/>
          </w:tcPr>
          <w:p w14:paraId="4CF74D79" w14:textId="77777777" w:rsidR="00DC1C52" w:rsidRPr="00C001B0" w:rsidRDefault="00DC1C52" w:rsidP="00C001B0">
            <w:pPr>
              <w:pStyle w:val="TableText"/>
              <w:rPr>
                <w:sz w:val="12"/>
                <w:szCs w:val="16"/>
                <w:lang w:eastAsia="en-AU"/>
              </w:rPr>
            </w:pPr>
            <w:r w:rsidRPr="00C001B0">
              <w:rPr>
                <w:sz w:val="12"/>
                <w:szCs w:val="16"/>
                <w:lang w:eastAsia="en-AU"/>
              </w:rPr>
              <w:t>Mod</w:t>
            </w:r>
          </w:p>
        </w:tc>
        <w:tc>
          <w:tcPr>
            <w:tcW w:w="0" w:type="auto"/>
            <w:noWrap/>
            <w:hideMark/>
          </w:tcPr>
          <w:p w14:paraId="466400C9"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57EF318"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72408B8D"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31368407"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1373D849"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E3D36E5"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D6FC8E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47A49D5"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26F7860"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969C86D"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4A3AD75D"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0F6C4EAF" w14:textId="77777777" w:rsidTr="00C001B0">
        <w:trPr>
          <w:trHeight w:val="290"/>
        </w:trPr>
        <w:tc>
          <w:tcPr>
            <w:tcW w:w="0" w:type="auto"/>
            <w:noWrap/>
            <w:hideMark/>
          </w:tcPr>
          <w:p w14:paraId="0D5EF9ED" w14:textId="77777777" w:rsidR="00DC1C52" w:rsidRPr="00C001B0" w:rsidRDefault="00DC1C52" w:rsidP="00C001B0">
            <w:pPr>
              <w:pStyle w:val="TableText"/>
              <w:rPr>
                <w:sz w:val="12"/>
                <w:szCs w:val="16"/>
                <w:lang w:eastAsia="en-AU"/>
              </w:rPr>
            </w:pPr>
            <w:r w:rsidRPr="00C001B0">
              <w:rPr>
                <w:sz w:val="12"/>
                <w:szCs w:val="16"/>
                <w:lang w:eastAsia="en-AU"/>
              </w:rPr>
              <w:t>NNV</w:t>
            </w:r>
          </w:p>
        </w:tc>
        <w:tc>
          <w:tcPr>
            <w:tcW w:w="0" w:type="auto"/>
            <w:noWrap/>
            <w:hideMark/>
          </w:tcPr>
          <w:p w14:paraId="0FA6A097" w14:textId="77777777" w:rsidR="00DC1C52" w:rsidRPr="00C001B0" w:rsidRDefault="00DC1C52" w:rsidP="00C001B0">
            <w:pPr>
              <w:pStyle w:val="TableText"/>
              <w:rPr>
                <w:sz w:val="12"/>
                <w:szCs w:val="16"/>
                <w:lang w:eastAsia="en-AU"/>
              </w:rPr>
            </w:pPr>
            <w:r w:rsidRPr="00C001B0">
              <w:rPr>
                <w:sz w:val="12"/>
                <w:szCs w:val="16"/>
                <w:lang w:eastAsia="en-AU"/>
              </w:rPr>
              <w:t>Mod</w:t>
            </w:r>
          </w:p>
        </w:tc>
        <w:tc>
          <w:tcPr>
            <w:tcW w:w="0" w:type="auto"/>
            <w:noWrap/>
            <w:hideMark/>
          </w:tcPr>
          <w:p w14:paraId="066B69C5"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61C564C9"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6CB85207"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762FBCAB"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2065DC24"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EBB19D4"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ADAE887"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B176F7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D1BFBC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596C92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4AF9822"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68981D3F" w14:textId="77777777" w:rsidTr="00C001B0">
        <w:trPr>
          <w:trHeight w:val="290"/>
        </w:trPr>
        <w:tc>
          <w:tcPr>
            <w:tcW w:w="0" w:type="auto"/>
            <w:noWrap/>
            <w:hideMark/>
          </w:tcPr>
          <w:p w14:paraId="49134CA4" w14:textId="77777777" w:rsidR="00DC1C52" w:rsidRPr="00C001B0" w:rsidRDefault="00DC1C52" w:rsidP="00C001B0">
            <w:pPr>
              <w:pStyle w:val="TableText"/>
              <w:rPr>
                <w:sz w:val="12"/>
                <w:szCs w:val="16"/>
                <w:lang w:eastAsia="en-AU"/>
              </w:rPr>
            </w:pPr>
            <w:r w:rsidRPr="00C001B0">
              <w:rPr>
                <w:sz w:val="12"/>
                <w:szCs w:val="16"/>
                <w:lang w:eastAsia="en-AU"/>
              </w:rPr>
              <w:t>NNV</w:t>
            </w:r>
          </w:p>
        </w:tc>
        <w:tc>
          <w:tcPr>
            <w:tcW w:w="0" w:type="auto"/>
            <w:noWrap/>
            <w:hideMark/>
          </w:tcPr>
          <w:p w14:paraId="04700AD8" w14:textId="77777777" w:rsidR="00DC1C52" w:rsidRPr="00C001B0" w:rsidRDefault="00DC1C52" w:rsidP="00C001B0">
            <w:pPr>
              <w:pStyle w:val="TableText"/>
              <w:rPr>
                <w:sz w:val="12"/>
                <w:szCs w:val="16"/>
                <w:lang w:eastAsia="en-AU"/>
              </w:rPr>
            </w:pPr>
            <w:r w:rsidRPr="00C001B0">
              <w:rPr>
                <w:sz w:val="12"/>
                <w:szCs w:val="16"/>
                <w:lang w:eastAsia="en-AU"/>
              </w:rPr>
              <w:t>Weak</w:t>
            </w:r>
          </w:p>
        </w:tc>
        <w:tc>
          <w:tcPr>
            <w:tcW w:w="0" w:type="auto"/>
            <w:noWrap/>
            <w:hideMark/>
          </w:tcPr>
          <w:p w14:paraId="595CBD16"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55CECCCF"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7993F68A"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3C660811"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31503870"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D91E65E"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13FA182"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123A75B"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FD83190"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3F2438C"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0160A5C"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0DA43239" w14:textId="77777777" w:rsidTr="00C001B0">
        <w:trPr>
          <w:trHeight w:val="290"/>
        </w:trPr>
        <w:tc>
          <w:tcPr>
            <w:tcW w:w="0" w:type="auto"/>
            <w:noWrap/>
            <w:hideMark/>
          </w:tcPr>
          <w:p w14:paraId="2EA6F213" w14:textId="77777777" w:rsidR="00DC1C52" w:rsidRPr="00C001B0" w:rsidRDefault="00DC1C52" w:rsidP="00C001B0">
            <w:pPr>
              <w:pStyle w:val="TableText"/>
              <w:rPr>
                <w:sz w:val="12"/>
                <w:szCs w:val="16"/>
                <w:lang w:eastAsia="en-AU"/>
              </w:rPr>
            </w:pPr>
            <w:r w:rsidRPr="00C001B0">
              <w:rPr>
                <w:sz w:val="12"/>
                <w:szCs w:val="16"/>
                <w:lang w:eastAsia="en-AU"/>
              </w:rPr>
              <w:t>SVCV</w:t>
            </w:r>
          </w:p>
        </w:tc>
        <w:tc>
          <w:tcPr>
            <w:tcW w:w="0" w:type="auto"/>
            <w:noWrap/>
            <w:hideMark/>
          </w:tcPr>
          <w:p w14:paraId="55A19180" w14:textId="77777777" w:rsidR="00DC1C52" w:rsidRPr="00C001B0" w:rsidRDefault="00DC1C52" w:rsidP="00C001B0">
            <w:pPr>
              <w:pStyle w:val="TableText"/>
              <w:rPr>
                <w:sz w:val="12"/>
                <w:szCs w:val="16"/>
                <w:lang w:eastAsia="en-AU"/>
              </w:rPr>
            </w:pPr>
            <w:r w:rsidRPr="00C001B0">
              <w:rPr>
                <w:sz w:val="12"/>
                <w:szCs w:val="16"/>
                <w:lang w:eastAsia="en-AU"/>
              </w:rPr>
              <w:t>Mod</w:t>
            </w:r>
          </w:p>
        </w:tc>
        <w:tc>
          <w:tcPr>
            <w:tcW w:w="0" w:type="auto"/>
            <w:noWrap/>
            <w:hideMark/>
          </w:tcPr>
          <w:p w14:paraId="3257CA18"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6CF0D874"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6EACBCE5"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73D7869D"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2E5424C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D12D35B"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64342B2"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D626B39"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23B84B44"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02C3635"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B288C88"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6AE89AED" w14:textId="77777777" w:rsidTr="00C001B0">
        <w:trPr>
          <w:trHeight w:val="290"/>
        </w:trPr>
        <w:tc>
          <w:tcPr>
            <w:tcW w:w="0" w:type="auto"/>
            <w:noWrap/>
            <w:hideMark/>
          </w:tcPr>
          <w:p w14:paraId="6F276F13" w14:textId="77777777" w:rsidR="00DC1C52" w:rsidRPr="00C001B0" w:rsidRDefault="00DC1C52" w:rsidP="00C001B0">
            <w:pPr>
              <w:pStyle w:val="TableText"/>
              <w:rPr>
                <w:sz w:val="12"/>
                <w:szCs w:val="16"/>
                <w:lang w:eastAsia="en-AU"/>
              </w:rPr>
            </w:pPr>
            <w:r w:rsidRPr="00C001B0">
              <w:rPr>
                <w:sz w:val="12"/>
                <w:szCs w:val="16"/>
                <w:lang w:eastAsia="en-AU"/>
              </w:rPr>
              <w:t>SVCV</w:t>
            </w:r>
          </w:p>
        </w:tc>
        <w:tc>
          <w:tcPr>
            <w:tcW w:w="0" w:type="auto"/>
            <w:noWrap/>
            <w:hideMark/>
          </w:tcPr>
          <w:p w14:paraId="56DD18D9" w14:textId="77777777" w:rsidR="00DC1C52" w:rsidRPr="00C001B0" w:rsidRDefault="00DC1C52" w:rsidP="00C001B0">
            <w:pPr>
              <w:pStyle w:val="TableText"/>
              <w:rPr>
                <w:sz w:val="12"/>
                <w:szCs w:val="16"/>
                <w:lang w:eastAsia="en-AU"/>
              </w:rPr>
            </w:pPr>
            <w:r w:rsidRPr="00C001B0">
              <w:rPr>
                <w:sz w:val="12"/>
                <w:szCs w:val="16"/>
                <w:lang w:eastAsia="en-AU"/>
              </w:rPr>
              <w:t>Mod</w:t>
            </w:r>
          </w:p>
        </w:tc>
        <w:tc>
          <w:tcPr>
            <w:tcW w:w="0" w:type="auto"/>
            <w:noWrap/>
            <w:hideMark/>
          </w:tcPr>
          <w:p w14:paraId="7B0F1ADD"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D868EEB"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7E257FF2"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7FAA580D"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4500F5B7"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0DF4539"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206F6A1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D45815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E7EEA87"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5F7F85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4FDE28B"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778CD282" w14:textId="77777777" w:rsidTr="00C001B0">
        <w:trPr>
          <w:trHeight w:val="290"/>
        </w:trPr>
        <w:tc>
          <w:tcPr>
            <w:tcW w:w="0" w:type="auto"/>
            <w:noWrap/>
            <w:hideMark/>
          </w:tcPr>
          <w:p w14:paraId="788C6B48" w14:textId="77777777" w:rsidR="00DC1C52" w:rsidRPr="00C001B0" w:rsidRDefault="00DC1C52" w:rsidP="00C001B0">
            <w:pPr>
              <w:pStyle w:val="TableText"/>
              <w:rPr>
                <w:sz w:val="12"/>
                <w:szCs w:val="16"/>
                <w:lang w:eastAsia="en-AU"/>
              </w:rPr>
            </w:pPr>
            <w:r w:rsidRPr="00C001B0">
              <w:rPr>
                <w:sz w:val="12"/>
                <w:szCs w:val="16"/>
                <w:lang w:eastAsia="en-AU"/>
              </w:rPr>
              <w:t>SVCV</w:t>
            </w:r>
          </w:p>
        </w:tc>
        <w:tc>
          <w:tcPr>
            <w:tcW w:w="0" w:type="auto"/>
            <w:noWrap/>
            <w:hideMark/>
          </w:tcPr>
          <w:p w14:paraId="3DFCACA8" w14:textId="77777777" w:rsidR="00DC1C52" w:rsidRPr="00C001B0" w:rsidRDefault="00DC1C52" w:rsidP="00C001B0">
            <w:pPr>
              <w:pStyle w:val="TableText"/>
              <w:rPr>
                <w:sz w:val="12"/>
                <w:szCs w:val="16"/>
                <w:lang w:eastAsia="en-AU"/>
              </w:rPr>
            </w:pPr>
            <w:r w:rsidRPr="00C001B0">
              <w:rPr>
                <w:sz w:val="12"/>
                <w:szCs w:val="16"/>
                <w:lang w:eastAsia="en-AU"/>
              </w:rPr>
              <w:t>Weak</w:t>
            </w:r>
          </w:p>
        </w:tc>
        <w:tc>
          <w:tcPr>
            <w:tcW w:w="0" w:type="auto"/>
            <w:noWrap/>
            <w:hideMark/>
          </w:tcPr>
          <w:p w14:paraId="21787A7B"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25FF852C"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56A49D35"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42FEB40"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3D60A66E"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FDD9BEF"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3B3EEBA"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18DA1350"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0123B15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1562E51"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23BB49D" w14:textId="77777777" w:rsidR="00DC1C52" w:rsidRPr="00C001B0" w:rsidRDefault="00DC1C52" w:rsidP="00C001B0">
            <w:pPr>
              <w:pStyle w:val="TableText"/>
              <w:rPr>
                <w:sz w:val="12"/>
                <w:szCs w:val="16"/>
                <w:lang w:eastAsia="en-AU"/>
              </w:rPr>
            </w:pPr>
            <w:r w:rsidRPr="00C001B0">
              <w:rPr>
                <w:sz w:val="12"/>
                <w:szCs w:val="16"/>
                <w:lang w:eastAsia="en-AU"/>
              </w:rPr>
              <w:t>100%</w:t>
            </w:r>
          </w:p>
        </w:tc>
      </w:tr>
      <w:tr w:rsidR="00DC1C52" w:rsidRPr="00DC1C52" w14:paraId="3AECC9AB" w14:textId="77777777" w:rsidTr="00C001B0">
        <w:trPr>
          <w:trHeight w:val="290"/>
        </w:trPr>
        <w:tc>
          <w:tcPr>
            <w:tcW w:w="0" w:type="auto"/>
            <w:noWrap/>
            <w:hideMark/>
          </w:tcPr>
          <w:p w14:paraId="7074BF95" w14:textId="77777777" w:rsidR="00DC1C52" w:rsidRPr="00C001B0" w:rsidRDefault="00DC1C52" w:rsidP="00C001B0">
            <w:pPr>
              <w:pStyle w:val="TableText"/>
              <w:rPr>
                <w:sz w:val="12"/>
                <w:szCs w:val="16"/>
                <w:lang w:eastAsia="en-AU"/>
              </w:rPr>
            </w:pPr>
            <w:r w:rsidRPr="00C001B0">
              <w:rPr>
                <w:sz w:val="12"/>
                <w:szCs w:val="16"/>
                <w:lang w:eastAsia="en-AU"/>
              </w:rPr>
              <w:t>Neg</w:t>
            </w:r>
          </w:p>
        </w:tc>
        <w:tc>
          <w:tcPr>
            <w:tcW w:w="0" w:type="auto"/>
            <w:noWrap/>
            <w:hideMark/>
          </w:tcPr>
          <w:p w14:paraId="49E6A8CB" w14:textId="77777777" w:rsidR="00DC1C52" w:rsidRPr="00C001B0" w:rsidRDefault="00DC1C52" w:rsidP="00C001B0">
            <w:pPr>
              <w:pStyle w:val="TableText"/>
              <w:rPr>
                <w:sz w:val="12"/>
                <w:szCs w:val="16"/>
                <w:lang w:eastAsia="en-AU"/>
              </w:rPr>
            </w:pPr>
            <w:r w:rsidRPr="00C001B0">
              <w:rPr>
                <w:sz w:val="12"/>
                <w:szCs w:val="16"/>
                <w:lang w:eastAsia="en-AU"/>
              </w:rPr>
              <w:t>Neg</w:t>
            </w:r>
          </w:p>
        </w:tc>
        <w:tc>
          <w:tcPr>
            <w:tcW w:w="0" w:type="auto"/>
            <w:noWrap/>
            <w:hideMark/>
          </w:tcPr>
          <w:p w14:paraId="30E662B7"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1165E0B3"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0C69DAD1" w14:textId="77777777" w:rsidR="00DC1C52" w:rsidRPr="00C001B0" w:rsidRDefault="00DC1C52" w:rsidP="00C001B0">
            <w:pPr>
              <w:pStyle w:val="TableText"/>
              <w:rPr>
                <w:sz w:val="12"/>
                <w:szCs w:val="16"/>
                <w:lang w:eastAsia="en-AU"/>
              </w:rPr>
            </w:pPr>
            <w:r w:rsidRPr="00C001B0">
              <w:rPr>
                <w:sz w:val="12"/>
                <w:szCs w:val="16"/>
                <w:lang w:eastAsia="en-AU"/>
              </w:rPr>
              <w:t xml:space="preserve">Negative </w:t>
            </w:r>
          </w:p>
        </w:tc>
        <w:tc>
          <w:tcPr>
            <w:tcW w:w="0" w:type="auto"/>
            <w:noWrap/>
            <w:hideMark/>
          </w:tcPr>
          <w:p w14:paraId="53FC48B6" w14:textId="77777777" w:rsidR="00DC1C52" w:rsidRPr="00C001B0" w:rsidRDefault="00DC1C52" w:rsidP="00C001B0">
            <w:pPr>
              <w:pStyle w:val="TableText"/>
              <w:rPr>
                <w:sz w:val="12"/>
                <w:szCs w:val="16"/>
                <w:lang w:eastAsia="en-AU"/>
              </w:rPr>
            </w:pPr>
            <w:r w:rsidRPr="00C001B0">
              <w:rPr>
                <w:sz w:val="12"/>
                <w:szCs w:val="16"/>
                <w:lang w:eastAsia="en-AU"/>
              </w:rPr>
              <w:t xml:space="preserve">Positive </w:t>
            </w:r>
          </w:p>
        </w:tc>
        <w:tc>
          <w:tcPr>
            <w:tcW w:w="0" w:type="auto"/>
            <w:noWrap/>
            <w:hideMark/>
          </w:tcPr>
          <w:p w14:paraId="107E3E38"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625A47D"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D242773"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6F0A5106"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79D342E5"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38BA44CD" w14:textId="77777777" w:rsidR="00DC1C52" w:rsidRPr="00C001B0" w:rsidRDefault="00DC1C52" w:rsidP="00C001B0">
            <w:pPr>
              <w:pStyle w:val="TableText"/>
              <w:rPr>
                <w:sz w:val="12"/>
                <w:szCs w:val="16"/>
                <w:lang w:eastAsia="en-AU"/>
              </w:rPr>
            </w:pPr>
            <w:r w:rsidRPr="00C001B0">
              <w:rPr>
                <w:sz w:val="12"/>
                <w:szCs w:val="16"/>
                <w:lang w:eastAsia="en-AU"/>
              </w:rPr>
              <w:t>Negative</w:t>
            </w:r>
          </w:p>
        </w:tc>
        <w:tc>
          <w:tcPr>
            <w:tcW w:w="0" w:type="auto"/>
            <w:noWrap/>
            <w:hideMark/>
          </w:tcPr>
          <w:p w14:paraId="5CEE3ED1" w14:textId="77777777" w:rsidR="00DC1C52" w:rsidRPr="00C001B0" w:rsidRDefault="00DC1C52" w:rsidP="00C001B0">
            <w:pPr>
              <w:pStyle w:val="TableText"/>
              <w:rPr>
                <w:sz w:val="12"/>
                <w:szCs w:val="16"/>
                <w:lang w:eastAsia="en-AU"/>
              </w:rPr>
            </w:pPr>
            <w:r w:rsidRPr="00C001B0">
              <w:rPr>
                <w:sz w:val="12"/>
                <w:szCs w:val="16"/>
                <w:lang w:eastAsia="en-AU"/>
              </w:rPr>
              <w:t>90%</w:t>
            </w:r>
          </w:p>
        </w:tc>
      </w:tr>
    </w:tbl>
    <w:p w14:paraId="016AF902" w14:textId="4663163E" w:rsidR="000F3871" w:rsidRDefault="000F3871" w:rsidP="00513AB2">
      <w:pPr>
        <w:pStyle w:val="Heading2"/>
        <w:rPr>
          <w:rFonts w:eastAsia="Cambria"/>
        </w:rPr>
      </w:pPr>
      <w:bookmarkStart w:id="53" w:name="_Toc184122159"/>
      <w:bookmarkStart w:id="54" w:name="_Toc184123110"/>
      <w:bookmarkStart w:id="55" w:name="_Toc184122160"/>
      <w:bookmarkStart w:id="56" w:name="_Toc184123111"/>
      <w:bookmarkStart w:id="57" w:name="_Program_results"/>
      <w:bookmarkStart w:id="58" w:name="_Ref141264863"/>
      <w:bookmarkStart w:id="59" w:name="_Toc214555636"/>
      <w:bookmarkEnd w:id="53"/>
      <w:bookmarkEnd w:id="54"/>
      <w:bookmarkEnd w:id="55"/>
      <w:bookmarkEnd w:id="56"/>
      <w:bookmarkEnd w:id="57"/>
      <w:r>
        <w:rPr>
          <w:rFonts w:eastAsia="Cambria"/>
        </w:rPr>
        <w:lastRenderedPageBreak/>
        <w:t>Program results</w:t>
      </w:r>
      <w:bookmarkEnd w:id="58"/>
      <w:bookmarkEnd w:id="59"/>
      <w:r>
        <w:rPr>
          <w:rFonts w:eastAsia="Cambria"/>
        </w:rPr>
        <w:t xml:space="preserve"> </w:t>
      </w:r>
    </w:p>
    <w:p w14:paraId="276D34DC" w14:textId="77777777" w:rsidR="00280294" w:rsidRPr="00280294" w:rsidRDefault="00280294" w:rsidP="00280294">
      <w:pPr>
        <w:pStyle w:val="Heading3"/>
      </w:pPr>
      <w:bookmarkStart w:id="60" w:name="_Toc425945612"/>
      <w:bookmarkStart w:id="61" w:name="_Toc426459675"/>
      <w:bookmarkStart w:id="62" w:name="_Toc214555637"/>
      <w:r w:rsidRPr="00280294">
        <w:t>Laboratory testing</w:t>
      </w:r>
      <w:bookmarkEnd w:id="60"/>
      <w:bookmarkEnd w:id="61"/>
      <w:bookmarkEnd w:id="62"/>
    </w:p>
    <w:p w14:paraId="0A055821" w14:textId="77777777" w:rsidR="00EC289A" w:rsidRDefault="00EC289A" w:rsidP="00EC289A">
      <w:r>
        <w:t xml:space="preserve">Diagnostic performance should be interpreted by noting that each round contained a different number of laboratories, despite laboratories being encouraged to participate in consecutive rounds for continuity in data. Some laboratories were not able to participate in ongoing rounds due to financial, logistical and sometimes unknown circumstances. The results in this section reflect the broad variation of experience that different laboratories with the Asia-Pacific have with testing of the disease agents.  </w:t>
      </w:r>
    </w:p>
    <w:p w14:paraId="1B5B891C" w14:textId="356C929D" w:rsidR="00EC289A" w:rsidRDefault="00EC289A" w:rsidP="00594755">
      <w:r>
        <w:rPr>
          <w:lang w:eastAsia="en-AU"/>
        </w:rPr>
        <w:t xml:space="preserve">Despite a variable number of laboratories who participated in each round, there were a similar number of enrolments for each pathogen. </w:t>
      </w:r>
      <w:r>
        <w:t xml:space="preserve">From round 3 (inclusive), disease agents were combined to form either the crustacean or finfish disease panel. This was to better reflect a diagnostic setting wherein laboratories would be testing for several agents in the </w:t>
      </w:r>
      <w:r w:rsidR="008733AD">
        <w:t>one</w:t>
      </w:r>
      <w:r w:rsidR="00AE0DE8">
        <w:t xml:space="preserve"> </w:t>
      </w:r>
      <w:r>
        <w:t xml:space="preserve">sample and is reflected in </w:t>
      </w:r>
      <w:r>
        <w:fldChar w:fldCharType="begin"/>
      </w:r>
      <w:r>
        <w:instrText xml:space="preserve"> REF _Ref139464632 \h </w:instrText>
      </w:r>
      <w:r>
        <w:fldChar w:fldCharType="separate"/>
      </w:r>
      <w:r w:rsidR="00491B46">
        <w:t xml:space="preserve">Figure </w:t>
      </w:r>
      <w:r w:rsidR="00491B46">
        <w:rPr>
          <w:noProof/>
        </w:rPr>
        <w:t>2</w:t>
      </w:r>
      <w:r>
        <w:fldChar w:fldCharType="end"/>
      </w:r>
      <w:r>
        <w:t xml:space="preserve">. </w:t>
      </w:r>
    </w:p>
    <w:p w14:paraId="79A25CCA" w14:textId="51255525" w:rsidR="00D634F7" w:rsidRDefault="00594755" w:rsidP="00594755">
      <w:pPr>
        <w:pStyle w:val="Caption"/>
        <w:rPr>
          <w:lang w:eastAsia="en-AU"/>
        </w:rPr>
      </w:pPr>
      <w:bookmarkStart w:id="63" w:name="_Toc184123167"/>
      <w:r>
        <w:t xml:space="preserve">Figure </w:t>
      </w:r>
      <w:r w:rsidR="0070295B">
        <w:fldChar w:fldCharType="begin"/>
      </w:r>
      <w:r w:rsidR="0070295B">
        <w:instrText xml:space="preserve"> SEQ Figure \* ARABIC </w:instrText>
      </w:r>
      <w:r w:rsidR="0070295B">
        <w:fldChar w:fldCharType="separate"/>
      </w:r>
      <w:r w:rsidR="00491B46">
        <w:rPr>
          <w:noProof/>
        </w:rPr>
        <w:t>1</w:t>
      </w:r>
      <w:r w:rsidR="0070295B">
        <w:rPr>
          <w:noProof/>
        </w:rPr>
        <w:fldChar w:fldCharType="end"/>
      </w:r>
      <w:r w:rsidR="003D1E66">
        <w:t xml:space="preserve"> </w:t>
      </w:r>
      <w:r w:rsidR="00894C30">
        <w:rPr>
          <w:lang w:eastAsia="en-AU"/>
        </w:rPr>
        <w:t>Number of laboratories participating in PT for each pathogen in round</w:t>
      </w:r>
      <w:r w:rsidR="001659D9">
        <w:rPr>
          <w:lang w:eastAsia="en-AU"/>
        </w:rPr>
        <w:t>s</w:t>
      </w:r>
      <w:r w:rsidR="00894C30">
        <w:rPr>
          <w:lang w:eastAsia="en-AU"/>
        </w:rPr>
        <w:t xml:space="preserve"> 1 and 2</w:t>
      </w:r>
      <w:bookmarkEnd w:id="63"/>
    </w:p>
    <w:p w14:paraId="7A39C2C1" w14:textId="5CACFA3E" w:rsidR="003D7130" w:rsidRDefault="009B4F9D" w:rsidP="007231A0">
      <w:pPr>
        <w:rPr>
          <w:rFonts w:ascii="Calibri" w:eastAsia="Cambria" w:hAnsi="Calibri" w:cs="Calibri"/>
          <w:sz w:val="24"/>
          <w:szCs w:val="24"/>
          <w:lang w:eastAsia="en-AU"/>
        </w:rPr>
      </w:pPr>
      <w:r>
        <w:rPr>
          <w:rFonts w:ascii="Calibri" w:eastAsia="Cambria" w:hAnsi="Calibri" w:cs="Calibri"/>
          <w:noProof/>
          <w:sz w:val="24"/>
          <w:szCs w:val="24"/>
          <w:lang w:eastAsia="en-AU"/>
        </w:rPr>
        <w:drawing>
          <wp:inline distT="0" distB="0" distL="0" distR="0" wp14:anchorId="3CE6E983" wp14:editId="21B0A48B">
            <wp:extent cx="5993902" cy="3324225"/>
            <wp:effectExtent l="0" t="0" r="6985" b="0"/>
            <wp:docPr id="612761543" name="Picture 2" descr="The column chart shows the number of enrolled laboratories for each disease agent across round 1 and round 2 of the program. Round 2 has an equal or increased enrolment rate than round 1 for each disease. The number of participants range from 12 for SVCV in round 1, to 26 for WSSV in round 1 and Round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61543" name="Picture 2" descr="The column chart shows the number of enrolled laboratories for each disease agent across round 1 and round 2 of the program. Round 2 has an equal or increased enrolment rate than round 1 for each disease. The number of participants range from 12 for SVCV in round 1, to 26 for WSSV in round 1 and Round 2.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99484" cy="3327321"/>
                    </a:xfrm>
                    <a:prstGeom prst="rect">
                      <a:avLst/>
                    </a:prstGeom>
                    <a:noFill/>
                  </pic:spPr>
                </pic:pic>
              </a:graphicData>
            </a:graphic>
          </wp:inline>
        </w:drawing>
      </w:r>
    </w:p>
    <w:p w14:paraId="5419A388" w14:textId="7308F72F" w:rsidR="001659D9" w:rsidRDefault="001659D9" w:rsidP="00C001B0">
      <w:pPr>
        <w:pStyle w:val="FigureTableNoteSource"/>
        <w:rPr>
          <w:lang w:eastAsia="en-AU"/>
        </w:rPr>
      </w:pPr>
      <w:r w:rsidRPr="00C001B0">
        <w:rPr>
          <w:rStyle w:val="Strong"/>
        </w:rPr>
        <w:t>WSSV</w:t>
      </w:r>
      <w:r>
        <w:rPr>
          <w:lang w:eastAsia="en-AU"/>
        </w:rPr>
        <w:t xml:space="preserve"> </w:t>
      </w:r>
      <w:r>
        <w:rPr>
          <w:lang w:eastAsia="ja-JP"/>
        </w:rPr>
        <w:t xml:space="preserve">white spot </w:t>
      </w:r>
      <w:r w:rsidRPr="00F84900">
        <w:t>syndrome virus</w:t>
      </w:r>
      <w:r>
        <w:t xml:space="preserve">. </w:t>
      </w:r>
      <w:r w:rsidRPr="00C001B0">
        <w:rPr>
          <w:rStyle w:val="Strong"/>
        </w:rPr>
        <w:t>YHV-1</w:t>
      </w:r>
      <w:r w:rsidR="008733AD">
        <w:rPr>
          <w:rStyle w:val="Strong"/>
        </w:rPr>
        <w:t xml:space="preserve"> </w:t>
      </w:r>
      <w:r w:rsidR="008733AD">
        <w:rPr>
          <w:rStyle w:val="Strong"/>
          <w:b w:val="0"/>
          <w:bCs w:val="0"/>
        </w:rPr>
        <w:t xml:space="preserve">yellow head virus </w:t>
      </w:r>
      <w:r w:rsidR="008733AD" w:rsidRPr="008733AD">
        <w:rPr>
          <w:rStyle w:val="Strong"/>
          <w:b w:val="0"/>
          <w:bCs w:val="0"/>
        </w:rPr>
        <w:t>genotype 1</w:t>
      </w:r>
      <w:r w:rsidR="008733AD">
        <w:rPr>
          <w:rStyle w:val="Strong"/>
          <w:b w:val="0"/>
          <w:bCs w:val="0"/>
        </w:rPr>
        <w:t xml:space="preserve">. </w:t>
      </w:r>
      <w:r w:rsidR="008733AD" w:rsidRPr="008733AD">
        <w:rPr>
          <w:rStyle w:val="Strong"/>
        </w:rPr>
        <w:t>TSV</w:t>
      </w:r>
      <w:r w:rsidR="008733AD">
        <w:rPr>
          <w:rStyle w:val="Strong"/>
          <w:b w:val="0"/>
          <w:bCs w:val="0"/>
        </w:rPr>
        <w:t xml:space="preserve"> t</w:t>
      </w:r>
      <w:r w:rsidR="008733AD" w:rsidRPr="008733AD">
        <w:rPr>
          <w:rStyle w:val="Strong"/>
          <w:b w:val="0"/>
          <w:bCs w:val="0"/>
        </w:rPr>
        <w:t>aura syndrome virus</w:t>
      </w:r>
      <w:r w:rsidR="008733AD">
        <w:rPr>
          <w:rStyle w:val="Strong"/>
          <w:b w:val="0"/>
          <w:bCs w:val="0"/>
        </w:rPr>
        <w:t xml:space="preserve">. </w:t>
      </w:r>
      <w:r w:rsidR="008733AD" w:rsidRPr="008733AD">
        <w:rPr>
          <w:rStyle w:val="Strong"/>
        </w:rPr>
        <w:t xml:space="preserve">IMNV </w:t>
      </w:r>
      <w:r w:rsidR="008733AD">
        <w:rPr>
          <w:rStyle w:val="Strong"/>
          <w:b w:val="0"/>
          <w:bCs w:val="0"/>
        </w:rPr>
        <w:t>i</w:t>
      </w:r>
      <w:r w:rsidR="008733AD" w:rsidRPr="008733AD">
        <w:rPr>
          <w:rStyle w:val="Strong"/>
          <w:b w:val="0"/>
          <w:bCs w:val="0"/>
        </w:rPr>
        <w:t>nfectious myonecrosis virus</w:t>
      </w:r>
      <w:r w:rsidR="008733AD">
        <w:rPr>
          <w:rStyle w:val="Strong"/>
          <w:b w:val="0"/>
          <w:bCs w:val="0"/>
        </w:rPr>
        <w:t xml:space="preserve">. </w:t>
      </w:r>
      <w:r w:rsidR="008733AD" w:rsidRPr="008733AD">
        <w:rPr>
          <w:rStyle w:val="Strong"/>
        </w:rPr>
        <w:t>INNHV</w:t>
      </w:r>
      <w:r w:rsidR="008733AD">
        <w:rPr>
          <w:rStyle w:val="Strong"/>
          <w:b w:val="0"/>
          <w:bCs w:val="0"/>
        </w:rPr>
        <w:t xml:space="preserve"> i</w:t>
      </w:r>
      <w:r w:rsidR="008733AD" w:rsidRPr="008733AD">
        <w:rPr>
          <w:rStyle w:val="Strong"/>
          <w:b w:val="0"/>
          <w:bCs w:val="0"/>
        </w:rPr>
        <w:t>nfectious hypodermal and haematopoietic necrosis vir</w:t>
      </w:r>
      <w:r w:rsidR="008733AD">
        <w:rPr>
          <w:rStyle w:val="Strong"/>
          <w:b w:val="0"/>
          <w:bCs w:val="0"/>
        </w:rPr>
        <w:t xml:space="preserve">us. </w:t>
      </w:r>
      <w:r w:rsidR="008733AD" w:rsidRPr="008733AD">
        <w:rPr>
          <w:rStyle w:val="Strong"/>
        </w:rPr>
        <w:t>AHPND</w:t>
      </w:r>
      <w:r w:rsidR="008733AD">
        <w:rPr>
          <w:rStyle w:val="Strong"/>
          <w:b w:val="0"/>
          <w:bCs w:val="0"/>
        </w:rPr>
        <w:t xml:space="preserve"> </w:t>
      </w:r>
      <w:r w:rsidR="008733AD" w:rsidRPr="008733AD">
        <w:rPr>
          <w:rStyle w:val="Strong"/>
          <w:b w:val="0"/>
          <w:bCs w:val="0"/>
        </w:rPr>
        <w:t>Vibrio parahaemolyticus</w:t>
      </w:r>
      <w:r w:rsidR="008733AD" w:rsidRPr="008733AD">
        <w:rPr>
          <w:rStyle w:val="Strong"/>
        </w:rPr>
        <w:t xml:space="preserve">. NNV </w:t>
      </w:r>
      <w:r w:rsidR="008733AD">
        <w:rPr>
          <w:rStyle w:val="Strong"/>
          <w:b w:val="0"/>
          <w:bCs w:val="0"/>
        </w:rPr>
        <w:t>nervous</w:t>
      </w:r>
      <w:r w:rsidR="008733AD" w:rsidRPr="008733AD">
        <w:rPr>
          <w:rStyle w:val="Strong"/>
          <w:b w:val="0"/>
          <w:bCs w:val="0"/>
        </w:rPr>
        <w:t xml:space="preserve"> necrosis virus</w:t>
      </w:r>
      <w:r w:rsidR="008733AD">
        <w:rPr>
          <w:rStyle w:val="Strong"/>
          <w:b w:val="0"/>
          <w:bCs w:val="0"/>
        </w:rPr>
        <w:t xml:space="preserve">. </w:t>
      </w:r>
      <w:r w:rsidR="008733AD" w:rsidRPr="008733AD">
        <w:rPr>
          <w:rStyle w:val="Strong"/>
        </w:rPr>
        <w:t xml:space="preserve">KHV </w:t>
      </w:r>
      <w:r w:rsidR="008733AD" w:rsidRPr="008733AD">
        <w:rPr>
          <w:rStyle w:val="Strong"/>
          <w:b w:val="0"/>
          <w:bCs w:val="0"/>
        </w:rPr>
        <w:t>Koi herpesvirus</w:t>
      </w:r>
      <w:r w:rsidR="008733AD">
        <w:rPr>
          <w:rStyle w:val="Strong"/>
          <w:b w:val="0"/>
          <w:bCs w:val="0"/>
        </w:rPr>
        <w:t xml:space="preserve">. </w:t>
      </w:r>
      <w:r w:rsidR="008733AD" w:rsidRPr="008733AD">
        <w:rPr>
          <w:rStyle w:val="Strong"/>
        </w:rPr>
        <w:t>SVCV</w:t>
      </w:r>
      <w:r w:rsidR="008733AD">
        <w:rPr>
          <w:rStyle w:val="Strong"/>
          <w:b w:val="0"/>
          <w:bCs w:val="0"/>
        </w:rPr>
        <w:t xml:space="preserve"> s</w:t>
      </w:r>
      <w:r w:rsidR="008733AD" w:rsidRPr="008733AD">
        <w:rPr>
          <w:rStyle w:val="Strong"/>
          <w:b w:val="0"/>
          <w:bCs w:val="0"/>
        </w:rPr>
        <w:t>pring viraemia of carp virus</w:t>
      </w:r>
      <w:r w:rsidR="008733AD">
        <w:rPr>
          <w:rStyle w:val="Strong"/>
          <w:b w:val="0"/>
          <w:bCs w:val="0"/>
        </w:rPr>
        <w:t xml:space="preserve">. </w:t>
      </w:r>
    </w:p>
    <w:p w14:paraId="6F0DB5D6" w14:textId="40B0B3D1" w:rsidR="00894C30" w:rsidRDefault="00594755" w:rsidP="00B2236E">
      <w:pPr>
        <w:pStyle w:val="Caption"/>
      </w:pPr>
      <w:bookmarkStart w:id="64" w:name="_Ref139464632"/>
      <w:bookmarkStart w:id="65" w:name="_Toc184123168"/>
      <w:r>
        <w:lastRenderedPageBreak/>
        <w:t>Figure</w:t>
      </w:r>
      <w:r w:rsidR="003D1E66">
        <w:t xml:space="preserve"> </w:t>
      </w:r>
      <w:r w:rsidR="0070295B">
        <w:fldChar w:fldCharType="begin"/>
      </w:r>
      <w:r w:rsidR="0070295B">
        <w:instrText xml:space="preserve"> SEQ Figure \* ARABIC </w:instrText>
      </w:r>
      <w:r w:rsidR="0070295B">
        <w:fldChar w:fldCharType="separate"/>
      </w:r>
      <w:r w:rsidR="00491B46">
        <w:rPr>
          <w:noProof/>
        </w:rPr>
        <w:t>2</w:t>
      </w:r>
      <w:r w:rsidR="0070295B">
        <w:rPr>
          <w:noProof/>
        </w:rPr>
        <w:fldChar w:fldCharType="end"/>
      </w:r>
      <w:bookmarkEnd w:id="64"/>
      <w:r w:rsidR="003D1E66">
        <w:t xml:space="preserve"> </w:t>
      </w:r>
      <w:r w:rsidR="000D61E4">
        <w:t>Number of laboratories participating i</w:t>
      </w:r>
      <w:r w:rsidR="00CA1356">
        <w:t>n PT for crustacean and finfish panels from round 3 to 8</w:t>
      </w:r>
      <w:bookmarkEnd w:id="65"/>
    </w:p>
    <w:p w14:paraId="1C93F813" w14:textId="40EA3071" w:rsidR="009B4F9D" w:rsidRPr="009B4F9D" w:rsidRDefault="009B4F9D" w:rsidP="00C001B0">
      <w:r>
        <w:rPr>
          <w:noProof/>
        </w:rPr>
        <w:drawing>
          <wp:inline distT="0" distB="0" distL="0" distR="0" wp14:anchorId="4043865F" wp14:editId="5CC2C045">
            <wp:extent cx="5901690" cy="3261360"/>
            <wp:effectExtent l="0" t="0" r="3810" b="0"/>
            <wp:docPr id="938708019" name="Picture 4" descr="A column graph shows the number of enrolled laboratories for each disease panel across round 3 to round 8 of the program. &#10;The crustacean panel had a higher number of enrolments for each round, ranging from 29 to 41 laboratories, compared to enrolments in the finfish panel. Participants enrolled in the finfish panel ranged from 20 in round 1, to 30 in round 8.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08019" name="Picture 4" descr="A column graph shows the number of enrolled laboratories for each disease panel across round 3 to round 8 of the program. &#10;The crustacean panel had a higher number of enrolments for each round, ranging from 29 to 41 laboratories, compared to enrolments in the finfish panel. Participants enrolled in the finfish panel ranged from 20 in round 1, to 30 in round 8. &#10;&#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1690" cy="3261360"/>
                    </a:xfrm>
                    <a:prstGeom prst="rect">
                      <a:avLst/>
                    </a:prstGeom>
                    <a:noFill/>
                  </pic:spPr>
                </pic:pic>
              </a:graphicData>
            </a:graphic>
          </wp:inline>
        </w:drawing>
      </w:r>
    </w:p>
    <w:p w14:paraId="3C9CCEFF" w14:textId="2DE1AFAB" w:rsidR="004356A7" w:rsidRDefault="00107994" w:rsidP="00F43192">
      <w:r>
        <w:t>T</w:t>
      </w:r>
      <w:r w:rsidR="00D842AD">
        <w:t>he average</w:t>
      </w:r>
      <w:r w:rsidR="00E25BEA">
        <w:t xml:space="preserve"> ‘acceptable’</w:t>
      </w:r>
      <w:r w:rsidR="00D842AD">
        <w:t xml:space="preserve"> diagnostic test result was designated </w:t>
      </w:r>
      <w:r w:rsidR="00555EBC">
        <w:t>as any laboratory who accurately assign</w:t>
      </w:r>
      <w:r w:rsidR="00CA1888">
        <w:t>ed</w:t>
      </w:r>
      <w:r w:rsidR="00555EBC">
        <w:t xml:space="preserve"> a positive or negative value </w:t>
      </w:r>
      <w:r w:rsidR="00552597">
        <w:t xml:space="preserve">to the samples in the panel. </w:t>
      </w:r>
      <w:r w:rsidR="00F515C3">
        <w:t xml:space="preserve">For example, </w:t>
      </w:r>
      <w:r w:rsidR="00EB5551">
        <w:t>in round one, 50% of laboratories testing for WSSV reported results correctly</w:t>
      </w:r>
      <w:r w:rsidR="006C7AB2">
        <w:t xml:space="preserve"> using conventi</w:t>
      </w:r>
      <w:r w:rsidR="006C7AB2" w:rsidRPr="002C28EC">
        <w:t xml:space="preserve">onal PCR. In round 8, </w:t>
      </w:r>
      <w:r w:rsidR="00CA1888">
        <w:t>77</w:t>
      </w:r>
      <w:r w:rsidR="006C7AB2" w:rsidRPr="002C28EC">
        <w:t xml:space="preserve">% of </w:t>
      </w:r>
      <w:r w:rsidR="0077251E" w:rsidRPr="002C28EC">
        <w:t>laboratories</w:t>
      </w:r>
      <w:r w:rsidR="006C7AB2" w:rsidRPr="002C28EC">
        <w:t xml:space="preserve"> </w:t>
      </w:r>
      <w:r w:rsidR="0077251E" w:rsidRPr="002C28EC">
        <w:t xml:space="preserve">reported WSSV results correctly using the same PCR method. </w:t>
      </w:r>
      <w:r w:rsidR="009056E1" w:rsidRPr="002C28EC">
        <w:t xml:space="preserve">The </w:t>
      </w:r>
      <w:r w:rsidR="00024D95" w:rsidRPr="002C28EC">
        <w:t>percentage</w:t>
      </w:r>
      <w:r w:rsidR="009056E1" w:rsidRPr="002C28EC">
        <w:t xml:space="preserve"> of </w:t>
      </w:r>
      <w:r w:rsidR="00024D95" w:rsidRPr="002C28EC">
        <w:t>laboratories</w:t>
      </w:r>
      <w:r w:rsidR="009056E1" w:rsidRPr="002C28EC">
        <w:t xml:space="preserve"> who </w:t>
      </w:r>
      <w:r w:rsidR="00DA0FA3" w:rsidRPr="002C28EC">
        <w:t>had</w:t>
      </w:r>
      <w:r w:rsidR="009056E1" w:rsidRPr="002C28EC">
        <w:t xml:space="preserve"> </w:t>
      </w:r>
      <w:r w:rsidR="00DA0FA3" w:rsidRPr="002C28EC">
        <w:t xml:space="preserve">an </w:t>
      </w:r>
      <w:r w:rsidR="009056E1" w:rsidRPr="002C28EC">
        <w:t>‘acceptable’ assessment during each round i</w:t>
      </w:r>
      <w:r w:rsidR="00024D95" w:rsidRPr="002C28EC">
        <w:t xml:space="preserve">s presented </w:t>
      </w:r>
      <w:r w:rsidR="002C28EC" w:rsidRPr="002C28EC">
        <w:t xml:space="preserve">in </w:t>
      </w:r>
      <w:r w:rsidR="002C28EC" w:rsidRPr="002C28EC">
        <w:fldChar w:fldCharType="begin"/>
      </w:r>
      <w:r w:rsidR="002C28EC" w:rsidRPr="002C28EC">
        <w:instrText xml:space="preserve"> REF _Ref141266946 \h </w:instrText>
      </w:r>
      <w:r w:rsidR="002C28EC">
        <w:instrText xml:space="preserve"> \* MERGEFORMAT </w:instrText>
      </w:r>
      <w:r w:rsidR="002C28EC" w:rsidRPr="002C28EC">
        <w:fldChar w:fldCharType="separate"/>
      </w:r>
      <w:r w:rsidR="00491B46">
        <w:t>Figure 12</w:t>
      </w:r>
      <w:r w:rsidR="002C28EC" w:rsidRPr="002C28EC">
        <w:fldChar w:fldCharType="end"/>
      </w:r>
      <w:r w:rsidR="002C28EC" w:rsidRPr="002C28EC">
        <w:t>.</w:t>
      </w:r>
    </w:p>
    <w:p w14:paraId="339808BD" w14:textId="596D5FCD" w:rsidR="006F4B30" w:rsidRPr="006F4B30" w:rsidRDefault="006F4B30" w:rsidP="00F43192">
      <w:pPr>
        <w:sectPr w:rsidR="006F4B30" w:rsidRPr="006F4B30" w:rsidSect="008F30CE">
          <w:pgSz w:w="11906" w:h="16838"/>
          <w:pgMar w:top="1418" w:right="1418" w:bottom="1418" w:left="1418" w:header="567" w:footer="283" w:gutter="0"/>
          <w:pgNumType w:start="1"/>
          <w:cols w:space="708"/>
          <w:docGrid w:linePitch="360"/>
        </w:sectPr>
      </w:pPr>
    </w:p>
    <w:p w14:paraId="0CA6EC6F" w14:textId="79F97214" w:rsidR="00240346" w:rsidRDefault="00240346" w:rsidP="00240346">
      <w:pPr>
        <w:pStyle w:val="Caption"/>
      </w:pPr>
      <w:bookmarkStart w:id="66" w:name="_Ref141266944"/>
      <w:bookmarkStart w:id="67" w:name="_Ref173833101"/>
      <w:bookmarkStart w:id="68" w:name="_Toc184123169"/>
      <w:r w:rsidRPr="00F10171">
        <w:t xml:space="preserve">Figure </w:t>
      </w:r>
      <w:r w:rsidR="0070295B">
        <w:fldChar w:fldCharType="begin"/>
      </w:r>
      <w:r w:rsidR="0070295B">
        <w:instrText xml:space="preserve"> SEQ Figure \* ARABIC </w:instrText>
      </w:r>
      <w:r w:rsidR="0070295B">
        <w:fldChar w:fldCharType="separate"/>
      </w:r>
      <w:r w:rsidR="00491B46">
        <w:rPr>
          <w:noProof/>
        </w:rPr>
        <w:t>3</w:t>
      </w:r>
      <w:r w:rsidR="0070295B">
        <w:rPr>
          <w:noProof/>
        </w:rPr>
        <w:fldChar w:fldCharType="end"/>
      </w:r>
      <w:bookmarkEnd w:id="66"/>
      <w:r w:rsidRPr="00F10171">
        <w:t xml:space="preserve"> </w:t>
      </w:r>
      <w:r w:rsidR="00CA1888" w:rsidRPr="00F10171">
        <w:t>WSSV</w:t>
      </w:r>
      <w:r w:rsidR="00DB576B" w:rsidRPr="00F10171">
        <w:t xml:space="preserve"> ‘acceptable’ results</w:t>
      </w:r>
      <w:bookmarkEnd w:id="67"/>
      <w:bookmarkEnd w:id="68"/>
      <w:r w:rsidR="00DB576B">
        <w:t xml:space="preserve"> </w:t>
      </w:r>
    </w:p>
    <w:p w14:paraId="64AA2D7C" w14:textId="14127FFE" w:rsidR="0007310A" w:rsidRPr="0007310A" w:rsidRDefault="0007310A" w:rsidP="00C001B0">
      <w:r>
        <w:rPr>
          <w:noProof/>
        </w:rPr>
        <w:drawing>
          <wp:inline distT="0" distB="0" distL="0" distR="0" wp14:anchorId="3C919B89" wp14:editId="07DA7F83">
            <wp:extent cx="5773420" cy="3230880"/>
            <wp:effectExtent l="0" t="0" r="0" b="7620"/>
            <wp:docPr id="1297802680" name="Picture 6" descr="The line graph shows the percentage of laboratories achieving 'acceptable' results. qPCR consistently outperforms conventional PCR, except for Round 4 and Round 5a  with qPCR results as 84% and 95% respectively. There is a sharp decline in the performance of conventional PCR in round 6, to 31% of laboratories achieving an acceptable res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02680" name="Picture 6" descr="The line graph shows the percentage of laboratories achieving 'acceptable' results. qPCR consistently outperforms conventional PCR, except for Round 4 and Round 5a  with qPCR results as 84% and 95% respectively. There is a sharp decline in the performance of conventional PCR in round 6, to 31% of laboratories achieving an acceptable result.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3420" cy="3230880"/>
                    </a:xfrm>
                    <a:prstGeom prst="rect">
                      <a:avLst/>
                    </a:prstGeom>
                    <a:noFill/>
                  </pic:spPr>
                </pic:pic>
              </a:graphicData>
            </a:graphic>
          </wp:inline>
        </w:drawing>
      </w:r>
    </w:p>
    <w:p w14:paraId="71FAD252" w14:textId="32C57292" w:rsidR="007B3DFE" w:rsidRPr="007B3DFE" w:rsidRDefault="007B3DFE" w:rsidP="00C001B0"/>
    <w:p w14:paraId="2C41009B" w14:textId="16525B32" w:rsidR="00240346" w:rsidRDefault="00240346" w:rsidP="00240346">
      <w:pPr>
        <w:pStyle w:val="Caption"/>
      </w:pPr>
      <w:bookmarkStart w:id="69" w:name="_Toc184123170"/>
      <w:r>
        <w:lastRenderedPageBreak/>
        <w:t xml:space="preserve">Figure </w:t>
      </w:r>
      <w:r w:rsidR="0070295B">
        <w:fldChar w:fldCharType="begin"/>
      </w:r>
      <w:r w:rsidR="0070295B">
        <w:instrText xml:space="preserve"> SEQ Figure \* ARABIC </w:instrText>
      </w:r>
      <w:r w:rsidR="0070295B">
        <w:fldChar w:fldCharType="separate"/>
      </w:r>
      <w:r w:rsidR="00491B46">
        <w:rPr>
          <w:noProof/>
        </w:rPr>
        <w:t>4</w:t>
      </w:r>
      <w:r w:rsidR="0070295B">
        <w:rPr>
          <w:noProof/>
        </w:rPr>
        <w:fldChar w:fldCharType="end"/>
      </w:r>
      <w:r w:rsidR="00DB576B">
        <w:t xml:space="preserve"> </w:t>
      </w:r>
      <w:r w:rsidR="00CA1888">
        <w:t>YHV-1</w:t>
      </w:r>
      <w:r w:rsidR="00DB576B">
        <w:t xml:space="preserve"> ‘acceptable' results</w:t>
      </w:r>
      <w:bookmarkEnd w:id="69"/>
    </w:p>
    <w:p w14:paraId="07E4092F" w14:textId="11DCD2A0" w:rsidR="0007310A" w:rsidRPr="00C001B0" w:rsidRDefault="0007310A" w:rsidP="00C001B0">
      <w:r>
        <w:rPr>
          <w:noProof/>
        </w:rPr>
        <w:drawing>
          <wp:inline distT="0" distB="0" distL="0" distR="0" wp14:anchorId="4AD4128C" wp14:editId="45BAE69B">
            <wp:extent cx="5876925" cy="3194685"/>
            <wp:effectExtent l="0" t="0" r="9525" b="5715"/>
            <wp:docPr id="1438100895" name="Picture 7" descr="There is marked variability in the line graph showing the percentage of laboratories testing for YHV-1 returning acceptable results using conventional PCR. There is a stable line for qPCR method, with a majority of the results returning a greater than 80% acceptable result. qPCR outperforms Conventional PCR across all ro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00895" name="Picture 7" descr="There is marked variability in the line graph showing the percentage of laboratories testing for YHV-1 returning acceptable results using conventional PCR. There is a stable line for qPCR method, with a majority of the results returning a greater than 80% acceptable result. qPCR outperforms Conventional PCR across all rounds.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76925" cy="3194685"/>
                    </a:xfrm>
                    <a:prstGeom prst="rect">
                      <a:avLst/>
                    </a:prstGeom>
                    <a:noFill/>
                  </pic:spPr>
                </pic:pic>
              </a:graphicData>
            </a:graphic>
          </wp:inline>
        </w:drawing>
      </w:r>
    </w:p>
    <w:p w14:paraId="726109F9" w14:textId="6B977CD9" w:rsidR="00DB576B" w:rsidRDefault="00DB576B" w:rsidP="00C001B0">
      <w:bookmarkStart w:id="70" w:name="_Toc184123171"/>
      <w:r>
        <w:t xml:space="preserve">Figure </w:t>
      </w:r>
      <w:r w:rsidR="0070295B">
        <w:fldChar w:fldCharType="begin"/>
      </w:r>
      <w:r w:rsidR="0070295B">
        <w:instrText xml:space="preserve"> SEQ Figure \* ARABIC </w:instrText>
      </w:r>
      <w:r w:rsidR="0070295B">
        <w:fldChar w:fldCharType="separate"/>
      </w:r>
      <w:r w:rsidR="00491B46">
        <w:rPr>
          <w:noProof/>
        </w:rPr>
        <w:t>5</w:t>
      </w:r>
      <w:r w:rsidR="0070295B">
        <w:rPr>
          <w:noProof/>
        </w:rPr>
        <w:fldChar w:fldCharType="end"/>
      </w:r>
      <w:r w:rsidR="00BD0667">
        <w:t xml:space="preserve"> TSV ‘acceptable’ results</w:t>
      </w:r>
      <w:bookmarkEnd w:id="70"/>
      <w:r w:rsidR="00BD0667">
        <w:t xml:space="preserve"> </w:t>
      </w:r>
    </w:p>
    <w:p w14:paraId="7312BE14" w14:textId="2345C719" w:rsidR="00DB576B" w:rsidRDefault="009D0AD8" w:rsidP="00DB576B">
      <w:r>
        <w:rPr>
          <w:noProof/>
        </w:rPr>
        <w:drawing>
          <wp:inline distT="0" distB="0" distL="0" distR="0" wp14:anchorId="4B7845CA" wp14:editId="241C582B">
            <wp:extent cx="5901568" cy="3333750"/>
            <wp:effectExtent l="0" t="0" r="4445" b="0"/>
            <wp:docPr id="1270091141" name="Picture 8" descr="The line graph shows generally excellent performance using qPCR to detect TSV. However, there is a sharp decline in performance during round 6 to 13% as a clear outlier. Conventional PCR shows less variability but declines significantly in round 8 to 3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91141" name="Picture 8" descr="The line graph shows generally excellent performance using qPCR to detect TSV. However, there is a sharp decline in performance during round 6 to 13% as a clear outlier. Conventional PCR shows less variability but declines significantly in round 8 to 30%.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6621" cy="3336605"/>
                    </a:xfrm>
                    <a:prstGeom prst="rect">
                      <a:avLst/>
                    </a:prstGeom>
                    <a:noFill/>
                  </pic:spPr>
                </pic:pic>
              </a:graphicData>
            </a:graphic>
          </wp:inline>
        </w:drawing>
      </w:r>
    </w:p>
    <w:p w14:paraId="17846C20" w14:textId="34803338" w:rsidR="00647051" w:rsidRPr="00DB576B" w:rsidRDefault="00647051" w:rsidP="00647051">
      <w:pPr>
        <w:pStyle w:val="Caption"/>
      </w:pPr>
      <w:bookmarkStart w:id="71" w:name="_Toc184123172"/>
      <w:r>
        <w:lastRenderedPageBreak/>
        <w:t xml:space="preserve">Figure </w:t>
      </w:r>
      <w:r w:rsidR="0070295B">
        <w:fldChar w:fldCharType="begin"/>
      </w:r>
      <w:r w:rsidR="0070295B">
        <w:instrText xml:space="preserve"> SEQ Figure \* ARABIC </w:instrText>
      </w:r>
      <w:r w:rsidR="0070295B">
        <w:fldChar w:fldCharType="separate"/>
      </w:r>
      <w:r w:rsidR="00491B46">
        <w:rPr>
          <w:noProof/>
        </w:rPr>
        <w:t>6</w:t>
      </w:r>
      <w:r w:rsidR="0070295B">
        <w:rPr>
          <w:noProof/>
        </w:rPr>
        <w:fldChar w:fldCharType="end"/>
      </w:r>
      <w:r w:rsidR="00BD0667">
        <w:t xml:space="preserve"> IMNV ‘acceptable’ results</w:t>
      </w:r>
      <w:bookmarkEnd w:id="71"/>
      <w:r w:rsidR="00BD0667">
        <w:t xml:space="preserve"> </w:t>
      </w:r>
    </w:p>
    <w:p w14:paraId="1A312807" w14:textId="46F3CCD8" w:rsidR="00DB576B" w:rsidRDefault="009D5FD5" w:rsidP="003D7130">
      <w:pPr>
        <w:rPr>
          <w:noProof/>
        </w:rPr>
      </w:pPr>
      <w:r>
        <w:rPr>
          <w:noProof/>
        </w:rPr>
        <w:drawing>
          <wp:inline distT="0" distB="0" distL="0" distR="0" wp14:anchorId="31790A66" wp14:editId="11CE6EFA">
            <wp:extent cx="5934075" cy="3459151"/>
            <wp:effectExtent l="0" t="0" r="0" b="8255"/>
            <wp:docPr id="886514392" name="Picture 9" descr="Results of qPCR are generally above 80% for acceptable results in most rounds, except for Round 5b and Round 6 at 25% , which reflects the lowest acceptable result in the graph. &#10;Conventional PCR reflects are more variable trend, starting at 64% and gradual impovement to 100% in Round 5a, then stabilising back to around 70% for the remaining ro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4392" name="Picture 9" descr="Results of qPCR are generally above 80% for acceptable results in most rounds, except for Round 5b and Round 6 at 25% , which reflects the lowest acceptable result in the graph. &#10;Conventional PCR reflects are more variable trend, starting at 64% and gradual impovement to 100% in Round 5a, then stabilising back to around 70% for the remaining round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36556" cy="3460597"/>
                    </a:xfrm>
                    <a:prstGeom prst="rect">
                      <a:avLst/>
                    </a:prstGeom>
                    <a:noFill/>
                  </pic:spPr>
                </pic:pic>
              </a:graphicData>
            </a:graphic>
          </wp:inline>
        </w:drawing>
      </w:r>
    </w:p>
    <w:p w14:paraId="57CFDC36" w14:textId="0BDF8A4C" w:rsidR="00DB576B" w:rsidRDefault="00647051" w:rsidP="00647051">
      <w:pPr>
        <w:pStyle w:val="Caption"/>
      </w:pPr>
      <w:bookmarkStart w:id="72" w:name="_Toc184123173"/>
      <w:r>
        <w:t xml:space="preserve">Figure </w:t>
      </w:r>
      <w:r w:rsidR="0070295B">
        <w:fldChar w:fldCharType="begin"/>
      </w:r>
      <w:r w:rsidR="0070295B">
        <w:instrText xml:space="preserve"> SEQ Figure \* ARABIC </w:instrText>
      </w:r>
      <w:r w:rsidR="0070295B">
        <w:fldChar w:fldCharType="separate"/>
      </w:r>
      <w:r w:rsidR="00491B46">
        <w:rPr>
          <w:noProof/>
        </w:rPr>
        <w:t>7</w:t>
      </w:r>
      <w:r w:rsidR="0070295B">
        <w:rPr>
          <w:noProof/>
        </w:rPr>
        <w:fldChar w:fldCharType="end"/>
      </w:r>
      <w:r w:rsidR="00BD0667">
        <w:t xml:space="preserve"> I</w:t>
      </w:r>
      <w:r w:rsidR="00B16976">
        <w:t>HHN</w:t>
      </w:r>
      <w:r w:rsidR="00BD0667">
        <w:t>V ‘acceptable' results</w:t>
      </w:r>
      <w:bookmarkEnd w:id="72"/>
    </w:p>
    <w:p w14:paraId="73915887" w14:textId="03079592" w:rsidR="009D5FD5" w:rsidRPr="009D5FD5" w:rsidRDefault="009D5FD5" w:rsidP="00C001B0">
      <w:r>
        <w:rPr>
          <w:noProof/>
        </w:rPr>
        <w:drawing>
          <wp:inline distT="0" distB="0" distL="0" distR="0" wp14:anchorId="74F336B2" wp14:editId="2C496DD1">
            <wp:extent cx="5968365" cy="3584575"/>
            <wp:effectExtent l="0" t="0" r="0" b="0"/>
            <wp:docPr id="678881814" name="Picture 12" descr="Both qPCR and conventional PCR methods demonstrated consistent, and relatively high performance with 70% acceptable results across all rounds apart from round 6 with conventional PCR at 67%. qPCR shows a more stable trend with results varying between 80% to 9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881814" name="Picture 12" descr="Both qPCR and conventional PCR methods demonstrated consistent, and relatively high performance with 70% acceptable results across all rounds apart from round 6 with conventional PCR at 67%. qPCR shows a more stable trend with results varying between 80% to 90%.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8365" cy="3584575"/>
                    </a:xfrm>
                    <a:prstGeom prst="rect">
                      <a:avLst/>
                    </a:prstGeom>
                    <a:noFill/>
                  </pic:spPr>
                </pic:pic>
              </a:graphicData>
            </a:graphic>
          </wp:inline>
        </w:drawing>
      </w:r>
    </w:p>
    <w:p w14:paraId="28F8A605" w14:textId="12064E3E" w:rsidR="00647051" w:rsidRDefault="00647051" w:rsidP="00647051"/>
    <w:p w14:paraId="7FA750FB" w14:textId="262EB99F" w:rsidR="00AD1E9F" w:rsidRDefault="00AD1E9F" w:rsidP="00AD1E9F">
      <w:pPr>
        <w:pStyle w:val="Caption"/>
      </w:pPr>
      <w:bookmarkStart w:id="73" w:name="_Toc184123174"/>
      <w:r>
        <w:lastRenderedPageBreak/>
        <w:t xml:space="preserve">Figure </w:t>
      </w:r>
      <w:r w:rsidR="0070295B">
        <w:fldChar w:fldCharType="begin"/>
      </w:r>
      <w:r w:rsidR="0070295B">
        <w:instrText xml:space="preserve"> SEQ Figure \* ARABIC </w:instrText>
      </w:r>
      <w:r w:rsidR="0070295B">
        <w:fldChar w:fldCharType="separate"/>
      </w:r>
      <w:r w:rsidR="00491B46">
        <w:rPr>
          <w:noProof/>
        </w:rPr>
        <w:t>8</w:t>
      </w:r>
      <w:r w:rsidR="0070295B">
        <w:rPr>
          <w:noProof/>
        </w:rPr>
        <w:fldChar w:fldCharType="end"/>
      </w:r>
      <w:r w:rsidR="00BD0667">
        <w:t xml:space="preserve"> </w:t>
      </w:r>
      <w:r w:rsidR="00704AB4" w:rsidRPr="00704AB4">
        <w:t>AHPND</w:t>
      </w:r>
      <w:r w:rsidR="00704AB4">
        <w:rPr>
          <w:i/>
          <w:iCs/>
        </w:rPr>
        <w:t xml:space="preserve"> </w:t>
      </w:r>
      <w:r w:rsidR="00704AB4">
        <w:t>‘acceptable’ results</w:t>
      </w:r>
      <w:bookmarkEnd w:id="73"/>
      <w:r w:rsidR="00704AB4">
        <w:t xml:space="preserve"> </w:t>
      </w:r>
    </w:p>
    <w:p w14:paraId="2CED62FB" w14:textId="36B490C2" w:rsidR="00AD1E9F" w:rsidRDefault="009D5FD5" w:rsidP="00AD1E9F">
      <w:r>
        <w:rPr>
          <w:noProof/>
        </w:rPr>
        <w:drawing>
          <wp:inline distT="0" distB="0" distL="0" distR="0" wp14:anchorId="180AAE5A" wp14:editId="7B0E960F">
            <wp:extent cx="5993130" cy="3621405"/>
            <wp:effectExtent l="0" t="0" r="7620" b="0"/>
            <wp:docPr id="955235942" name="Picture 13" descr="Performance was poor in round 1 and 2 for conventional PCR method, but improved dramatically to reach 100% in round 5a. Results after this round varied between 50% and 100%, but generally there was an upwards trend. &#10;qPCR method shows a sharp drop to its lowest point in round 3, though maintained relatively high performance in the latter rou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35942" name="Picture 13" descr="Performance was poor in round 1 and 2 for conventional PCR method, but improved dramatically to reach 100% in round 5a. Results after this round varied between 50% and 100%, but generally there was an upwards trend. &#10;qPCR method shows a sharp drop to its lowest point in round 3, though maintained relatively high performance in the latter rounds.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93130" cy="3621405"/>
                    </a:xfrm>
                    <a:prstGeom prst="rect">
                      <a:avLst/>
                    </a:prstGeom>
                    <a:noFill/>
                  </pic:spPr>
                </pic:pic>
              </a:graphicData>
            </a:graphic>
          </wp:inline>
        </w:drawing>
      </w:r>
    </w:p>
    <w:p w14:paraId="44936626" w14:textId="5868500E" w:rsidR="00AD1E9F" w:rsidRDefault="00AD1E9F" w:rsidP="00AD1E9F">
      <w:pPr>
        <w:pStyle w:val="Caption"/>
      </w:pPr>
      <w:bookmarkStart w:id="74" w:name="_Toc184123175"/>
      <w:r>
        <w:t xml:space="preserve">Figure </w:t>
      </w:r>
      <w:r w:rsidR="0070295B">
        <w:fldChar w:fldCharType="begin"/>
      </w:r>
      <w:r w:rsidR="0070295B">
        <w:instrText xml:space="preserve"> SEQ Figure \* ARABIC </w:instrText>
      </w:r>
      <w:r w:rsidR="0070295B">
        <w:fldChar w:fldCharType="separate"/>
      </w:r>
      <w:r w:rsidR="00491B46">
        <w:rPr>
          <w:noProof/>
        </w:rPr>
        <w:t>9</w:t>
      </w:r>
      <w:r w:rsidR="0070295B">
        <w:rPr>
          <w:noProof/>
        </w:rPr>
        <w:fldChar w:fldCharType="end"/>
      </w:r>
      <w:r w:rsidR="00704AB4">
        <w:t xml:space="preserve"> </w:t>
      </w:r>
      <w:r w:rsidR="00704AB4">
        <w:rPr>
          <w:i/>
          <w:iCs/>
        </w:rPr>
        <w:t>Megalocytivirus</w:t>
      </w:r>
      <w:r w:rsidR="00704AB4">
        <w:t xml:space="preserve"> ‘acceptable' results</w:t>
      </w:r>
      <w:bookmarkEnd w:id="74"/>
    </w:p>
    <w:p w14:paraId="641ACB44" w14:textId="63E6C74E" w:rsidR="00D22CC2" w:rsidRDefault="009D5FD5" w:rsidP="009D5FD5">
      <w:r>
        <w:rPr>
          <w:noProof/>
        </w:rPr>
        <w:drawing>
          <wp:inline distT="0" distB="0" distL="0" distR="0" wp14:anchorId="256F1685" wp14:editId="2661FEF6">
            <wp:extent cx="6010275" cy="3631469"/>
            <wp:effectExtent l="0" t="0" r="0" b="7620"/>
            <wp:docPr id="2133287863" name="Picture 14" descr="The number of laboratories obtaining an accurate detection rate was high, and maintained throughout all rounds for qPCR and conventional PCR. Overall, results were above 7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87863" name="Picture 14" descr="The number of laboratories obtaining an accurate detection rate was high, and maintained throughout all rounds for qPCR and conventional PCR. Overall, results were above 70%.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13561" cy="3633454"/>
                    </a:xfrm>
                    <a:prstGeom prst="rect">
                      <a:avLst/>
                    </a:prstGeom>
                    <a:noFill/>
                  </pic:spPr>
                </pic:pic>
              </a:graphicData>
            </a:graphic>
          </wp:inline>
        </w:drawing>
      </w:r>
    </w:p>
    <w:p w14:paraId="33F6EB38" w14:textId="78C0316A" w:rsidR="00D22CC2" w:rsidRDefault="00D22CC2" w:rsidP="00D22CC2">
      <w:pPr>
        <w:pStyle w:val="Caption"/>
      </w:pPr>
      <w:bookmarkStart w:id="75" w:name="_Toc184123176"/>
      <w:r>
        <w:lastRenderedPageBreak/>
        <w:t xml:space="preserve">Figure </w:t>
      </w:r>
      <w:r w:rsidR="0070295B">
        <w:fldChar w:fldCharType="begin"/>
      </w:r>
      <w:r w:rsidR="0070295B">
        <w:instrText xml:space="preserve"> SEQ Figure \* ARABIC </w:instrText>
      </w:r>
      <w:r w:rsidR="0070295B">
        <w:fldChar w:fldCharType="separate"/>
      </w:r>
      <w:r w:rsidR="00491B46">
        <w:rPr>
          <w:noProof/>
        </w:rPr>
        <w:t>10</w:t>
      </w:r>
      <w:r w:rsidR="0070295B">
        <w:rPr>
          <w:noProof/>
        </w:rPr>
        <w:fldChar w:fldCharType="end"/>
      </w:r>
      <w:r w:rsidR="00704AB4">
        <w:t xml:space="preserve"> NNV ‘acceptable’ results</w:t>
      </w:r>
      <w:bookmarkEnd w:id="75"/>
      <w:r w:rsidR="00704AB4">
        <w:t xml:space="preserve"> </w:t>
      </w:r>
    </w:p>
    <w:p w14:paraId="02796826" w14:textId="626BA773" w:rsidR="00D22CC2" w:rsidRDefault="009D5FD5" w:rsidP="009D5FD5">
      <w:r>
        <w:rPr>
          <w:noProof/>
        </w:rPr>
        <w:drawing>
          <wp:inline distT="0" distB="0" distL="0" distR="0" wp14:anchorId="01E515E0" wp14:editId="54FF99DF">
            <wp:extent cx="5986780" cy="3529965"/>
            <wp:effectExtent l="0" t="0" r="0" b="0"/>
            <wp:docPr id="171390176" name="Picture 15" descr="The line graph shows qPCR maintaining a strong performance across all rounds, with results between 80% and 90% for acceptable results. There is a slight decline around Round 6 to 67%.&#10;Conversely, conventional PCR starts around 50% in round 1 and improves to 100% in round 4 and round 5b. However, there is a significant decrease in round 6 to 11% before improving to 75% in round 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0176" name="Picture 15" descr="The line graph shows qPCR maintaining a strong performance across all rounds, with results between 80% and 90% for acceptable results. There is a slight decline around Round 6 to 67%.&#10;Conversely, conventional PCR starts around 50% in round 1 and improves to 100% in round 4 and round 5b. However, there is a significant decrease in round 6 to 11% before improving to 75% in round 7.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6780" cy="3529965"/>
                    </a:xfrm>
                    <a:prstGeom prst="rect">
                      <a:avLst/>
                    </a:prstGeom>
                    <a:noFill/>
                  </pic:spPr>
                </pic:pic>
              </a:graphicData>
            </a:graphic>
          </wp:inline>
        </w:drawing>
      </w:r>
    </w:p>
    <w:p w14:paraId="01563637" w14:textId="49C3526B" w:rsidR="00D22CC2" w:rsidRDefault="00D22CC2" w:rsidP="00D22CC2">
      <w:pPr>
        <w:pStyle w:val="Caption"/>
      </w:pPr>
      <w:bookmarkStart w:id="76" w:name="_Toc184123177"/>
      <w:r>
        <w:t xml:space="preserve">Figure </w:t>
      </w:r>
      <w:r w:rsidR="0070295B">
        <w:fldChar w:fldCharType="begin"/>
      </w:r>
      <w:r w:rsidR="0070295B">
        <w:instrText xml:space="preserve"> SEQ Figure \* ARABIC </w:instrText>
      </w:r>
      <w:r w:rsidR="0070295B">
        <w:fldChar w:fldCharType="separate"/>
      </w:r>
      <w:r w:rsidR="00491B46">
        <w:rPr>
          <w:noProof/>
        </w:rPr>
        <w:t>11</w:t>
      </w:r>
      <w:r w:rsidR="0070295B">
        <w:rPr>
          <w:noProof/>
        </w:rPr>
        <w:fldChar w:fldCharType="end"/>
      </w:r>
      <w:r w:rsidR="00704AB4">
        <w:t xml:space="preserve"> KHV ‘acceptable’ results</w:t>
      </w:r>
      <w:bookmarkEnd w:id="76"/>
      <w:r w:rsidR="00704AB4">
        <w:t xml:space="preserve"> </w:t>
      </w:r>
    </w:p>
    <w:p w14:paraId="7B4936EB" w14:textId="172554C1" w:rsidR="009D5FD5" w:rsidRPr="009D5FD5" w:rsidRDefault="009D5FD5" w:rsidP="00C001B0">
      <w:r>
        <w:rPr>
          <w:noProof/>
        </w:rPr>
        <w:drawing>
          <wp:inline distT="0" distB="0" distL="0" distR="0" wp14:anchorId="381D0022" wp14:editId="1AB678C4">
            <wp:extent cx="6010910" cy="3706495"/>
            <wp:effectExtent l="0" t="0" r="8890" b="8255"/>
            <wp:docPr id="1426630721" name="Picture 16" descr="The results for conventional PCR and qPCR are generally consistent across all rounds, with qPCR outperforming conventional PCR. The exception is in round 2 and 3, where conventional PCR performed marginally better than qP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30721" name="Picture 16" descr="The results for conventional PCR and qPCR are generally consistent across all rounds, with qPCR outperforming conventional PCR. The exception is in round 2 and 3, where conventional PCR performed marginally better than qP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10910" cy="3706495"/>
                    </a:xfrm>
                    <a:prstGeom prst="rect">
                      <a:avLst/>
                    </a:prstGeom>
                    <a:noFill/>
                  </pic:spPr>
                </pic:pic>
              </a:graphicData>
            </a:graphic>
          </wp:inline>
        </w:drawing>
      </w:r>
    </w:p>
    <w:p w14:paraId="49B51569" w14:textId="5703C21D" w:rsidR="00D22CC2" w:rsidRDefault="00D22CC2" w:rsidP="00D22CC2"/>
    <w:p w14:paraId="662D3323" w14:textId="1DEA6CDA" w:rsidR="00BD0667" w:rsidRDefault="00BD0667" w:rsidP="00BD0667">
      <w:pPr>
        <w:pStyle w:val="Caption"/>
      </w:pPr>
      <w:bookmarkStart w:id="77" w:name="_Ref141266946"/>
      <w:bookmarkStart w:id="78" w:name="_Toc184123178"/>
      <w:r>
        <w:lastRenderedPageBreak/>
        <w:t xml:space="preserve">Figure </w:t>
      </w:r>
      <w:r w:rsidR="0070295B">
        <w:fldChar w:fldCharType="begin"/>
      </w:r>
      <w:r w:rsidR="0070295B">
        <w:instrText xml:space="preserve"> SEQ Figure \* ARABIC </w:instrText>
      </w:r>
      <w:r w:rsidR="0070295B">
        <w:fldChar w:fldCharType="separate"/>
      </w:r>
      <w:r w:rsidR="00491B46">
        <w:rPr>
          <w:noProof/>
        </w:rPr>
        <w:t>12</w:t>
      </w:r>
      <w:r w:rsidR="0070295B">
        <w:rPr>
          <w:noProof/>
        </w:rPr>
        <w:fldChar w:fldCharType="end"/>
      </w:r>
      <w:bookmarkEnd w:id="77"/>
      <w:r w:rsidR="00704AB4">
        <w:t xml:space="preserve"> SVC</w:t>
      </w:r>
      <w:r w:rsidR="004356A7">
        <w:t>V 'acceptable’ results</w:t>
      </w:r>
      <w:bookmarkEnd w:id="78"/>
    </w:p>
    <w:p w14:paraId="668BEBFB" w14:textId="565DB4BE" w:rsidR="004356A7" w:rsidRDefault="009D5FD5" w:rsidP="009D5FD5">
      <w:r>
        <w:rPr>
          <w:noProof/>
        </w:rPr>
        <w:drawing>
          <wp:inline distT="0" distB="0" distL="0" distR="0" wp14:anchorId="3B9A2DA3" wp14:editId="3994B230">
            <wp:extent cx="5925820" cy="3657600"/>
            <wp:effectExtent l="0" t="0" r="0" b="0"/>
            <wp:docPr id="647600099" name="Picture 17" descr="There is substantial variation in results for both qPCR and conventional PCR, though overall qPCR still outperformed conventional PCR. Results peaked at round 5b, where both methods delivered 100% acceptable results, then diverged in round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00099" name="Picture 17" descr="There is substantial variation in results for both qPCR and conventional PCR, though overall qPCR still outperformed conventional PCR. Results peaked at round 5b, where both methods delivered 100% acceptable results, then diverged in round 8.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25820" cy="3657600"/>
                    </a:xfrm>
                    <a:prstGeom prst="rect">
                      <a:avLst/>
                    </a:prstGeom>
                    <a:noFill/>
                  </pic:spPr>
                </pic:pic>
              </a:graphicData>
            </a:graphic>
          </wp:inline>
        </w:drawing>
      </w:r>
    </w:p>
    <w:p w14:paraId="24DC7700" w14:textId="4EB3D81A" w:rsidR="0070295B" w:rsidRDefault="00D25BDE" w:rsidP="00D25BDE">
      <w:pPr>
        <w:pStyle w:val="Caption"/>
      </w:pPr>
      <w:bookmarkStart w:id="79" w:name="Table4"/>
      <w:bookmarkStart w:id="80" w:name="_Toc184123132"/>
      <w:r>
        <w:t xml:space="preserve">Table </w:t>
      </w:r>
      <w:r>
        <w:fldChar w:fldCharType="begin"/>
      </w:r>
      <w:r>
        <w:instrText xml:space="preserve"> SEQ Table \* ARABIC </w:instrText>
      </w:r>
      <w:r>
        <w:fldChar w:fldCharType="separate"/>
      </w:r>
      <w:r w:rsidR="00491B46">
        <w:rPr>
          <w:noProof/>
        </w:rPr>
        <w:t>4</w:t>
      </w:r>
      <w:r>
        <w:fldChar w:fldCharType="end"/>
      </w:r>
      <w:r>
        <w:t xml:space="preserve"> </w:t>
      </w:r>
      <w:bookmarkEnd w:id="79"/>
      <w:r w:rsidR="0070295B" w:rsidRPr="0070295B">
        <w:t>Average % of acceptable results across all rounds using conventional and qPCR</w:t>
      </w:r>
      <w:bookmarkEnd w:id="80"/>
    </w:p>
    <w:tbl>
      <w:tblPr>
        <w:tblW w:w="5900" w:type="dxa"/>
        <w:tblLook w:val="04A0" w:firstRow="1" w:lastRow="0" w:firstColumn="1" w:lastColumn="0" w:noHBand="0" w:noVBand="1"/>
      </w:tblPr>
      <w:tblGrid>
        <w:gridCol w:w="1920"/>
        <w:gridCol w:w="2060"/>
        <w:gridCol w:w="1920"/>
      </w:tblGrid>
      <w:tr w:rsidR="0070295B" w:rsidRPr="0070295B" w14:paraId="4BEDF868" w14:textId="77777777" w:rsidTr="0070295B">
        <w:trPr>
          <w:trHeight w:val="29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75C46C1D" w14:textId="77777777" w:rsidR="0070295B" w:rsidRPr="0070295B" w:rsidRDefault="0070295B" w:rsidP="008D7608">
            <w:pPr>
              <w:pStyle w:val="TableHeading"/>
              <w:rPr>
                <w:lang w:eastAsia="en-AU"/>
              </w:rPr>
            </w:pPr>
            <w:r w:rsidRPr="0070295B">
              <w:rPr>
                <w:lang w:eastAsia="en-AU"/>
              </w:rPr>
              <w:t xml:space="preserve">Disease agent </w:t>
            </w:r>
          </w:p>
        </w:tc>
        <w:tc>
          <w:tcPr>
            <w:tcW w:w="2060" w:type="dxa"/>
            <w:tcBorders>
              <w:top w:val="single" w:sz="4" w:space="0" w:color="auto"/>
              <w:left w:val="nil"/>
              <w:bottom w:val="single" w:sz="4" w:space="0" w:color="auto"/>
              <w:right w:val="single" w:sz="4" w:space="0" w:color="auto"/>
            </w:tcBorders>
            <w:noWrap/>
            <w:vAlign w:val="bottom"/>
            <w:hideMark/>
          </w:tcPr>
          <w:p w14:paraId="0B747A84" w14:textId="77777777" w:rsidR="0070295B" w:rsidRPr="0070295B" w:rsidRDefault="0070295B" w:rsidP="008D7608">
            <w:pPr>
              <w:pStyle w:val="TableHeading"/>
              <w:rPr>
                <w:lang w:eastAsia="en-AU"/>
              </w:rPr>
            </w:pPr>
            <w:r w:rsidRPr="0070295B">
              <w:rPr>
                <w:lang w:eastAsia="en-AU"/>
              </w:rPr>
              <w:t>Conventional PCR</w:t>
            </w:r>
          </w:p>
        </w:tc>
        <w:tc>
          <w:tcPr>
            <w:tcW w:w="1920" w:type="dxa"/>
            <w:tcBorders>
              <w:top w:val="single" w:sz="4" w:space="0" w:color="auto"/>
              <w:left w:val="nil"/>
              <w:bottom w:val="single" w:sz="4" w:space="0" w:color="auto"/>
              <w:right w:val="single" w:sz="4" w:space="0" w:color="auto"/>
            </w:tcBorders>
            <w:noWrap/>
            <w:vAlign w:val="bottom"/>
            <w:hideMark/>
          </w:tcPr>
          <w:p w14:paraId="0E8CD5AD" w14:textId="77777777" w:rsidR="0070295B" w:rsidRPr="0070295B" w:rsidRDefault="0070295B" w:rsidP="008D7608">
            <w:pPr>
              <w:pStyle w:val="TableHeading"/>
              <w:rPr>
                <w:lang w:eastAsia="en-AU"/>
              </w:rPr>
            </w:pPr>
            <w:r w:rsidRPr="0070295B">
              <w:rPr>
                <w:lang w:eastAsia="en-AU"/>
              </w:rPr>
              <w:t>qPCR</w:t>
            </w:r>
          </w:p>
        </w:tc>
      </w:tr>
      <w:tr w:rsidR="0070295B" w:rsidRPr="0070295B" w14:paraId="6747AB8C"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035F8E38" w14:textId="77777777" w:rsidR="0070295B" w:rsidRPr="0070295B" w:rsidRDefault="0070295B" w:rsidP="008D7608">
            <w:pPr>
              <w:pStyle w:val="TableText"/>
              <w:rPr>
                <w:lang w:eastAsia="en-AU"/>
              </w:rPr>
            </w:pPr>
            <w:r w:rsidRPr="0070295B">
              <w:rPr>
                <w:lang w:eastAsia="en-AU"/>
              </w:rPr>
              <w:t>WSSV</w:t>
            </w:r>
          </w:p>
        </w:tc>
        <w:tc>
          <w:tcPr>
            <w:tcW w:w="2060" w:type="dxa"/>
            <w:tcBorders>
              <w:top w:val="nil"/>
              <w:left w:val="nil"/>
              <w:bottom w:val="single" w:sz="4" w:space="0" w:color="auto"/>
              <w:right w:val="single" w:sz="4" w:space="0" w:color="auto"/>
            </w:tcBorders>
            <w:noWrap/>
            <w:vAlign w:val="bottom"/>
            <w:hideMark/>
          </w:tcPr>
          <w:p w14:paraId="03DFA50F" w14:textId="77777777" w:rsidR="0070295B" w:rsidRPr="0070295B" w:rsidRDefault="0070295B" w:rsidP="008D7608">
            <w:pPr>
              <w:pStyle w:val="TableText"/>
              <w:rPr>
                <w:lang w:eastAsia="en-AU"/>
              </w:rPr>
            </w:pPr>
            <w:r w:rsidRPr="0070295B">
              <w:rPr>
                <w:lang w:eastAsia="en-AU"/>
              </w:rPr>
              <w:t>69.5</w:t>
            </w:r>
          </w:p>
        </w:tc>
        <w:tc>
          <w:tcPr>
            <w:tcW w:w="1920" w:type="dxa"/>
            <w:tcBorders>
              <w:top w:val="nil"/>
              <w:left w:val="nil"/>
              <w:bottom w:val="single" w:sz="4" w:space="0" w:color="auto"/>
              <w:right w:val="single" w:sz="4" w:space="0" w:color="auto"/>
            </w:tcBorders>
            <w:noWrap/>
            <w:vAlign w:val="bottom"/>
            <w:hideMark/>
          </w:tcPr>
          <w:p w14:paraId="35CBD218" w14:textId="77777777" w:rsidR="0070295B" w:rsidRPr="0070295B" w:rsidRDefault="0070295B" w:rsidP="008D7608">
            <w:pPr>
              <w:pStyle w:val="TableText"/>
              <w:rPr>
                <w:lang w:eastAsia="en-AU"/>
              </w:rPr>
            </w:pPr>
            <w:r w:rsidRPr="0070295B">
              <w:rPr>
                <w:lang w:eastAsia="en-AU"/>
              </w:rPr>
              <w:t>83.3</w:t>
            </w:r>
          </w:p>
        </w:tc>
      </w:tr>
      <w:tr w:rsidR="0070295B" w:rsidRPr="0070295B" w14:paraId="2F83CFAF" w14:textId="77777777" w:rsidTr="0070295B">
        <w:trPr>
          <w:trHeight w:val="300"/>
        </w:trPr>
        <w:tc>
          <w:tcPr>
            <w:tcW w:w="1920" w:type="dxa"/>
            <w:tcBorders>
              <w:top w:val="nil"/>
              <w:left w:val="single" w:sz="4" w:space="0" w:color="auto"/>
              <w:bottom w:val="single" w:sz="4" w:space="0" w:color="auto"/>
              <w:right w:val="single" w:sz="4" w:space="0" w:color="auto"/>
            </w:tcBorders>
            <w:noWrap/>
            <w:vAlign w:val="bottom"/>
            <w:hideMark/>
          </w:tcPr>
          <w:p w14:paraId="438D08FA" w14:textId="77777777" w:rsidR="0070295B" w:rsidRPr="0070295B" w:rsidRDefault="0070295B" w:rsidP="008D7608">
            <w:pPr>
              <w:pStyle w:val="TableText"/>
              <w:rPr>
                <w:lang w:eastAsia="en-AU"/>
              </w:rPr>
            </w:pPr>
            <w:r w:rsidRPr="0070295B">
              <w:rPr>
                <w:lang w:eastAsia="en-AU"/>
              </w:rPr>
              <w:t>YHV-1</w:t>
            </w:r>
          </w:p>
        </w:tc>
        <w:tc>
          <w:tcPr>
            <w:tcW w:w="2060" w:type="dxa"/>
            <w:tcBorders>
              <w:top w:val="nil"/>
              <w:left w:val="nil"/>
              <w:bottom w:val="single" w:sz="4" w:space="0" w:color="auto"/>
              <w:right w:val="single" w:sz="4" w:space="0" w:color="auto"/>
            </w:tcBorders>
            <w:noWrap/>
            <w:vAlign w:val="bottom"/>
            <w:hideMark/>
          </w:tcPr>
          <w:p w14:paraId="149E46F9" w14:textId="77777777" w:rsidR="0070295B" w:rsidRPr="0070295B" w:rsidRDefault="0070295B" w:rsidP="008D7608">
            <w:pPr>
              <w:pStyle w:val="TableText"/>
              <w:rPr>
                <w:lang w:eastAsia="en-AU"/>
              </w:rPr>
            </w:pPr>
            <w:r w:rsidRPr="0070295B">
              <w:rPr>
                <w:lang w:eastAsia="en-AU"/>
              </w:rPr>
              <w:t>65.2</w:t>
            </w:r>
          </w:p>
        </w:tc>
        <w:tc>
          <w:tcPr>
            <w:tcW w:w="1920" w:type="dxa"/>
            <w:tcBorders>
              <w:top w:val="nil"/>
              <w:left w:val="nil"/>
              <w:bottom w:val="single" w:sz="4" w:space="0" w:color="auto"/>
              <w:right w:val="single" w:sz="4" w:space="0" w:color="auto"/>
            </w:tcBorders>
            <w:noWrap/>
            <w:vAlign w:val="bottom"/>
            <w:hideMark/>
          </w:tcPr>
          <w:p w14:paraId="1715845E" w14:textId="77777777" w:rsidR="0070295B" w:rsidRPr="0070295B" w:rsidRDefault="0070295B" w:rsidP="008D7608">
            <w:pPr>
              <w:pStyle w:val="TableText"/>
              <w:rPr>
                <w:lang w:eastAsia="en-AU"/>
              </w:rPr>
            </w:pPr>
            <w:r w:rsidRPr="0070295B">
              <w:rPr>
                <w:lang w:eastAsia="en-AU"/>
              </w:rPr>
              <w:t>88.8</w:t>
            </w:r>
          </w:p>
        </w:tc>
      </w:tr>
      <w:tr w:rsidR="0070295B" w:rsidRPr="0070295B" w14:paraId="2D9DFDFE"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6EC335A0" w14:textId="77777777" w:rsidR="0070295B" w:rsidRPr="0070295B" w:rsidRDefault="0070295B" w:rsidP="008D7608">
            <w:pPr>
              <w:pStyle w:val="TableText"/>
              <w:rPr>
                <w:lang w:eastAsia="en-AU"/>
              </w:rPr>
            </w:pPr>
            <w:r w:rsidRPr="0070295B">
              <w:rPr>
                <w:lang w:eastAsia="en-AU"/>
              </w:rPr>
              <w:t>TSV</w:t>
            </w:r>
          </w:p>
        </w:tc>
        <w:tc>
          <w:tcPr>
            <w:tcW w:w="2060" w:type="dxa"/>
            <w:tcBorders>
              <w:top w:val="nil"/>
              <w:left w:val="nil"/>
              <w:bottom w:val="single" w:sz="4" w:space="0" w:color="auto"/>
              <w:right w:val="single" w:sz="4" w:space="0" w:color="auto"/>
            </w:tcBorders>
            <w:noWrap/>
            <w:vAlign w:val="bottom"/>
            <w:hideMark/>
          </w:tcPr>
          <w:p w14:paraId="51ED3F26" w14:textId="77777777" w:rsidR="0070295B" w:rsidRPr="0070295B" w:rsidRDefault="0070295B" w:rsidP="008D7608">
            <w:pPr>
              <w:pStyle w:val="TableText"/>
              <w:rPr>
                <w:lang w:eastAsia="en-AU"/>
              </w:rPr>
            </w:pPr>
            <w:r w:rsidRPr="0070295B">
              <w:rPr>
                <w:lang w:eastAsia="en-AU"/>
              </w:rPr>
              <w:t>63.8</w:t>
            </w:r>
          </w:p>
        </w:tc>
        <w:tc>
          <w:tcPr>
            <w:tcW w:w="1920" w:type="dxa"/>
            <w:tcBorders>
              <w:top w:val="nil"/>
              <w:left w:val="nil"/>
              <w:bottom w:val="single" w:sz="4" w:space="0" w:color="auto"/>
              <w:right w:val="single" w:sz="4" w:space="0" w:color="auto"/>
            </w:tcBorders>
            <w:noWrap/>
            <w:vAlign w:val="bottom"/>
            <w:hideMark/>
          </w:tcPr>
          <w:p w14:paraId="159C70BF" w14:textId="77777777" w:rsidR="0070295B" w:rsidRPr="0070295B" w:rsidRDefault="0070295B" w:rsidP="008D7608">
            <w:pPr>
              <w:pStyle w:val="TableText"/>
              <w:rPr>
                <w:lang w:eastAsia="en-AU"/>
              </w:rPr>
            </w:pPr>
            <w:r w:rsidRPr="0070295B">
              <w:rPr>
                <w:lang w:eastAsia="en-AU"/>
              </w:rPr>
              <w:t>81.7</w:t>
            </w:r>
          </w:p>
        </w:tc>
      </w:tr>
      <w:tr w:rsidR="0070295B" w:rsidRPr="0070295B" w14:paraId="44C4E124"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2125D25E" w14:textId="77777777" w:rsidR="0070295B" w:rsidRPr="0070295B" w:rsidRDefault="0070295B" w:rsidP="008D7608">
            <w:pPr>
              <w:pStyle w:val="TableText"/>
              <w:rPr>
                <w:lang w:eastAsia="en-AU"/>
              </w:rPr>
            </w:pPr>
            <w:r w:rsidRPr="0070295B">
              <w:rPr>
                <w:lang w:eastAsia="en-AU"/>
              </w:rPr>
              <w:t>IMNV</w:t>
            </w:r>
          </w:p>
        </w:tc>
        <w:tc>
          <w:tcPr>
            <w:tcW w:w="2060" w:type="dxa"/>
            <w:tcBorders>
              <w:top w:val="nil"/>
              <w:left w:val="nil"/>
              <w:bottom w:val="single" w:sz="4" w:space="0" w:color="auto"/>
              <w:right w:val="single" w:sz="4" w:space="0" w:color="auto"/>
            </w:tcBorders>
            <w:noWrap/>
            <w:vAlign w:val="bottom"/>
            <w:hideMark/>
          </w:tcPr>
          <w:p w14:paraId="43041280" w14:textId="77777777" w:rsidR="0070295B" w:rsidRPr="0070295B" w:rsidRDefault="0070295B" w:rsidP="008D7608">
            <w:pPr>
              <w:pStyle w:val="TableText"/>
              <w:rPr>
                <w:lang w:eastAsia="en-AU"/>
              </w:rPr>
            </w:pPr>
            <w:r w:rsidRPr="0070295B">
              <w:rPr>
                <w:lang w:eastAsia="en-AU"/>
              </w:rPr>
              <w:t>69.3</w:t>
            </w:r>
          </w:p>
        </w:tc>
        <w:tc>
          <w:tcPr>
            <w:tcW w:w="1920" w:type="dxa"/>
            <w:tcBorders>
              <w:top w:val="nil"/>
              <w:left w:val="nil"/>
              <w:bottom w:val="single" w:sz="4" w:space="0" w:color="auto"/>
              <w:right w:val="single" w:sz="4" w:space="0" w:color="auto"/>
            </w:tcBorders>
            <w:noWrap/>
            <w:vAlign w:val="bottom"/>
            <w:hideMark/>
          </w:tcPr>
          <w:p w14:paraId="0E4694BD" w14:textId="77777777" w:rsidR="0070295B" w:rsidRPr="0070295B" w:rsidRDefault="0070295B" w:rsidP="008D7608">
            <w:pPr>
              <w:pStyle w:val="TableText"/>
              <w:rPr>
                <w:lang w:eastAsia="en-AU"/>
              </w:rPr>
            </w:pPr>
            <w:r w:rsidRPr="0070295B">
              <w:rPr>
                <w:lang w:eastAsia="en-AU"/>
              </w:rPr>
              <w:t>76.4</w:t>
            </w:r>
          </w:p>
        </w:tc>
      </w:tr>
      <w:tr w:rsidR="0070295B" w:rsidRPr="0070295B" w14:paraId="0313B08F"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4FFDEAAF" w14:textId="65862C82" w:rsidR="0070295B" w:rsidRPr="0070295B" w:rsidRDefault="0070295B" w:rsidP="008D7608">
            <w:pPr>
              <w:pStyle w:val="TableText"/>
              <w:rPr>
                <w:lang w:eastAsia="en-AU"/>
              </w:rPr>
            </w:pPr>
            <w:r w:rsidRPr="0070295B">
              <w:rPr>
                <w:lang w:eastAsia="en-AU"/>
              </w:rPr>
              <w:t>I</w:t>
            </w:r>
            <w:r w:rsidR="00B16976">
              <w:rPr>
                <w:lang w:eastAsia="en-AU"/>
              </w:rPr>
              <w:t>HHN</w:t>
            </w:r>
            <w:r w:rsidRPr="0070295B">
              <w:rPr>
                <w:lang w:eastAsia="en-AU"/>
              </w:rPr>
              <w:t>V</w:t>
            </w:r>
          </w:p>
        </w:tc>
        <w:tc>
          <w:tcPr>
            <w:tcW w:w="2060" w:type="dxa"/>
            <w:tcBorders>
              <w:top w:val="nil"/>
              <w:left w:val="nil"/>
              <w:bottom w:val="single" w:sz="4" w:space="0" w:color="auto"/>
              <w:right w:val="single" w:sz="4" w:space="0" w:color="auto"/>
            </w:tcBorders>
            <w:noWrap/>
            <w:vAlign w:val="bottom"/>
            <w:hideMark/>
          </w:tcPr>
          <w:p w14:paraId="5B2115C9" w14:textId="77777777" w:rsidR="0070295B" w:rsidRPr="0070295B" w:rsidRDefault="0070295B" w:rsidP="008D7608">
            <w:pPr>
              <w:pStyle w:val="TableText"/>
              <w:rPr>
                <w:lang w:eastAsia="en-AU"/>
              </w:rPr>
            </w:pPr>
            <w:r w:rsidRPr="0070295B">
              <w:rPr>
                <w:lang w:eastAsia="en-AU"/>
              </w:rPr>
              <w:t>83.1</w:t>
            </w:r>
          </w:p>
        </w:tc>
        <w:tc>
          <w:tcPr>
            <w:tcW w:w="1920" w:type="dxa"/>
            <w:tcBorders>
              <w:top w:val="nil"/>
              <w:left w:val="nil"/>
              <w:bottom w:val="single" w:sz="4" w:space="0" w:color="auto"/>
              <w:right w:val="single" w:sz="4" w:space="0" w:color="auto"/>
            </w:tcBorders>
            <w:noWrap/>
            <w:vAlign w:val="bottom"/>
            <w:hideMark/>
          </w:tcPr>
          <w:p w14:paraId="1F4DB489" w14:textId="77777777" w:rsidR="0070295B" w:rsidRPr="0070295B" w:rsidRDefault="0070295B" w:rsidP="008D7608">
            <w:pPr>
              <w:pStyle w:val="TableText"/>
              <w:rPr>
                <w:lang w:eastAsia="en-AU"/>
              </w:rPr>
            </w:pPr>
            <w:r w:rsidRPr="0070295B">
              <w:rPr>
                <w:lang w:eastAsia="en-AU"/>
              </w:rPr>
              <w:t>89.7</w:t>
            </w:r>
          </w:p>
        </w:tc>
      </w:tr>
      <w:tr w:rsidR="0070295B" w:rsidRPr="0070295B" w14:paraId="766078AA"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256907B0" w14:textId="77777777" w:rsidR="0070295B" w:rsidRPr="0070295B" w:rsidRDefault="0070295B" w:rsidP="008D7608">
            <w:pPr>
              <w:pStyle w:val="TableText"/>
              <w:rPr>
                <w:lang w:eastAsia="en-AU"/>
              </w:rPr>
            </w:pPr>
            <w:r w:rsidRPr="0070295B">
              <w:rPr>
                <w:i/>
                <w:iCs/>
                <w:lang w:eastAsia="en-AU"/>
              </w:rPr>
              <w:t>Vp</w:t>
            </w:r>
            <w:r w:rsidRPr="0070295B">
              <w:rPr>
                <w:lang w:eastAsia="en-AU"/>
              </w:rPr>
              <w:t>AHPND</w:t>
            </w:r>
          </w:p>
        </w:tc>
        <w:tc>
          <w:tcPr>
            <w:tcW w:w="2060" w:type="dxa"/>
            <w:tcBorders>
              <w:top w:val="nil"/>
              <w:left w:val="nil"/>
              <w:bottom w:val="single" w:sz="4" w:space="0" w:color="auto"/>
              <w:right w:val="single" w:sz="4" w:space="0" w:color="auto"/>
            </w:tcBorders>
            <w:noWrap/>
            <w:vAlign w:val="bottom"/>
            <w:hideMark/>
          </w:tcPr>
          <w:p w14:paraId="4958A515" w14:textId="77777777" w:rsidR="0070295B" w:rsidRPr="0070295B" w:rsidRDefault="0070295B" w:rsidP="008D7608">
            <w:pPr>
              <w:pStyle w:val="TableText"/>
              <w:rPr>
                <w:lang w:eastAsia="en-AU"/>
              </w:rPr>
            </w:pPr>
            <w:r w:rsidRPr="0070295B">
              <w:rPr>
                <w:lang w:eastAsia="en-AU"/>
              </w:rPr>
              <w:t>69</w:t>
            </w:r>
          </w:p>
        </w:tc>
        <w:tc>
          <w:tcPr>
            <w:tcW w:w="1920" w:type="dxa"/>
            <w:tcBorders>
              <w:top w:val="nil"/>
              <w:left w:val="nil"/>
              <w:bottom w:val="single" w:sz="4" w:space="0" w:color="auto"/>
              <w:right w:val="single" w:sz="4" w:space="0" w:color="auto"/>
            </w:tcBorders>
            <w:noWrap/>
            <w:vAlign w:val="bottom"/>
            <w:hideMark/>
          </w:tcPr>
          <w:p w14:paraId="68C205AC" w14:textId="77777777" w:rsidR="0070295B" w:rsidRPr="0070295B" w:rsidRDefault="0070295B" w:rsidP="008D7608">
            <w:pPr>
              <w:pStyle w:val="TableText"/>
              <w:rPr>
                <w:lang w:eastAsia="en-AU"/>
              </w:rPr>
            </w:pPr>
            <w:r w:rsidRPr="0070295B">
              <w:rPr>
                <w:lang w:eastAsia="en-AU"/>
              </w:rPr>
              <w:t>79.2</w:t>
            </w:r>
          </w:p>
        </w:tc>
      </w:tr>
      <w:tr w:rsidR="0070295B" w:rsidRPr="0070295B" w14:paraId="381E8A7E"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6E020226" w14:textId="77777777" w:rsidR="0070295B" w:rsidRPr="0070295B" w:rsidRDefault="0070295B" w:rsidP="008D7608">
            <w:pPr>
              <w:pStyle w:val="TableText"/>
              <w:rPr>
                <w:i/>
                <w:iCs/>
                <w:lang w:eastAsia="en-AU"/>
              </w:rPr>
            </w:pPr>
            <w:r w:rsidRPr="0070295B">
              <w:rPr>
                <w:i/>
                <w:iCs/>
                <w:lang w:eastAsia="en-AU"/>
              </w:rPr>
              <w:t xml:space="preserve">Megalocytivirus </w:t>
            </w:r>
          </w:p>
        </w:tc>
        <w:tc>
          <w:tcPr>
            <w:tcW w:w="2060" w:type="dxa"/>
            <w:tcBorders>
              <w:top w:val="nil"/>
              <w:left w:val="nil"/>
              <w:bottom w:val="single" w:sz="4" w:space="0" w:color="auto"/>
              <w:right w:val="single" w:sz="4" w:space="0" w:color="auto"/>
            </w:tcBorders>
            <w:noWrap/>
            <w:vAlign w:val="bottom"/>
            <w:hideMark/>
          </w:tcPr>
          <w:p w14:paraId="5E195753" w14:textId="77777777" w:rsidR="0070295B" w:rsidRPr="0070295B" w:rsidRDefault="0070295B" w:rsidP="008D7608">
            <w:pPr>
              <w:pStyle w:val="TableText"/>
              <w:rPr>
                <w:lang w:eastAsia="en-AU"/>
              </w:rPr>
            </w:pPr>
            <w:r w:rsidRPr="0070295B">
              <w:rPr>
                <w:lang w:eastAsia="en-AU"/>
              </w:rPr>
              <w:t>81.3</w:t>
            </w:r>
          </w:p>
        </w:tc>
        <w:tc>
          <w:tcPr>
            <w:tcW w:w="1920" w:type="dxa"/>
            <w:tcBorders>
              <w:top w:val="nil"/>
              <w:left w:val="nil"/>
              <w:bottom w:val="single" w:sz="4" w:space="0" w:color="auto"/>
              <w:right w:val="single" w:sz="4" w:space="0" w:color="auto"/>
            </w:tcBorders>
            <w:noWrap/>
            <w:vAlign w:val="bottom"/>
            <w:hideMark/>
          </w:tcPr>
          <w:p w14:paraId="0D37FE2C" w14:textId="77777777" w:rsidR="0070295B" w:rsidRPr="0070295B" w:rsidRDefault="0070295B" w:rsidP="008D7608">
            <w:pPr>
              <w:pStyle w:val="TableText"/>
              <w:rPr>
                <w:lang w:eastAsia="en-AU"/>
              </w:rPr>
            </w:pPr>
            <w:r w:rsidRPr="0070295B">
              <w:rPr>
                <w:lang w:eastAsia="en-AU"/>
              </w:rPr>
              <w:t>85.9</w:t>
            </w:r>
          </w:p>
        </w:tc>
      </w:tr>
      <w:tr w:rsidR="0070295B" w:rsidRPr="0070295B" w14:paraId="4F214CB7"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06B3D992" w14:textId="77777777" w:rsidR="0070295B" w:rsidRPr="0070295B" w:rsidRDefault="0070295B" w:rsidP="008D7608">
            <w:pPr>
              <w:pStyle w:val="TableText"/>
              <w:rPr>
                <w:lang w:eastAsia="en-AU"/>
              </w:rPr>
            </w:pPr>
            <w:r w:rsidRPr="0070295B">
              <w:rPr>
                <w:lang w:eastAsia="en-AU"/>
              </w:rPr>
              <w:t>NNV</w:t>
            </w:r>
          </w:p>
        </w:tc>
        <w:tc>
          <w:tcPr>
            <w:tcW w:w="2060" w:type="dxa"/>
            <w:tcBorders>
              <w:top w:val="nil"/>
              <w:left w:val="nil"/>
              <w:bottom w:val="single" w:sz="4" w:space="0" w:color="auto"/>
              <w:right w:val="single" w:sz="4" w:space="0" w:color="auto"/>
            </w:tcBorders>
            <w:noWrap/>
            <w:vAlign w:val="bottom"/>
            <w:hideMark/>
          </w:tcPr>
          <w:p w14:paraId="3CAE68B1" w14:textId="77777777" w:rsidR="0070295B" w:rsidRPr="0070295B" w:rsidRDefault="0070295B" w:rsidP="008D7608">
            <w:pPr>
              <w:pStyle w:val="TableText"/>
              <w:rPr>
                <w:lang w:eastAsia="en-AU"/>
              </w:rPr>
            </w:pPr>
            <w:r w:rsidRPr="0070295B">
              <w:rPr>
                <w:lang w:eastAsia="en-AU"/>
              </w:rPr>
              <w:t>64.8</w:t>
            </w:r>
          </w:p>
        </w:tc>
        <w:tc>
          <w:tcPr>
            <w:tcW w:w="1920" w:type="dxa"/>
            <w:tcBorders>
              <w:top w:val="nil"/>
              <w:left w:val="nil"/>
              <w:bottom w:val="single" w:sz="4" w:space="0" w:color="auto"/>
              <w:right w:val="single" w:sz="4" w:space="0" w:color="auto"/>
            </w:tcBorders>
            <w:noWrap/>
            <w:vAlign w:val="bottom"/>
            <w:hideMark/>
          </w:tcPr>
          <w:p w14:paraId="09F3200D" w14:textId="77777777" w:rsidR="0070295B" w:rsidRPr="0070295B" w:rsidRDefault="0070295B" w:rsidP="008D7608">
            <w:pPr>
              <w:pStyle w:val="TableText"/>
              <w:rPr>
                <w:lang w:eastAsia="en-AU"/>
              </w:rPr>
            </w:pPr>
            <w:r w:rsidRPr="0070295B">
              <w:rPr>
                <w:lang w:eastAsia="en-AU"/>
              </w:rPr>
              <w:t>81.5</w:t>
            </w:r>
          </w:p>
        </w:tc>
      </w:tr>
      <w:tr w:rsidR="0070295B" w:rsidRPr="0070295B" w14:paraId="06465471"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4B88F8F3" w14:textId="77777777" w:rsidR="0070295B" w:rsidRPr="0070295B" w:rsidRDefault="0070295B" w:rsidP="008D7608">
            <w:pPr>
              <w:pStyle w:val="TableText"/>
              <w:rPr>
                <w:lang w:eastAsia="en-AU"/>
              </w:rPr>
            </w:pPr>
            <w:r w:rsidRPr="0070295B">
              <w:rPr>
                <w:lang w:eastAsia="en-AU"/>
              </w:rPr>
              <w:t>KHV</w:t>
            </w:r>
          </w:p>
        </w:tc>
        <w:tc>
          <w:tcPr>
            <w:tcW w:w="2060" w:type="dxa"/>
            <w:tcBorders>
              <w:top w:val="nil"/>
              <w:left w:val="nil"/>
              <w:bottom w:val="single" w:sz="4" w:space="0" w:color="auto"/>
              <w:right w:val="single" w:sz="4" w:space="0" w:color="auto"/>
            </w:tcBorders>
            <w:noWrap/>
            <w:vAlign w:val="bottom"/>
            <w:hideMark/>
          </w:tcPr>
          <w:p w14:paraId="60C34E67" w14:textId="77777777" w:rsidR="0070295B" w:rsidRPr="0070295B" w:rsidRDefault="0070295B" w:rsidP="008D7608">
            <w:pPr>
              <w:pStyle w:val="TableText"/>
              <w:rPr>
                <w:lang w:eastAsia="en-AU"/>
              </w:rPr>
            </w:pPr>
            <w:r w:rsidRPr="0070295B">
              <w:rPr>
                <w:lang w:eastAsia="en-AU"/>
              </w:rPr>
              <w:t>79</w:t>
            </w:r>
          </w:p>
        </w:tc>
        <w:tc>
          <w:tcPr>
            <w:tcW w:w="1920" w:type="dxa"/>
            <w:tcBorders>
              <w:top w:val="nil"/>
              <w:left w:val="nil"/>
              <w:bottom w:val="single" w:sz="4" w:space="0" w:color="auto"/>
              <w:right w:val="single" w:sz="4" w:space="0" w:color="auto"/>
            </w:tcBorders>
            <w:noWrap/>
            <w:vAlign w:val="bottom"/>
            <w:hideMark/>
          </w:tcPr>
          <w:p w14:paraId="3FA3B43D" w14:textId="77777777" w:rsidR="0070295B" w:rsidRPr="0070295B" w:rsidRDefault="0070295B" w:rsidP="008D7608">
            <w:pPr>
              <w:pStyle w:val="TableText"/>
              <w:rPr>
                <w:lang w:eastAsia="en-AU"/>
              </w:rPr>
            </w:pPr>
            <w:r w:rsidRPr="0070295B">
              <w:rPr>
                <w:lang w:eastAsia="en-AU"/>
              </w:rPr>
              <w:t>88.8</w:t>
            </w:r>
          </w:p>
        </w:tc>
      </w:tr>
      <w:tr w:rsidR="0070295B" w:rsidRPr="0070295B" w14:paraId="21800AE9" w14:textId="77777777" w:rsidTr="0070295B">
        <w:trPr>
          <w:trHeight w:val="290"/>
        </w:trPr>
        <w:tc>
          <w:tcPr>
            <w:tcW w:w="1920" w:type="dxa"/>
            <w:tcBorders>
              <w:top w:val="nil"/>
              <w:left w:val="single" w:sz="4" w:space="0" w:color="auto"/>
              <w:bottom w:val="single" w:sz="4" w:space="0" w:color="auto"/>
              <w:right w:val="single" w:sz="4" w:space="0" w:color="auto"/>
            </w:tcBorders>
            <w:noWrap/>
            <w:vAlign w:val="bottom"/>
            <w:hideMark/>
          </w:tcPr>
          <w:p w14:paraId="53222314" w14:textId="77777777" w:rsidR="0070295B" w:rsidRPr="0070295B" w:rsidRDefault="0070295B" w:rsidP="008D7608">
            <w:pPr>
              <w:pStyle w:val="TableText"/>
              <w:rPr>
                <w:lang w:eastAsia="en-AU"/>
              </w:rPr>
            </w:pPr>
            <w:r w:rsidRPr="0070295B">
              <w:rPr>
                <w:lang w:eastAsia="en-AU"/>
              </w:rPr>
              <w:t>SVCV</w:t>
            </w:r>
          </w:p>
        </w:tc>
        <w:tc>
          <w:tcPr>
            <w:tcW w:w="2060" w:type="dxa"/>
            <w:tcBorders>
              <w:top w:val="nil"/>
              <w:left w:val="nil"/>
              <w:bottom w:val="single" w:sz="4" w:space="0" w:color="auto"/>
              <w:right w:val="single" w:sz="4" w:space="0" w:color="auto"/>
            </w:tcBorders>
            <w:noWrap/>
            <w:vAlign w:val="bottom"/>
            <w:hideMark/>
          </w:tcPr>
          <w:p w14:paraId="5FA8A0AA" w14:textId="77777777" w:rsidR="0070295B" w:rsidRPr="0070295B" w:rsidRDefault="0070295B" w:rsidP="008D7608">
            <w:pPr>
              <w:pStyle w:val="TableText"/>
              <w:rPr>
                <w:lang w:eastAsia="en-AU"/>
              </w:rPr>
            </w:pPr>
            <w:r w:rsidRPr="0070295B">
              <w:rPr>
                <w:lang w:eastAsia="en-AU"/>
              </w:rPr>
              <w:t>49.3</w:t>
            </w:r>
          </w:p>
        </w:tc>
        <w:tc>
          <w:tcPr>
            <w:tcW w:w="1920" w:type="dxa"/>
            <w:tcBorders>
              <w:top w:val="nil"/>
              <w:left w:val="nil"/>
              <w:bottom w:val="single" w:sz="4" w:space="0" w:color="auto"/>
              <w:right w:val="single" w:sz="4" w:space="0" w:color="auto"/>
            </w:tcBorders>
            <w:noWrap/>
            <w:vAlign w:val="bottom"/>
            <w:hideMark/>
          </w:tcPr>
          <w:p w14:paraId="632870E6" w14:textId="77777777" w:rsidR="0070295B" w:rsidRPr="0070295B" w:rsidRDefault="0070295B" w:rsidP="008D7608">
            <w:pPr>
              <w:pStyle w:val="TableText"/>
              <w:rPr>
                <w:lang w:eastAsia="en-AU"/>
              </w:rPr>
            </w:pPr>
            <w:r w:rsidRPr="0070295B">
              <w:rPr>
                <w:lang w:eastAsia="en-AU"/>
              </w:rPr>
              <w:t>65.4</w:t>
            </w:r>
          </w:p>
        </w:tc>
      </w:tr>
    </w:tbl>
    <w:p w14:paraId="1B9CA488" w14:textId="51601AF7" w:rsidR="0070295B" w:rsidRDefault="0070295B" w:rsidP="0070295B">
      <w:pPr>
        <w:pStyle w:val="Caption"/>
      </w:pPr>
      <w:bookmarkStart w:id="81" w:name="_Toc184123179"/>
      <w:r>
        <w:lastRenderedPageBreak/>
        <w:t xml:space="preserve">Figure </w:t>
      </w:r>
      <w:r>
        <w:fldChar w:fldCharType="begin"/>
      </w:r>
      <w:r>
        <w:instrText xml:space="preserve"> SEQ Figure \* ARABIC </w:instrText>
      </w:r>
      <w:r>
        <w:fldChar w:fldCharType="separate"/>
      </w:r>
      <w:r w:rsidR="00491B46">
        <w:rPr>
          <w:noProof/>
        </w:rPr>
        <w:t>13</w:t>
      </w:r>
      <w:r>
        <w:rPr>
          <w:noProof/>
        </w:rPr>
        <w:fldChar w:fldCharType="end"/>
      </w:r>
      <w:r w:rsidRPr="0070295B">
        <w:t xml:space="preserve"> Average % of acceptable results across all rounds using conventional and qPCR</w:t>
      </w:r>
      <w:bookmarkEnd w:id="81"/>
    </w:p>
    <w:p w14:paraId="5A9CA771" w14:textId="585DFE9E" w:rsidR="009D5FD5" w:rsidRDefault="009D5FD5" w:rsidP="009D5FD5">
      <w:r>
        <w:rPr>
          <w:noProof/>
        </w:rPr>
        <w:drawing>
          <wp:inline distT="0" distB="0" distL="0" distR="0" wp14:anchorId="0662C0F3" wp14:editId="29CB481F">
            <wp:extent cx="5781675" cy="4182366"/>
            <wp:effectExtent l="0" t="0" r="0" b="8890"/>
            <wp:docPr id="888940818" name="Picture 19" descr="The column graph shows a consistently higher accurate results for qPCR across each round compared with using conventional PCR. SVCV results performed most poorly, with conventional PCR yielding about 50% accurate detection rate. Testing for INNHV using qPCR returned the most promising results with nearly 90% of laboratories across all rounds returning acceptable resul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40818" name="Picture 19" descr="The column graph shows a consistently higher accurate results for qPCR across each round compared with using conventional PCR. SVCV results performed most poorly, with conventional PCR yielding about 50% accurate detection rate. Testing for INNHV using qPCR returned the most promising results with nearly 90% of laboratories across all rounds returning acceptable result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00699" cy="4196128"/>
                    </a:xfrm>
                    <a:prstGeom prst="rect">
                      <a:avLst/>
                    </a:prstGeom>
                    <a:noFill/>
                  </pic:spPr>
                </pic:pic>
              </a:graphicData>
            </a:graphic>
          </wp:inline>
        </w:drawing>
      </w:r>
    </w:p>
    <w:p w14:paraId="3811D10E" w14:textId="7F867650" w:rsidR="009D5FD5" w:rsidRPr="009D5FD5" w:rsidRDefault="009D5FD5" w:rsidP="00C001B0">
      <w:pPr>
        <w:pStyle w:val="FigureTableNoteSource"/>
        <w:rPr>
          <w:lang w:eastAsia="en-AU"/>
        </w:rPr>
      </w:pPr>
      <w:r w:rsidRPr="00A240EA">
        <w:rPr>
          <w:rStyle w:val="Strong"/>
        </w:rPr>
        <w:t>WSSV</w:t>
      </w:r>
      <w:r>
        <w:rPr>
          <w:lang w:eastAsia="en-AU"/>
        </w:rPr>
        <w:t xml:space="preserve"> </w:t>
      </w:r>
      <w:r>
        <w:rPr>
          <w:lang w:eastAsia="ja-JP"/>
        </w:rPr>
        <w:t xml:space="preserve">white spot </w:t>
      </w:r>
      <w:r w:rsidRPr="00F84900">
        <w:t>syndrome virus</w:t>
      </w:r>
      <w:r>
        <w:t xml:space="preserve">. </w:t>
      </w:r>
      <w:r w:rsidRPr="00A240EA">
        <w:rPr>
          <w:rStyle w:val="Strong"/>
        </w:rPr>
        <w:t>YHV-1</w:t>
      </w:r>
      <w:r>
        <w:rPr>
          <w:rStyle w:val="Strong"/>
        </w:rPr>
        <w:t xml:space="preserve"> </w:t>
      </w:r>
      <w:r>
        <w:rPr>
          <w:rStyle w:val="Strong"/>
          <w:b w:val="0"/>
          <w:bCs w:val="0"/>
        </w:rPr>
        <w:t xml:space="preserve">yellow head virus </w:t>
      </w:r>
      <w:r w:rsidRPr="008733AD">
        <w:rPr>
          <w:rStyle w:val="Strong"/>
          <w:b w:val="0"/>
          <w:bCs w:val="0"/>
        </w:rPr>
        <w:t>genotype 1</w:t>
      </w:r>
      <w:r>
        <w:rPr>
          <w:rStyle w:val="Strong"/>
          <w:b w:val="0"/>
          <w:bCs w:val="0"/>
        </w:rPr>
        <w:t xml:space="preserve">. </w:t>
      </w:r>
      <w:r w:rsidRPr="008733AD">
        <w:rPr>
          <w:rStyle w:val="Strong"/>
        </w:rPr>
        <w:t>TSV</w:t>
      </w:r>
      <w:r>
        <w:rPr>
          <w:rStyle w:val="Strong"/>
          <w:b w:val="0"/>
          <w:bCs w:val="0"/>
        </w:rPr>
        <w:t xml:space="preserve"> t</w:t>
      </w:r>
      <w:r w:rsidRPr="008733AD">
        <w:rPr>
          <w:rStyle w:val="Strong"/>
          <w:b w:val="0"/>
          <w:bCs w:val="0"/>
        </w:rPr>
        <w:t>aura syndrome virus</w:t>
      </w:r>
      <w:r>
        <w:rPr>
          <w:rStyle w:val="Strong"/>
          <w:b w:val="0"/>
          <w:bCs w:val="0"/>
        </w:rPr>
        <w:t xml:space="preserve">. </w:t>
      </w:r>
      <w:r w:rsidRPr="008733AD">
        <w:rPr>
          <w:rStyle w:val="Strong"/>
        </w:rPr>
        <w:t xml:space="preserve">IMNV </w:t>
      </w:r>
      <w:r>
        <w:rPr>
          <w:rStyle w:val="Strong"/>
          <w:b w:val="0"/>
          <w:bCs w:val="0"/>
        </w:rPr>
        <w:t>i</w:t>
      </w:r>
      <w:r w:rsidRPr="008733AD">
        <w:rPr>
          <w:rStyle w:val="Strong"/>
          <w:b w:val="0"/>
          <w:bCs w:val="0"/>
        </w:rPr>
        <w:t>nfectious myonecrosis virus</w:t>
      </w:r>
      <w:r>
        <w:rPr>
          <w:rStyle w:val="Strong"/>
          <w:b w:val="0"/>
          <w:bCs w:val="0"/>
        </w:rPr>
        <w:t xml:space="preserve">. </w:t>
      </w:r>
      <w:r w:rsidRPr="008733AD">
        <w:rPr>
          <w:rStyle w:val="Strong"/>
        </w:rPr>
        <w:t>INNHV</w:t>
      </w:r>
      <w:r>
        <w:rPr>
          <w:rStyle w:val="Strong"/>
          <w:b w:val="0"/>
          <w:bCs w:val="0"/>
        </w:rPr>
        <w:t xml:space="preserve"> i</w:t>
      </w:r>
      <w:r w:rsidRPr="008733AD">
        <w:rPr>
          <w:rStyle w:val="Strong"/>
          <w:b w:val="0"/>
          <w:bCs w:val="0"/>
        </w:rPr>
        <w:t>nfectious hypodermal and haematopoietic necrosis vir</w:t>
      </w:r>
      <w:r>
        <w:rPr>
          <w:rStyle w:val="Strong"/>
          <w:b w:val="0"/>
          <w:bCs w:val="0"/>
        </w:rPr>
        <w:t xml:space="preserve">us. </w:t>
      </w:r>
      <w:r w:rsidRPr="008733AD">
        <w:rPr>
          <w:rStyle w:val="Strong"/>
        </w:rPr>
        <w:t>AHPND</w:t>
      </w:r>
      <w:r>
        <w:rPr>
          <w:rStyle w:val="Strong"/>
          <w:b w:val="0"/>
          <w:bCs w:val="0"/>
        </w:rPr>
        <w:t xml:space="preserve"> </w:t>
      </w:r>
      <w:r w:rsidRPr="008733AD">
        <w:rPr>
          <w:rStyle w:val="Strong"/>
          <w:b w:val="0"/>
          <w:bCs w:val="0"/>
        </w:rPr>
        <w:t>Vibrio parahaemolyticus</w:t>
      </w:r>
      <w:r w:rsidRPr="008733AD">
        <w:rPr>
          <w:rStyle w:val="Strong"/>
        </w:rPr>
        <w:t xml:space="preserve">. NNV </w:t>
      </w:r>
      <w:r>
        <w:rPr>
          <w:rStyle w:val="Strong"/>
          <w:b w:val="0"/>
          <w:bCs w:val="0"/>
        </w:rPr>
        <w:t>nervous</w:t>
      </w:r>
      <w:r w:rsidRPr="008733AD">
        <w:rPr>
          <w:rStyle w:val="Strong"/>
          <w:b w:val="0"/>
          <w:bCs w:val="0"/>
        </w:rPr>
        <w:t xml:space="preserve"> necrosis virus</w:t>
      </w:r>
      <w:r>
        <w:rPr>
          <w:rStyle w:val="Strong"/>
          <w:b w:val="0"/>
          <w:bCs w:val="0"/>
        </w:rPr>
        <w:t xml:space="preserve">. </w:t>
      </w:r>
      <w:r w:rsidRPr="008733AD">
        <w:rPr>
          <w:rStyle w:val="Strong"/>
        </w:rPr>
        <w:t xml:space="preserve">KHV </w:t>
      </w:r>
      <w:r w:rsidRPr="008733AD">
        <w:rPr>
          <w:rStyle w:val="Strong"/>
          <w:b w:val="0"/>
          <w:bCs w:val="0"/>
        </w:rPr>
        <w:t>Koi herpesvirus</w:t>
      </w:r>
      <w:r>
        <w:rPr>
          <w:rStyle w:val="Strong"/>
          <w:b w:val="0"/>
          <w:bCs w:val="0"/>
        </w:rPr>
        <w:t xml:space="preserve">. </w:t>
      </w:r>
      <w:r w:rsidRPr="008733AD">
        <w:rPr>
          <w:rStyle w:val="Strong"/>
        </w:rPr>
        <w:t>SVCV</w:t>
      </w:r>
      <w:r>
        <w:rPr>
          <w:rStyle w:val="Strong"/>
          <w:b w:val="0"/>
          <w:bCs w:val="0"/>
        </w:rPr>
        <w:t xml:space="preserve"> s</w:t>
      </w:r>
      <w:r w:rsidRPr="008733AD">
        <w:rPr>
          <w:rStyle w:val="Strong"/>
          <w:b w:val="0"/>
          <w:bCs w:val="0"/>
        </w:rPr>
        <w:t>pring viraemia of carp virus</w:t>
      </w:r>
      <w:r>
        <w:rPr>
          <w:rStyle w:val="Strong"/>
          <w:b w:val="0"/>
          <w:bCs w:val="0"/>
        </w:rPr>
        <w:t xml:space="preserve">. </w:t>
      </w:r>
    </w:p>
    <w:p w14:paraId="6A93FD6B" w14:textId="555B071D" w:rsidR="0070295B" w:rsidRPr="0070295B" w:rsidRDefault="0070295B" w:rsidP="0070295B">
      <w:pPr>
        <w:tabs>
          <w:tab w:val="left" w:pos="1848"/>
        </w:tabs>
        <w:sectPr w:rsidR="0070295B" w:rsidRPr="0070295B" w:rsidSect="00CA1888">
          <w:type w:val="continuous"/>
          <w:pgSz w:w="11906" w:h="16838"/>
          <w:pgMar w:top="1418" w:right="1418" w:bottom="1418" w:left="1418" w:header="567" w:footer="283" w:gutter="0"/>
          <w:cols w:space="708"/>
          <w:titlePg/>
          <w:docGrid w:linePitch="360"/>
        </w:sectPr>
      </w:pPr>
    </w:p>
    <w:p w14:paraId="2312F4E4" w14:textId="1FE93ED5" w:rsidR="00625301" w:rsidRDefault="00EF6F35" w:rsidP="007E0367">
      <w:r>
        <w:t xml:space="preserve">Over </w:t>
      </w:r>
      <w:r w:rsidR="00CF1B24">
        <w:t>8 rounds of testing, a total of 57 laboratories</w:t>
      </w:r>
      <w:r w:rsidR="00B91037">
        <w:t xml:space="preserve"> across 19 countries </w:t>
      </w:r>
      <w:r w:rsidR="00441EDA">
        <w:t>were assessed 2</w:t>
      </w:r>
      <w:r w:rsidR="004C3D9C">
        <w:t>,</w:t>
      </w:r>
      <w:r w:rsidR="00441EDA">
        <w:t>219 times</w:t>
      </w:r>
      <w:r w:rsidR="004C3D9C">
        <w:t>.</w:t>
      </w:r>
      <w:r w:rsidR="00441EDA">
        <w:t xml:space="preserve"> </w:t>
      </w:r>
      <w:r w:rsidR="004C3D9C">
        <w:t>L</w:t>
      </w:r>
      <w:r w:rsidR="00441EDA">
        <w:t xml:space="preserve">aboratories </w:t>
      </w:r>
      <w:r w:rsidR="004618C1">
        <w:t>received a correct assessment</w:t>
      </w:r>
      <w:r w:rsidR="004C3D9C">
        <w:t xml:space="preserve"> 1,732 times</w:t>
      </w:r>
      <w:r w:rsidR="00B91037">
        <w:t xml:space="preserve">. </w:t>
      </w:r>
      <w:r w:rsidR="00317C9F">
        <w:t xml:space="preserve">Trendlines across all disease agents show a consistently higher percentage of laboratories with an accurate </w:t>
      </w:r>
      <w:r w:rsidR="007A5678">
        <w:t>detection</w:t>
      </w:r>
      <w:r w:rsidR="00317C9F">
        <w:t xml:space="preserve"> of </w:t>
      </w:r>
      <w:r w:rsidR="007A5678">
        <w:t xml:space="preserve">the </w:t>
      </w:r>
      <w:r w:rsidR="00317C9F">
        <w:t>pathogen using qPCR compared to conventional PCR methods</w:t>
      </w:r>
      <w:r w:rsidR="00625301">
        <w:t xml:space="preserve"> across all rounds and disease agents</w:t>
      </w:r>
      <w:r w:rsidR="0070295B">
        <w:t xml:space="preserve">. </w:t>
      </w:r>
    </w:p>
    <w:p w14:paraId="18A4AEC3" w14:textId="5E6F99DD" w:rsidR="007F6958" w:rsidRPr="00FD3B90" w:rsidRDefault="0070295B" w:rsidP="007E0367">
      <w:r>
        <w:t xml:space="preserve">Using conventional PCR, SVCV showed </w:t>
      </w:r>
      <w:r w:rsidR="00625301">
        <w:t xml:space="preserve">an overall lowest average percentage of acceptable results across all rounds with a figure of 49.3% with </w:t>
      </w:r>
      <w:r>
        <w:t xml:space="preserve">a marked variability in accurate pathogen detection between each round. TSV and NNV similarly showed a reduced average, though the </w:t>
      </w:r>
      <w:r w:rsidR="003905F5">
        <w:t xml:space="preserve">reduced </w:t>
      </w:r>
      <w:r>
        <w:t xml:space="preserve">performance in NNV could be attributed to the outlier in </w:t>
      </w:r>
      <w:r w:rsidR="00B16976">
        <w:t>r</w:t>
      </w:r>
      <w:r>
        <w:t xml:space="preserve">ound 6, where only 11% of laboratories who participated returned an ‘acceptable result’. </w:t>
      </w:r>
      <w:r w:rsidR="00FD3B90">
        <w:t>Conventional PCR methods were most accurate with I</w:t>
      </w:r>
      <w:r w:rsidR="00F92137">
        <w:t>HHN</w:t>
      </w:r>
      <w:r w:rsidR="00FD3B90">
        <w:t xml:space="preserve">V, </w:t>
      </w:r>
      <w:r w:rsidR="00FD3B90">
        <w:rPr>
          <w:i/>
          <w:iCs/>
        </w:rPr>
        <w:t>Megalocytivirus</w:t>
      </w:r>
      <w:r w:rsidR="00FD3B90">
        <w:t xml:space="preserve"> and KHV, which is expected due to their relatively high rates of acceptable results across each round. </w:t>
      </w:r>
    </w:p>
    <w:p w14:paraId="267BB8FC" w14:textId="2343C83A" w:rsidR="00FD3B90" w:rsidRDefault="0070295B" w:rsidP="007E0367">
      <w:r>
        <w:t xml:space="preserve">Using qPCR, </w:t>
      </w:r>
      <w:r w:rsidR="007A5678">
        <w:t xml:space="preserve">SVCV </w:t>
      </w:r>
      <w:r w:rsidR="00625301">
        <w:t xml:space="preserve">also </w:t>
      </w:r>
      <w:r w:rsidR="007A5678">
        <w:t xml:space="preserve">revealed the lowest average percentage of acceptable results across all rounds at 65.4%. This may be attributed to laboratory issues and feedback outlined in </w:t>
      </w:r>
      <w:r w:rsidR="00762D0B">
        <w:t xml:space="preserve">Section </w:t>
      </w:r>
      <w:r w:rsidR="00762D0B">
        <w:fldChar w:fldCharType="begin"/>
      </w:r>
      <w:r w:rsidR="00762D0B">
        <w:rPr>
          <w:rStyle w:val="Hyperlink"/>
        </w:rPr>
        <w:instrText xml:space="preserve"> REF _Ref184122950 \r \h </w:instrText>
      </w:r>
      <w:r w:rsidR="00762D0B">
        <w:fldChar w:fldCharType="separate"/>
      </w:r>
      <w:r w:rsidR="00491B46">
        <w:rPr>
          <w:rStyle w:val="Hyperlink"/>
        </w:rPr>
        <w:t>4.2</w:t>
      </w:r>
      <w:r w:rsidR="00762D0B">
        <w:fldChar w:fldCharType="end"/>
      </w:r>
      <w:r w:rsidR="007A5678">
        <w:t xml:space="preserve">. </w:t>
      </w:r>
      <w:r w:rsidR="007F6958">
        <w:t>I</w:t>
      </w:r>
      <w:r w:rsidR="00B16976">
        <w:t>HHN</w:t>
      </w:r>
      <w:r w:rsidR="007F6958">
        <w:t>V had the strongest diagnostic performance with the average at 89.7%, with both KHV and YHV</w:t>
      </w:r>
      <w:r w:rsidR="00625301">
        <w:noBreakHyphen/>
      </w:r>
      <w:r w:rsidR="007F6958">
        <w:t>1 following closely in performance with their average at 88.8%</w:t>
      </w:r>
      <w:r w:rsidR="00FD3B90">
        <w:t xml:space="preserve">. In </w:t>
      </w:r>
      <w:r w:rsidR="0007236F">
        <w:t>r</w:t>
      </w:r>
      <w:r w:rsidR="00FD3B90">
        <w:t xml:space="preserve">ound 6, TSV received the lowest accurate detection rate in that round across all disease agents. Despite this, TSV performed strongly across the rest of the rounds and maintained a strong average of 81.7% overall. </w:t>
      </w:r>
    </w:p>
    <w:p w14:paraId="39D3697C" w14:textId="7CD639C3" w:rsidR="00727BCD" w:rsidRDefault="00AC50A2" w:rsidP="007E0367">
      <w:r>
        <w:lastRenderedPageBreak/>
        <w:t xml:space="preserve">On completion of the </w:t>
      </w:r>
      <w:r w:rsidR="00AE0DE8">
        <w:t xml:space="preserve">8 </w:t>
      </w:r>
      <w:r>
        <w:t>rounds</w:t>
      </w:r>
      <w:r w:rsidR="00FD3B90">
        <w:t xml:space="preserve">, participating laboratories </w:t>
      </w:r>
      <w:r w:rsidR="006F5ACA">
        <w:t xml:space="preserve">demonstrated a strong ability to accurately detect </w:t>
      </w:r>
      <w:r>
        <w:t xml:space="preserve">the </w:t>
      </w:r>
      <w:r w:rsidR="006F5ACA">
        <w:t xml:space="preserve">selected </w:t>
      </w:r>
      <w:r>
        <w:t>pathogens</w:t>
      </w:r>
      <w:r w:rsidR="006F5ACA">
        <w:t>. Accurate d</w:t>
      </w:r>
      <w:r>
        <w:t>iagnostic results were consistently over 80%</w:t>
      </w:r>
      <w:r w:rsidR="006F5ACA">
        <w:t xml:space="preserve"> </w:t>
      </w:r>
      <w:r>
        <w:t>using the qPCR method and were</w:t>
      </w:r>
      <w:r w:rsidR="00625301">
        <w:t xml:space="preserve"> only</w:t>
      </w:r>
      <w:r>
        <w:t xml:space="preserve"> </w:t>
      </w:r>
      <w:r w:rsidR="006F5ACA">
        <w:t xml:space="preserve">slightly </w:t>
      </w:r>
      <w:r>
        <w:t xml:space="preserve">reduced when using the conventional PCR methods. </w:t>
      </w:r>
    </w:p>
    <w:p w14:paraId="3D077487" w14:textId="77777777" w:rsidR="007D1049" w:rsidRPr="007D1049" w:rsidRDefault="007D1049" w:rsidP="007D1049">
      <w:pPr>
        <w:pStyle w:val="Heading3"/>
      </w:pPr>
      <w:bookmarkStart w:id="82" w:name="_Laboratory_issues_and"/>
      <w:bookmarkStart w:id="83" w:name="_Toc425945613"/>
      <w:bookmarkStart w:id="84" w:name="_Toc426459676"/>
      <w:bookmarkStart w:id="85" w:name="_Ref140584960"/>
      <w:bookmarkStart w:id="86" w:name="_Ref141097656"/>
      <w:bookmarkStart w:id="87" w:name="_Ref175147887"/>
      <w:bookmarkStart w:id="88" w:name="_Ref184122950"/>
      <w:bookmarkStart w:id="89" w:name="_Toc214555638"/>
      <w:bookmarkEnd w:id="82"/>
      <w:r w:rsidRPr="007D1049">
        <w:t>Laboratory issues and feedback</w:t>
      </w:r>
      <w:bookmarkEnd w:id="83"/>
      <w:bookmarkEnd w:id="84"/>
      <w:bookmarkEnd w:id="85"/>
      <w:bookmarkEnd w:id="86"/>
      <w:bookmarkEnd w:id="87"/>
      <w:bookmarkEnd w:id="88"/>
      <w:bookmarkEnd w:id="89"/>
    </w:p>
    <w:p w14:paraId="6F7F32AC" w14:textId="01DE2855" w:rsidR="00E35CD3" w:rsidRDefault="00E35CD3" w:rsidP="00E35CD3">
      <w:pPr>
        <w:rPr>
          <w:lang w:eastAsia="en-AU"/>
        </w:rPr>
      </w:pPr>
      <w:bookmarkStart w:id="90" w:name="_Ref140061496"/>
      <w:r>
        <w:rPr>
          <w:lang w:eastAsia="en-AU"/>
        </w:rPr>
        <w:t xml:space="preserve">Laboratories demonstrated a shift towards using qPCR over conventional PCR throughout the life of the program as seen in </w:t>
      </w:r>
      <w:r w:rsidR="00625301">
        <w:rPr>
          <w:lang w:eastAsia="en-AU"/>
        </w:rPr>
        <w:fldChar w:fldCharType="begin"/>
      </w:r>
      <w:r w:rsidR="00625301">
        <w:rPr>
          <w:lang w:eastAsia="en-AU"/>
        </w:rPr>
        <w:instrText xml:space="preserve"> REF _Ref173402079 \h </w:instrText>
      </w:r>
      <w:r w:rsidR="00625301">
        <w:rPr>
          <w:lang w:eastAsia="en-AU"/>
        </w:rPr>
        <w:fldChar w:fldCharType="separate"/>
      </w:r>
      <w:r w:rsidR="00491B46">
        <w:rPr>
          <w:b/>
          <w:bCs/>
          <w:lang w:val="en-US" w:eastAsia="en-AU"/>
        </w:rPr>
        <w:t>Error! Reference source not found.</w:t>
      </w:r>
      <w:r w:rsidR="00625301">
        <w:rPr>
          <w:lang w:eastAsia="en-AU"/>
        </w:rPr>
        <w:fldChar w:fldCharType="end"/>
      </w:r>
      <w:r>
        <w:rPr>
          <w:lang w:eastAsia="en-AU"/>
        </w:rPr>
        <w:t xml:space="preserve">. There are consistently less erroneous results detected using qPCR compared to conventional PCR for each round. There is overall a modest improvement in the performance of laboratories using qPCR to detect pathogens accurately across each round, particularly with SVCV which has a </w:t>
      </w:r>
      <w:r w:rsidR="00317C9F">
        <w:rPr>
          <w:lang w:eastAsia="en-AU"/>
        </w:rPr>
        <w:t>positiv</w:t>
      </w:r>
      <w:r>
        <w:rPr>
          <w:lang w:eastAsia="en-AU"/>
        </w:rPr>
        <w:t xml:space="preserve">ely sloping </w:t>
      </w:r>
      <w:r w:rsidR="00625301">
        <w:rPr>
          <w:lang w:eastAsia="en-AU"/>
        </w:rPr>
        <w:t>gradient</w:t>
      </w:r>
      <w:r>
        <w:rPr>
          <w:lang w:eastAsia="en-AU"/>
        </w:rPr>
        <w:t xml:space="preserve"> as seen in </w:t>
      </w:r>
      <w:r>
        <w:rPr>
          <w:lang w:eastAsia="en-AU"/>
        </w:rPr>
        <w:fldChar w:fldCharType="begin"/>
      </w:r>
      <w:r>
        <w:rPr>
          <w:lang w:eastAsia="en-AU"/>
        </w:rPr>
        <w:instrText xml:space="preserve"> REF _Ref141266946 \h  \* MERGEFORMAT </w:instrText>
      </w:r>
      <w:r>
        <w:rPr>
          <w:lang w:eastAsia="en-AU"/>
        </w:rPr>
      </w:r>
      <w:r>
        <w:rPr>
          <w:lang w:eastAsia="en-AU"/>
        </w:rPr>
        <w:fldChar w:fldCharType="separate"/>
      </w:r>
      <w:r w:rsidR="00491B46">
        <w:t xml:space="preserve">Figure </w:t>
      </w:r>
      <w:r w:rsidR="00491B46">
        <w:rPr>
          <w:noProof/>
        </w:rPr>
        <w:t>12</w:t>
      </w:r>
      <w:r>
        <w:rPr>
          <w:lang w:eastAsia="en-AU"/>
        </w:rPr>
        <w:fldChar w:fldCharType="end"/>
      </w:r>
      <w:r>
        <w:rPr>
          <w:lang w:eastAsia="en-AU"/>
        </w:rPr>
        <w:t>.</w:t>
      </w:r>
    </w:p>
    <w:p w14:paraId="626F34AF" w14:textId="7DD87D28" w:rsidR="00250263" w:rsidRDefault="00D25BDE" w:rsidP="00D25BDE">
      <w:pPr>
        <w:pStyle w:val="Caption"/>
      </w:pPr>
      <w:bookmarkStart w:id="91" w:name="Table5"/>
      <w:bookmarkStart w:id="92" w:name="_Toc141285251"/>
      <w:bookmarkStart w:id="93" w:name="_Toc141285412"/>
      <w:bookmarkStart w:id="94" w:name="_Toc184123133"/>
      <w:bookmarkEnd w:id="90"/>
      <w:r>
        <w:t xml:space="preserve">Table </w:t>
      </w:r>
      <w:r>
        <w:fldChar w:fldCharType="begin"/>
      </w:r>
      <w:r>
        <w:instrText xml:space="preserve"> SEQ Table \* ARABIC </w:instrText>
      </w:r>
      <w:r>
        <w:fldChar w:fldCharType="separate"/>
      </w:r>
      <w:r w:rsidR="00491B46">
        <w:rPr>
          <w:noProof/>
        </w:rPr>
        <w:t>5</w:t>
      </w:r>
      <w:r>
        <w:fldChar w:fldCharType="end"/>
      </w:r>
      <w:bookmarkEnd w:id="91"/>
      <w:r>
        <w:t xml:space="preserve"> </w:t>
      </w:r>
      <w:r w:rsidR="00250263">
        <w:t xml:space="preserve">Percentage increase </w:t>
      </w:r>
      <w:r w:rsidR="002F039B">
        <w:t xml:space="preserve">of </w:t>
      </w:r>
      <w:r w:rsidR="002F003F">
        <w:t>laboratories</w:t>
      </w:r>
      <w:r w:rsidR="003B02E6">
        <w:t xml:space="preserve"> </w:t>
      </w:r>
      <w:r w:rsidR="002F003F">
        <w:t>performing</w:t>
      </w:r>
      <w:r w:rsidR="003B02E6">
        <w:t xml:space="preserve"> qPCR</w:t>
      </w:r>
      <w:r w:rsidR="002D2F09">
        <w:t xml:space="preserve"> </w:t>
      </w:r>
      <w:r w:rsidR="009456CE">
        <w:t>over time</w:t>
      </w:r>
      <w:bookmarkEnd w:id="92"/>
      <w:bookmarkEnd w:id="93"/>
      <w:bookmarkEnd w:id="94"/>
      <w:r w:rsidR="009456CE">
        <w:t xml:space="preserve"> </w:t>
      </w:r>
    </w:p>
    <w:tbl>
      <w:tblPr>
        <w:tblW w:w="7366" w:type="dxa"/>
        <w:tblLook w:val="04A0" w:firstRow="1" w:lastRow="0" w:firstColumn="1" w:lastColumn="0" w:noHBand="0" w:noVBand="1"/>
      </w:tblPr>
      <w:tblGrid>
        <w:gridCol w:w="2547"/>
        <w:gridCol w:w="4819"/>
      </w:tblGrid>
      <w:tr w:rsidR="00250263" w:rsidRPr="00250263" w14:paraId="0AF2AFBB" w14:textId="77777777" w:rsidTr="00C95BB4">
        <w:trPr>
          <w:trHeight w:val="288"/>
        </w:trPr>
        <w:tc>
          <w:tcPr>
            <w:tcW w:w="2547" w:type="dxa"/>
            <w:tcBorders>
              <w:top w:val="single" w:sz="4" w:space="0" w:color="auto"/>
              <w:left w:val="single" w:sz="4" w:space="0" w:color="auto"/>
              <w:bottom w:val="single" w:sz="4" w:space="0" w:color="auto"/>
              <w:right w:val="single" w:sz="4" w:space="0" w:color="auto"/>
            </w:tcBorders>
            <w:noWrap/>
            <w:vAlign w:val="bottom"/>
            <w:hideMark/>
          </w:tcPr>
          <w:p w14:paraId="5D753459" w14:textId="77777777" w:rsidR="00250263" w:rsidRPr="00250263" w:rsidRDefault="00250263" w:rsidP="00C95BB4">
            <w:pPr>
              <w:pStyle w:val="TableHeading"/>
              <w:rPr>
                <w:lang w:eastAsia="en-AU"/>
              </w:rPr>
            </w:pPr>
            <w:r w:rsidRPr="00250263">
              <w:rPr>
                <w:lang w:eastAsia="en-AU"/>
              </w:rPr>
              <w:t xml:space="preserve">Agent </w:t>
            </w:r>
          </w:p>
        </w:tc>
        <w:tc>
          <w:tcPr>
            <w:tcW w:w="4819" w:type="dxa"/>
            <w:tcBorders>
              <w:top w:val="single" w:sz="4" w:space="0" w:color="auto"/>
              <w:left w:val="nil"/>
              <w:bottom w:val="single" w:sz="4" w:space="0" w:color="auto"/>
              <w:right w:val="single" w:sz="4" w:space="0" w:color="auto"/>
            </w:tcBorders>
            <w:noWrap/>
            <w:vAlign w:val="bottom"/>
            <w:hideMark/>
          </w:tcPr>
          <w:p w14:paraId="746612F8" w14:textId="7462B704" w:rsidR="00250263" w:rsidRPr="00250263" w:rsidRDefault="00250263" w:rsidP="00C95BB4">
            <w:pPr>
              <w:pStyle w:val="TableHeading"/>
              <w:rPr>
                <w:lang w:eastAsia="en-AU"/>
              </w:rPr>
            </w:pPr>
            <w:r w:rsidRPr="00250263">
              <w:rPr>
                <w:lang w:eastAsia="en-AU"/>
              </w:rPr>
              <w:t xml:space="preserve">% </w:t>
            </w:r>
            <w:r w:rsidR="002F003F">
              <w:rPr>
                <w:lang w:eastAsia="en-AU"/>
              </w:rPr>
              <w:t>increase of labs using</w:t>
            </w:r>
            <w:r w:rsidRPr="00250263">
              <w:rPr>
                <w:lang w:eastAsia="en-AU"/>
              </w:rPr>
              <w:t xml:space="preserve"> qPCR</w:t>
            </w:r>
            <w:r w:rsidR="00147309">
              <w:rPr>
                <w:lang w:eastAsia="en-AU"/>
              </w:rPr>
              <w:t xml:space="preserve"> from R1 to either R6, R7 or R8</w:t>
            </w:r>
          </w:p>
        </w:tc>
      </w:tr>
      <w:tr w:rsidR="00250263" w:rsidRPr="00250263" w14:paraId="67C7D87F"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1B4C4153" w14:textId="77777777" w:rsidR="00250263" w:rsidRPr="00250263" w:rsidRDefault="00250263" w:rsidP="00C95BB4">
            <w:pPr>
              <w:pStyle w:val="TableText"/>
              <w:rPr>
                <w:lang w:eastAsia="en-AU"/>
              </w:rPr>
            </w:pPr>
            <w:r w:rsidRPr="00250263">
              <w:rPr>
                <w:lang w:eastAsia="en-AU"/>
              </w:rPr>
              <w:t xml:space="preserve">WSSV </w:t>
            </w:r>
          </w:p>
        </w:tc>
        <w:tc>
          <w:tcPr>
            <w:tcW w:w="4819" w:type="dxa"/>
            <w:tcBorders>
              <w:top w:val="nil"/>
              <w:left w:val="nil"/>
              <w:bottom w:val="single" w:sz="4" w:space="0" w:color="auto"/>
              <w:right w:val="single" w:sz="4" w:space="0" w:color="auto"/>
            </w:tcBorders>
            <w:noWrap/>
            <w:vAlign w:val="bottom"/>
            <w:hideMark/>
          </w:tcPr>
          <w:p w14:paraId="5772BCF5" w14:textId="77777777" w:rsidR="00250263" w:rsidRPr="00250263" w:rsidRDefault="00250263" w:rsidP="00C95BB4">
            <w:pPr>
              <w:pStyle w:val="TableText"/>
              <w:rPr>
                <w:lang w:eastAsia="en-AU"/>
              </w:rPr>
            </w:pPr>
            <w:r w:rsidRPr="00250263">
              <w:rPr>
                <w:lang w:eastAsia="en-AU"/>
              </w:rPr>
              <w:t>33</w:t>
            </w:r>
          </w:p>
        </w:tc>
      </w:tr>
      <w:tr w:rsidR="00250263" w:rsidRPr="00250263" w14:paraId="685B2022"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78C963A3" w14:textId="77777777" w:rsidR="00250263" w:rsidRPr="00250263" w:rsidRDefault="00250263" w:rsidP="00C95BB4">
            <w:pPr>
              <w:pStyle w:val="TableText"/>
              <w:rPr>
                <w:lang w:eastAsia="en-AU"/>
              </w:rPr>
            </w:pPr>
            <w:r w:rsidRPr="00250263">
              <w:rPr>
                <w:lang w:eastAsia="en-AU"/>
              </w:rPr>
              <w:t>IHHNV</w:t>
            </w:r>
          </w:p>
        </w:tc>
        <w:tc>
          <w:tcPr>
            <w:tcW w:w="4819" w:type="dxa"/>
            <w:tcBorders>
              <w:top w:val="nil"/>
              <w:left w:val="nil"/>
              <w:bottom w:val="single" w:sz="4" w:space="0" w:color="auto"/>
              <w:right w:val="single" w:sz="4" w:space="0" w:color="auto"/>
            </w:tcBorders>
            <w:noWrap/>
            <w:vAlign w:val="bottom"/>
            <w:hideMark/>
          </w:tcPr>
          <w:p w14:paraId="61006CCF" w14:textId="77777777" w:rsidR="00250263" w:rsidRPr="00250263" w:rsidRDefault="00250263" w:rsidP="00C95BB4">
            <w:pPr>
              <w:pStyle w:val="TableText"/>
              <w:rPr>
                <w:lang w:eastAsia="en-AU"/>
              </w:rPr>
            </w:pPr>
            <w:r w:rsidRPr="00250263">
              <w:rPr>
                <w:lang w:eastAsia="en-AU"/>
              </w:rPr>
              <w:t>25</w:t>
            </w:r>
          </w:p>
        </w:tc>
      </w:tr>
      <w:tr w:rsidR="00250263" w:rsidRPr="00250263" w14:paraId="2E97E096"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0AEC9784" w14:textId="77777777" w:rsidR="00250263" w:rsidRPr="00250263" w:rsidRDefault="00250263" w:rsidP="00C95BB4">
            <w:pPr>
              <w:pStyle w:val="TableText"/>
              <w:rPr>
                <w:lang w:eastAsia="en-AU"/>
              </w:rPr>
            </w:pPr>
            <w:r w:rsidRPr="00250263">
              <w:rPr>
                <w:lang w:eastAsia="en-AU"/>
              </w:rPr>
              <w:t>IMNV</w:t>
            </w:r>
          </w:p>
        </w:tc>
        <w:tc>
          <w:tcPr>
            <w:tcW w:w="4819" w:type="dxa"/>
            <w:tcBorders>
              <w:top w:val="nil"/>
              <w:left w:val="nil"/>
              <w:bottom w:val="single" w:sz="4" w:space="0" w:color="auto"/>
              <w:right w:val="single" w:sz="4" w:space="0" w:color="auto"/>
            </w:tcBorders>
            <w:noWrap/>
            <w:vAlign w:val="bottom"/>
            <w:hideMark/>
          </w:tcPr>
          <w:p w14:paraId="317D4A4B" w14:textId="77777777" w:rsidR="00250263" w:rsidRPr="00250263" w:rsidRDefault="00250263" w:rsidP="00C95BB4">
            <w:pPr>
              <w:pStyle w:val="TableText"/>
              <w:rPr>
                <w:lang w:eastAsia="en-AU"/>
              </w:rPr>
            </w:pPr>
            <w:r w:rsidRPr="00250263">
              <w:rPr>
                <w:lang w:eastAsia="en-AU"/>
              </w:rPr>
              <w:t>26</w:t>
            </w:r>
          </w:p>
        </w:tc>
      </w:tr>
      <w:tr w:rsidR="00250263" w:rsidRPr="00250263" w14:paraId="1865D6BA"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138F9CF5" w14:textId="77777777" w:rsidR="00250263" w:rsidRPr="00250263" w:rsidRDefault="00250263" w:rsidP="00C95BB4">
            <w:pPr>
              <w:pStyle w:val="TableText"/>
              <w:rPr>
                <w:lang w:eastAsia="en-AU"/>
              </w:rPr>
            </w:pPr>
            <w:r w:rsidRPr="00250263">
              <w:rPr>
                <w:lang w:eastAsia="en-AU"/>
              </w:rPr>
              <w:t>TSV</w:t>
            </w:r>
          </w:p>
        </w:tc>
        <w:tc>
          <w:tcPr>
            <w:tcW w:w="4819" w:type="dxa"/>
            <w:tcBorders>
              <w:top w:val="nil"/>
              <w:left w:val="nil"/>
              <w:bottom w:val="single" w:sz="4" w:space="0" w:color="auto"/>
              <w:right w:val="single" w:sz="4" w:space="0" w:color="auto"/>
            </w:tcBorders>
            <w:noWrap/>
            <w:vAlign w:val="bottom"/>
            <w:hideMark/>
          </w:tcPr>
          <w:p w14:paraId="07851AE7" w14:textId="77777777" w:rsidR="00250263" w:rsidRPr="00250263" w:rsidRDefault="00250263" w:rsidP="00C95BB4">
            <w:pPr>
              <w:pStyle w:val="TableText"/>
              <w:rPr>
                <w:lang w:eastAsia="en-AU"/>
              </w:rPr>
            </w:pPr>
            <w:r w:rsidRPr="00250263">
              <w:rPr>
                <w:lang w:eastAsia="en-AU"/>
              </w:rPr>
              <w:t>31</w:t>
            </w:r>
          </w:p>
        </w:tc>
      </w:tr>
      <w:tr w:rsidR="00250263" w:rsidRPr="00250263" w14:paraId="6BF8C8E2"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15EB6A00" w14:textId="77777777" w:rsidR="00250263" w:rsidRPr="00250263" w:rsidRDefault="00250263" w:rsidP="00C95BB4">
            <w:pPr>
              <w:pStyle w:val="TableText"/>
              <w:rPr>
                <w:lang w:eastAsia="en-AU"/>
              </w:rPr>
            </w:pPr>
            <w:r w:rsidRPr="00250263">
              <w:rPr>
                <w:lang w:eastAsia="en-AU"/>
              </w:rPr>
              <w:t>YHV-1</w:t>
            </w:r>
          </w:p>
        </w:tc>
        <w:tc>
          <w:tcPr>
            <w:tcW w:w="4819" w:type="dxa"/>
            <w:tcBorders>
              <w:top w:val="nil"/>
              <w:left w:val="nil"/>
              <w:bottom w:val="single" w:sz="4" w:space="0" w:color="auto"/>
              <w:right w:val="single" w:sz="4" w:space="0" w:color="auto"/>
            </w:tcBorders>
            <w:noWrap/>
            <w:vAlign w:val="bottom"/>
            <w:hideMark/>
          </w:tcPr>
          <w:p w14:paraId="034E3FF8" w14:textId="77777777" w:rsidR="00250263" w:rsidRPr="00250263" w:rsidRDefault="00250263" w:rsidP="00C95BB4">
            <w:pPr>
              <w:pStyle w:val="TableText"/>
              <w:rPr>
                <w:lang w:eastAsia="en-AU"/>
              </w:rPr>
            </w:pPr>
            <w:r w:rsidRPr="00250263">
              <w:rPr>
                <w:lang w:eastAsia="en-AU"/>
              </w:rPr>
              <w:t>26</w:t>
            </w:r>
          </w:p>
        </w:tc>
      </w:tr>
      <w:tr w:rsidR="00250263" w:rsidRPr="00250263" w14:paraId="4A5A4D41"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423F845C" w14:textId="77777777" w:rsidR="00250263" w:rsidRPr="00250263" w:rsidRDefault="00250263" w:rsidP="00C95BB4">
            <w:pPr>
              <w:pStyle w:val="TableText"/>
              <w:rPr>
                <w:i/>
                <w:iCs/>
                <w:lang w:eastAsia="en-AU"/>
              </w:rPr>
            </w:pPr>
            <w:r w:rsidRPr="00250263">
              <w:rPr>
                <w:i/>
                <w:iCs/>
                <w:lang w:eastAsia="en-AU"/>
              </w:rPr>
              <w:t>Vp</w:t>
            </w:r>
            <w:r w:rsidRPr="00250263">
              <w:rPr>
                <w:lang w:eastAsia="en-AU"/>
              </w:rPr>
              <w:t>AHPND</w:t>
            </w:r>
          </w:p>
        </w:tc>
        <w:tc>
          <w:tcPr>
            <w:tcW w:w="4819" w:type="dxa"/>
            <w:tcBorders>
              <w:top w:val="nil"/>
              <w:left w:val="nil"/>
              <w:bottom w:val="single" w:sz="4" w:space="0" w:color="auto"/>
              <w:right w:val="single" w:sz="4" w:space="0" w:color="auto"/>
            </w:tcBorders>
            <w:noWrap/>
            <w:vAlign w:val="bottom"/>
            <w:hideMark/>
          </w:tcPr>
          <w:p w14:paraId="19C58A60" w14:textId="77777777" w:rsidR="00250263" w:rsidRPr="00250263" w:rsidRDefault="00250263" w:rsidP="00C95BB4">
            <w:pPr>
              <w:pStyle w:val="TableText"/>
              <w:rPr>
                <w:lang w:eastAsia="en-AU"/>
              </w:rPr>
            </w:pPr>
            <w:r w:rsidRPr="00250263">
              <w:rPr>
                <w:lang w:eastAsia="en-AU"/>
              </w:rPr>
              <w:t>25</w:t>
            </w:r>
          </w:p>
        </w:tc>
      </w:tr>
      <w:tr w:rsidR="00250263" w:rsidRPr="00250263" w14:paraId="08500DEF"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0552A24A" w14:textId="77777777" w:rsidR="00250263" w:rsidRPr="00250263" w:rsidRDefault="00250263" w:rsidP="00C95BB4">
            <w:pPr>
              <w:pStyle w:val="TableText"/>
              <w:rPr>
                <w:i/>
                <w:iCs/>
                <w:lang w:eastAsia="en-AU"/>
              </w:rPr>
            </w:pPr>
            <w:r w:rsidRPr="00250263">
              <w:rPr>
                <w:i/>
                <w:iCs/>
                <w:lang w:eastAsia="en-AU"/>
              </w:rPr>
              <w:t xml:space="preserve">Megalocytivirus </w:t>
            </w:r>
            <w:r w:rsidRPr="00250263">
              <w:rPr>
                <w:lang w:eastAsia="en-AU"/>
              </w:rPr>
              <w:t xml:space="preserve">(RSIV) </w:t>
            </w:r>
          </w:p>
        </w:tc>
        <w:tc>
          <w:tcPr>
            <w:tcW w:w="4819" w:type="dxa"/>
            <w:tcBorders>
              <w:top w:val="nil"/>
              <w:left w:val="nil"/>
              <w:bottom w:val="single" w:sz="4" w:space="0" w:color="auto"/>
              <w:right w:val="single" w:sz="4" w:space="0" w:color="auto"/>
            </w:tcBorders>
            <w:noWrap/>
            <w:vAlign w:val="bottom"/>
            <w:hideMark/>
          </w:tcPr>
          <w:p w14:paraId="4E28A508" w14:textId="77777777" w:rsidR="00250263" w:rsidRPr="00250263" w:rsidRDefault="00250263" w:rsidP="00C95BB4">
            <w:pPr>
              <w:pStyle w:val="TableText"/>
              <w:rPr>
                <w:lang w:eastAsia="en-AU"/>
              </w:rPr>
            </w:pPr>
            <w:r w:rsidRPr="00250263">
              <w:rPr>
                <w:lang w:eastAsia="en-AU"/>
              </w:rPr>
              <w:t>22</w:t>
            </w:r>
          </w:p>
        </w:tc>
      </w:tr>
      <w:tr w:rsidR="00250263" w:rsidRPr="00250263" w14:paraId="5ECB1421"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02333E21" w14:textId="77777777" w:rsidR="00250263" w:rsidRPr="00250263" w:rsidRDefault="00250263" w:rsidP="00C95BB4">
            <w:pPr>
              <w:pStyle w:val="TableText"/>
              <w:rPr>
                <w:lang w:eastAsia="en-AU"/>
              </w:rPr>
            </w:pPr>
            <w:r w:rsidRPr="00250263">
              <w:rPr>
                <w:lang w:eastAsia="en-AU"/>
              </w:rPr>
              <w:t>NNV</w:t>
            </w:r>
          </w:p>
        </w:tc>
        <w:tc>
          <w:tcPr>
            <w:tcW w:w="4819" w:type="dxa"/>
            <w:tcBorders>
              <w:top w:val="nil"/>
              <w:left w:val="nil"/>
              <w:bottom w:val="single" w:sz="4" w:space="0" w:color="auto"/>
              <w:right w:val="single" w:sz="4" w:space="0" w:color="auto"/>
            </w:tcBorders>
            <w:noWrap/>
            <w:vAlign w:val="bottom"/>
            <w:hideMark/>
          </w:tcPr>
          <w:p w14:paraId="02E3233A" w14:textId="77777777" w:rsidR="00250263" w:rsidRPr="00250263" w:rsidRDefault="00250263" w:rsidP="00C95BB4">
            <w:pPr>
              <w:pStyle w:val="TableText"/>
              <w:rPr>
                <w:lang w:eastAsia="en-AU"/>
              </w:rPr>
            </w:pPr>
            <w:r w:rsidRPr="00250263">
              <w:rPr>
                <w:lang w:eastAsia="en-AU"/>
              </w:rPr>
              <w:t>37</w:t>
            </w:r>
          </w:p>
        </w:tc>
      </w:tr>
      <w:tr w:rsidR="00250263" w:rsidRPr="00250263" w14:paraId="13172D1A"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2FD01F56" w14:textId="77777777" w:rsidR="00250263" w:rsidRPr="00250263" w:rsidRDefault="00250263" w:rsidP="00C95BB4">
            <w:pPr>
              <w:pStyle w:val="TableText"/>
              <w:rPr>
                <w:lang w:eastAsia="en-AU"/>
              </w:rPr>
            </w:pPr>
            <w:r w:rsidRPr="00250263">
              <w:rPr>
                <w:lang w:eastAsia="en-AU"/>
              </w:rPr>
              <w:t>KHV</w:t>
            </w:r>
          </w:p>
        </w:tc>
        <w:tc>
          <w:tcPr>
            <w:tcW w:w="4819" w:type="dxa"/>
            <w:tcBorders>
              <w:top w:val="nil"/>
              <w:left w:val="nil"/>
              <w:bottom w:val="single" w:sz="4" w:space="0" w:color="auto"/>
              <w:right w:val="single" w:sz="4" w:space="0" w:color="auto"/>
            </w:tcBorders>
            <w:noWrap/>
            <w:vAlign w:val="bottom"/>
            <w:hideMark/>
          </w:tcPr>
          <w:p w14:paraId="5E4EE0E9" w14:textId="77777777" w:rsidR="00250263" w:rsidRPr="00250263" w:rsidRDefault="00250263" w:rsidP="00C95BB4">
            <w:pPr>
              <w:pStyle w:val="TableText"/>
              <w:rPr>
                <w:lang w:eastAsia="en-AU"/>
              </w:rPr>
            </w:pPr>
            <w:r w:rsidRPr="00250263">
              <w:rPr>
                <w:lang w:eastAsia="en-AU"/>
              </w:rPr>
              <w:t>34</w:t>
            </w:r>
          </w:p>
        </w:tc>
      </w:tr>
      <w:tr w:rsidR="00250263" w:rsidRPr="00250263" w14:paraId="279DD958" w14:textId="77777777" w:rsidTr="00C95BB4">
        <w:trPr>
          <w:trHeight w:val="288"/>
        </w:trPr>
        <w:tc>
          <w:tcPr>
            <w:tcW w:w="2547" w:type="dxa"/>
            <w:tcBorders>
              <w:top w:val="nil"/>
              <w:left w:val="single" w:sz="4" w:space="0" w:color="auto"/>
              <w:bottom w:val="single" w:sz="4" w:space="0" w:color="auto"/>
              <w:right w:val="single" w:sz="4" w:space="0" w:color="auto"/>
            </w:tcBorders>
            <w:noWrap/>
            <w:vAlign w:val="bottom"/>
            <w:hideMark/>
          </w:tcPr>
          <w:p w14:paraId="7B2A0BD8" w14:textId="77777777" w:rsidR="00250263" w:rsidRPr="00250263" w:rsidRDefault="00250263" w:rsidP="00C95BB4">
            <w:pPr>
              <w:pStyle w:val="TableText"/>
              <w:rPr>
                <w:lang w:eastAsia="en-AU"/>
              </w:rPr>
            </w:pPr>
            <w:r w:rsidRPr="00250263">
              <w:rPr>
                <w:lang w:eastAsia="en-AU"/>
              </w:rPr>
              <w:t>SVCV</w:t>
            </w:r>
          </w:p>
        </w:tc>
        <w:tc>
          <w:tcPr>
            <w:tcW w:w="4819" w:type="dxa"/>
            <w:tcBorders>
              <w:top w:val="nil"/>
              <w:left w:val="nil"/>
              <w:bottom w:val="single" w:sz="4" w:space="0" w:color="auto"/>
              <w:right w:val="single" w:sz="4" w:space="0" w:color="auto"/>
            </w:tcBorders>
            <w:noWrap/>
            <w:vAlign w:val="bottom"/>
            <w:hideMark/>
          </w:tcPr>
          <w:p w14:paraId="17154FAA" w14:textId="77777777" w:rsidR="00250263" w:rsidRPr="00250263" w:rsidRDefault="00250263" w:rsidP="00C95BB4">
            <w:pPr>
              <w:pStyle w:val="TableText"/>
              <w:rPr>
                <w:lang w:eastAsia="en-AU"/>
              </w:rPr>
            </w:pPr>
            <w:r w:rsidRPr="00250263">
              <w:rPr>
                <w:lang w:eastAsia="en-AU"/>
              </w:rPr>
              <w:t>18</w:t>
            </w:r>
          </w:p>
        </w:tc>
      </w:tr>
    </w:tbl>
    <w:p w14:paraId="41DE19A8" w14:textId="77777777" w:rsidR="009D5FD5" w:rsidRDefault="009D5FD5" w:rsidP="007A5678">
      <w:pPr>
        <w:rPr>
          <w:lang w:eastAsia="en-AU"/>
        </w:rPr>
      </w:pPr>
    </w:p>
    <w:p w14:paraId="7A3E76EE" w14:textId="6ECFE870" w:rsidR="00873947" w:rsidRDefault="00873947" w:rsidP="007A5678">
      <w:pPr>
        <w:rPr>
          <w:lang w:eastAsia="en-AU"/>
        </w:rPr>
      </w:pPr>
      <w:r>
        <w:rPr>
          <w:lang w:eastAsia="en-AU"/>
        </w:rPr>
        <w:t xml:space="preserve">Of note, new laboratories from the region were invited to join from </w:t>
      </w:r>
      <w:r w:rsidR="0007236F">
        <w:rPr>
          <w:lang w:eastAsia="en-AU"/>
        </w:rPr>
        <w:t>r</w:t>
      </w:r>
      <w:r>
        <w:rPr>
          <w:lang w:eastAsia="en-AU"/>
        </w:rPr>
        <w:t>ound 6 onwards. Not all participants in the program were able to comp</w:t>
      </w:r>
      <w:r w:rsidR="00B616A1">
        <w:rPr>
          <w:lang w:eastAsia="en-AU"/>
        </w:rPr>
        <w:t>l</w:t>
      </w:r>
      <w:r>
        <w:rPr>
          <w:lang w:eastAsia="en-AU"/>
        </w:rPr>
        <w:t xml:space="preserve">ete proficiency testing in more than </w:t>
      </w:r>
      <w:r w:rsidR="00AE0DE8">
        <w:rPr>
          <w:lang w:eastAsia="en-AU"/>
        </w:rPr>
        <w:t xml:space="preserve">1 </w:t>
      </w:r>
      <w:r>
        <w:rPr>
          <w:lang w:eastAsia="en-AU"/>
        </w:rPr>
        <w:t>round</w:t>
      </w:r>
      <w:r w:rsidR="00287846">
        <w:rPr>
          <w:lang w:eastAsia="en-AU"/>
        </w:rPr>
        <w:t xml:space="preserve"> (as per initial requirement)</w:t>
      </w:r>
      <w:r>
        <w:rPr>
          <w:lang w:eastAsia="en-AU"/>
        </w:rPr>
        <w:t xml:space="preserve">. This may account for the spike in ‘unacceptable’ results </w:t>
      </w:r>
      <w:r w:rsidR="002D109B">
        <w:rPr>
          <w:lang w:eastAsia="en-AU"/>
        </w:rPr>
        <w:t xml:space="preserve">as </w:t>
      </w:r>
      <w:r>
        <w:rPr>
          <w:lang w:eastAsia="en-AU"/>
        </w:rPr>
        <w:t>seen in most disease agents</w:t>
      </w:r>
      <w:r w:rsidR="002D109B">
        <w:rPr>
          <w:lang w:eastAsia="en-AU"/>
        </w:rPr>
        <w:t>,</w:t>
      </w:r>
      <w:r>
        <w:rPr>
          <w:lang w:eastAsia="en-AU"/>
        </w:rPr>
        <w:t xml:space="preserve"> except for </w:t>
      </w:r>
      <w:r>
        <w:rPr>
          <w:i/>
          <w:iCs/>
          <w:lang w:eastAsia="en-AU"/>
        </w:rPr>
        <w:t>Vp</w:t>
      </w:r>
      <w:r>
        <w:rPr>
          <w:lang w:eastAsia="en-AU"/>
        </w:rPr>
        <w:t>AHPND</w:t>
      </w:r>
      <w:r w:rsidR="002F77B4">
        <w:rPr>
          <w:lang w:eastAsia="en-AU"/>
        </w:rPr>
        <w:t xml:space="preserve">. Laboratories may not have had an opportunity to submit further results to show whether improvements in their techniques could impact their testing ability. </w:t>
      </w:r>
      <w:r>
        <w:rPr>
          <w:lang w:eastAsia="en-AU"/>
        </w:rPr>
        <w:t xml:space="preserve"> </w:t>
      </w:r>
    </w:p>
    <w:p w14:paraId="3D00B0DD" w14:textId="172EB5A1" w:rsidR="00D90E95" w:rsidRDefault="00790FF8" w:rsidP="007A5678">
      <w:pPr>
        <w:rPr>
          <w:lang w:eastAsia="en-AU"/>
        </w:rPr>
      </w:pPr>
      <w:r>
        <w:rPr>
          <w:lang w:eastAsia="en-AU"/>
        </w:rPr>
        <w:t xml:space="preserve">As with the previous </w:t>
      </w:r>
      <w:r w:rsidR="00625301">
        <w:rPr>
          <w:lang w:eastAsia="en-AU"/>
        </w:rPr>
        <w:t>regional PT</w:t>
      </w:r>
      <w:r>
        <w:rPr>
          <w:lang w:eastAsia="en-AU"/>
        </w:rPr>
        <w:t xml:space="preserve"> program, </w:t>
      </w:r>
      <w:r w:rsidR="00BB4DF9">
        <w:rPr>
          <w:lang w:eastAsia="en-AU"/>
        </w:rPr>
        <w:t xml:space="preserve">the </w:t>
      </w:r>
      <w:r w:rsidR="00625301">
        <w:rPr>
          <w:lang w:eastAsia="en-AU"/>
        </w:rPr>
        <w:t>APL-P</w:t>
      </w:r>
      <w:r w:rsidR="00BB4DF9">
        <w:rPr>
          <w:lang w:eastAsia="en-AU"/>
        </w:rPr>
        <w:t xml:space="preserve">T program provided a valuable means </w:t>
      </w:r>
      <w:r w:rsidR="00423C46">
        <w:rPr>
          <w:lang w:eastAsia="en-AU"/>
        </w:rPr>
        <w:t xml:space="preserve">for </w:t>
      </w:r>
      <w:r w:rsidR="00516B3D">
        <w:rPr>
          <w:lang w:eastAsia="en-AU"/>
        </w:rPr>
        <w:t xml:space="preserve">diagnostic </w:t>
      </w:r>
      <w:r w:rsidR="00FE1A88">
        <w:rPr>
          <w:lang w:eastAsia="en-AU"/>
        </w:rPr>
        <w:t>laboratories</w:t>
      </w:r>
      <w:r w:rsidR="00516B3D">
        <w:rPr>
          <w:lang w:eastAsia="en-AU"/>
        </w:rPr>
        <w:t xml:space="preserve"> in the region to improve their aquatic </w:t>
      </w:r>
      <w:r w:rsidR="00433E47">
        <w:rPr>
          <w:lang w:eastAsia="en-AU"/>
        </w:rPr>
        <w:t>animal disease diagnostic capability</w:t>
      </w:r>
      <w:r w:rsidR="000E61B8">
        <w:rPr>
          <w:lang w:eastAsia="en-AU"/>
        </w:rPr>
        <w:t xml:space="preserve">. </w:t>
      </w:r>
      <w:r w:rsidR="00371CDA">
        <w:rPr>
          <w:lang w:eastAsia="en-AU"/>
        </w:rPr>
        <w:t xml:space="preserve">Improved </w:t>
      </w:r>
      <w:r w:rsidR="00433E47">
        <w:rPr>
          <w:lang w:eastAsia="en-AU"/>
        </w:rPr>
        <w:t xml:space="preserve">diagnostic capability will </w:t>
      </w:r>
      <w:r w:rsidR="00371CDA">
        <w:rPr>
          <w:lang w:eastAsia="en-AU"/>
        </w:rPr>
        <w:t>ha</w:t>
      </w:r>
      <w:r w:rsidR="00703886">
        <w:rPr>
          <w:lang w:eastAsia="en-AU"/>
        </w:rPr>
        <w:t>ve</w:t>
      </w:r>
      <w:r w:rsidR="000E61B8">
        <w:rPr>
          <w:lang w:eastAsia="en-AU"/>
        </w:rPr>
        <w:t xml:space="preserve"> direct effects on preventing the introduction </w:t>
      </w:r>
      <w:r w:rsidR="00651999">
        <w:rPr>
          <w:lang w:eastAsia="en-AU"/>
        </w:rPr>
        <w:t xml:space="preserve">through early detection </w:t>
      </w:r>
      <w:r w:rsidR="000E61B8">
        <w:rPr>
          <w:lang w:eastAsia="en-AU"/>
        </w:rPr>
        <w:t xml:space="preserve">and </w:t>
      </w:r>
      <w:r w:rsidR="00651999">
        <w:rPr>
          <w:lang w:eastAsia="en-AU"/>
        </w:rPr>
        <w:t>early intervention</w:t>
      </w:r>
      <w:r w:rsidR="00625301">
        <w:rPr>
          <w:lang w:eastAsia="en-AU"/>
        </w:rPr>
        <w:t>,</w:t>
      </w:r>
      <w:r w:rsidR="00651999">
        <w:rPr>
          <w:lang w:eastAsia="en-AU"/>
        </w:rPr>
        <w:t xml:space="preserve"> hence preventing establishment and </w:t>
      </w:r>
      <w:r w:rsidR="000E61B8">
        <w:rPr>
          <w:lang w:eastAsia="en-AU"/>
        </w:rPr>
        <w:t>spread of trans-boundary disease in the Asia-</w:t>
      </w:r>
      <w:r w:rsidR="00FE1A88">
        <w:rPr>
          <w:lang w:eastAsia="en-AU"/>
        </w:rPr>
        <w:t>Pacific</w:t>
      </w:r>
      <w:r w:rsidR="000E61B8">
        <w:rPr>
          <w:lang w:eastAsia="en-AU"/>
        </w:rPr>
        <w:t xml:space="preserve"> region</w:t>
      </w:r>
      <w:r w:rsidR="00651999">
        <w:rPr>
          <w:lang w:eastAsia="en-AU"/>
        </w:rPr>
        <w:t>.</w:t>
      </w:r>
      <w:r w:rsidR="000E61B8">
        <w:rPr>
          <w:lang w:eastAsia="en-AU"/>
        </w:rPr>
        <w:t xml:space="preserve"> </w:t>
      </w:r>
      <w:r w:rsidR="00651999">
        <w:rPr>
          <w:lang w:eastAsia="en-AU"/>
        </w:rPr>
        <w:t xml:space="preserve">This </w:t>
      </w:r>
      <w:r w:rsidR="00434EB5">
        <w:rPr>
          <w:lang w:eastAsia="en-AU"/>
        </w:rPr>
        <w:t>support</w:t>
      </w:r>
      <w:r w:rsidR="00703886">
        <w:rPr>
          <w:lang w:eastAsia="en-AU"/>
        </w:rPr>
        <w:t>s</w:t>
      </w:r>
      <w:r w:rsidR="00434EB5">
        <w:rPr>
          <w:lang w:eastAsia="en-AU"/>
        </w:rPr>
        <w:t xml:space="preserve"> domestic and international trade by </w:t>
      </w:r>
      <w:r w:rsidR="00FE1A88">
        <w:rPr>
          <w:lang w:eastAsia="en-AU"/>
        </w:rPr>
        <w:t xml:space="preserve">strengthening </w:t>
      </w:r>
      <w:r w:rsidR="00434EB5">
        <w:rPr>
          <w:lang w:eastAsia="en-AU"/>
        </w:rPr>
        <w:t>their diagnostic competency to detect</w:t>
      </w:r>
      <w:r w:rsidR="00870672">
        <w:rPr>
          <w:lang w:eastAsia="en-AU"/>
        </w:rPr>
        <w:t xml:space="preserve"> and manage</w:t>
      </w:r>
      <w:r w:rsidR="00434EB5">
        <w:rPr>
          <w:lang w:eastAsia="en-AU"/>
        </w:rPr>
        <w:t xml:space="preserve"> aquatic animal disease of </w:t>
      </w:r>
      <w:r w:rsidR="00163D81">
        <w:rPr>
          <w:lang w:eastAsia="en-AU"/>
        </w:rPr>
        <w:t xml:space="preserve">regional </w:t>
      </w:r>
      <w:r w:rsidR="00FE1A88">
        <w:rPr>
          <w:lang w:eastAsia="en-AU"/>
        </w:rPr>
        <w:t>significance</w:t>
      </w:r>
      <w:r w:rsidR="00163D81">
        <w:rPr>
          <w:lang w:eastAsia="en-AU"/>
        </w:rPr>
        <w:t xml:space="preserve">. </w:t>
      </w:r>
    </w:p>
    <w:p w14:paraId="06E37038" w14:textId="6EA0A03D" w:rsidR="00D90E95" w:rsidRDefault="005F4D10" w:rsidP="007A5678">
      <w:pPr>
        <w:rPr>
          <w:lang w:eastAsia="en-AU"/>
        </w:rPr>
      </w:pPr>
      <w:bookmarkStart w:id="95" w:name="_Hlk174363189"/>
      <w:r>
        <w:rPr>
          <w:lang w:eastAsia="en-AU"/>
        </w:rPr>
        <w:t>ACDP-PTSP and ACDP-AFDL</w:t>
      </w:r>
      <w:r w:rsidR="00217223">
        <w:rPr>
          <w:lang w:eastAsia="en-AU"/>
        </w:rPr>
        <w:t xml:space="preserve"> </w:t>
      </w:r>
      <w:bookmarkEnd w:id="95"/>
      <w:r w:rsidR="00B91DFB">
        <w:rPr>
          <w:lang w:eastAsia="en-AU"/>
        </w:rPr>
        <w:t xml:space="preserve">ran the program efficiently and provided feedback to the individual </w:t>
      </w:r>
      <w:r w:rsidR="00F50684">
        <w:rPr>
          <w:lang w:eastAsia="en-AU"/>
        </w:rPr>
        <w:t>laboratories</w:t>
      </w:r>
      <w:r w:rsidR="00B91DFB">
        <w:rPr>
          <w:lang w:eastAsia="en-AU"/>
        </w:rPr>
        <w:t xml:space="preserve">. General feedback included: </w:t>
      </w:r>
    </w:p>
    <w:p w14:paraId="7BA2F404" w14:textId="77777777" w:rsidR="00C1211E" w:rsidRDefault="00BC47D8" w:rsidP="00B91DFB">
      <w:pPr>
        <w:pStyle w:val="ListBullet"/>
        <w:rPr>
          <w:lang w:eastAsia="en-AU"/>
        </w:rPr>
      </w:pPr>
      <w:r>
        <w:rPr>
          <w:lang w:eastAsia="en-AU"/>
        </w:rPr>
        <w:t>Failure to detect positive samples</w:t>
      </w:r>
      <w:r w:rsidR="00991F3F">
        <w:rPr>
          <w:lang w:eastAsia="en-AU"/>
        </w:rPr>
        <w:t xml:space="preserve"> </w:t>
      </w:r>
    </w:p>
    <w:p w14:paraId="642B29D6" w14:textId="78DADB0F" w:rsidR="00B91DFB" w:rsidRDefault="00C1211E" w:rsidP="00C1211E">
      <w:pPr>
        <w:pStyle w:val="ListBullet2"/>
        <w:rPr>
          <w:lang w:eastAsia="en-AU"/>
        </w:rPr>
      </w:pPr>
      <w:r>
        <w:rPr>
          <w:lang w:eastAsia="en-AU"/>
        </w:rPr>
        <w:t>R</w:t>
      </w:r>
      <w:r w:rsidR="00F50684">
        <w:rPr>
          <w:lang w:eastAsia="en-AU"/>
        </w:rPr>
        <w:t>equires</w:t>
      </w:r>
      <w:r w:rsidR="00991F3F">
        <w:rPr>
          <w:lang w:eastAsia="en-AU"/>
        </w:rPr>
        <w:t xml:space="preserve"> improvement in agent detection and assay </w:t>
      </w:r>
      <w:r w:rsidR="00F50684">
        <w:rPr>
          <w:lang w:eastAsia="en-AU"/>
        </w:rPr>
        <w:t>sensitivity</w:t>
      </w:r>
      <w:r w:rsidR="00BC47D8">
        <w:rPr>
          <w:lang w:eastAsia="en-AU"/>
        </w:rPr>
        <w:t>:</w:t>
      </w:r>
    </w:p>
    <w:p w14:paraId="6D9CCE8E" w14:textId="2B6D0825" w:rsidR="00BC47D8" w:rsidRDefault="00BC47D8" w:rsidP="00BC47D8">
      <w:pPr>
        <w:pStyle w:val="ListBullet2"/>
        <w:rPr>
          <w:lang w:eastAsia="en-AU"/>
        </w:rPr>
      </w:pPr>
      <w:r>
        <w:rPr>
          <w:lang w:eastAsia="en-AU"/>
        </w:rPr>
        <w:t>Review reagent storage conditions</w:t>
      </w:r>
    </w:p>
    <w:p w14:paraId="3AEB98F8" w14:textId="3706125D" w:rsidR="00BC47D8" w:rsidRDefault="00BC47D8" w:rsidP="00BC47D8">
      <w:pPr>
        <w:pStyle w:val="ListBullet2"/>
        <w:rPr>
          <w:lang w:eastAsia="en-AU"/>
        </w:rPr>
      </w:pPr>
      <w:r>
        <w:rPr>
          <w:lang w:eastAsia="en-AU"/>
        </w:rPr>
        <w:lastRenderedPageBreak/>
        <w:t xml:space="preserve">Review nucleic acid extraction </w:t>
      </w:r>
      <w:r w:rsidR="009200BD">
        <w:rPr>
          <w:lang w:eastAsia="en-AU"/>
        </w:rPr>
        <w:t>method</w:t>
      </w:r>
    </w:p>
    <w:p w14:paraId="063C7218" w14:textId="00CE81EA" w:rsidR="00BC47D8" w:rsidRDefault="00BC47D8" w:rsidP="00BC47D8">
      <w:pPr>
        <w:pStyle w:val="ListBullet2"/>
        <w:rPr>
          <w:lang w:eastAsia="en-AU"/>
        </w:rPr>
      </w:pPr>
      <w:r>
        <w:rPr>
          <w:lang w:eastAsia="en-AU"/>
        </w:rPr>
        <w:t xml:space="preserve">Review PCR methods </w:t>
      </w:r>
      <w:r w:rsidR="00F50684">
        <w:rPr>
          <w:lang w:eastAsia="en-AU"/>
        </w:rPr>
        <w:t>including</w:t>
      </w:r>
      <w:r w:rsidR="00C222CF">
        <w:rPr>
          <w:lang w:eastAsia="en-AU"/>
        </w:rPr>
        <w:t xml:space="preserve"> freeze-thaw cycles for primers and probes, regent conditions and pipetting techniques </w:t>
      </w:r>
    </w:p>
    <w:p w14:paraId="121D82C6" w14:textId="3914F325" w:rsidR="00991F3F" w:rsidRDefault="00991F3F" w:rsidP="00991F3F">
      <w:pPr>
        <w:pStyle w:val="ListBullet"/>
        <w:rPr>
          <w:lang w:eastAsia="en-AU"/>
        </w:rPr>
      </w:pPr>
      <w:r>
        <w:rPr>
          <w:lang w:eastAsia="en-AU"/>
        </w:rPr>
        <w:t xml:space="preserve">Reporting false </w:t>
      </w:r>
      <w:r w:rsidR="00892BD1">
        <w:rPr>
          <w:lang w:eastAsia="en-AU"/>
        </w:rPr>
        <w:t>positives</w:t>
      </w:r>
    </w:p>
    <w:p w14:paraId="215B9825" w14:textId="0641EF25" w:rsidR="00F969EA" w:rsidRDefault="00F969EA" w:rsidP="00F969EA">
      <w:pPr>
        <w:pStyle w:val="ListBullet2"/>
        <w:rPr>
          <w:lang w:eastAsia="en-AU"/>
        </w:rPr>
      </w:pPr>
      <w:r>
        <w:rPr>
          <w:lang w:eastAsia="en-AU"/>
        </w:rPr>
        <w:t xml:space="preserve">Review sources of contamination </w:t>
      </w:r>
      <w:r w:rsidR="00264389">
        <w:rPr>
          <w:lang w:eastAsia="en-AU"/>
        </w:rPr>
        <w:t>including hand</w:t>
      </w:r>
      <w:r w:rsidR="00922EB5">
        <w:rPr>
          <w:lang w:eastAsia="en-AU"/>
        </w:rPr>
        <w:t xml:space="preserve">ling protocols </w:t>
      </w:r>
    </w:p>
    <w:p w14:paraId="16031E1A" w14:textId="0EFC0FF1" w:rsidR="00F969EA" w:rsidRDefault="00F969EA" w:rsidP="00F969EA">
      <w:pPr>
        <w:pStyle w:val="ListBullet2"/>
        <w:rPr>
          <w:lang w:eastAsia="en-AU"/>
        </w:rPr>
      </w:pPr>
      <w:r>
        <w:rPr>
          <w:lang w:eastAsia="en-AU"/>
        </w:rPr>
        <w:t xml:space="preserve">Review technical and administrative issues to reduce incorrect reporting and sample contamination </w:t>
      </w:r>
    </w:p>
    <w:p w14:paraId="2E592E13" w14:textId="73C09FFD" w:rsidR="00387FC4" w:rsidRDefault="009D6B0C" w:rsidP="00387FC4">
      <w:pPr>
        <w:pStyle w:val="ListBullet"/>
        <w:rPr>
          <w:lang w:eastAsia="en-AU"/>
        </w:rPr>
      </w:pPr>
      <w:r>
        <w:rPr>
          <w:lang w:eastAsia="en-AU"/>
        </w:rPr>
        <w:t xml:space="preserve">Delayed and </w:t>
      </w:r>
      <w:r w:rsidR="003B579F">
        <w:rPr>
          <w:lang w:eastAsia="en-AU"/>
        </w:rPr>
        <w:t>misreporting</w:t>
      </w:r>
    </w:p>
    <w:p w14:paraId="3F58A84F" w14:textId="1364AA5E" w:rsidR="009D6B0C" w:rsidRDefault="00B16635" w:rsidP="009D6B0C">
      <w:pPr>
        <w:pStyle w:val="ListBullet2"/>
        <w:rPr>
          <w:lang w:eastAsia="en-AU"/>
        </w:rPr>
      </w:pPr>
      <w:r>
        <w:rPr>
          <w:lang w:eastAsia="en-AU"/>
        </w:rPr>
        <w:t>It was the participants</w:t>
      </w:r>
      <w:r w:rsidR="006E44D9">
        <w:rPr>
          <w:lang w:eastAsia="en-AU"/>
        </w:rPr>
        <w:t>’</w:t>
      </w:r>
      <w:r>
        <w:rPr>
          <w:lang w:eastAsia="en-AU"/>
        </w:rPr>
        <w:t xml:space="preserve"> responsibility to provide a qualitative result </w:t>
      </w:r>
      <w:r w:rsidR="007E1167">
        <w:rPr>
          <w:lang w:eastAsia="en-AU"/>
        </w:rPr>
        <w:t>(</w:t>
      </w:r>
      <w:r>
        <w:rPr>
          <w:lang w:eastAsia="en-AU"/>
        </w:rPr>
        <w:t>despite obtaining a Ct value</w:t>
      </w:r>
      <w:r w:rsidR="007E1167">
        <w:rPr>
          <w:lang w:eastAsia="en-AU"/>
        </w:rPr>
        <w:t>)</w:t>
      </w:r>
      <w:r w:rsidR="00853F31">
        <w:rPr>
          <w:lang w:eastAsia="en-AU"/>
        </w:rPr>
        <w:t xml:space="preserve"> as this was the basis of a result being assessed as acceptable or unacceptable. </w:t>
      </w:r>
      <w:r w:rsidR="009D6B0C">
        <w:rPr>
          <w:lang w:eastAsia="en-AU"/>
        </w:rPr>
        <w:t>The PT provider was not able to assume or offer a result interpretation</w:t>
      </w:r>
      <w:r>
        <w:rPr>
          <w:lang w:eastAsia="en-AU"/>
        </w:rPr>
        <w:t>.</w:t>
      </w:r>
      <w:r w:rsidR="009D6B0C">
        <w:rPr>
          <w:lang w:eastAsia="en-AU"/>
        </w:rPr>
        <w:t xml:space="preserve"> </w:t>
      </w:r>
      <w:r w:rsidR="00514E2A">
        <w:rPr>
          <w:lang w:eastAsia="en-AU"/>
        </w:rPr>
        <w:t>Occasionally, when a laboratory did not provide a qualit</w:t>
      </w:r>
      <w:r w:rsidR="007E1167">
        <w:rPr>
          <w:lang w:eastAsia="en-AU"/>
        </w:rPr>
        <w:t>at</w:t>
      </w:r>
      <w:r w:rsidR="00514E2A">
        <w:rPr>
          <w:lang w:eastAsia="en-AU"/>
        </w:rPr>
        <w:t xml:space="preserve">ive result, </w:t>
      </w:r>
      <w:r w:rsidR="00251A9B">
        <w:rPr>
          <w:lang w:eastAsia="en-AU"/>
        </w:rPr>
        <w:t xml:space="preserve">results were not able to be incorporated into final outcomes. </w:t>
      </w:r>
    </w:p>
    <w:p w14:paraId="5A4F26CB" w14:textId="7448B1BE" w:rsidR="005B2022" w:rsidRDefault="005B2022" w:rsidP="009D6B0C">
      <w:pPr>
        <w:pStyle w:val="ListBullet2"/>
        <w:rPr>
          <w:lang w:eastAsia="en-AU"/>
        </w:rPr>
      </w:pPr>
      <w:r>
        <w:rPr>
          <w:lang w:eastAsia="en-AU"/>
        </w:rPr>
        <w:t>Incorrect data interpretation</w:t>
      </w:r>
      <w:r w:rsidRPr="005B2022">
        <w:rPr>
          <w:lang w:eastAsia="en-AU"/>
        </w:rPr>
        <w:t xml:space="preserve"> and failure of authorisation procedures (a positive gel band or valid Ct result being reported as negative)</w:t>
      </w:r>
    </w:p>
    <w:p w14:paraId="34E32A5D" w14:textId="77777777" w:rsidR="0038625B" w:rsidRDefault="00785363" w:rsidP="0038625B">
      <w:pPr>
        <w:pStyle w:val="ListBullet2"/>
        <w:rPr>
          <w:lang w:eastAsia="en-AU"/>
        </w:rPr>
      </w:pPr>
      <w:r>
        <w:rPr>
          <w:lang w:eastAsia="en-AU"/>
        </w:rPr>
        <w:t xml:space="preserve">COVID-19 resulted in significant </w:t>
      </w:r>
      <w:r w:rsidR="00494D2D">
        <w:rPr>
          <w:lang w:eastAsia="en-AU"/>
        </w:rPr>
        <w:t>challenges</w:t>
      </w:r>
      <w:r>
        <w:rPr>
          <w:lang w:eastAsia="en-AU"/>
        </w:rPr>
        <w:t xml:space="preserve"> to logistics around panel delivery and subsequent </w:t>
      </w:r>
      <w:r w:rsidR="00783680">
        <w:rPr>
          <w:lang w:eastAsia="en-AU"/>
        </w:rPr>
        <w:t xml:space="preserve">delay in </w:t>
      </w:r>
      <w:r>
        <w:rPr>
          <w:lang w:eastAsia="en-AU"/>
        </w:rPr>
        <w:t>tes</w:t>
      </w:r>
      <w:r w:rsidR="00494D2D">
        <w:rPr>
          <w:lang w:eastAsia="en-AU"/>
        </w:rPr>
        <w:t>ting</w:t>
      </w:r>
      <w:r w:rsidR="00783680">
        <w:rPr>
          <w:lang w:eastAsia="en-AU"/>
        </w:rPr>
        <w:t xml:space="preserve"> and reporting</w:t>
      </w:r>
      <w:r w:rsidR="00494D2D">
        <w:rPr>
          <w:lang w:eastAsia="en-AU"/>
        </w:rPr>
        <w:t xml:space="preserve">. The program was granted a </w:t>
      </w:r>
      <w:r w:rsidR="00783680">
        <w:rPr>
          <w:lang w:eastAsia="en-AU"/>
        </w:rPr>
        <w:t>6-month</w:t>
      </w:r>
      <w:r w:rsidR="00494D2D">
        <w:rPr>
          <w:lang w:eastAsia="en-AU"/>
        </w:rPr>
        <w:t xml:space="preserve"> extension such that </w:t>
      </w:r>
      <w:r w:rsidR="00721091">
        <w:rPr>
          <w:lang w:eastAsia="en-AU"/>
        </w:rPr>
        <w:t>ACDP PT</w:t>
      </w:r>
      <w:r w:rsidR="00494D2D">
        <w:rPr>
          <w:lang w:eastAsia="en-AU"/>
        </w:rPr>
        <w:t xml:space="preserve"> could meet the milestones. </w:t>
      </w:r>
    </w:p>
    <w:p w14:paraId="6A470B0D" w14:textId="3FC6AD0A" w:rsidR="00785363" w:rsidRDefault="0038625B" w:rsidP="00F23CC8">
      <w:pPr>
        <w:pStyle w:val="ListBullet2"/>
        <w:rPr>
          <w:lang w:eastAsia="en-AU"/>
        </w:rPr>
      </w:pPr>
      <w:r>
        <w:rPr>
          <w:lang w:eastAsia="en-AU"/>
        </w:rPr>
        <w:t xml:space="preserve">COVID-19 also resulted in the subdivision of round 5 into </w:t>
      </w:r>
      <w:r w:rsidR="00AE0DE8">
        <w:rPr>
          <w:lang w:eastAsia="en-AU"/>
        </w:rPr>
        <w:t xml:space="preserve">2 </w:t>
      </w:r>
      <w:r>
        <w:rPr>
          <w:lang w:eastAsia="en-AU"/>
        </w:rPr>
        <w:t>reports</w:t>
      </w:r>
      <w:r w:rsidR="00724881">
        <w:rPr>
          <w:lang w:eastAsia="en-AU"/>
        </w:rPr>
        <w:t xml:space="preserve"> in ensure </w:t>
      </w:r>
      <w:r w:rsidR="00F23CC8">
        <w:rPr>
          <w:lang w:eastAsia="en-AU"/>
        </w:rPr>
        <w:t>an</w:t>
      </w:r>
      <w:r w:rsidR="00724881">
        <w:rPr>
          <w:lang w:eastAsia="en-AU"/>
        </w:rPr>
        <w:t xml:space="preserve"> inclusive outcome for reporting</w:t>
      </w:r>
      <w:r w:rsidR="004875F6">
        <w:rPr>
          <w:lang w:eastAsia="en-AU"/>
        </w:rPr>
        <w:t>. This occurred</w:t>
      </w:r>
      <w:r w:rsidR="000714F6">
        <w:rPr>
          <w:lang w:eastAsia="en-AU"/>
        </w:rPr>
        <w:t xml:space="preserve"> </w:t>
      </w:r>
      <w:r w:rsidR="00724881">
        <w:rPr>
          <w:lang w:eastAsia="en-AU"/>
        </w:rPr>
        <w:t>at a time when many laboratories were experiencing stop work orders and needed</w:t>
      </w:r>
      <w:r w:rsidR="000714F6">
        <w:rPr>
          <w:lang w:eastAsia="en-AU"/>
        </w:rPr>
        <w:t xml:space="preserve"> extra</w:t>
      </w:r>
      <w:r w:rsidR="00724881">
        <w:rPr>
          <w:lang w:eastAsia="en-AU"/>
        </w:rPr>
        <w:t xml:space="preserve"> </w:t>
      </w:r>
      <w:r w:rsidR="00F23CC8">
        <w:rPr>
          <w:lang w:eastAsia="en-AU"/>
        </w:rPr>
        <w:t xml:space="preserve">time to perform testing. </w:t>
      </w:r>
    </w:p>
    <w:p w14:paraId="4CB0C314" w14:textId="43E9237C" w:rsidR="00E41B5A" w:rsidRDefault="00E41B5A" w:rsidP="00E41B5A">
      <w:pPr>
        <w:pStyle w:val="ListBullet"/>
        <w:rPr>
          <w:lang w:eastAsia="en-AU"/>
        </w:rPr>
      </w:pPr>
      <w:r>
        <w:rPr>
          <w:lang w:eastAsia="en-AU"/>
        </w:rPr>
        <w:t>L</w:t>
      </w:r>
      <w:r w:rsidRPr="00E41B5A">
        <w:rPr>
          <w:lang w:eastAsia="en-AU"/>
        </w:rPr>
        <w:t>aboratory processing</w:t>
      </w:r>
    </w:p>
    <w:p w14:paraId="4FD9E745" w14:textId="6203377E" w:rsidR="0007236F" w:rsidRPr="0007236F" w:rsidRDefault="00E41B5A" w:rsidP="00C001B0">
      <w:pPr>
        <w:pStyle w:val="ListBullet2"/>
        <w:rPr>
          <w:lang w:eastAsia="en-AU"/>
        </w:rPr>
      </w:pPr>
      <w:r>
        <w:rPr>
          <w:lang w:eastAsia="en-AU"/>
        </w:rPr>
        <w:t>M</w:t>
      </w:r>
      <w:r w:rsidRPr="00E41B5A">
        <w:rPr>
          <w:lang w:eastAsia="en-AU"/>
        </w:rPr>
        <w:t>inor complications were reported by some laboratories affecting their ability to process test samples, such as difficulties in accessing diagnostic kits and reagents, inadequate staffing levels and equipment downtime.</w:t>
      </w:r>
    </w:p>
    <w:p w14:paraId="6AD3D28B" w14:textId="1C681822" w:rsidR="00DC2E74" w:rsidRDefault="00DC2E74" w:rsidP="00DC2E74">
      <w:pPr>
        <w:pStyle w:val="Heading2"/>
      </w:pPr>
      <w:bookmarkStart w:id="96" w:name="_Assessment_against_objectives"/>
      <w:bookmarkStart w:id="97" w:name="_Ref175149843"/>
      <w:bookmarkStart w:id="98" w:name="_Ref175149847"/>
      <w:bookmarkStart w:id="99" w:name="_Ref175149856"/>
      <w:bookmarkStart w:id="100" w:name="_Ref175150029"/>
      <w:bookmarkStart w:id="101" w:name="_Toc214555639"/>
      <w:bookmarkEnd w:id="96"/>
      <w:r>
        <w:lastRenderedPageBreak/>
        <w:t>Assessment against objectives and outcomes</w:t>
      </w:r>
      <w:bookmarkEnd w:id="97"/>
      <w:bookmarkEnd w:id="98"/>
      <w:bookmarkEnd w:id="99"/>
      <w:bookmarkEnd w:id="100"/>
      <w:bookmarkEnd w:id="101"/>
    </w:p>
    <w:p w14:paraId="6ADA3BA6" w14:textId="1AFCF0B0" w:rsidR="00B671DE" w:rsidRDefault="00B671DE" w:rsidP="00B671DE">
      <w:r>
        <w:t xml:space="preserve">This regional aquatic animal disease laboratory proficiency testing program delivered </w:t>
      </w:r>
      <w:r w:rsidR="00AE0DE8">
        <w:t xml:space="preserve">8 </w:t>
      </w:r>
      <w:r w:rsidR="0098348B">
        <w:t xml:space="preserve">rounds of </w:t>
      </w:r>
      <w:r>
        <w:t>high quality (stable and homogenous) proficiency testing materials</w:t>
      </w:r>
      <w:r w:rsidR="00625301">
        <w:t xml:space="preserve">, </w:t>
      </w:r>
      <w:r>
        <w:t xml:space="preserve">to </w:t>
      </w:r>
      <w:r w:rsidR="00625301">
        <w:t xml:space="preserve">a maximum of </w:t>
      </w:r>
      <w:r>
        <w:t xml:space="preserve">57 aquatic animal disease diagnostic laboratories </w:t>
      </w:r>
      <w:r w:rsidR="0098348B">
        <w:t xml:space="preserve">in </w:t>
      </w:r>
      <w:r w:rsidR="00625301">
        <w:t>19</w:t>
      </w:r>
      <w:r w:rsidR="0098348B">
        <w:t xml:space="preserve"> countries </w:t>
      </w:r>
      <w:r>
        <w:t>in the Asia-Pacific region</w:t>
      </w:r>
      <w:r w:rsidR="0098348B">
        <w:t xml:space="preserve"> over </w:t>
      </w:r>
      <w:r w:rsidR="00AE0DE8">
        <w:t xml:space="preserve">5 </w:t>
      </w:r>
      <w:r w:rsidR="0098348B">
        <w:t>years</w:t>
      </w:r>
      <w:r>
        <w:t>.</w:t>
      </w:r>
    </w:p>
    <w:p w14:paraId="05D25B65" w14:textId="3AD59E74" w:rsidR="00DC2E74" w:rsidRDefault="00380F2B" w:rsidP="00380F2B">
      <w:pPr>
        <w:pStyle w:val="Heading3"/>
      </w:pPr>
      <w:bookmarkStart w:id="102" w:name="_Statement_against_the"/>
      <w:bookmarkStart w:id="103" w:name="_Toc425945616"/>
      <w:bookmarkStart w:id="104" w:name="_Toc426459679"/>
      <w:bookmarkStart w:id="105" w:name="_Toc214555640"/>
      <w:bookmarkEnd w:id="102"/>
      <w:r>
        <w:t xml:space="preserve">Statement against the program </w:t>
      </w:r>
      <w:r w:rsidRPr="005910D8">
        <w:t>objectives</w:t>
      </w:r>
      <w:bookmarkEnd w:id="103"/>
      <w:bookmarkEnd w:id="104"/>
      <w:bookmarkEnd w:id="105"/>
    </w:p>
    <w:p w14:paraId="4C491E72" w14:textId="74AA45BC" w:rsidR="003261A5" w:rsidRDefault="003261A5" w:rsidP="003261A5">
      <w:r w:rsidRPr="00625301">
        <w:t xml:space="preserve">The </w:t>
      </w:r>
      <w:r w:rsidR="00625301" w:rsidRPr="00625301">
        <w:t>APL-</w:t>
      </w:r>
      <w:r w:rsidRPr="00625301">
        <w:t xml:space="preserve">PT program was established with </w:t>
      </w:r>
      <w:r w:rsidR="00AE0DE8">
        <w:t xml:space="preserve">3 </w:t>
      </w:r>
      <w:r w:rsidRPr="00625301">
        <w:t>objectives. A statement of achievement</w:t>
      </w:r>
      <w:r>
        <w:t xml:space="preserve"> against each of the objectives is provided below:</w:t>
      </w:r>
    </w:p>
    <w:p w14:paraId="11AC9760" w14:textId="5BE58FC9" w:rsidR="003261A5" w:rsidRPr="001E596A" w:rsidRDefault="00DC2E74" w:rsidP="00C001B0">
      <w:pPr>
        <w:pStyle w:val="ListNumber"/>
        <w:numPr>
          <w:ilvl w:val="0"/>
          <w:numId w:val="36"/>
        </w:numPr>
      </w:pPr>
      <w:r w:rsidRPr="00C001B0">
        <w:rPr>
          <w:rStyle w:val="Emphasis"/>
          <w:i w:val="0"/>
          <w:iCs w:val="0"/>
        </w:rPr>
        <w:t>Strengthen regional capability to diagnose important aquatic diseases that impact on trade, industry sustainability and/or productivity</w:t>
      </w:r>
      <w:r w:rsidR="001E596A">
        <w:rPr>
          <w:rStyle w:val="Emphasis"/>
          <w:i w:val="0"/>
          <w:iCs w:val="0"/>
        </w:rPr>
        <w:t xml:space="preserve"> –</w:t>
      </w:r>
      <w:r w:rsidR="001E596A">
        <w:t xml:space="preserve"> </w:t>
      </w:r>
      <w:r w:rsidR="0082048A" w:rsidRPr="001E596A">
        <w:t>Achieved</w:t>
      </w:r>
    </w:p>
    <w:p w14:paraId="3F5BC238" w14:textId="10C9F2D5" w:rsidR="00E27E41" w:rsidRDefault="00AE0DE8" w:rsidP="000C7A03">
      <w:r>
        <w:t xml:space="preserve">10 </w:t>
      </w:r>
      <w:r w:rsidR="000C7A03">
        <w:t xml:space="preserve">aquatic animal pathogens of importance to the Asia-Pacific region were included in the regional PT program. The 57 participating laboratories prioritised these based on their importance for trade, </w:t>
      </w:r>
      <w:r w:rsidR="00E57E84">
        <w:t xml:space="preserve">impacts </w:t>
      </w:r>
      <w:r w:rsidR="000C7A03">
        <w:t xml:space="preserve">as trans-boundary diseases or their </w:t>
      </w:r>
      <w:r w:rsidR="00E57E84">
        <w:t>impacts on production</w:t>
      </w:r>
      <w:r w:rsidR="000C7A03">
        <w:t xml:space="preserve">. </w:t>
      </w:r>
    </w:p>
    <w:p w14:paraId="0E158121" w14:textId="274F1958" w:rsidR="00E27E41" w:rsidRDefault="00755B95" w:rsidP="00D0419A">
      <w:r>
        <w:t xml:space="preserve">There is </w:t>
      </w:r>
      <w:r w:rsidR="00524981">
        <w:t>s</w:t>
      </w:r>
      <w:r w:rsidR="007444A8">
        <w:t>ome</w:t>
      </w:r>
      <w:r w:rsidR="00524981">
        <w:t xml:space="preserve"> </w:t>
      </w:r>
      <w:r>
        <w:t xml:space="preserve">variability in </w:t>
      </w:r>
      <w:r w:rsidR="00464578">
        <w:t>the aggregate data</w:t>
      </w:r>
      <w:r w:rsidR="00A22C6B">
        <w:t>,</w:t>
      </w:r>
      <w:r w:rsidR="00464578">
        <w:t xml:space="preserve"> averaged across all participant laboratories across all rounds</w:t>
      </w:r>
      <w:r w:rsidR="00B12F96">
        <w:t>,</w:t>
      </w:r>
      <w:r w:rsidR="00464578">
        <w:t xml:space="preserve"> depending on the disease agent tested. </w:t>
      </w:r>
      <w:r w:rsidR="00B12F96">
        <w:t xml:space="preserve">Reasons for this are discussed in Section </w:t>
      </w:r>
      <w:r w:rsidR="00762D0B">
        <w:t>4</w:t>
      </w:r>
      <w:r w:rsidR="00B12F96">
        <w:t xml:space="preserve">.2 </w:t>
      </w:r>
      <w:r w:rsidR="00B12F96">
        <w:fldChar w:fldCharType="begin"/>
      </w:r>
      <w:r w:rsidR="00B12F96">
        <w:instrText xml:space="preserve"> REF _Ref140584960 \h </w:instrText>
      </w:r>
      <w:r w:rsidR="00B12F96">
        <w:fldChar w:fldCharType="separate"/>
      </w:r>
      <w:r w:rsidR="00491B46" w:rsidRPr="007D1049">
        <w:t>Laboratory issues and feedback</w:t>
      </w:r>
      <w:r w:rsidR="00B12F96">
        <w:fldChar w:fldCharType="end"/>
      </w:r>
      <w:r w:rsidR="00B12F96">
        <w:t xml:space="preserve">. </w:t>
      </w:r>
      <w:r w:rsidR="00524981">
        <w:t>Despite this</w:t>
      </w:r>
      <w:r w:rsidR="00A339C1">
        <w:t>,</w:t>
      </w:r>
      <w:r w:rsidR="00D0419A">
        <w:t xml:space="preserve"> The APL</w:t>
      </w:r>
      <w:r w:rsidR="00A87C9B">
        <w:t>-</w:t>
      </w:r>
      <w:r w:rsidR="00D0419A">
        <w:t xml:space="preserve">PT program demonstrated improvement in diagnostic performance in almost every pathogen offered between </w:t>
      </w:r>
      <w:r w:rsidR="002801D7">
        <w:t xml:space="preserve">individual </w:t>
      </w:r>
      <w:r w:rsidR="00D0419A">
        <w:t>rounds.</w:t>
      </w:r>
      <w:r w:rsidR="00A339C1">
        <w:t xml:space="preserve"> </w:t>
      </w:r>
      <w:r w:rsidR="002801D7">
        <w:t>T</w:t>
      </w:r>
      <w:r w:rsidR="00A339C1">
        <w:t xml:space="preserve">he benefits of </w:t>
      </w:r>
      <w:r w:rsidR="009E4184">
        <w:t>the</w:t>
      </w:r>
      <w:r w:rsidR="00A339C1">
        <w:t xml:space="preserve"> program are profound; t</w:t>
      </w:r>
      <w:r w:rsidR="00524981">
        <w:t xml:space="preserve">he </w:t>
      </w:r>
      <w:r w:rsidR="001A7DFA">
        <w:t>unique ability</w:t>
      </w:r>
      <w:r w:rsidR="00524981">
        <w:t xml:space="preserve"> of the </w:t>
      </w:r>
      <w:r w:rsidR="001A7DFA">
        <w:t xml:space="preserve">APL-PT </w:t>
      </w:r>
      <w:r w:rsidR="00524981">
        <w:t xml:space="preserve">program to highlight areas of weakness </w:t>
      </w:r>
      <w:r w:rsidR="001A7DFA">
        <w:t xml:space="preserve">for laboratories </w:t>
      </w:r>
      <w:r w:rsidR="00524981">
        <w:t>and</w:t>
      </w:r>
      <w:r w:rsidR="001A7DFA">
        <w:t xml:space="preserve"> to subsequently provide them an</w:t>
      </w:r>
      <w:r w:rsidR="00524981">
        <w:t xml:space="preserve"> opportunity</w:t>
      </w:r>
      <w:r w:rsidR="006D210B">
        <w:t xml:space="preserve"> </w:t>
      </w:r>
      <w:r w:rsidR="00524981">
        <w:t xml:space="preserve">to </w:t>
      </w:r>
      <w:r w:rsidR="006D210B">
        <w:t xml:space="preserve">access expert knowledge on improving their </w:t>
      </w:r>
      <w:r w:rsidR="001A7DFA">
        <w:t>molecular</w:t>
      </w:r>
      <w:r w:rsidR="006D210B">
        <w:t xml:space="preserve"> diagnostic techniques</w:t>
      </w:r>
      <w:r w:rsidR="006943C8">
        <w:t xml:space="preserve"> cannot be understated. </w:t>
      </w:r>
      <w:r w:rsidR="006E711C">
        <w:t>Small improvements in diagnostic capability for high-risk diseases (</w:t>
      </w:r>
      <w:r w:rsidR="009E4184">
        <w:t xml:space="preserve">that is, </w:t>
      </w:r>
      <w:r w:rsidR="006E711C">
        <w:t xml:space="preserve">high likelihood of spread and high consequence ratings) </w:t>
      </w:r>
      <w:r w:rsidR="00794746">
        <w:t xml:space="preserve">can have significant impacts for </w:t>
      </w:r>
      <w:r w:rsidR="00E83532">
        <w:t>industry productivity</w:t>
      </w:r>
      <w:r w:rsidR="00794746">
        <w:t xml:space="preserve"> in the affected countries, aquatic animal health</w:t>
      </w:r>
      <w:r w:rsidR="00FE5425">
        <w:t xml:space="preserve"> </w:t>
      </w:r>
      <w:r w:rsidR="00841A79">
        <w:t xml:space="preserve">and trade. </w:t>
      </w:r>
    </w:p>
    <w:p w14:paraId="03FA9642" w14:textId="536FD9C1" w:rsidR="000434EE" w:rsidRPr="001E596A" w:rsidRDefault="00DC2E74" w:rsidP="00C001B0">
      <w:pPr>
        <w:pStyle w:val="ListNumber"/>
        <w:numPr>
          <w:ilvl w:val="0"/>
          <w:numId w:val="13"/>
        </w:numPr>
      </w:pPr>
      <w:r w:rsidRPr="00C001B0">
        <w:rPr>
          <w:rStyle w:val="Emphasis"/>
          <w:i w:val="0"/>
          <w:iCs w:val="0"/>
        </w:rPr>
        <w:t>Support laboratories in maintaining/improving their capacity to diagnose aquatic animal diseases through a proficiency testing service that includes analysis of results, provision of reports to laboratories and repeat testing (if necessary)</w:t>
      </w:r>
      <w:r w:rsidR="001E596A" w:rsidRPr="001E596A">
        <w:rPr>
          <w:rStyle w:val="Emphasis"/>
          <w:i w:val="0"/>
          <w:iCs w:val="0"/>
        </w:rPr>
        <w:t xml:space="preserve"> </w:t>
      </w:r>
      <w:r w:rsidR="001E596A">
        <w:t xml:space="preserve">– </w:t>
      </w:r>
      <w:r w:rsidR="000434EE" w:rsidRPr="001E596A">
        <w:t>Achieved</w:t>
      </w:r>
    </w:p>
    <w:p w14:paraId="0E632A61" w14:textId="4DD65CAD" w:rsidR="000434EE" w:rsidRDefault="00844D25" w:rsidP="00887C55">
      <w:r w:rsidRPr="00844D25">
        <w:t xml:space="preserve">At the completion of each testing round, participant laboratories were provided with their individual test results. These would either affirm their capability to correctly diagnose the selected </w:t>
      </w:r>
      <w:r w:rsidR="0007236F" w:rsidRPr="00844D25">
        <w:t>pathogens or</w:t>
      </w:r>
      <w:r w:rsidRPr="00844D25">
        <w:t xml:space="preserve"> highlight deficiencies which </w:t>
      </w:r>
      <w:r w:rsidR="00A934E3">
        <w:t>may</w:t>
      </w:r>
      <w:r w:rsidRPr="00844D25">
        <w:t xml:space="preserve"> require further investigation or action (</w:t>
      </w:r>
      <w:r w:rsidR="00D15F51">
        <w:t>for example,</w:t>
      </w:r>
      <w:r w:rsidRPr="00844D25">
        <w:t xml:space="preserve"> to re</w:t>
      </w:r>
      <w:r w:rsidR="0007236F">
        <w:noBreakHyphen/>
      </w:r>
      <w:r w:rsidRPr="00844D25">
        <w:t>evaluate diagnostic protocols, increase staff training in diagnostic protocols and procedures or invest in improved technologies). Technical assistance and training in proficiency testing procedures w</w:t>
      </w:r>
      <w:r w:rsidR="00D15F51">
        <w:t>ere</w:t>
      </w:r>
      <w:r w:rsidRPr="00844D25">
        <w:t xml:space="preserve"> provided at the 201</w:t>
      </w:r>
      <w:r w:rsidR="0015782B">
        <w:t>9</w:t>
      </w:r>
      <w:r w:rsidRPr="00844D25">
        <w:t xml:space="preserve"> workshop</w:t>
      </w:r>
      <w:r w:rsidR="00887C55">
        <w:t xml:space="preserve"> and throughout testing rounds. ACDP</w:t>
      </w:r>
      <w:r w:rsidR="0007236F">
        <w:t>-PTSP</w:t>
      </w:r>
      <w:r w:rsidR="00887C55">
        <w:t xml:space="preserve"> offered samples for retesting to laboratories who incorrectly reported results and wished to retest samples as part of the</w:t>
      </w:r>
      <w:r w:rsidR="008256BE">
        <w:t>ir</w:t>
      </w:r>
      <w:r w:rsidR="00887C55">
        <w:t xml:space="preserve"> </w:t>
      </w:r>
      <w:r w:rsidR="003C0A88">
        <w:t>in-house</w:t>
      </w:r>
      <w:r w:rsidR="00887C55">
        <w:t xml:space="preserve"> troubleshooting protocol.</w:t>
      </w:r>
    </w:p>
    <w:p w14:paraId="39A20E13" w14:textId="12E13C9B" w:rsidR="008E5BE3" w:rsidRDefault="008E5BE3" w:rsidP="008E5BE3">
      <w:pPr>
        <w:pStyle w:val="ListNumber"/>
        <w:numPr>
          <w:ilvl w:val="0"/>
          <w:numId w:val="13"/>
        </w:numPr>
      </w:pPr>
      <w:r w:rsidRPr="008E5BE3">
        <w:t>Increase confidence in the testing performance of Australia’s trading partner laboratories that are certified or approved to test the presence or absence of disease agents for aquatic animal commodity exports</w:t>
      </w:r>
      <w:r>
        <w:t xml:space="preserve">. </w:t>
      </w:r>
    </w:p>
    <w:p w14:paraId="1FB7E32E" w14:textId="2F22288E" w:rsidR="008E5BE3" w:rsidRPr="000434EE" w:rsidRDefault="008E5BE3" w:rsidP="008E5BE3">
      <w:r w:rsidRPr="008E5BE3">
        <w:lastRenderedPageBreak/>
        <w:t>This outcome has been well-demonstrated through the selection process for participating laboratories, which includes government and private laboratories. Government laboratories are selected as they perform diagnostic serves for their aquatic animal industries, including those involved in their export sectors. Private laboratories are eligible as fee-paying participants if they provide diagnostic services on behalf of their competent authorities (CA). The participation of these laboratories is managed to ensure their methods, protocols and reporting criteria are appropriate by Australia’s accredited PT provider (ADCP-PTSP). This allows for confidence in the interpretation of the de-identified collective data obtained at completion of the program. The improvement in accuracy across PT rounds enhances regional confidence in laboratory performance and their role in country certification and licencing, thereby supporting our pre-border biosecurity outcomes.</w:t>
      </w:r>
    </w:p>
    <w:p w14:paraId="27AD85DB" w14:textId="5D4A08FC" w:rsidR="00DC2E74" w:rsidRPr="001E596A" w:rsidRDefault="00DC2E74" w:rsidP="00C001B0">
      <w:pPr>
        <w:pStyle w:val="ListNumber"/>
        <w:numPr>
          <w:ilvl w:val="0"/>
          <w:numId w:val="13"/>
        </w:numPr>
      </w:pPr>
      <w:r w:rsidRPr="001E596A">
        <w:rPr>
          <w:rStyle w:val="Emphasis"/>
          <w:i w:val="0"/>
          <w:iCs w:val="0"/>
        </w:rPr>
        <w:t>Determine the potential for a self-supported laboratory proficiency testing program that meets regional needs and Australian objectives for aquatic animal health in the region</w:t>
      </w:r>
      <w:r w:rsidR="001E596A" w:rsidRPr="001E596A">
        <w:rPr>
          <w:rStyle w:val="Emphasis"/>
          <w:i w:val="0"/>
          <w:iCs w:val="0"/>
        </w:rPr>
        <w:t xml:space="preserve"> </w:t>
      </w:r>
      <w:r w:rsidR="001E596A">
        <w:t xml:space="preserve">– </w:t>
      </w:r>
      <w:r w:rsidR="00AE5D0A" w:rsidRPr="001E596A">
        <w:t>Achieved</w:t>
      </w:r>
    </w:p>
    <w:p w14:paraId="52EEF05E" w14:textId="1CD11955" w:rsidR="00392B9F" w:rsidRDefault="00392B9F" w:rsidP="001E09D2">
      <w:r>
        <w:t>The Asia-Pacific proficiency testing program meets regional needs for aquatic animal disease</w:t>
      </w:r>
      <w:r w:rsidR="001E09D2">
        <w:t xml:space="preserve"> </w:t>
      </w:r>
      <w:r>
        <w:t>diagnostic testing and was accessed by 1</w:t>
      </w:r>
      <w:r w:rsidR="0007236F">
        <w:t>9</w:t>
      </w:r>
      <w:r>
        <w:t xml:space="preserve"> </w:t>
      </w:r>
      <w:r w:rsidR="007D7E88">
        <w:t>Asia-Pacific</w:t>
      </w:r>
      <w:r>
        <w:t xml:space="preserve"> countries. </w:t>
      </w:r>
      <w:r w:rsidR="00DB48D8">
        <w:t>Together with</w:t>
      </w:r>
      <w:r w:rsidR="001E09D2">
        <w:t xml:space="preserve"> the previously completed APL-PT program from </w:t>
      </w:r>
      <w:r w:rsidR="00B32121">
        <w:t xml:space="preserve">2013, </w:t>
      </w:r>
      <w:r w:rsidR="00EA7787">
        <w:t>laboratories</w:t>
      </w:r>
      <w:r w:rsidR="006E309E">
        <w:t xml:space="preserve"> are now better accustomed </w:t>
      </w:r>
      <w:r w:rsidR="00C45234">
        <w:t xml:space="preserve">to procedures involved in a </w:t>
      </w:r>
      <w:r w:rsidR="00EA7787">
        <w:t>proficiency</w:t>
      </w:r>
      <w:r w:rsidR="00C45234">
        <w:t xml:space="preserve"> </w:t>
      </w:r>
      <w:r w:rsidR="00EA7787">
        <w:t>testing</w:t>
      </w:r>
      <w:r w:rsidR="00C45234">
        <w:t xml:space="preserve"> program. This includes </w:t>
      </w:r>
      <w:r w:rsidR="00AA6839">
        <w:t>sample preparation</w:t>
      </w:r>
      <w:r w:rsidR="00C45234">
        <w:t xml:space="preserve"> </w:t>
      </w:r>
      <w:r>
        <w:t>techniques, testing methodologies, data analysis, and reporting procedures specific to the</w:t>
      </w:r>
      <w:r w:rsidR="00C45234">
        <w:t xml:space="preserve"> </w:t>
      </w:r>
      <w:r>
        <w:t>proficiency testing program.</w:t>
      </w:r>
    </w:p>
    <w:p w14:paraId="7C5D80B1" w14:textId="2E5AB093" w:rsidR="00AE5D0A" w:rsidRDefault="000E2F19" w:rsidP="001E09D2">
      <w:r>
        <w:t xml:space="preserve">The </w:t>
      </w:r>
      <w:r w:rsidR="001A25C1">
        <w:t>program is increasingly well known in the Asia-Pacific region</w:t>
      </w:r>
      <w:r w:rsidR="003036A5">
        <w:t xml:space="preserve">; </w:t>
      </w:r>
      <w:r w:rsidR="00611B76">
        <w:t xml:space="preserve">the </w:t>
      </w:r>
      <w:r w:rsidR="0007236F">
        <w:t>ACDP-PTSP</w:t>
      </w:r>
      <w:r w:rsidR="00611B76">
        <w:t xml:space="preserve"> team </w:t>
      </w:r>
      <w:r w:rsidR="009E1BDD">
        <w:t>receive</w:t>
      </w:r>
      <w:r w:rsidR="0007236F">
        <w:t>d</w:t>
      </w:r>
      <w:r w:rsidR="009E1BDD">
        <w:t xml:space="preserve"> many enquiries from </w:t>
      </w:r>
      <w:r w:rsidR="00611B76">
        <w:t xml:space="preserve">laboratories worldwide to participate. The fee-for-service structure </w:t>
      </w:r>
      <w:r w:rsidR="007900A5">
        <w:t xml:space="preserve">allows </w:t>
      </w:r>
      <w:r w:rsidR="007D338F">
        <w:t>laboratories</w:t>
      </w:r>
      <w:r w:rsidR="007900A5">
        <w:t xml:space="preserve"> that have not been selected for sponsor</w:t>
      </w:r>
      <w:r w:rsidR="00E77FA3">
        <w:t>ship</w:t>
      </w:r>
      <w:r w:rsidR="007900A5">
        <w:t xml:space="preserve"> to still engage in the program, though at a cost. </w:t>
      </w:r>
      <w:r w:rsidR="007D338F">
        <w:t xml:space="preserve">This </w:t>
      </w:r>
      <w:r w:rsidR="00392B9F">
        <w:t>approach allows a broader range of laboratories to engage in the program</w:t>
      </w:r>
      <w:r w:rsidR="00EA7787">
        <w:t xml:space="preserve"> </w:t>
      </w:r>
      <w:r w:rsidR="00392B9F">
        <w:t>and access the valuable opportunities it provides for quality assurance and performance</w:t>
      </w:r>
      <w:r w:rsidR="00EA7787">
        <w:t xml:space="preserve"> </w:t>
      </w:r>
      <w:r w:rsidR="00392B9F">
        <w:t>assessment.</w:t>
      </w:r>
      <w:r w:rsidR="0007236F">
        <w:t xml:space="preserve"> It is recommended to continue the APL-PT program as the benefits are multinational and diverse. </w:t>
      </w:r>
    </w:p>
    <w:p w14:paraId="44BE26ED" w14:textId="10EF7C0D" w:rsidR="003B6413" w:rsidRDefault="003C0A88" w:rsidP="001E09D2">
      <w:r>
        <w:t>Since completion of the APL-PT program, China has started their own national PT program to assess the diagnostic p</w:t>
      </w:r>
      <w:r w:rsidRPr="003C0A88">
        <w:t xml:space="preserve">erformance of </w:t>
      </w:r>
      <w:r>
        <w:t xml:space="preserve">selected aquatic animal health </w:t>
      </w:r>
      <w:r w:rsidRPr="003C0A88">
        <w:t>laboratories</w:t>
      </w:r>
      <w:r>
        <w:t xml:space="preserve">. It is Australia’s hope that other countries in the Asia- Pacific will follow their initiative and organise a suitable PT program that can meet the needs of their country. Doing so </w:t>
      </w:r>
      <w:r w:rsidR="00AD12D5">
        <w:t>will</w:t>
      </w:r>
      <w:r>
        <w:t xml:space="preserve"> expand the regional network of aquatic animal </w:t>
      </w:r>
      <w:r w:rsidR="003B6413">
        <w:t>disease diagnostic laboratories and PT program providers</w:t>
      </w:r>
      <w:r>
        <w:t xml:space="preserve">, which will strengthen the confidence in safe trade between partner countries. </w:t>
      </w:r>
    </w:p>
    <w:p w14:paraId="63782D3D" w14:textId="2F89FEC4" w:rsidR="0069716F" w:rsidRDefault="0069716F" w:rsidP="0069716F">
      <w:pPr>
        <w:pStyle w:val="Heading3"/>
      </w:pPr>
      <w:bookmarkStart w:id="106" w:name="_Toc214555641"/>
      <w:r>
        <w:t>Assessment against the expected outcomes</w:t>
      </w:r>
      <w:bookmarkEnd w:id="106"/>
      <w:r>
        <w:t xml:space="preserve"> </w:t>
      </w:r>
    </w:p>
    <w:p w14:paraId="73268D7B" w14:textId="77777777" w:rsidR="0021770A" w:rsidRPr="00C001B0" w:rsidRDefault="0021770A" w:rsidP="00C961B4">
      <w:pPr>
        <w:pStyle w:val="ListNumber"/>
        <w:numPr>
          <w:ilvl w:val="0"/>
          <w:numId w:val="38"/>
        </w:numPr>
        <w:rPr>
          <w:rStyle w:val="Emphasis"/>
          <w:i w:val="0"/>
          <w:iCs w:val="0"/>
        </w:rPr>
      </w:pPr>
      <w:r w:rsidRPr="00C001B0">
        <w:rPr>
          <w:rStyle w:val="Emphasis"/>
          <w:i w:val="0"/>
          <w:iCs w:val="0"/>
        </w:rPr>
        <w:t>Increased confidence in the testing performance of laboratories certified/licensed by trading partner countries to test the disease status of aquatic animal commodity exports. This will be based on evidence that laboratory methods, protocols and reporting criteria are appropriate and that accurate results for proficiency testing rounds are reported.</w:t>
      </w:r>
    </w:p>
    <w:p w14:paraId="4E9FC131" w14:textId="1260BD6F" w:rsidR="000C4DF0" w:rsidRDefault="008E5BE3" w:rsidP="007E0C58">
      <w:pPr>
        <w:pStyle w:val="ListNumber"/>
        <w:numPr>
          <w:ilvl w:val="0"/>
          <w:numId w:val="0"/>
        </w:numPr>
        <w:rPr>
          <w:rStyle w:val="Emphasis"/>
          <w:i w:val="0"/>
          <w:iCs w:val="0"/>
        </w:rPr>
      </w:pPr>
      <w:r>
        <w:rPr>
          <w:rStyle w:val="Emphasis"/>
          <w:i w:val="0"/>
          <w:iCs w:val="0"/>
        </w:rPr>
        <w:t xml:space="preserve">The project successfully achieved this outcome, as outlined in Objective 3. The APL-PT program rigorously assessed and improved the diagnostic capability of participating laboratories, thereby contributing to regional safe and sanitary trade practices for aquatic commodities. </w:t>
      </w:r>
    </w:p>
    <w:p w14:paraId="290E8E56" w14:textId="77777777" w:rsidR="0021770A" w:rsidRPr="00C001B0" w:rsidRDefault="0021770A" w:rsidP="00C961B4">
      <w:pPr>
        <w:pStyle w:val="ListNumber"/>
      </w:pPr>
      <w:r w:rsidRPr="00C001B0">
        <w:t xml:space="preserve">Improved diagnostic capability of the regional network of aquatic diagnostic laboratories in Southeast Asia and the Oceanic region to detect important aquatic transboundary diseases. This </w:t>
      </w:r>
      <w:r w:rsidRPr="00C001B0">
        <w:lastRenderedPageBreak/>
        <w:t xml:space="preserve">will be measurable during the life of the project based on improvements in aggregated diagnostic proficiency testing results.   </w:t>
      </w:r>
    </w:p>
    <w:p w14:paraId="7AB34E40" w14:textId="33BB4323" w:rsidR="00BA17AE" w:rsidRDefault="006273A1" w:rsidP="001E09D2">
      <w:r>
        <w:t>The project demonstrates that</w:t>
      </w:r>
      <w:r w:rsidR="00AA7222">
        <w:t xml:space="preserve"> there is scope for improvement in the accurate detection of </w:t>
      </w:r>
      <w:r>
        <w:t>certain pathogens</w:t>
      </w:r>
      <w:r w:rsidR="00AA7222">
        <w:t>. T</w:t>
      </w:r>
      <w:r>
        <w:t xml:space="preserve">he program </w:t>
      </w:r>
      <w:r w:rsidR="00F41E09">
        <w:t xml:space="preserve">helps facilitate harmonised testing procedures </w:t>
      </w:r>
      <w:r w:rsidR="0079022D">
        <w:t xml:space="preserve">across </w:t>
      </w:r>
      <w:r w:rsidR="009017EF">
        <w:t>participating</w:t>
      </w:r>
      <w:r w:rsidR="0079022D">
        <w:t xml:space="preserve"> countries in the SE Asia and the Oceanic region </w:t>
      </w:r>
      <w:r w:rsidR="00180413">
        <w:t>to</w:t>
      </w:r>
      <w:r w:rsidR="009017EF">
        <w:t xml:space="preserve"> elevate the region’s diagnostic capability. This is assessed using de-identified, aggregated PT results. </w:t>
      </w:r>
    </w:p>
    <w:p w14:paraId="73489716" w14:textId="4ECD712A" w:rsidR="005E5C56" w:rsidRDefault="00813057" w:rsidP="00813057">
      <w:pPr>
        <w:pStyle w:val="Heading2"/>
      </w:pPr>
      <w:bookmarkStart w:id="107" w:name="_Toc214555642"/>
      <w:r>
        <w:lastRenderedPageBreak/>
        <w:t>Recommendations for future proficiency testing programs</w:t>
      </w:r>
      <w:bookmarkEnd w:id="107"/>
      <w:r>
        <w:t xml:space="preserve"> </w:t>
      </w:r>
    </w:p>
    <w:p w14:paraId="66E73329" w14:textId="77777777" w:rsidR="003C1B8F" w:rsidRPr="003C1B8F" w:rsidRDefault="003C1B8F" w:rsidP="003C1B8F">
      <w:pPr>
        <w:pStyle w:val="Heading3"/>
      </w:pPr>
      <w:bookmarkStart w:id="108" w:name="_Toc425945619"/>
      <w:bookmarkStart w:id="109" w:name="_Toc426459682"/>
      <w:bookmarkStart w:id="110" w:name="_Toc214555643"/>
      <w:r w:rsidRPr="003C1B8F">
        <w:t>Ensure participant familiarity with proficiency testing processes</w:t>
      </w:r>
      <w:bookmarkEnd w:id="108"/>
      <w:bookmarkEnd w:id="109"/>
      <w:bookmarkEnd w:id="110"/>
      <w:r w:rsidRPr="003C1B8F">
        <w:t xml:space="preserve"> </w:t>
      </w:r>
    </w:p>
    <w:p w14:paraId="29B7DEB4" w14:textId="0B13DEFE" w:rsidR="007A5B85" w:rsidRDefault="003C1B8F" w:rsidP="00A92387">
      <w:r>
        <w:t xml:space="preserve">The </w:t>
      </w:r>
      <w:r w:rsidR="00B26162">
        <w:t>face-to-face</w:t>
      </w:r>
      <w:r w:rsidR="006920E8">
        <w:t xml:space="preserve"> 2019 workshop and virtual 2020 workshop were valuable components of the program. They </w:t>
      </w:r>
      <w:r w:rsidR="002934E8">
        <w:t xml:space="preserve">provide opportunities in further </w:t>
      </w:r>
      <w:r w:rsidR="004518D1">
        <w:t>educate principles of laboratory quality assurance</w:t>
      </w:r>
      <w:r w:rsidR="00593AA3">
        <w:t xml:space="preserve">, </w:t>
      </w:r>
      <w:r w:rsidR="005229F3">
        <w:t xml:space="preserve">proficiency testing process and </w:t>
      </w:r>
      <w:r w:rsidR="00593AA3">
        <w:t xml:space="preserve">preparation </w:t>
      </w:r>
      <w:r w:rsidR="00A5239C">
        <w:t xml:space="preserve">for subsequent </w:t>
      </w:r>
      <w:r w:rsidR="00593AA3">
        <w:t xml:space="preserve">PT rounds with improved </w:t>
      </w:r>
      <w:r w:rsidR="00A5239C">
        <w:t xml:space="preserve">understanding and </w:t>
      </w:r>
      <w:r w:rsidR="00593AA3">
        <w:t>knowledge</w:t>
      </w:r>
      <w:r w:rsidR="004518D1">
        <w:t xml:space="preserve"> for </w:t>
      </w:r>
      <w:r w:rsidR="006920E8">
        <w:t>participating laboratories</w:t>
      </w:r>
      <w:r w:rsidR="004518D1">
        <w:t>.</w:t>
      </w:r>
      <w:r w:rsidR="006920E8">
        <w:t xml:space="preserve"> </w:t>
      </w:r>
      <w:r w:rsidR="00A17BEB">
        <w:t xml:space="preserve">It also addressed the broader goals of capacity building for </w:t>
      </w:r>
      <w:r w:rsidR="00A5239C">
        <w:t xml:space="preserve">aquatic animal disease </w:t>
      </w:r>
      <w:r w:rsidR="00A17BEB">
        <w:t xml:space="preserve">diagnostic </w:t>
      </w:r>
      <w:r w:rsidR="009969E3">
        <w:t>testing</w:t>
      </w:r>
      <w:r w:rsidR="00A17BEB">
        <w:t xml:space="preserve"> in the region </w:t>
      </w:r>
      <w:r w:rsidR="00CE5EC5">
        <w:t xml:space="preserve">and established a network </w:t>
      </w:r>
      <w:r w:rsidR="00A17BEB">
        <w:t xml:space="preserve">with </w:t>
      </w:r>
      <w:r w:rsidR="00CE5EC5">
        <w:t xml:space="preserve">laboratory </w:t>
      </w:r>
      <w:r w:rsidR="00A17BEB">
        <w:t xml:space="preserve">stakeholders. </w:t>
      </w:r>
    </w:p>
    <w:p w14:paraId="4EA28D87" w14:textId="22E5D81D" w:rsidR="003C1B8F" w:rsidRDefault="00073DD9" w:rsidP="00A92387">
      <w:r>
        <w:t>Section</w:t>
      </w:r>
      <w:r w:rsidR="00DA39EE">
        <w:t xml:space="preserve"> </w:t>
      </w:r>
      <w:r w:rsidR="00762D0B">
        <w:t>4</w:t>
      </w:r>
      <w:r w:rsidR="00DA39EE">
        <w:t>.2</w:t>
      </w:r>
      <w:r w:rsidR="003C1B8F">
        <w:t xml:space="preserve"> </w:t>
      </w:r>
      <w:r w:rsidR="00DA39EE">
        <w:fldChar w:fldCharType="begin"/>
      </w:r>
      <w:r w:rsidR="00DA39EE">
        <w:instrText xml:space="preserve"> REF _Ref141097656 \h </w:instrText>
      </w:r>
      <w:r w:rsidR="00A92387">
        <w:instrText xml:space="preserve"> \* MERGEFORMAT </w:instrText>
      </w:r>
      <w:r w:rsidR="00DA39EE">
        <w:fldChar w:fldCharType="separate"/>
      </w:r>
      <w:r w:rsidR="00491B46" w:rsidRPr="007D1049">
        <w:t>Laboratory issues and feedback</w:t>
      </w:r>
      <w:r w:rsidR="00DA39EE">
        <w:fldChar w:fldCharType="end"/>
      </w:r>
      <w:r w:rsidR="00DA39EE">
        <w:t xml:space="preserve"> </w:t>
      </w:r>
      <w:r w:rsidR="003C1B8F">
        <w:t>of this report</w:t>
      </w:r>
      <w:r>
        <w:t>,</w:t>
      </w:r>
      <w:r w:rsidR="003C1B8F">
        <w:t xml:space="preserve"> identifies some issues that influenced laboratory participation and reporting—some issues are considered unavoidable </w:t>
      </w:r>
      <w:r>
        <w:t xml:space="preserve">(for example, COVID-19 restrictions) </w:t>
      </w:r>
      <w:r w:rsidR="003C1B8F">
        <w:t>and represent ongoing challenges for certain countries but others can be mitigated. This program has demonstrated the benefit of a well-planned preparatory workshop to discuss collective priorities</w:t>
      </w:r>
      <w:r w:rsidR="009969E3">
        <w:t>,</w:t>
      </w:r>
      <w:r w:rsidR="003C1B8F">
        <w:t xml:space="preserve"> to communicate proficiency testing processes and</w:t>
      </w:r>
      <w:r w:rsidR="009969E3">
        <w:t>,</w:t>
      </w:r>
      <w:r w:rsidR="003C1B8F">
        <w:t xml:space="preserve"> to alert participants to any necessary preparations (e.g. securing funding, servicing equipment or training staff).</w:t>
      </w:r>
    </w:p>
    <w:p w14:paraId="4D1C4185" w14:textId="77777777" w:rsidR="003C1B8F" w:rsidRPr="009969E3" w:rsidRDefault="003C1B8F" w:rsidP="009969E3">
      <w:pPr>
        <w:pStyle w:val="Heading3"/>
      </w:pPr>
      <w:bookmarkStart w:id="111" w:name="_Toc425945620"/>
      <w:bookmarkStart w:id="112" w:name="_Toc426459683"/>
      <w:bookmarkStart w:id="113" w:name="_Toc214555644"/>
      <w:r w:rsidRPr="009969E3">
        <w:t>Ensure diseases are of highest priority to participants</w:t>
      </w:r>
      <w:bookmarkEnd w:id="111"/>
      <w:bookmarkEnd w:id="112"/>
      <w:bookmarkEnd w:id="113"/>
    </w:p>
    <w:p w14:paraId="1A32E900" w14:textId="77777777" w:rsidR="00E531D8" w:rsidRDefault="008000F2" w:rsidP="00F6646B">
      <w:r>
        <w:t xml:space="preserve">The 10 pathogens selected for testing </w:t>
      </w:r>
      <w:r w:rsidR="00C91C5F">
        <w:t xml:space="preserve">are pathogens of highest priority to the region, in terms of their potential impact if they were to enter or become established in a country. </w:t>
      </w:r>
      <w:r w:rsidR="005E615E">
        <w:t xml:space="preserve">They are pathogens of highest common priority to aquatic animal disease diagnostic laboratories in the region. </w:t>
      </w:r>
    </w:p>
    <w:p w14:paraId="787476B8" w14:textId="0D93704D" w:rsidR="009969E3" w:rsidRDefault="00F6646B" w:rsidP="00F6646B">
      <w:r>
        <w:t>In 2019, a change was made to the agent-specific panels</w:t>
      </w:r>
      <w:r w:rsidR="005E615E">
        <w:t>; t</w:t>
      </w:r>
      <w:r>
        <w:t>hey were combined</w:t>
      </w:r>
      <w:r w:rsidR="005E615E">
        <w:t xml:space="preserve"> </w:t>
      </w:r>
      <w:r w:rsidR="00E531D8">
        <w:t xml:space="preserve">into either the </w:t>
      </w:r>
      <w:r>
        <w:t xml:space="preserve">crustacean or </w:t>
      </w:r>
      <w:r w:rsidR="00E531D8">
        <w:t xml:space="preserve">the </w:t>
      </w:r>
      <w:r>
        <w:t xml:space="preserve">finfish disease panel. </w:t>
      </w:r>
      <w:r w:rsidR="008B1035">
        <w:t>Laboratories</w:t>
      </w:r>
      <w:r w:rsidR="00E531D8">
        <w:t xml:space="preserve"> were able to select either one, or both, of these panels</w:t>
      </w:r>
      <w:r w:rsidR="008B1035">
        <w:t xml:space="preserve">. </w:t>
      </w:r>
      <w:r>
        <w:t>This modification aimed to better represent a</w:t>
      </w:r>
      <w:r w:rsidR="00E531D8">
        <w:t xml:space="preserve"> </w:t>
      </w:r>
      <w:r>
        <w:t>diagnostic setting, providing a more comprehensive and relevant testing scenarios for the participating</w:t>
      </w:r>
      <w:r w:rsidR="00E531D8">
        <w:t xml:space="preserve"> </w:t>
      </w:r>
      <w:r>
        <w:t>laboratories.</w:t>
      </w:r>
    </w:p>
    <w:p w14:paraId="38C94D5C" w14:textId="77777777" w:rsidR="003C1B8F" w:rsidRPr="008B1035" w:rsidRDefault="003C1B8F" w:rsidP="008B1035">
      <w:pPr>
        <w:pStyle w:val="Heading3"/>
      </w:pPr>
      <w:bookmarkStart w:id="114" w:name="_Toc425945621"/>
      <w:bookmarkStart w:id="115" w:name="_Toc426459684"/>
      <w:bookmarkStart w:id="116" w:name="_Toc214555645"/>
      <w:r w:rsidRPr="008B1035">
        <w:t>Ensure the highest standards of quality assurance</w:t>
      </w:r>
      <w:bookmarkEnd w:id="114"/>
      <w:bookmarkEnd w:id="115"/>
      <w:bookmarkEnd w:id="116"/>
    </w:p>
    <w:p w14:paraId="7D903799" w14:textId="77777777" w:rsidR="001F040D" w:rsidRDefault="001F040D" w:rsidP="001F040D">
      <w:r>
        <w:t xml:space="preserve">The ACDP-PTSP was responsible for meeting ISO 17043 requirements which is essential for demonstrating their competence and </w:t>
      </w:r>
      <w:r w:rsidRPr="001F040D">
        <w:t xml:space="preserve">impartiality </w:t>
      </w:r>
      <w:r>
        <w:t xml:space="preserve">in the provision of the PT program. The ACDP-PTSP team have extensive experience in providing the previous successfully completed APL-PT program and in the pathogens being tested. </w:t>
      </w:r>
    </w:p>
    <w:p w14:paraId="29AB4CCA" w14:textId="694641AF" w:rsidR="008B1035" w:rsidRDefault="008240D1" w:rsidP="003C1B8F">
      <w:r>
        <w:t xml:space="preserve">The </w:t>
      </w:r>
      <w:r w:rsidR="0069154D">
        <w:t xml:space="preserve">proficiency testing program </w:t>
      </w:r>
      <w:r>
        <w:t xml:space="preserve">has been well designed to meet the </w:t>
      </w:r>
      <w:r w:rsidR="006B6C7B">
        <w:t>requirements of the broader laboratory quality management system</w:t>
      </w:r>
      <w:r w:rsidR="006F029C">
        <w:t xml:space="preserve"> for participating laboratories</w:t>
      </w:r>
      <w:r w:rsidR="006B6C7B">
        <w:t xml:space="preserve">. </w:t>
      </w:r>
      <w:r w:rsidR="006F029C">
        <w:t xml:space="preserve">Many laboratories which </w:t>
      </w:r>
      <w:r w:rsidR="00C231E0">
        <w:t>have</w:t>
      </w:r>
      <w:r w:rsidR="006F029C">
        <w:t xml:space="preserve"> ISO</w:t>
      </w:r>
      <w:r w:rsidR="00D533B8">
        <w:t xml:space="preserve"> accreditation </w:t>
      </w:r>
      <w:r w:rsidR="00FA3B5E">
        <w:t>1</w:t>
      </w:r>
      <w:r w:rsidR="00287222">
        <w:t>7</w:t>
      </w:r>
      <w:r w:rsidR="00FA3B5E">
        <w:t xml:space="preserve">025 </w:t>
      </w:r>
      <w:r w:rsidR="00D533B8">
        <w:t xml:space="preserve">are required </w:t>
      </w:r>
      <w:r w:rsidR="00FA3B5E">
        <w:t>t</w:t>
      </w:r>
      <w:r w:rsidR="00D533B8">
        <w:t xml:space="preserve">o participate in </w:t>
      </w:r>
      <w:r w:rsidR="00FA3B5E">
        <w:t xml:space="preserve">a proficiency testing program and the APL-PT program is the only </w:t>
      </w:r>
      <w:r w:rsidR="00287222">
        <w:t xml:space="preserve">PT </w:t>
      </w:r>
      <w:r w:rsidR="00FA3B5E">
        <w:t xml:space="preserve">program available to government laboratories in the Asia-Pacific region at no </w:t>
      </w:r>
      <w:r w:rsidR="00FA3B5E">
        <w:lastRenderedPageBreak/>
        <w:t xml:space="preserve">cost. </w:t>
      </w:r>
      <w:r w:rsidR="003727D4">
        <w:t>R</w:t>
      </w:r>
      <w:r w:rsidR="006B6C7B">
        <w:t xml:space="preserve">igorous quality assurance measures </w:t>
      </w:r>
      <w:r w:rsidR="003727D4">
        <w:t>are required to ensure valid diagnostic test results</w:t>
      </w:r>
      <w:r w:rsidR="00851D6F">
        <w:t xml:space="preserve">, that is, test materials can reliably </w:t>
      </w:r>
      <w:r w:rsidR="00A4251A">
        <w:t>produce</w:t>
      </w:r>
      <w:r w:rsidR="00851D6F">
        <w:t xml:space="preserve"> expected results and all processes are sound and repeatable. </w:t>
      </w:r>
      <w:r w:rsidR="001F040D">
        <w:t xml:space="preserve">This is necessary to meet Australia’s overall objectives of improved regional diagnostic capability and biosecurity management as assessed in </w:t>
      </w:r>
      <w:r w:rsidR="00664AA8">
        <w:t xml:space="preserve">Section </w:t>
      </w:r>
      <w:r w:rsidR="00762D0B">
        <w:t>5</w:t>
      </w:r>
      <w:r w:rsidR="00664AA8">
        <w:t xml:space="preserve"> </w:t>
      </w:r>
      <w:r w:rsidR="00664AA8">
        <w:fldChar w:fldCharType="begin"/>
      </w:r>
      <w:r w:rsidR="00664AA8">
        <w:instrText xml:space="preserve"> REF _Ref175149856 \h </w:instrText>
      </w:r>
      <w:r w:rsidR="00664AA8">
        <w:fldChar w:fldCharType="separate"/>
      </w:r>
      <w:r w:rsidR="00491B46">
        <w:t>Assessment against objectives and outcomes</w:t>
      </w:r>
      <w:r w:rsidR="00664AA8">
        <w:fldChar w:fldCharType="end"/>
      </w:r>
      <w:r w:rsidR="00664AA8">
        <w:t xml:space="preserve">. </w:t>
      </w:r>
    </w:p>
    <w:p w14:paraId="0F5B0253" w14:textId="77777777" w:rsidR="003C1B8F" w:rsidRPr="000439D4" w:rsidRDefault="003C1B8F" w:rsidP="000439D4">
      <w:pPr>
        <w:pStyle w:val="Heading3"/>
      </w:pPr>
      <w:bookmarkStart w:id="117" w:name="_Toc425945622"/>
      <w:bookmarkStart w:id="118" w:name="_Toc426459685"/>
      <w:bookmarkStart w:id="119" w:name="_Toc214555646"/>
      <w:r w:rsidRPr="000439D4">
        <w:t>Encourage testing continuity for all proficiency testing rounds</w:t>
      </w:r>
      <w:bookmarkEnd w:id="117"/>
      <w:bookmarkEnd w:id="118"/>
      <w:bookmarkEnd w:id="119"/>
      <w:r w:rsidRPr="000439D4">
        <w:t xml:space="preserve"> </w:t>
      </w:r>
    </w:p>
    <w:p w14:paraId="3174E7AB" w14:textId="7FC70F98" w:rsidR="003C1B8F" w:rsidRDefault="00437C75" w:rsidP="003C1B8F">
      <w:r>
        <w:t>Laboratories</w:t>
      </w:r>
      <w:r w:rsidR="000C77E9">
        <w:t xml:space="preserve"> were required to </w:t>
      </w:r>
      <w:r>
        <w:t>participate</w:t>
      </w:r>
      <w:r w:rsidR="000C77E9">
        <w:t xml:space="preserve"> in at least </w:t>
      </w:r>
      <w:r w:rsidR="00AE0DE8">
        <w:t xml:space="preserve">2 </w:t>
      </w:r>
      <w:r w:rsidR="000C77E9">
        <w:t>rounds of proficiency testing</w:t>
      </w:r>
      <w:r>
        <w:t xml:space="preserve"> for the same pathogens or disease panels</w:t>
      </w:r>
      <w:r w:rsidR="000C77E9">
        <w:t>. However, this was not always the case due to unforeseen circumstances</w:t>
      </w:r>
      <w:r>
        <w:t xml:space="preserve">, such as new laboratories </w:t>
      </w:r>
      <w:r w:rsidR="004D7150">
        <w:t xml:space="preserve">joining the program in place of other nominated ones or </w:t>
      </w:r>
      <w:r w:rsidR="00DB4027">
        <w:t xml:space="preserve">laboratories </w:t>
      </w:r>
      <w:r w:rsidR="004D7150">
        <w:t xml:space="preserve">being unable to submit results in time. </w:t>
      </w:r>
      <w:r w:rsidR="00C25D96">
        <w:t xml:space="preserve">To obtain the greatest benefit, </w:t>
      </w:r>
      <w:r w:rsidR="003C1B8F">
        <w:t>participating laboratories should be encouraged to commit to participation in proficiency testing as a routine and ongoing activity.</w:t>
      </w:r>
      <w:r w:rsidR="001C47E2">
        <w:t xml:space="preserve"> Collecting information about reasons for inconsistent participation among laboratories would be a useful feedback tool. Steering committee members may consider measures to mitigate barriers to participation in future PT programs as a result. Information gathering may be considered via surveys or questionnaires. </w:t>
      </w:r>
    </w:p>
    <w:p w14:paraId="6CE869D4" w14:textId="2689EE2E" w:rsidR="003C1B8F" w:rsidRPr="000439D4" w:rsidRDefault="003C1B8F" w:rsidP="000439D4">
      <w:pPr>
        <w:pStyle w:val="Heading3"/>
      </w:pPr>
      <w:bookmarkStart w:id="120" w:name="_Toc425945623"/>
      <w:bookmarkStart w:id="121" w:name="_Toc426459686"/>
      <w:bookmarkStart w:id="122" w:name="_Toc214555647"/>
      <w:r w:rsidRPr="000439D4">
        <w:t>Maintain confidentiality</w:t>
      </w:r>
      <w:bookmarkEnd w:id="120"/>
      <w:bookmarkEnd w:id="121"/>
      <w:r w:rsidRPr="000439D4">
        <w:t xml:space="preserve"> </w:t>
      </w:r>
      <w:bookmarkStart w:id="123" w:name="_Toc418848747"/>
      <w:bookmarkStart w:id="124" w:name="_Toc418848789"/>
      <w:bookmarkStart w:id="125" w:name="_Toc418848748"/>
      <w:bookmarkStart w:id="126" w:name="_Toc418848790"/>
      <w:bookmarkStart w:id="127" w:name="_Toc418848749"/>
      <w:bookmarkStart w:id="128" w:name="_Toc418848791"/>
      <w:bookmarkStart w:id="129" w:name="_Toc418848750"/>
      <w:bookmarkStart w:id="130" w:name="_Toc418848792"/>
      <w:bookmarkStart w:id="131" w:name="_Toc418848752"/>
      <w:bookmarkStart w:id="132" w:name="_Toc418848794"/>
      <w:bookmarkEnd w:id="123"/>
      <w:bookmarkEnd w:id="124"/>
      <w:bookmarkEnd w:id="125"/>
      <w:bookmarkEnd w:id="126"/>
      <w:bookmarkEnd w:id="127"/>
      <w:bookmarkEnd w:id="128"/>
      <w:bookmarkEnd w:id="129"/>
      <w:bookmarkEnd w:id="130"/>
      <w:bookmarkEnd w:id="131"/>
      <w:bookmarkEnd w:id="132"/>
      <w:r w:rsidR="006D4296" w:rsidRPr="006D4296">
        <w:t>proficiency testing</w:t>
      </w:r>
      <w:bookmarkEnd w:id="122"/>
    </w:p>
    <w:p w14:paraId="2B30DAA2" w14:textId="18857F81" w:rsidR="003C1B8F" w:rsidRDefault="003C1B8F" w:rsidP="003C1B8F">
      <w:r>
        <w:t>To ensure strong participation, proficiency testing programs must be designed to provide clear benefits to individual laboratories (detailed confidential feedback and, where possible, assistance to improve) while seeking to achieve the wider objective of stronger regional diagnostic capability.</w:t>
      </w:r>
      <w:r w:rsidR="00DF31B8">
        <w:t xml:space="preserve"> </w:t>
      </w:r>
      <w:r w:rsidR="00DF31B8" w:rsidRPr="00DF31B8">
        <w:t xml:space="preserve">The proficiency testing program </w:t>
      </w:r>
      <w:r w:rsidR="00DF31B8">
        <w:t>must</w:t>
      </w:r>
      <w:r w:rsidR="00DF31B8" w:rsidRPr="00DF31B8">
        <w:t xml:space="preserve"> maintain a quality system and accreditation to ISO/IEC 17043 standards. All information supplied by laboratories as part of the program </w:t>
      </w:r>
      <w:r w:rsidR="00DF31B8">
        <w:t>must</w:t>
      </w:r>
      <w:r w:rsidR="00DF31B8" w:rsidRPr="00DF31B8">
        <w:t xml:space="preserve"> be treated with strict confidentiality, and de-identified reports provided to ensure that no individual laboratory's results are disclosed.</w:t>
      </w:r>
    </w:p>
    <w:p w14:paraId="0606BF6B" w14:textId="2F8BD1FD" w:rsidR="005D0047" w:rsidRDefault="00A4251A" w:rsidP="00A4251A">
      <w:pPr>
        <w:pStyle w:val="Heading3"/>
      </w:pPr>
      <w:bookmarkStart w:id="133" w:name="_Toc214555648"/>
      <w:r>
        <w:t xml:space="preserve">Enhance </w:t>
      </w:r>
      <w:r w:rsidR="0003087E">
        <w:t>pre-border biosecurity</w:t>
      </w:r>
      <w:bookmarkEnd w:id="133"/>
    </w:p>
    <w:p w14:paraId="48924C74" w14:textId="5974E98D" w:rsidR="00A4251A" w:rsidRDefault="00D07A75" w:rsidP="003C1B8F">
      <w:r>
        <w:t xml:space="preserve">The sustained and increasing interest in Australia’s APL-PT program, clearly demonstrates regional countries’ ongoing commitment to improving sanitary safe trade in aquatic animal and their products. By providing a means to increase confidence within the region to accurately detect significant aquatic diseases, meet quarantine and pre-border requirements, future PT programs remain an important mechanism to achieve Australia’s overall biosecurity and trade objectives. </w:t>
      </w:r>
    </w:p>
    <w:p w14:paraId="555FC653" w14:textId="513C78F0" w:rsidR="000C4DF0" w:rsidRDefault="000C4DF0" w:rsidP="003C1B8F">
      <w:r>
        <w:t xml:space="preserve">To further strengthen these objectives, it is recommended that DAFF continue to play a central role in the laboratory selection process. This includes strategically inviting specific laboratories to participate, such that those laboratories with the greatest potential impact on regional biosecurity and trade are engaged in the program. </w:t>
      </w:r>
    </w:p>
    <w:p w14:paraId="2CE8A937" w14:textId="73A63947" w:rsidR="00E42F3E" w:rsidRDefault="00A83D2F" w:rsidP="00E42F3E">
      <w:pPr>
        <w:pStyle w:val="Heading3"/>
      </w:pPr>
      <w:bookmarkStart w:id="134" w:name="_Toc214555649"/>
      <w:r>
        <w:t>P</w:t>
      </w:r>
      <w:r w:rsidR="006D4296" w:rsidRPr="006D4296">
        <w:t>roficiency testing</w:t>
      </w:r>
      <w:r w:rsidR="00E42F3E">
        <w:t xml:space="preserve"> workshop</w:t>
      </w:r>
      <w:bookmarkEnd w:id="134"/>
      <w:r w:rsidR="00E42F3E">
        <w:t xml:space="preserve"> </w:t>
      </w:r>
    </w:p>
    <w:p w14:paraId="66D74055" w14:textId="30E1436A" w:rsidR="00E42F3E" w:rsidRDefault="00E42F3E" w:rsidP="003C1B8F">
      <w:r>
        <w:t xml:space="preserve">A workshop with </w:t>
      </w:r>
      <w:r w:rsidR="001C47E2">
        <w:t>participating</w:t>
      </w:r>
      <w:r>
        <w:t xml:space="preserve"> laboratories is recommended to address several key areas identified during the </w:t>
      </w:r>
      <w:r w:rsidR="00865755" w:rsidRPr="00865755">
        <w:t>proficiency testing</w:t>
      </w:r>
      <w:r>
        <w:t xml:space="preserve"> program</w:t>
      </w:r>
      <w:r w:rsidR="00664AA8">
        <w:t>, such as discussion on the programs key objectives and outcomes (</w:t>
      </w:r>
      <w:r w:rsidR="00D30EA8">
        <w:t xml:space="preserve">Section </w:t>
      </w:r>
      <w:r w:rsidR="00D30EA8">
        <w:fldChar w:fldCharType="begin"/>
      </w:r>
      <w:r w:rsidR="00D30EA8">
        <w:instrText xml:space="preserve"> REF _Ref175149843 \w \h </w:instrText>
      </w:r>
      <w:r w:rsidR="00D30EA8">
        <w:fldChar w:fldCharType="separate"/>
      </w:r>
      <w:r w:rsidR="00491B46">
        <w:t>5</w:t>
      </w:r>
      <w:r w:rsidR="00D30EA8">
        <w:fldChar w:fldCharType="end"/>
      </w:r>
      <w:r w:rsidR="00D30EA8">
        <w:t xml:space="preserve"> </w:t>
      </w:r>
      <w:r w:rsidR="00D30EA8">
        <w:fldChar w:fldCharType="begin"/>
      </w:r>
      <w:r w:rsidR="00D30EA8">
        <w:instrText xml:space="preserve"> REF _Ref175149843 \h </w:instrText>
      </w:r>
      <w:r w:rsidR="00D30EA8">
        <w:fldChar w:fldCharType="separate"/>
      </w:r>
      <w:r w:rsidR="00491B46">
        <w:t>Assessment against objectives and outcomes</w:t>
      </w:r>
      <w:r w:rsidR="00D30EA8">
        <w:fldChar w:fldCharType="end"/>
      </w:r>
      <w:r w:rsidR="00D30EA8">
        <w:t xml:space="preserve">) </w:t>
      </w:r>
      <w:r>
        <w:t xml:space="preserve">It is likely that some laboratories were unable to </w:t>
      </w:r>
      <w:r w:rsidR="001C47E2">
        <w:t>participate</w:t>
      </w:r>
      <w:r>
        <w:t xml:space="preserve"> in sequential, or even more than </w:t>
      </w:r>
      <w:r w:rsidR="00AE0DE8">
        <w:t xml:space="preserve">1 </w:t>
      </w:r>
      <w:r>
        <w:t xml:space="preserve">round, which limited their ability to demonstrate improvements in testing procedures. </w:t>
      </w:r>
      <w:r w:rsidR="001C47E2">
        <w:t>Further</w:t>
      </w:r>
      <w:r>
        <w:t xml:space="preserve">, feedback provided from the program </w:t>
      </w:r>
      <w:r>
        <w:lastRenderedPageBreak/>
        <w:t xml:space="preserve">revealed technical difficulties in detecting positive samples, false positives, delayed or misreporting and operational challenges (as detailed in Section </w:t>
      </w:r>
      <w:r>
        <w:fldChar w:fldCharType="begin"/>
      </w:r>
      <w:r>
        <w:instrText xml:space="preserve"> REF _Ref175147887 \r \h </w:instrText>
      </w:r>
      <w:r>
        <w:fldChar w:fldCharType="separate"/>
      </w:r>
      <w:r w:rsidR="00491B46">
        <w:t>4.2</w:t>
      </w:r>
      <w:r>
        <w:fldChar w:fldCharType="end"/>
      </w:r>
      <w:r>
        <w:t xml:space="preserve"> laboratory issues and feedback). A workshop would provide an ideal platform to </w:t>
      </w:r>
      <w:r w:rsidR="001C47E2">
        <w:t>collaboratively</w:t>
      </w:r>
      <w:r>
        <w:t xml:space="preserve"> address these topics, facilitate direct </w:t>
      </w:r>
      <w:r w:rsidR="001C47E2">
        <w:t>communication</w:t>
      </w:r>
      <w:r>
        <w:t xml:space="preserve"> of suggested improvements, and </w:t>
      </w:r>
      <w:r w:rsidR="001C47E2">
        <w:t>establish</w:t>
      </w:r>
      <w:r>
        <w:t xml:space="preserve"> a regional network of laboratories. This network would foster optimal </w:t>
      </w:r>
      <w:r w:rsidR="001C47E2">
        <w:t>diagnostic</w:t>
      </w:r>
      <w:r>
        <w:t xml:space="preserve"> performance, promote effective information sharing </w:t>
      </w:r>
      <w:r w:rsidR="001C47E2">
        <w:t xml:space="preserve">(including of the latest scientific information) </w:t>
      </w:r>
      <w:r>
        <w:t>and</w:t>
      </w:r>
      <w:r w:rsidR="001C47E2">
        <w:t xml:space="preserve"> create a collective forum for problem-solving diagnostic challenges facing the Asia-Pacific region. </w:t>
      </w:r>
    </w:p>
    <w:p w14:paraId="35F9E262" w14:textId="77777777" w:rsidR="00231EF2" w:rsidRPr="00231EF2" w:rsidRDefault="00231EF2" w:rsidP="00BE69B5">
      <w:pPr>
        <w:pStyle w:val="Heading2"/>
      </w:pPr>
      <w:bookmarkStart w:id="135" w:name="_Toc425945624"/>
      <w:bookmarkStart w:id="136" w:name="_Toc426459687"/>
      <w:bookmarkStart w:id="137" w:name="_Toc214555650"/>
      <w:r w:rsidRPr="00231EF2">
        <w:lastRenderedPageBreak/>
        <w:t>Conclusions</w:t>
      </w:r>
      <w:bookmarkEnd w:id="135"/>
      <w:bookmarkEnd w:id="136"/>
      <w:bookmarkEnd w:id="137"/>
    </w:p>
    <w:p w14:paraId="6E9DC2FC" w14:textId="027FEA70" w:rsidR="00A81E06" w:rsidRPr="008D14B5" w:rsidRDefault="00013B53" w:rsidP="00A81E06">
      <w:r>
        <w:t>The APL-PT program</w:t>
      </w:r>
      <w:r w:rsidR="00664AA8">
        <w:t xml:space="preserve"> rounds</w:t>
      </w:r>
      <w:r>
        <w:t xml:space="preserve"> </w:t>
      </w:r>
      <w:r w:rsidR="001B372F">
        <w:t>ran</w:t>
      </w:r>
      <w:r>
        <w:t xml:space="preserve"> from 201</w:t>
      </w:r>
      <w:r w:rsidR="00664AA8">
        <w:t>8</w:t>
      </w:r>
      <w:r>
        <w:t xml:space="preserve"> to 2022 and successfully concluded with a total of 8 rounds of PT, </w:t>
      </w:r>
      <w:r w:rsidR="00AE0DE8">
        <w:t xml:space="preserve">1 </w:t>
      </w:r>
      <w:r>
        <w:t xml:space="preserve">in-person participating laboratory workshop in Bangkok, and another online workshop seeking additional participants. A total of </w:t>
      </w:r>
      <w:r w:rsidR="006F5A2B">
        <w:t>57</w:t>
      </w:r>
      <w:r w:rsidR="002A69C8">
        <w:t xml:space="preserve"> </w:t>
      </w:r>
      <w:r w:rsidR="00231EF2">
        <w:t xml:space="preserve">aquatic animal disease diagnostic laboratories </w:t>
      </w:r>
      <w:r>
        <w:t>from 1</w:t>
      </w:r>
      <w:r w:rsidR="001B372F">
        <w:t>9</w:t>
      </w:r>
      <w:r>
        <w:t xml:space="preserve"> Asia and the Pacific countries </w:t>
      </w:r>
      <w:r w:rsidR="00231EF2">
        <w:t>participated in</w:t>
      </w:r>
      <w:r w:rsidR="001B372F">
        <w:t xml:space="preserve"> the program.</w:t>
      </w:r>
      <w:r>
        <w:t xml:space="preserve"> </w:t>
      </w:r>
      <w:r w:rsidR="00B84D0D">
        <w:t xml:space="preserve">Over 8 rounds of testing, </w:t>
      </w:r>
      <w:r w:rsidR="009C5775">
        <w:t xml:space="preserve">those laboratories were assessed </w:t>
      </w:r>
      <w:r w:rsidR="009C5775" w:rsidRPr="008D14B5">
        <w:t>2219 times, of which 1732 times laboratories received a correct assessment</w:t>
      </w:r>
      <w:r w:rsidR="009C4643" w:rsidRPr="008D14B5">
        <w:t xml:space="preserve">. </w:t>
      </w:r>
      <w:r w:rsidRPr="008D14B5">
        <w:t xml:space="preserve">PT panels consisted of </w:t>
      </w:r>
      <w:r w:rsidR="00D30EA8" w:rsidRPr="008D14B5">
        <w:t>4 finfish</w:t>
      </w:r>
      <w:r w:rsidRPr="008D14B5">
        <w:t xml:space="preserve"> diseases and </w:t>
      </w:r>
      <w:r w:rsidR="00AE0DE8" w:rsidRPr="008D14B5">
        <w:t xml:space="preserve">6 </w:t>
      </w:r>
      <w:r w:rsidRPr="008D14B5">
        <w:t xml:space="preserve">crustacean diseases of regional significance. All feedback reports were provided to participating laboratories </w:t>
      </w:r>
      <w:r w:rsidR="00BB66D9" w:rsidRPr="008D14B5">
        <w:t xml:space="preserve">confidentially, </w:t>
      </w:r>
      <w:r w:rsidRPr="008D14B5">
        <w:t>with some additional testing opportunities provided</w:t>
      </w:r>
      <w:r w:rsidR="00397C6E" w:rsidRPr="008D14B5">
        <w:t xml:space="preserve"> for laboratories who provided an incorrect initial result</w:t>
      </w:r>
      <w:r w:rsidRPr="008D14B5">
        <w:t xml:space="preserve">. The performance of participating laboratories has markedly improved during the 4-year program as shown in </w:t>
      </w:r>
      <w:r w:rsidR="00EC4962" w:rsidRPr="008D14B5">
        <w:fldChar w:fldCharType="begin"/>
      </w:r>
      <w:r w:rsidR="00EC4962" w:rsidRPr="008D14B5">
        <w:instrText xml:space="preserve"> REF _Ref141266944 \h </w:instrText>
      </w:r>
      <w:r w:rsidR="008D14B5">
        <w:instrText xml:space="preserve"> \* MERGEFORMAT </w:instrText>
      </w:r>
      <w:r w:rsidR="00EC4962" w:rsidRPr="008D14B5">
        <w:fldChar w:fldCharType="separate"/>
      </w:r>
      <w:r w:rsidR="00491B46" w:rsidRPr="00F10171">
        <w:t xml:space="preserve">Figure </w:t>
      </w:r>
      <w:r w:rsidR="00491B46">
        <w:rPr>
          <w:noProof/>
        </w:rPr>
        <w:t>3</w:t>
      </w:r>
      <w:r w:rsidR="00EC4962" w:rsidRPr="008D14B5">
        <w:fldChar w:fldCharType="end"/>
      </w:r>
      <w:r w:rsidR="00EC4962" w:rsidRPr="008D14B5">
        <w:t xml:space="preserve"> to </w:t>
      </w:r>
      <w:r w:rsidR="00EC4962" w:rsidRPr="008D14B5">
        <w:fldChar w:fldCharType="begin"/>
      </w:r>
      <w:r w:rsidR="00EC4962" w:rsidRPr="008D14B5">
        <w:instrText xml:space="preserve"> REF _Ref141266946 \h </w:instrText>
      </w:r>
      <w:r w:rsidR="008D14B5">
        <w:instrText xml:space="preserve"> \* MERGEFORMAT </w:instrText>
      </w:r>
      <w:r w:rsidR="00EC4962" w:rsidRPr="008D14B5">
        <w:fldChar w:fldCharType="separate"/>
      </w:r>
      <w:r w:rsidR="00491B46">
        <w:t xml:space="preserve">Figure </w:t>
      </w:r>
      <w:r w:rsidR="00491B46">
        <w:rPr>
          <w:noProof/>
        </w:rPr>
        <w:t>12</w:t>
      </w:r>
      <w:r w:rsidR="00EC4962" w:rsidRPr="008D14B5">
        <w:fldChar w:fldCharType="end"/>
      </w:r>
      <w:r w:rsidRPr="008D14B5">
        <w:t xml:space="preserve">. </w:t>
      </w:r>
      <w:r w:rsidR="009C4643" w:rsidRPr="008D14B5">
        <w:t xml:space="preserve">Trendlines across all disease agents </w:t>
      </w:r>
      <w:r w:rsidR="00664AA8" w:rsidRPr="008D14B5">
        <w:t xml:space="preserve">show </w:t>
      </w:r>
      <w:r w:rsidR="009C4643" w:rsidRPr="008D14B5">
        <w:t xml:space="preserve">a consistently higher performance </w:t>
      </w:r>
      <w:r w:rsidR="00664AA8" w:rsidRPr="008D14B5">
        <w:t xml:space="preserve">for </w:t>
      </w:r>
      <w:r w:rsidR="009C4643" w:rsidRPr="008D14B5">
        <w:t xml:space="preserve">laboratories using qPCR </w:t>
      </w:r>
      <w:r w:rsidR="00664AA8" w:rsidRPr="008D14B5">
        <w:t xml:space="preserve">for pathogen detection, </w:t>
      </w:r>
      <w:r w:rsidR="009C4643" w:rsidRPr="008D14B5">
        <w:t>compared t</w:t>
      </w:r>
      <w:r w:rsidR="00943563" w:rsidRPr="008D14B5">
        <w:t>o</w:t>
      </w:r>
      <w:r w:rsidR="009C4643" w:rsidRPr="008D14B5">
        <w:t xml:space="preserve"> conventional PCR methods across all rounds and disease agents.</w:t>
      </w:r>
    </w:p>
    <w:p w14:paraId="4E6E8F96" w14:textId="14D97A46" w:rsidR="00231EF2" w:rsidRDefault="00013B53" w:rsidP="00231EF2">
      <w:r w:rsidRPr="008D14B5">
        <w:t xml:space="preserve">The APL-PT </w:t>
      </w:r>
      <w:r w:rsidR="00231EF2" w:rsidRPr="008D14B5">
        <w:t xml:space="preserve">program </w:t>
      </w:r>
      <w:r w:rsidRPr="008D14B5">
        <w:t>has played a</w:t>
      </w:r>
      <w:r w:rsidR="000E5705" w:rsidRPr="008D14B5">
        <w:t xml:space="preserve"> </w:t>
      </w:r>
      <w:r w:rsidR="001417F1" w:rsidRPr="008D14B5">
        <w:t xml:space="preserve">crucial role in assuring </w:t>
      </w:r>
      <w:r w:rsidRPr="008D14B5">
        <w:t xml:space="preserve">accurate and precise diagnostic test results </w:t>
      </w:r>
      <w:r w:rsidR="00BB66D9" w:rsidRPr="008D14B5">
        <w:t xml:space="preserve">and maintain laboratory quality assurance systems </w:t>
      </w:r>
      <w:r w:rsidRPr="008D14B5">
        <w:t xml:space="preserve">in association with </w:t>
      </w:r>
      <w:r w:rsidR="00624E26" w:rsidRPr="008D14B5">
        <w:t>aquatic animal</w:t>
      </w:r>
      <w:r w:rsidRPr="008D14B5">
        <w:t xml:space="preserve"> health management</w:t>
      </w:r>
      <w:r w:rsidR="00624E26" w:rsidRPr="008D14B5">
        <w:t xml:space="preserve">. </w:t>
      </w:r>
      <w:r w:rsidR="00EC4962" w:rsidRPr="008D14B5">
        <w:t>These</w:t>
      </w:r>
      <w:r w:rsidR="00624E26" w:rsidRPr="008D14B5">
        <w:t xml:space="preserve"> laboratories support t</w:t>
      </w:r>
      <w:r w:rsidR="00231EF2" w:rsidRPr="008D14B5">
        <w:t>heir countries’ competent authority declarations of sanitary safe</w:t>
      </w:r>
      <w:r w:rsidR="00AA29F6" w:rsidRPr="008D14B5">
        <w:t xml:space="preserve">ty for </w:t>
      </w:r>
      <w:r w:rsidR="00231EF2" w:rsidRPr="008D14B5">
        <w:t>trade in aquatic animal</w:t>
      </w:r>
      <w:r w:rsidRPr="008D14B5">
        <w:t>s and their</w:t>
      </w:r>
      <w:r w:rsidR="00231EF2" w:rsidRPr="008D14B5">
        <w:t xml:space="preserve"> products</w:t>
      </w:r>
      <w:r w:rsidR="00AA29F6" w:rsidRPr="008D14B5">
        <w:t xml:space="preserve">, </w:t>
      </w:r>
      <w:r w:rsidR="00231EF2" w:rsidRPr="008D14B5">
        <w:t xml:space="preserve">industry productivity and sustainability and help prevent the spread of significant trans-boundary diseases. </w:t>
      </w:r>
      <w:r w:rsidR="00EC4962" w:rsidRPr="008D14B5">
        <w:t>They</w:t>
      </w:r>
      <w:r w:rsidR="00231EF2" w:rsidRPr="008D14B5">
        <w:t xml:space="preserve"> </w:t>
      </w:r>
      <w:r w:rsidR="00827C86" w:rsidRPr="008D14B5">
        <w:t xml:space="preserve">have a responsibility to maintain </w:t>
      </w:r>
      <w:r w:rsidR="00231EF2" w:rsidRPr="008D14B5">
        <w:t xml:space="preserve">a consistently high level of diagnostic competency to provide </w:t>
      </w:r>
      <w:r w:rsidR="00BB66D9" w:rsidRPr="008D14B5">
        <w:t xml:space="preserve">their aquatic animal industries with </w:t>
      </w:r>
      <w:r w:rsidR="00231EF2" w:rsidRPr="008D14B5">
        <w:t xml:space="preserve">these services. </w:t>
      </w:r>
      <w:r w:rsidR="00BB66D9" w:rsidRPr="008D14B5">
        <w:t>With the absence of any similar international PT program for a range of aquatic animal diseases of regional significance, t</w:t>
      </w:r>
      <w:r w:rsidR="00231EF2" w:rsidRPr="008D14B5">
        <w:t xml:space="preserve">he </w:t>
      </w:r>
      <w:r w:rsidR="00E51568" w:rsidRPr="008D14B5">
        <w:t>201</w:t>
      </w:r>
      <w:r w:rsidR="00BE69B5" w:rsidRPr="008D14B5">
        <w:t>8</w:t>
      </w:r>
      <w:r w:rsidR="00E51568" w:rsidRPr="008D14B5">
        <w:t xml:space="preserve">-2022 </w:t>
      </w:r>
      <w:r w:rsidR="00EC4962" w:rsidRPr="008D14B5">
        <w:t>Asia-Pacific</w:t>
      </w:r>
      <w:r w:rsidR="00231EF2">
        <w:t xml:space="preserve"> PT program for aquatic animal disease laboratories</w:t>
      </w:r>
      <w:r w:rsidR="004A0656">
        <w:t xml:space="preserve">, </w:t>
      </w:r>
      <w:r w:rsidR="00231EF2">
        <w:t>ha</w:t>
      </w:r>
      <w:r w:rsidR="00EC4962">
        <w:t>s</w:t>
      </w:r>
      <w:r w:rsidR="00231EF2">
        <w:t xml:space="preserve"> </w:t>
      </w:r>
      <w:r>
        <w:t xml:space="preserve">provided laboratories with </w:t>
      </w:r>
      <w:r w:rsidR="00BB66D9">
        <w:t xml:space="preserve">critical </w:t>
      </w:r>
      <w:r>
        <w:t xml:space="preserve">opportunities </w:t>
      </w:r>
      <w:r w:rsidR="00664AA8">
        <w:t>to</w:t>
      </w:r>
      <w:r w:rsidR="00EC4962">
        <w:t xml:space="preserve"> strengthen </w:t>
      </w:r>
      <w:r w:rsidR="004A0656">
        <w:t xml:space="preserve">their </w:t>
      </w:r>
      <w:r w:rsidR="00BB66D9">
        <w:t xml:space="preserve">laboratory diagnostic </w:t>
      </w:r>
      <w:r w:rsidR="004A0656">
        <w:t xml:space="preserve">capability. </w:t>
      </w:r>
      <w:r w:rsidR="00231EF2">
        <w:t xml:space="preserve"> </w:t>
      </w:r>
    </w:p>
    <w:p w14:paraId="00FE5EB6" w14:textId="77777777" w:rsidR="00633AFD" w:rsidRDefault="00325AC2" w:rsidP="00633AFD">
      <w:r>
        <w:t>The program evaluate</w:t>
      </w:r>
      <w:r w:rsidR="00BB66D9">
        <w:t>d</w:t>
      </w:r>
      <w:r>
        <w:t xml:space="preserve"> </w:t>
      </w:r>
      <w:r w:rsidR="00A352D6">
        <w:t xml:space="preserve">laboratory </w:t>
      </w:r>
      <w:r>
        <w:t>performance</w:t>
      </w:r>
      <w:r w:rsidR="00A352D6">
        <w:t xml:space="preserve"> as </w:t>
      </w:r>
      <w:r w:rsidR="00231EF2">
        <w:t>part of a broader laboratory quality management system</w:t>
      </w:r>
      <w:r w:rsidR="00FE3CDC">
        <w:t xml:space="preserve">. </w:t>
      </w:r>
      <w:r w:rsidR="000B7AFE">
        <w:t>Laboratories</w:t>
      </w:r>
      <w:r w:rsidR="0072440B">
        <w:t xml:space="preserve"> must</w:t>
      </w:r>
      <w:r w:rsidR="00FE3CDC">
        <w:t xml:space="preserve"> uphold high standards of </w:t>
      </w:r>
      <w:r w:rsidR="000B7AFE">
        <w:t>diagnostic</w:t>
      </w:r>
      <w:r w:rsidR="00FE3CDC">
        <w:t xml:space="preserve"> capability</w:t>
      </w:r>
      <w:r w:rsidR="0072440B">
        <w:t xml:space="preserve"> provide confi</w:t>
      </w:r>
      <w:r w:rsidR="00627C26">
        <w:t>dence to industry stakeholders and trading partners</w:t>
      </w:r>
      <w:r w:rsidR="000B7AFE">
        <w:t xml:space="preserve">, </w:t>
      </w:r>
      <w:r w:rsidR="00FE0C9F">
        <w:t>particularly</w:t>
      </w:r>
      <w:r w:rsidR="000B7AFE">
        <w:t xml:space="preserve"> as trade in aquaculture </w:t>
      </w:r>
      <w:r w:rsidR="00FE0C9F">
        <w:t xml:space="preserve">in Asia-Pacific countries expand rapidly. The competent authorities rely on a strong laboratory network to protect public health, support aquaculture and fisheries industries, and prevent the introduction and spread of trans-boundary diseases in the Asia-Pacific region. </w:t>
      </w:r>
    </w:p>
    <w:p w14:paraId="02873A00" w14:textId="632661DC" w:rsidR="00231EF2" w:rsidRDefault="00633AFD" w:rsidP="00231EF2">
      <w:r>
        <w:t>Proficiency testing provides laboratories a unique and structured training opportunity to enhance their knowledge, skills and techniques in diagnostic aquatic animal diseases. The APL-PT program encouraged active participation and the associated workshop allowed personnel in the international diagnostic laboratory community to come together and discuss ideas and troubleshoot for improved diagnostic performan</w:t>
      </w:r>
      <w:r w:rsidRPr="00067084">
        <w:t xml:space="preserve">ce. These issue and feedback can be further discussed </w:t>
      </w:r>
      <w:r w:rsidR="00067084" w:rsidRPr="00067084">
        <w:t>in the near future</w:t>
      </w:r>
      <w:r w:rsidR="00067084">
        <w:t xml:space="preserve">, </w:t>
      </w:r>
      <w:r w:rsidRPr="00067084">
        <w:t>at an in-person workshop that brings</w:t>
      </w:r>
      <w:r w:rsidR="00067084" w:rsidRPr="00067084">
        <w:t xml:space="preserve"> together</w:t>
      </w:r>
      <w:r w:rsidRPr="00067084">
        <w:t xml:space="preserve"> representatives from all participating laboratories in the region.</w:t>
      </w:r>
    </w:p>
    <w:p w14:paraId="4E582274" w14:textId="73343210" w:rsidR="00A50C4B" w:rsidRPr="00A50C4B" w:rsidRDefault="00A50C4B" w:rsidP="00A50C4B">
      <w:pPr>
        <w:rPr>
          <w:lang w:eastAsia="ja-JP"/>
        </w:rPr>
      </w:pPr>
      <w:bookmarkStart w:id="138" w:name="_Appendix_A:_Statistical"/>
      <w:bookmarkStart w:id="139" w:name="_Appendix_1_–"/>
      <w:bookmarkStart w:id="140" w:name="_Appendix_A:_Workshop"/>
      <w:bookmarkStart w:id="141" w:name="_Toc430782160"/>
      <w:bookmarkEnd w:id="11"/>
      <w:bookmarkEnd w:id="138"/>
      <w:bookmarkEnd w:id="139"/>
      <w:bookmarkEnd w:id="140"/>
    </w:p>
    <w:p w14:paraId="702C5662" w14:textId="669B431B" w:rsidR="00764D6A" w:rsidRDefault="00E91D72" w:rsidP="007E39EF">
      <w:pPr>
        <w:pStyle w:val="Heading2"/>
        <w:numPr>
          <w:ilvl w:val="0"/>
          <w:numId w:val="0"/>
        </w:numPr>
      </w:pPr>
      <w:bookmarkStart w:id="142" w:name="_Appendix_B:_Regional"/>
      <w:bookmarkStart w:id="143" w:name="_Toc214555651"/>
      <w:bookmarkEnd w:id="142"/>
      <w:r>
        <w:lastRenderedPageBreak/>
        <w:t xml:space="preserve">Appendix </w:t>
      </w:r>
      <w:bookmarkEnd w:id="141"/>
      <w:r w:rsidR="008008C6">
        <w:t>A</w:t>
      </w:r>
      <w:r w:rsidR="002571BC">
        <w:t>:</w:t>
      </w:r>
      <w:r w:rsidR="005F15A2">
        <w:t xml:space="preserve"> </w:t>
      </w:r>
      <w:bookmarkStart w:id="144" w:name="_Hlk173940494"/>
      <w:r w:rsidR="005F15A2">
        <w:t xml:space="preserve">Regional </w:t>
      </w:r>
      <w:r w:rsidR="00A94C3C" w:rsidRPr="00A94C3C">
        <w:t xml:space="preserve">Proficiency </w:t>
      </w:r>
      <w:r w:rsidR="00AE5853">
        <w:t>T</w:t>
      </w:r>
      <w:r w:rsidR="00A94C3C" w:rsidRPr="00A94C3C">
        <w:t>esting</w:t>
      </w:r>
      <w:r w:rsidR="005F15A2">
        <w:t xml:space="preserve"> program partner responsibilities</w:t>
      </w:r>
      <w:bookmarkEnd w:id="143"/>
      <w:r w:rsidR="005F15A2">
        <w:t xml:space="preserve"> </w:t>
      </w:r>
    </w:p>
    <w:p w14:paraId="52A08B05" w14:textId="371A32B6" w:rsidR="005F15A2" w:rsidRDefault="005F15A2" w:rsidP="005F15A2">
      <w:pPr>
        <w:spacing w:before="40" w:after="120"/>
      </w:pPr>
      <w:r w:rsidRPr="0046039B">
        <w:t xml:space="preserve">The project partners </w:t>
      </w:r>
      <w:r w:rsidR="001F6974">
        <w:t>include the</w:t>
      </w:r>
      <w:r w:rsidRPr="0046039B">
        <w:t xml:space="preserve"> Department of Agriculture</w:t>
      </w:r>
      <w:r w:rsidR="00D86F4B">
        <w:t>,</w:t>
      </w:r>
      <w:r w:rsidR="002571BC">
        <w:t xml:space="preserve"> Fisheries and Forestry,</w:t>
      </w:r>
      <w:r w:rsidR="00D86F4B">
        <w:t xml:space="preserve"> </w:t>
      </w:r>
      <w:r w:rsidR="00800789">
        <w:t>ACDP</w:t>
      </w:r>
      <w:r w:rsidR="00D86F4B">
        <w:t>-PTSP and ACDP-AFDL</w:t>
      </w:r>
      <w:r w:rsidR="00800789">
        <w:t>.</w:t>
      </w:r>
      <w:r w:rsidRPr="0046039B">
        <w:t xml:space="preserve"> Project partner responsibilities are described </w:t>
      </w:r>
      <w:r w:rsidR="002571BC">
        <w:t xml:space="preserve">in </w:t>
      </w:r>
      <w:r w:rsidR="00AE5853">
        <w:fldChar w:fldCharType="begin"/>
      </w:r>
      <w:r w:rsidR="00AE5853">
        <w:instrText xml:space="preserve"> REF _Ref214555392 \h </w:instrText>
      </w:r>
      <w:r w:rsidR="00AE5853">
        <w:fldChar w:fldCharType="separate"/>
      </w:r>
      <w:r w:rsidR="00491B46">
        <w:t xml:space="preserve">Table </w:t>
      </w:r>
      <w:r w:rsidR="00491B46">
        <w:rPr>
          <w:noProof/>
        </w:rPr>
        <w:t>6</w:t>
      </w:r>
      <w:r w:rsidR="00491B46">
        <w:t xml:space="preserve"> Organisational responsibilities</w:t>
      </w:r>
      <w:r w:rsidR="00AE5853">
        <w:fldChar w:fldCharType="end"/>
      </w:r>
      <w:r w:rsidRPr="0046039B">
        <w:t>.</w:t>
      </w:r>
    </w:p>
    <w:p w14:paraId="020A7AD2" w14:textId="2018DECE" w:rsidR="00C82654" w:rsidRPr="0046039B" w:rsidRDefault="00D25BDE" w:rsidP="00D25BDE">
      <w:pPr>
        <w:pStyle w:val="Caption"/>
      </w:pPr>
      <w:bookmarkStart w:id="145" w:name="Table6"/>
      <w:bookmarkStart w:id="146" w:name="_Toc184123134"/>
      <w:bookmarkStart w:id="147" w:name="_Ref214555392"/>
      <w:r>
        <w:t xml:space="preserve">Table </w:t>
      </w:r>
      <w:r>
        <w:fldChar w:fldCharType="begin"/>
      </w:r>
      <w:r>
        <w:instrText xml:space="preserve"> SEQ Table \* ARABIC </w:instrText>
      </w:r>
      <w:r>
        <w:fldChar w:fldCharType="separate"/>
      </w:r>
      <w:r w:rsidR="00491B46">
        <w:rPr>
          <w:noProof/>
        </w:rPr>
        <w:t>6</w:t>
      </w:r>
      <w:r>
        <w:fldChar w:fldCharType="end"/>
      </w:r>
      <w:bookmarkEnd w:id="145"/>
      <w:r>
        <w:t xml:space="preserve"> </w:t>
      </w:r>
      <w:r w:rsidR="00B2306A">
        <w:t>Organisational responsibilities</w:t>
      </w:r>
      <w:bookmarkEnd w:id="146"/>
      <w:bookmarkEnd w:id="147"/>
    </w:p>
    <w:tbl>
      <w:tblPr>
        <w:tblW w:w="0" w:type="auto"/>
        <w:tblInd w:w="108" w:type="dxa"/>
        <w:tblLook w:val="04A0" w:firstRow="1" w:lastRow="0" w:firstColumn="1" w:lastColumn="0" w:noHBand="0" w:noVBand="1"/>
      </w:tblPr>
      <w:tblGrid>
        <w:gridCol w:w="2552"/>
        <w:gridCol w:w="6095"/>
      </w:tblGrid>
      <w:tr w:rsidR="005F15A2" w:rsidRPr="00CD7A51" w14:paraId="57EE77DF" w14:textId="77777777" w:rsidTr="009F0B46">
        <w:trPr>
          <w:trHeight w:val="398"/>
        </w:trPr>
        <w:tc>
          <w:tcPr>
            <w:tcW w:w="2552" w:type="dxa"/>
          </w:tcPr>
          <w:p w14:paraId="74022457" w14:textId="77777777" w:rsidR="005F15A2" w:rsidRPr="0046039B" w:rsidRDefault="005F15A2" w:rsidP="00C82654">
            <w:pPr>
              <w:pStyle w:val="TableHeading"/>
            </w:pPr>
            <w:r w:rsidRPr="0046039B">
              <w:t>Organisation</w:t>
            </w:r>
          </w:p>
        </w:tc>
        <w:tc>
          <w:tcPr>
            <w:tcW w:w="6095" w:type="dxa"/>
          </w:tcPr>
          <w:p w14:paraId="11392288" w14:textId="77777777" w:rsidR="005F15A2" w:rsidRPr="0046039B" w:rsidRDefault="005F15A2" w:rsidP="00C82654">
            <w:pPr>
              <w:pStyle w:val="TableHeading"/>
            </w:pPr>
            <w:r w:rsidRPr="0046039B">
              <w:t>Responsibilities</w:t>
            </w:r>
          </w:p>
        </w:tc>
      </w:tr>
      <w:tr w:rsidR="005F15A2" w:rsidRPr="00CD7A51" w14:paraId="64A3DF20" w14:textId="77777777" w:rsidTr="009F0B46">
        <w:tc>
          <w:tcPr>
            <w:tcW w:w="2552" w:type="dxa"/>
          </w:tcPr>
          <w:p w14:paraId="72799640" w14:textId="41BA3291" w:rsidR="005F15A2" w:rsidRPr="0046039B" w:rsidRDefault="005F15A2" w:rsidP="00B2306A">
            <w:pPr>
              <w:pStyle w:val="TableText"/>
            </w:pPr>
            <w:r w:rsidRPr="0046039B">
              <w:t xml:space="preserve">Department of </w:t>
            </w:r>
            <w:r w:rsidR="00E13720">
              <w:t xml:space="preserve">Agriculture, Fisheries and Forestry </w:t>
            </w:r>
            <w:r w:rsidR="00D86F4B">
              <w:t>(DAFF)</w:t>
            </w:r>
          </w:p>
        </w:tc>
        <w:tc>
          <w:tcPr>
            <w:tcW w:w="6095" w:type="dxa"/>
          </w:tcPr>
          <w:p w14:paraId="31181F7D" w14:textId="7AA87968" w:rsidR="00D86F4B" w:rsidRPr="0046039B" w:rsidRDefault="005F15A2" w:rsidP="00D86F4B">
            <w:pPr>
              <w:pStyle w:val="TableText"/>
            </w:pPr>
            <w:r w:rsidRPr="0046039B">
              <w:t>Overall project coordination</w:t>
            </w:r>
          </w:p>
          <w:p w14:paraId="5C818E6B" w14:textId="77777777" w:rsidR="005F15A2" w:rsidRPr="0046039B" w:rsidRDefault="005F15A2" w:rsidP="00B2306A">
            <w:pPr>
              <w:pStyle w:val="TableText"/>
            </w:pPr>
            <w:r w:rsidRPr="0046039B">
              <w:t>Chair project steering committee</w:t>
            </w:r>
          </w:p>
          <w:p w14:paraId="7141975A" w14:textId="77777777" w:rsidR="005F15A2" w:rsidRPr="0046039B" w:rsidRDefault="005F15A2" w:rsidP="00B2306A">
            <w:pPr>
              <w:pStyle w:val="TableText"/>
            </w:pPr>
            <w:r w:rsidRPr="0046039B">
              <w:t>Development of contracts with AAHL</w:t>
            </w:r>
          </w:p>
          <w:p w14:paraId="1B84167B" w14:textId="77777777" w:rsidR="005F15A2" w:rsidRDefault="005F15A2" w:rsidP="00B2306A">
            <w:pPr>
              <w:pStyle w:val="TableText"/>
            </w:pPr>
            <w:r w:rsidRPr="0046039B">
              <w:t>Project reporting to funding scheme</w:t>
            </w:r>
          </w:p>
          <w:p w14:paraId="7C585AE4" w14:textId="3B1623B5" w:rsidR="00D86F4B" w:rsidRPr="0046039B" w:rsidRDefault="00D86F4B" w:rsidP="00B2306A">
            <w:pPr>
              <w:pStyle w:val="TableText"/>
            </w:pPr>
            <w:r>
              <w:t>Coordination with</w:t>
            </w:r>
            <w:r w:rsidR="00067084">
              <w:t xml:space="preserve"> the</w:t>
            </w:r>
            <w:r>
              <w:t xml:space="preserve"> </w:t>
            </w:r>
            <w:r w:rsidRPr="00D86F4B">
              <w:t>Sub-committee on Aquatic Animal Health</w:t>
            </w:r>
            <w:r>
              <w:t xml:space="preserve"> (SCAAH) on progress and findings of the APT-PT program </w:t>
            </w:r>
          </w:p>
        </w:tc>
      </w:tr>
      <w:tr w:rsidR="005F15A2" w:rsidRPr="0046039B" w14:paraId="7E62A156" w14:textId="77777777" w:rsidTr="009F0B46">
        <w:tc>
          <w:tcPr>
            <w:tcW w:w="2552" w:type="dxa"/>
          </w:tcPr>
          <w:p w14:paraId="7DB3CA07" w14:textId="3EBE33B2" w:rsidR="005F15A2" w:rsidRPr="0046039B" w:rsidRDefault="00E13720" w:rsidP="00B2306A">
            <w:pPr>
              <w:pStyle w:val="TableText"/>
            </w:pPr>
            <w:r>
              <w:t>Australian Centre for Disease Preparedness-</w:t>
            </w:r>
            <w:r w:rsidRPr="00E13720">
              <w:t xml:space="preserve">Proficiency Testing Scheme Provider </w:t>
            </w:r>
            <w:r w:rsidR="005F15A2" w:rsidRPr="00E13720">
              <w:t>(A</w:t>
            </w:r>
            <w:r w:rsidR="005C4858" w:rsidRPr="00E13720">
              <w:t>CDP</w:t>
            </w:r>
            <w:r w:rsidR="005F15A2" w:rsidRPr="00E13720">
              <w:t>-PTSP)</w:t>
            </w:r>
          </w:p>
        </w:tc>
        <w:tc>
          <w:tcPr>
            <w:tcW w:w="6095" w:type="dxa"/>
          </w:tcPr>
          <w:p w14:paraId="755A74F6" w14:textId="77777777" w:rsidR="005F15A2" w:rsidRPr="0046039B" w:rsidRDefault="005F15A2" w:rsidP="00B2306A">
            <w:pPr>
              <w:pStyle w:val="TableText"/>
            </w:pPr>
            <w:r w:rsidRPr="0046039B">
              <w:t xml:space="preserve">Participate in project steering committee </w:t>
            </w:r>
          </w:p>
          <w:p w14:paraId="2A45FC7A" w14:textId="77777777" w:rsidR="005F15A2" w:rsidRPr="00CA13B4" w:rsidRDefault="005F15A2" w:rsidP="00B2306A">
            <w:pPr>
              <w:pStyle w:val="TableText"/>
            </w:pPr>
            <w:r>
              <w:t>Prepare planning document as required by ISO 17043</w:t>
            </w:r>
          </w:p>
          <w:p w14:paraId="59F39894" w14:textId="5B64A700" w:rsidR="005F15A2" w:rsidRPr="0046039B" w:rsidRDefault="005F15A2" w:rsidP="00B2306A">
            <w:pPr>
              <w:pStyle w:val="TableText"/>
            </w:pPr>
            <w:r w:rsidRPr="0046039B">
              <w:t>Prepare sample materials and conduct quality assurance</w:t>
            </w:r>
            <w:r w:rsidR="00FD3CD6">
              <w:t xml:space="preserve">, such that samples are suitable for international distribution </w:t>
            </w:r>
          </w:p>
          <w:p w14:paraId="713151CF" w14:textId="77777777" w:rsidR="005F15A2" w:rsidRDefault="005F15A2" w:rsidP="00B2306A">
            <w:pPr>
              <w:pStyle w:val="TableText"/>
            </w:pPr>
            <w:r>
              <w:t>Communicate PT schedule, send out details and testing time frames to participants</w:t>
            </w:r>
          </w:p>
          <w:p w14:paraId="0C1C6F8F" w14:textId="77777777" w:rsidR="005F15A2" w:rsidRPr="0046039B" w:rsidRDefault="005F15A2" w:rsidP="00B2306A">
            <w:pPr>
              <w:pStyle w:val="TableText"/>
            </w:pPr>
            <w:r w:rsidRPr="0046039B">
              <w:t>Distribute samples to participating laboratories</w:t>
            </w:r>
          </w:p>
          <w:p w14:paraId="39F07014" w14:textId="77777777" w:rsidR="005F15A2" w:rsidRPr="0046039B" w:rsidRDefault="005F15A2" w:rsidP="00B2306A">
            <w:pPr>
              <w:pStyle w:val="TableText"/>
            </w:pPr>
            <w:r w:rsidRPr="0046039B">
              <w:t>Receive and collate laboratory test results</w:t>
            </w:r>
          </w:p>
          <w:p w14:paraId="580892C5" w14:textId="77777777" w:rsidR="005F15A2" w:rsidRPr="0046039B" w:rsidRDefault="005F15A2" w:rsidP="00B2306A">
            <w:pPr>
              <w:pStyle w:val="TableText"/>
            </w:pPr>
            <w:r w:rsidRPr="0046039B">
              <w:t xml:space="preserve">Draft de-identified reports for each testing round </w:t>
            </w:r>
          </w:p>
          <w:p w14:paraId="5BF371CC" w14:textId="77777777" w:rsidR="005F15A2" w:rsidRPr="0046039B" w:rsidRDefault="005F15A2" w:rsidP="00B2306A">
            <w:pPr>
              <w:pStyle w:val="TableText"/>
            </w:pPr>
            <w:r w:rsidRPr="0046039B">
              <w:t>Ensure confidentiality of testing results is maintained</w:t>
            </w:r>
          </w:p>
          <w:p w14:paraId="25617DF8" w14:textId="77777777" w:rsidR="005F15A2" w:rsidRPr="0046039B" w:rsidRDefault="005F15A2" w:rsidP="00B2306A">
            <w:pPr>
              <w:pStyle w:val="TableText"/>
            </w:pPr>
            <w:r w:rsidRPr="0046039B">
              <w:t>Provision of limited technical advice to participating laboratories</w:t>
            </w:r>
          </w:p>
          <w:p w14:paraId="282A6B49" w14:textId="77777777" w:rsidR="005F15A2" w:rsidRPr="0046039B" w:rsidRDefault="005F15A2" w:rsidP="00B2306A">
            <w:pPr>
              <w:pStyle w:val="TableText"/>
            </w:pPr>
            <w:r w:rsidRPr="0046039B">
              <w:t>Reporting on contractual obligations</w:t>
            </w:r>
          </w:p>
        </w:tc>
      </w:tr>
      <w:tr w:rsidR="005F15A2" w:rsidRPr="0046039B" w14:paraId="0C2E6823" w14:textId="77777777" w:rsidTr="009F0B46">
        <w:tc>
          <w:tcPr>
            <w:tcW w:w="2552" w:type="dxa"/>
          </w:tcPr>
          <w:p w14:paraId="28D46DEF" w14:textId="49AF1272" w:rsidR="005F15A2" w:rsidRDefault="00E13720" w:rsidP="00B2306A">
            <w:pPr>
              <w:pStyle w:val="TableText"/>
            </w:pPr>
            <w:r w:rsidRPr="00E13720">
              <w:t>Australian Centre for Disease Preparedness Fish Diseases Laboratory</w:t>
            </w:r>
            <w:r>
              <w:t xml:space="preserve"> (ACDP-AFDL) </w:t>
            </w:r>
          </w:p>
        </w:tc>
        <w:tc>
          <w:tcPr>
            <w:tcW w:w="6095" w:type="dxa"/>
          </w:tcPr>
          <w:p w14:paraId="605D3028" w14:textId="613FDED9" w:rsidR="003905F5" w:rsidRDefault="003905F5" w:rsidP="00B2306A">
            <w:pPr>
              <w:pStyle w:val="TableText"/>
            </w:pPr>
            <w:r>
              <w:t>Participate in project steering committee</w:t>
            </w:r>
          </w:p>
          <w:p w14:paraId="788A2FE1" w14:textId="67FFEE13" w:rsidR="005F15A2" w:rsidRDefault="005F15A2" w:rsidP="00B2306A">
            <w:pPr>
              <w:pStyle w:val="TableText"/>
            </w:pPr>
            <w:r w:rsidRPr="0046039B">
              <w:t>Source and inactivate disease materials, and aliquot samples suit</w:t>
            </w:r>
            <w:r>
              <w:t>able for nucleic acid analysis</w:t>
            </w:r>
            <w:r w:rsidR="00280003">
              <w:t xml:space="preserve"> at a range of concentrations</w:t>
            </w:r>
          </w:p>
          <w:p w14:paraId="685BC492" w14:textId="77777777" w:rsidR="005F15A2" w:rsidRDefault="005F15A2" w:rsidP="00B2306A">
            <w:pPr>
              <w:pStyle w:val="TableText"/>
            </w:pPr>
            <w:r>
              <w:t>Provide support in the preparation of sample materials and conduct quality assessment of samples prepared</w:t>
            </w:r>
          </w:p>
          <w:p w14:paraId="2390FC5E" w14:textId="77777777" w:rsidR="005F15A2" w:rsidRPr="0046039B" w:rsidRDefault="005F15A2" w:rsidP="00B2306A">
            <w:pPr>
              <w:pStyle w:val="TableText"/>
            </w:pPr>
            <w:r>
              <w:t>Provide technical advisory role in the planning, assessment and reporting for each round.</w:t>
            </w:r>
          </w:p>
        </w:tc>
      </w:tr>
    </w:tbl>
    <w:p w14:paraId="4A908F53" w14:textId="77777777" w:rsidR="00764D6A" w:rsidRDefault="00E91D72" w:rsidP="007E39EF">
      <w:pPr>
        <w:pStyle w:val="Heading2"/>
        <w:numPr>
          <w:ilvl w:val="0"/>
          <w:numId w:val="0"/>
        </w:numPr>
        <w:ind w:left="720" w:hanging="720"/>
      </w:pPr>
      <w:bookmarkStart w:id="148" w:name="_Appendix_2_–"/>
      <w:bookmarkStart w:id="149" w:name="_Toc430782162"/>
      <w:bookmarkStart w:id="150" w:name="_Toc214555652"/>
      <w:bookmarkEnd w:id="144"/>
      <w:bookmarkEnd w:id="148"/>
      <w:r>
        <w:lastRenderedPageBreak/>
        <w:t>References</w:t>
      </w:r>
      <w:bookmarkEnd w:id="149"/>
      <w:bookmarkEnd w:id="150"/>
    </w:p>
    <w:p w14:paraId="5AA8374E" w14:textId="53E0D6DE" w:rsidR="001466B8" w:rsidRDefault="001466B8" w:rsidP="001466B8">
      <w:r>
        <w:t>NACA 2010,</w:t>
      </w:r>
      <w:r w:rsidR="00762D0B">
        <w:t xml:space="preserve"> </w:t>
      </w:r>
      <w:hyperlink r:id="rId35" w:history="1">
        <w:r w:rsidR="00762D0B" w:rsidRPr="00674009">
          <w:rPr>
            <w:rStyle w:val="Hyperlink"/>
          </w:rPr>
          <w:t>https://enaca.org/?id=606</w:t>
        </w:r>
      </w:hyperlink>
      <w:r w:rsidR="00762D0B">
        <w:t xml:space="preserve">, </w:t>
      </w:r>
      <w:r>
        <w:t>Network of Aquaculture Centres in Asia-Pacific</w:t>
      </w:r>
      <w:r w:rsidR="00AA1E3F">
        <w:t>,</w:t>
      </w:r>
      <w:r>
        <w:t xml:space="preserve"> Bangkok, Thailand, </w:t>
      </w:r>
      <w:r w:rsidR="00576EC9">
        <w:t xml:space="preserve">accessed 7 February 2023. </w:t>
      </w:r>
      <w:r>
        <w:t xml:space="preserve"> </w:t>
      </w:r>
    </w:p>
    <w:p w14:paraId="49706E59" w14:textId="3E023FC3" w:rsidR="00764D6A" w:rsidRDefault="00D64483" w:rsidP="00284D14">
      <w:r>
        <w:t xml:space="preserve">NACA 2020, </w:t>
      </w:r>
      <w:hyperlink r:id="rId36" w:history="1">
        <w:r w:rsidR="00762D0B" w:rsidRPr="00674009">
          <w:rPr>
            <w:rStyle w:val="Hyperlink"/>
          </w:rPr>
          <w:t>https://enaca.org/?id=1147</w:t>
        </w:r>
      </w:hyperlink>
      <w:r>
        <w:t>, Network of Aquaculture Centres in Asia-Pacific</w:t>
      </w:r>
      <w:r w:rsidR="00AA1E3F">
        <w:t>,</w:t>
      </w:r>
      <w:r>
        <w:t xml:space="preserve"> Bangkok, Thailand,</w:t>
      </w:r>
      <w:r w:rsidR="00E94295">
        <w:t xml:space="preserve"> accessed 7 February 2023.</w:t>
      </w:r>
    </w:p>
    <w:sectPr w:rsidR="00764D6A" w:rsidSect="00CA1888">
      <w:type w:val="continuous"/>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2245" w14:textId="77777777" w:rsidR="00EC4D57" w:rsidRDefault="00EC4D57">
      <w:r>
        <w:separator/>
      </w:r>
    </w:p>
    <w:p w14:paraId="220C64C5" w14:textId="77777777" w:rsidR="00EC4D57" w:rsidRDefault="00EC4D57"/>
    <w:p w14:paraId="508299C7" w14:textId="77777777" w:rsidR="00EC4D57" w:rsidRDefault="00EC4D57"/>
  </w:endnote>
  <w:endnote w:type="continuationSeparator" w:id="0">
    <w:p w14:paraId="1B6DBAED" w14:textId="77777777" w:rsidR="00EC4D57" w:rsidRDefault="00EC4D57">
      <w:r>
        <w:continuationSeparator/>
      </w:r>
    </w:p>
    <w:p w14:paraId="5BA8D749" w14:textId="77777777" w:rsidR="00EC4D57" w:rsidRDefault="00EC4D57"/>
    <w:p w14:paraId="7757E668" w14:textId="77777777" w:rsidR="00EC4D57" w:rsidRDefault="00EC4D57"/>
  </w:endnote>
  <w:endnote w:type="continuationNotice" w:id="1">
    <w:p w14:paraId="61AA5893" w14:textId="77777777" w:rsidR="00EC4D57" w:rsidRDefault="00EC4D57">
      <w:pPr>
        <w:pStyle w:val="Footer"/>
      </w:pPr>
    </w:p>
    <w:p w14:paraId="5F14F93D" w14:textId="77777777" w:rsidR="00EC4D57" w:rsidRDefault="00EC4D57"/>
    <w:p w14:paraId="42AA70FA" w14:textId="77777777" w:rsidR="00EC4D57" w:rsidRDefault="00EC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3629" w14:textId="3E2B41C1" w:rsidR="00645017" w:rsidRDefault="00DD0B0A">
    <w:pPr>
      <w:pStyle w:val="Footer"/>
    </w:pPr>
    <w:r>
      <w:rPr>
        <w:noProof/>
      </w:rPr>
      <mc:AlternateContent>
        <mc:Choice Requires="wps">
          <w:drawing>
            <wp:anchor distT="0" distB="0" distL="0" distR="0" simplePos="0" relativeHeight="251657728" behindDoc="0" locked="0" layoutInCell="1" allowOverlap="1" wp14:anchorId="1C864C54" wp14:editId="7C1BAB6C">
              <wp:simplePos x="635" y="635"/>
              <wp:positionH relativeFrom="page">
                <wp:align>center</wp:align>
              </wp:positionH>
              <wp:positionV relativeFrom="page">
                <wp:align>bottom</wp:align>
              </wp:positionV>
              <wp:extent cx="551815" cy="404495"/>
              <wp:effectExtent l="0" t="0" r="635" b="0"/>
              <wp:wrapNone/>
              <wp:docPr id="11432808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3617778" w14:textId="7D312D20"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64C5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3617778" w14:textId="7D312D20"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F02F" w14:textId="43CB7E1D" w:rsidR="00B861B4" w:rsidRDefault="00DD0B0A">
    <w:pPr>
      <w:pStyle w:val="Footer"/>
    </w:pPr>
    <w:r>
      <w:rPr>
        <w:noProof/>
      </w:rPr>
      <mc:AlternateContent>
        <mc:Choice Requires="wps">
          <w:drawing>
            <wp:anchor distT="0" distB="0" distL="0" distR="0" simplePos="0" relativeHeight="251658752" behindDoc="0" locked="0" layoutInCell="1" allowOverlap="1" wp14:anchorId="51806537" wp14:editId="1D5FE297">
              <wp:simplePos x="897147" y="10049774"/>
              <wp:positionH relativeFrom="page">
                <wp:align>center</wp:align>
              </wp:positionH>
              <wp:positionV relativeFrom="page">
                <wp:align>bottom</wp:align>
              </wp:positionV>
              <wp:extent cx="551815" cy="404495"/>
              <wp:effectExtent l="0" t="0" r="635" b="0"/>
              <wp:wrapNone/>
              <wp:docPr id="2314073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A4907CD" w14:textId="1EBD1C1D"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06537"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A4907CD" w14:textId="1EBD1C1D"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8F30CE">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1B1B" w14:textId="31A12B70" w:rsidR="00645017" w:rsidRDefault="00DD0B0A">
    <w:pPr>
      <w:pStyle w:val="Footer"/>
    </w:pPr>
    <w:r>
      <w:rPr>
        <w:noProof/>
      </w:rPr>
      <mc:AlternateContent>
        <mc:Choice Requires="wps">
          <w:drawing>
            <wp:anchor distT="0" distB="0" distL="0" distR="0" simplePos="0" relativeHeight="251656704" behindDoc="0" locked="0" layoutInCell="1" allowOverlap="1" wp14:anchorId="0F0C2EF3" wp14:editId="046AAF75">
              <wp:simplePos x="901065" y="10281920"/>
              <wp:positionH relativeFrom="page">
                <wp:align>center</wp:align>
              </wp:positionH>
              <wp:positionV relativeFrom="page">
                <wp:align>bottom</wp:align>
              </wp:positionV>
              <wp:extent cx="551815" cy="404495"/>
              <wp:effectExtent l="0" t="0" r="635" b="0"/>
              <wp:wrapNone/>
              <wp:docPr id="14678729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5715FC" w14:textId="58F348F3"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C2EF3"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655715FC" w14:textId="58F348F3"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37A2" w14:textId="77777777" w:rsidR="00EC4D57" w:rsidRDefault="00EC4D57">
      <w:r>
        <w:separator/>
      </w:r>
    </w:p>
  </w:footnote>
  <w:footnote w:type="continuationSeparator" w:id="0">
    <w:p w14:paraId="69D16623" w14:textId="77777777" w:rsidR="00EC4D57" w:rsidRDefault="00EC4D57">
      <w:r>
        <w:continuationSeparator/>
      </w:r>
    </w:p>
    <w:p w14:paraId="21484833" w14:textId="77777777" w:rsidR="00EC4D57" w:rsidRDefault="00EC4D57"/>
    <w:p w14:paraId="6D068D30" w14:textId="77777777" w:rsidR="00EC4D57" w:rsidRDefault="00EC4D57"/>
  </w:footnote>
  <w:footnote w:type="continuationNotice" w:id="1">
    <w:p w14:paraId="12979792" w14:textId="77777777" w:rsidR="00EC4D57" w:rsidRDefault="00EC4D57">
      <w:pPr>
        <w:pStyle w:val="Footer"/>
      </w:pPr>
    </w:p>
    <w:p w14:paraId="5C9E670C" w14:textId="77777777" w:rsidR="00EC4D57" w:rsidRDefault="00EC4D57"/>
    <w:p w14:paraId="43E41B3D" w14:textId="77777777" w:rsidR="00EC4D57" w:rsidRDefault="00EC4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79A9" w14:textId="0EABCD5A" w:rsidR="00B861B4" w:rsidRDefault="00DD0B0A">
    <w:pPr>
      <w:pStyle w:val="Header"/>
    </w:pPr>
    <w:r>
      <w:rPr>
        <w:noProof/>
        <w:lang w:val="en-US"/>
      </w:rPr>
      <mc:AlternateContent>
        <mc:Choice Requires="wps">
          <w:drawing>
            <wp:anchor distT="0" distB="0" distL="0" distR="0" simplePos="0" relativeHeight="251655680" behindDoc="0" locked="0" layoutInCell="1" allowOverlap="1" wp14:anchorId="6FF1C198" wp14:editId="6F5A7224">
              <wp:simplePos x="635" y="635"/>
              <wp:positionH relativeFrom="page">
                <wp:align>center</wp:align>
              </wp:positionH>
              <wp:positionV relativeFrom="page">
                <wp:align>top</wp:align>
              </wp:positionV>
              <wp:extent cx="551815" cy="404495"/>
              <wp:effectExtent l="0" t="0" r="635" b="14605"/>
              <wp:wrapNone/>
              <wp:docPr id="13457122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F6B4C7" w14:textId="04820B91"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1C19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5F6B4C7" w14:textId="04820B91"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v:textbox>
              <w10:wrap anchorx="page" anchory="page"/>
            </v:shape>
          </w:pict>
        </mc:Fallback>
      </mc:AlternateContent>
    </w:r>
    <w:r w:rsidR="00491B46">
      <w:rPr>
        <w:noProof/>
        <w:lang w:val="en-US"/>
      </w:rPr>
      <w:pict w14:anchorId="35884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1" o:spid="_x0000_s1026" type="#_x0000_t136" style="position:absolute;left:0;text-align:left;margin-left:0;margin-top:0;width:548.05pt;height:91.3pt;rotation:315;z-index:-251655680;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AE1F" w14:textId="1C08476C" w:rsidR="00B861B4" w:rsidRPr="00C001B0" w:rsidRDefault="007E7349" w:rsidP="007E7349">
    <w:pPr>
      <w:pStyle w:val="Header"/>
      <w:rPr>
        <w:noProof/>
        <w:lang w:val="en-US"/>
      </w:rPr>
    </w:pPr>
    <w:r w:rsidRPr="007E7349">
      <w:rPr>
        <w:noProof/>
        <w:lang w:val="en-US"/>
      </w:rPr>
      <w:t>The aquatic proficiency testing program for the Asia-Pacific region</w:t>
    </w:r>
    <w:r>
      <w:rPr>
        <w:noProof/>
        <w:lang w:val="en-US"/>
      </w:rPr>
      <w:t xml:space="preserve"> - </w:t>
    </w:r>
    <w:r w:rsidRPr="007E7349">
      <w:rPr>
        <w:noProof/>
        <w:lang w:val="en-US"/>
      </w:rPr>
      <w:t>2018 to 2022: final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EE9D" w14:textId="22F04C0D" w:rsidR="00645017" w:rsidRDefault="002C1FBE" w:rsidP="002C1FBE">
    <w:pPr>
      <w:pStyle w:val="Header"/>
      <w:jc w:val="left"/>
    </w:pPr>
    <w:r>
      <w:rPr>
        <w:noProof/>
      </w:rPr>
      <w:drawing>
        <wp:anchor distT="0" distB="0" distL="114300" distR="114300" simplePos="0" relativeHeight="251659776" behindDoc="1" locked="0" layoutInCell="1" allowOverlap="1" wp14:anchorId="7C67A17C" wp14:editId="730FDA04">
          <wp:simplePos x="0" y="0"/>
          <wp:positionH relativeFrom="column">
            <wp:posOffset>-883705</wp:posOffset>
          </wp:positionH>
          <wp:positionV relativeFrom="paragraph">
            <wp:posOffset>-360572</wp:posOffset>
          </wp:positionV>
          <wp:extent cx="7567200" cy="10699200"/>
          <wp:effectExtent l="0" t="0" r="0" b="6985"/>
          <wp:wrapNone/>
          <wp:docPr id="758697720"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32243" name="Picture 1" descr="Australian Government Department of Agriculture, Fisheries and Fore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10699200"/>
                  </a:xfrm>
                  <a:prstGeom prst="rect">
                    <a:avLst/>
                  </a:prstGeom>
                  <a:noFill/>
                </pic:spPr>
              </pic:pic>
            </a:graphicData>
          </a:graphic>
          <wp14:sizeRelH relativeFrom="margin">
            <wp14:pctWidth>0</wp14:pctWidth>
          </wp14:sizeRelH>
          <wp14:sizeRelV relativeFrom="margin">
            <wp14:pctHeight>0</wp14:pctHeight>
          </wp14:sizeRelV>
        </wp:anchor>
      </w:drawing>
    </w:r>
    <w:r w:rsidR="00DD0B0A">
      <w:rPr>
        <w:noProof/>
      </w:rPr>
      <mc:AlternateContent>
        <mc:Choice Requires="wps">
          <w:drawing>
            <wp:anchor distT="0" distB="0" distL="0" distR="0" simplePos="0" relativeHeight="251654656" behindDoc="0" locked="0" layoutInCell="1" allowOverlap="1" wp14:anchorId="0025621C" wp14:editId="084BE9CB">
              <wp:simplePos x="901065" y="360680"/>
              <wp:positionH relativeFrom="page">
                <wp:align>center</wp:align>
              </wp:positionH>
              <wp:positionV relativeFrom="page">
                <wp:align>top</wp:align>
              </wp:positionV>
              <wp:extent cx="551815" cy="404495"/>
              <wp:effectExtent l="0" t="0" r="635" b="14605"/>
              <wp:wrapNone/>
              <wp:docPr id="7634112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59944E3" w14:textId="23F4820C"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5621C"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459944E3" w14:textId="23F4820C" w:rsidR="00DD0B0A" w:rsidRPr="00DD0B0A" w:rsidRDefault="00DD0B0A" w:rsidP="00DD0B0A">
                    <w:pPr>
                      <w:spacing w:after="0"/>
                      <w:rPr>
                        <w:rFonts w:ascii="Calibri" w:eastAsia="Calibri" w:hAnsi="Calibri" w:cs="Calibri"/>
                        <w:noProof/>
                        <w:color w:val="FF0000"/>
                        <w:sz w:val="24"/>
                        <w:szCs w:val="24"/>
                      </w:rPr>
                    </w:pPr>
                    <w:r w:rsidRPr="00DD0B0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A3A79E4"/>
    <w:lvl w:ilvl="0">
      <w:start w:val="1"/>
      <w:numFmt w:val="decimal"/>
      <w:lvlText w:val="%1."/>
      <w:lvlJc w:val="left"/>
      <w:pPr>
        <w:tabs>
          <w:tab w:val="num" w:pos="360"/>
        </w:tabs>
        <w:ind w:left="360" w:hanging="360"/>
      </w:p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05CB2"/>
    <w:multiLevelType w:val="hybridMultilevel"/>
    <w:tmpl w:val="E8A2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E1F5F"/>
    <w:multiLevelType w:val="hybridMultilevel"/>
    <w:tmpl w:val="87C0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B6434"/>
    <w:multiLevelType w:val="hybridMultilevel"/>
    <w:tmpl w:val="A13E4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49E2204"/>
    <w:multiLevelType w:val="hybridMultilevel"/>
    <w:tmpl w:val="67405C9A"/>
    <w:lvl w:ilvl="0" w:tplc="F0A0BDB2">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2D5EFF"/>
    <w:multiLevelType w:val="multilevel"/>
    <w:tmpl w:val="0BDA1B52"/>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B15080"/>
    <w:multiLevelType w:val="hybridMultilevel"/>
    <w:tmpl w:val="25FCA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A20420"/>
    <w:multiLevelType w:val="hybridMultilevel"/>
    <w:tmpl w:val="E6087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86C24"/>
    <w:multiLevelType w:val="hybridMultilevel"/>
    <w:tmpl w:val="BF2C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9C79E6"/>
    <w:multiLevelType w:val="hybridMultilevel"/>
    <w:tmpl w:val="529A6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6B0A2B"/>
    <w:multiLevelType w:val="hybridMultilevel"/>
    <w:tmpl w:val="85241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6800B4"/>
    <w:multiLevelType w:val="multilevel"/>
    <w:tmpl w:val="A0241B28"/>
    <w:numStyleLink w:val="List1"/>
  </w:abstractNum>
  <w:abstractNum w:abstractNumId="1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8"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1" w15:restartNumberingAfterBreak="0">
    <w:nsid w:val="66E8307C"/>
    <w:multiLevelType w:val="hybridMultilevel"/>
    <w:tmpl w:val="91D2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A56B59"/>
    <w:multiLevelType w:val="hybridMultilevel"/>
    <w:tmpl w:val="F56E4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68700D"/>
    <w:multiLevelType w:val="hybridMultilevel"/>
    <w:tmpl w:val="D7EAEB0A"/>
    <w:lvl w:ilvl="0" w:tplc="D2CA0F78">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19"/>
  </w:num>
  <w:num w:numId="2" w16cid:durableId="1639215797">
    <w:abstractNumId w:val="20"/>
  </w:num>
  <w:num w:numId="3" w16cid:durableId="1643265712">
    <w:abstractNumId w:val="8"/>
  </w:num>
  <w:num w:numId="4" w16cid:durableId="1568950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6"/>
  </w:num>
  <w:num w:numId="6" w16cid:durableId="281765065">
    <w:abstractNumId w:val="18"/>
  </w:num>
  <w:num w:numId="7" w16cid:durableId="2092000146">
    <w:abstractNumId w:val="15"/>
  </w:num>
  <w:num w:numId="8" w16cid:durableId="864908900">
    <w:abstractNumId w:val="8"/>
    <w:lvlOverride w:ilvl="0">
      <w:lvl w:ilvl="0">
        <w:start w:val="1"/>
        <w:numFmt w:val="decimal"/>
        <w:pStyle w:val="Heading2"/>
        <w:lvlText w:val="%1"/>
        <w:lvlJc w:val="left"/>
        <w:pPr>
          <w:ind w:left="720" w:hanging="720"/>
        </w:pPr>
        <w:rPr>
          <w:color w:val="auto"/>
        </w:rPr>
      </w:lvl>
    </w:lvlOverride>
    <w:lvlOverride w:ilvl="1">
      <w:lvl w:ilvl="1">
        <w:start w:val="1"/>
        <w:numFmt w:val="decimal"/>
        <w:pStyle w:val="Heading3"/>
        <w:lvlText w:val="%1.%2"/>
        <w:lvlJc w:val="left"/>
        <w:pPr>
          <w:ind w:left="964" w:hanging="964"/>
        </w:pPr>
        <w:rPr>
          <w:rFonts w:hint="default"/>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1469322956">
    <w:abstractNumId w:val="19"/>
    <w:lvlOverride w:ilvl="0">
      <w:lvl w:ilvl="0">
        <w:start w:val="1"/>
        <w:numFmt w:val="bullet"/>
        <w:pStyle w:val="ListBullet"/>
        <w:lvlText w:val=""/>
        <w:lvlJc w:val="left"/>
        <w:pPr>
          <w:ind w:left="425" w:hanging="425"/>
        </w:pPr>
        <w:rPr>
          <w:rFonts w:ascii="Symbol" w:hAnsi="Symbol" w:hint="default"/>
          <w:color w:val="003150"/>
        </w:rPr>
      </w:lvl>
    </w:lvlOverride>
  </w:num>
  <w:num w:numId="10" w16cid:durableId="1592473287">
    <w:abstractNumId w:val="20"/>
    <w:lvlOverride w:ilvl="0">
      <w:lvl w:ilvl="0">
        <w:start w:val="1"/>
        <w:numFmt w:val="decimal"/>
        <w:pStyle w:val="ListNumber"/>
        <w:lvlText w:val="%1)"/>
        <w:lvlJc w:val="left"/>
        <w:pPr>
          <w:ind w:left="425" w:hanging="425"/>
        </w:pPr>
        <w:rPr>
          <w:rFonts w:hint="default"/>
          <w:color w:val="auto"/>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11" w16cid:durableId="1983389004">
    <w:abstractNumId w:val="5"/>
  </w:num>
  <w:num w:numId="12" w16cid:durableId="1510218002">
    <w:abstractNumId w:val="17"/>
  </w:num>
  <w:num w:numId="13" w16cid:durableId="8077453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696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799225">
    <w:abstractNumId w:val="7"/>
  </w:num>
  <w:num w:numId="16" w16cid:durableId="1562714642">
    <w:abstractNumId w:val="7"/>
  </w:num>
  <w:num w:numId="17" w16cid:durableId="1027874624">
    <w:abstractNumId w:val="6"/>
  </w:num>
  <w:num w:numId="18" w16cid:durableId="339352095">
    <w:abstractNumId w:val="2"/>
  </w:num>
  <w:num w:numId="19" w16cid:durableId="1468089621">
    <w:abstractNumId w:val="21"/>
  </w:num>
  <w:num w:numId="20" w16cid:durableId="2042365138">
    <w:abstractNumId w:val="4"/>
  </w:num>
  <w:num w:numId="21" w16cid:durableId="764231819">
    <w:abstractNumId w:val="11"/>
  </w:num>
  <w:num w:numId="22" w16cid:durableId="1750035690">
    <w:abstractNumId w:val="9"/>
  </w:num>
  <w:num w:numId="23" w16cid:durableId="321006635">
    <w:abstractNumId w:val="13"/>
  </w:num>
  <w:num w:numId="24" w16cid:durableId="958534353">
    <w:abstractNumId w:val="12"/>
  </w:num>
  <w:num w:numId="25" w16cid:durableId="576867592">
    <w:abstractNumId w:val="3"/>
  </w:num>
  <w:num w:numId="26" w16cid:durableId="2098554284">
    <w:abstractNumId w:val="10"/>
  </w:num>
  <w:num w:numId="27" w16cid:durableId="1049525657">
    <w:abstractNumId w:val="24"/>
  </w:num>
  <w:num w:numId="28" w16cid:durableId="1486705645">
    <w:abstractNumId w:val="26"/>
  </w:num>
  <w:num w:numId="29" w16cid:durableId="1119687831">
    <w:abstractNumId w:val="0"/>
  </w:num>
  <w:num w:numId="30" w16cid:durableId="1557624306">
    <w:abstractNumId w:val="0"/>
  </w:num>
  <w:num w:numId="31" w16cid:durableId="1311129175">
    <w:abstractNumId w:val="0"/>
  </w:num>
  <w:num w:numId="32" w16cid:durableId="1412192489">
    <w:abstractNumId w:val="0"/>
  </w:num>
  <w:num w:numId="33" w16cid:durableId="1448505932">
    <w:abstractNumId w:val="0"/>
  </w:num>
  <w:num w:numId="34" w16cid:durableId="1329479738">
    <w:abstractNumId w:val="0"/>
  </w:num>
  <w:num w:numId="35" w16cid:durableId="576092170">
    <w:abstractNumId w:val="20"/>
  </w:num>
  <w:num w:numId="36" w16cid:durableId="930889912">
    <w:abstractNumId w:val="20"/>
    <w:lvlOverride w:ilvl="0">
      <w:startOverride w:val="1"/>
      <w:lvl w:ilvl="0">
        <w:start w:val="1"/>
        <w:numFmt w:val="decimal"/>
        <w:pStyle w:val="ListNumber"/>
        <w:lvlText w:val="%1)"/>
        <w:lvlJc w:val="left"/>
        <w:pPr>
          <w:ind w:left="425" w:hanging="425"/>
        </w:pPr>
        <w:rPr>
          <w:rFonts w:hint="default"/>
          <w:color w:val="auto"/>
        </w:rPr>
      </w:lvl>
    </w:lvlOverride>
    <w:lvlOverride w:ilvl="1">
      <w:startOverride w:val="1"/>
      <w:lvl w:ilvl="1">
        <w:start w:val="1"/>
        <w:numFmt w:val="lowerLetter"/>
        <w:pStyle w:val="ListNumber2"/>
        <w:lvlText w:val="%2)"/>
        <w:lvlJc w:val="left"/>
        <w:pPr>
          <w:ind w:left="851" w:hanging="426"/>
        </w:pPr>
        <w:rPr>
          <w:rFonts w:hint="default"/>
        </w:rPr>
      </w:lvl>
    </w:lvlOverride>
    <w:lvlOverride w:ilvl="2">
      <w:startOverride w:val="1"/>
      <w:lvl w:ilvl="2">
        <w:start w:val="1"/>
        <w:numFmt w:val="lowerRoman"/>
        <w:pStyle w:val="ListNumber3"/>
        <w:lvlText w:val="%3)"/>
        <w:lvlJc w:val="left"/>
        <w:pPr>
          <w:ind w:left="1191" w:hanging="340"/>
        </w:pPr>
        <w:rPr>
          <w:rFonts w:hint="default"/>
        </w:rPr>
      </w:lvl>
    </w:lvlOverride>
    <w:lvlOverride w:ilvl="3">
      <w:startOverride w:val="1"/>
      <w:lvl w:ilvl="3">
        <w:start w:val="1"/>
        <w:numFmt w:val="decimal"/>
        <w:lvlText w:val="%4."/>
        <w:lvlJc w:val="left"/>
        <w:pPr>
          <w:ind w:left="1276" w:hanging="1276"/>
        </w:pPr>
        <w:rPr>
          <w:rFonts w:hint="default"/>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righ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right"/>
        <w:pPr>
          <w:ind w:left="567" w:hanging="567"/>
        </w:pPr>
        <w:rPr>
          <w:rFonts w:hint="default"/>
        </w:rPr>
      </w:lvl>
    </w:lvlOverride>
  </w:num>
  <w:num w:numId="37" w16cid:durableId="177693716">
    <w:abstractNumId w:val="0"/>
  </w:num>
  <w:num w:numId="38" w16cid:durableId="1054424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4479823">
    <w:abstractNumId w:val="8"/>
    <w:lvlOverride w:ilvl="0">
      <w:startOverride w:val="1"/>
      <w:lvl w:ilvl="0">
        <w:start w:val="1"/>
        <w:numFmt w:val="decimal"/>
        <w:pStyle w:val="Heading2"/>
        <w:lvlText w:val="%1"/>
        <w:lvlJc w:val="left"/>
        <w:pPr>
          <w:ind w:left="720" w:hanging="72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Heading3"/>
        <w:lvlText w:val=""/>
        <w:lvlJc w:val="left"/>
      </w:lvl>
    </w:lvlOverride>
    <w:lvlOverride w:ilvl="2">
      <w:startOverride w:val="1"/>
      <w:lvl w:ilvl="2">
        <w:start w:val="1"/>
        <w:numFmt w:val="decimal"/>
        <w:pStyle w:val="Heading4"/>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16cid:durableId="435951209">
    <w:abstractNumId w:val="22"/>
  </w:num>
  <w:num w:numId="41" w16cid:durableId="1385720017">
    <w:abstractNumId w:val="25"/>
  </w:num>
  <w:num w:numId="42" w16cid:durableId="1361395064">
    <w:abstractNumId w:val="23"/>
  </w:num>
  <w:num w:numId="43" w16cid:durableId="2119637520">
    <w:abstractNumId w:val="1"/>
  </w:num>
  <w:num w:numId="44" w16cid:durableId="2094626698">
    <w:abstractNumId w:val="8"/>
    <w:lvlOverride w:ilvl="0">
      <w:startOverride w:val="1"/>
      <w:lvl w:ilvl="0">
        <w:start w:val="1"/>
        <w:numFmt w:val="decimal"/>
        <w:pStyle w:val="Heading2"/>
        <w:lvlText w:val="%1"/>
        <w:lvlJc w:val="left"/>
        <w:pPr>
          <w:ind w:left="720" w:hanging="720"/>
        </w:pPr>
        <w:rPr>
          <w:color w:val="auto"/>
        </w:rPr>
      </w:lvl>
    </w:lvlOverride>
    <w:lvlOverride w:ilvl="1">
      <w:startOverride w:val="1"/>
      <w:lvl w:ilvl="1">
        <w:start w:val="1"/>
        <w:numFmt w:val="decimal"/>
        <w:pStyle w:val="Heading3"/>
        <w:lvlText w:val="%1.%2"/>
        <w:lvlJc w:val="left"/>
        <w:pPr>
          <w:ind w:left="964" w:hanging="964"/>
        </w:pPr>
        <w:rPr>
          <w:rFonts w:hint="default"/>
        </w:rPr>
      </w:lvl>
    </w:lvlOverride>
    <w:lvlOverride w:ilvl="2">
      <w:startOverride w:val="1"/>
      <w:lvl w:ilvl="2">
        <w:start w:val="1"/>
        <w:numFmt w:val="decimal"/>
        <w:pStyle w:val="Heading4"/>
        <w:lvlText w:val="%1.%2.%3"/>
        <w:lvlJc w:val="left"/>
        <w:pPr>
          <w:ind w:left="964" w:hanging="96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5" w16cid:durableId="1664043257">
    <w:abstractNumId w:val="0"/>
  </w:num>
  <w:num w:numId="46" w16cid:durableId="378668065">
    <w:abstractNumId w:val="0"/>
  </w:num>
  <w:num w:numId="47" w16cid:durableId="12951934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23"/>
    <w:rsid w:val="000008F7"/>
    <w:rsid w:val="00000CFD"/>
    <w:rsid w:val="0000194F"/>
    <w:rsid w:val="000032AD"/>
    <w:rsid w:val="00006D71"/>
    <w:rsid w:val="00010084"/>
    <w:rsid w:val="00013B53"/>
    <w:rsid w:val="00017ECE"/>
    <w:rsid w:val="00024D95"/>
    <w:rsid w:val="000275A7"/>
    <w:rsid w:val="0002768A"/>
    <w:rsid w:val="0003087E"/>
    <w:rsid w:val="00030FA1"/>
    <w:rsid w:val="0003193F"/>
    <w:rsid w:val="0003304E"/>
    <w:rsid w:val="0003356D"/>
    <w:rsid w:val="00036060"/>
    <w:rsid w:val="00036C0C"/>
    <w:rsid w:val="000419F3"/>
    <w:rsid w:val="00042FA9"/>
    <w:rsid w:val="000434EE"/>
    <w:rsid w:val="000438FF"/>
    <w:rsid w:val="000439D4"/>
    <w:rsid w:val="00043D85"/>
    <w:rsid w:val="0004729C"/>
    <w:rsid w:val="00051346"/>
    <w:rsid w:val="00051411"/>
    <w:rsid w:val="000525C6"/>
    <w:rsid w:val="00055D31"/>
    <w:rsid w:val="00056623"/>
    <w:rsid w:val="00060945"/>
    <w:rsid w:val="00061E00"/>
    <w:rsid w:val="00061F09"/>
    <w:rsid w:val="00061F66"/>
    <w:rsid w:val="00062751"/>
    <w:rsid w:val="00064636"/>
    <w:rsid w:val="0006522F"/>
    <w:rsid w:val="00065484"/>
    <w:rsid w:val="00067084"/>
    <w:rsid w:val="000714F6"/>
    <w:rsid w:val="0007236F"/>
    <w:rsid w:val="00072807"/>
    <w:rsid w:val="0007310A"/>
    <w:rsid w:val="000735E8"/>
    <w:rsid w:val="00073DD9"/>
    <w:rsid w:val="00075E1E"/>
    <w:rsid w:val="0008102E"/>
    <w:rsid w:val="000868E1"/>
    <w:rsid w:val="000869AB"/>
    <w:rsid w:val="00087815"/>
    <w:rsid w:val="0009001D"/>
    <w:rsid w:val="00090A1F"/>
    <w:rsid w:val="00091D1C"/>
    <w:rsid w:val="000942EE"/>
    <w:rsid w:val="00095EBB"/>
    <w:rsid w:val="00097FA8"/>
    <w:rsid w:val="000A0A96"/>
    <w:rsid w:val="000A1447"/>
    <w:rsid w:val="000A527B"/>
    <w:rsid w:val="000A52E1"/>
    <w:rsid w:val="000A6CAA"/>
    <w:rsid w:val="000A7AAF"/>
    <w:rsid w:val="000A7FE3"/>
    <w:rsid w:val="000B299D"/>
    <w:rsid w:val="000B527F"/>
    <w:rsid w:val="000B52A7"/>
    <w:rsid w:val="000B7AFE"/>
    <w:rsid w:val="000C434A"/>
    <w:rsid w:val="000C4DF0"/>
    <w:rsid w:val="000C77E9"/>
    <w:rsid w:val="000C7A03"/>
    <w:rsid w:val="000D469A"/>
    <w:rsid w:val="000D5215"/>
    <w:rsid w:val="000D5656"/>
    <w:rsid w:val="000D5BFF"/>
    <w:rsid w:val="000D61E4"/>
    <w:rsid w:val="000D6DD4"/>
    <w:rsid w:val="000E0D9F"/>
    <w:rsid w:val="000E1597"/>
    <w:rsid w:val="000E28ED"/>
    <w:rsid w:val="000E2E11"/>
    <w:rsid w:val="000E2F19"/>
    <w:rsid w:val="000E3D62"/>
    <w:rsid w:val="000E4F20"/>
    <w:rsid w:val="000E5705"/>
    <w:rsid w:val="000E61B8"/>
    <w:rsid w:val="000E6524"/>
    <w:rsid w:val="000E7711"/>
    <w:rsid w:val="000F1902"/>
    <w:rsid w:val="000F3871"/>
    <w:rsid w:val="000F387E"/>
    <w:rsid w:val="000F5B45"/>
    <w:rsid w:val="000F6A61"/>
    <w:rsid w:val="001013AD"/>
    <w:rsid w:val="00102155"/>
    <w:rsid w:val="001046D8"/>
    <w:rsid w:val="00104868"/>
    <w:rsid w:val="00107290"/>
    <w:rsid w:val="00107448"/>
    <w:rsid w:val="00107994"/>
    <w:rsid w:val="00107B9A"/>
    <w:rsid w:val="00107E55"/>
    <w:rsid w:val="001116C3"/>
    <w:rsid w:val="001146E1"/>
    <w:rsid w:val="00115D8E"/>
    <w:rsid w:val="00115DCF"/>
    <w:rsid w:val="00116360"/>
    <w:rsid w:val="00116C9F"/>
    <w:rsid w:val="00122CC1"/>
    <w:rsid w:val="001243CF"/>
    <w:rsid w:val="00127147"/>
    <w:rsid w:val="00130700"/>
    <w:rsid w:val="00135A0F"/>
    <w:rsid w:val="001417F1"/>
    <w:rsid w:val="001466B8"/>
    <w:rsid w:val="0014710E"/>
    <w:rsid w:val="00147309"/>
    <w:rsid w:val="00152C26"/>
    <w:rsid w:val="00154482"/>
    <w:rsid w:val="001563D7"/>
    <w:rsid w:val="0015782B"/>
    <w:rsid w:val="0016201B"/>
    <w:rsid w:val="00162DF4"/>
    <w:rsid w:val="00163067"/>
    <w:rsid w:val="00163D81"/>
    <w:rsid w:val="001641A3"/>
    <w:rsid w:val="0016437D"/>
    <w:rsid w:val="00164EF1"/>
    <w:rsid w:val="001659D9"/>
    <w:rsid w:val="00170D08"/>
    <w:rsid w:val="001728AE"/>
    <w:rsid w:val="00176594"/>
    <w:rsid w:val="0017699C"/>
    <w:rsid w:val="00177C0C"/>
    <w:rsid w:val="00180413"/>
    <w:rsid w:val="00181892"/>
    <w:rsid w:val="00184231"/>
    <w:rsid w:val="00184419"/>
    <w:rsid w:val="00184AC8"/>
    <w:rsid w:val="00187D4E"/>
    <w:rsid w:val="0019011A"/>
    <w:rsid w:val="00191294"/>
    <w:rsid w:val="00192A08"/>
    <w:rsid w:val="00194D60"/>
    <w:rsid w:val="001A0A1A"/>
    <w:rsid w:val="001A25C1"/>
    <w:rsid w:val="001A5B2A"/>
    <w:rsid w:val="001A675C"/>
    <w:rsid w:val="001A72D0"/>
    <w:rsid w:val="001A7DFA"/>
    <w:rsid w:val="001B07B6"/>
    <w:rsid w:val="001B09E4"/>
    <w:rsid w:val="001B372F"/>
    <w:rsid w:val="001B62D1"/>
    <w:rsid w:val="001B7934"/>
    <w:rsid w:val="001C1238"/>
    <w:rsid w:val="001C145F"/>
    <w:rsid w:val="001C1865"/>
    <w:rsid w:val="001C47E2"/>
    <w:rsid w:val="001C5C39"/>
    <w:rsid w:val="001C7581"/>
    <w:rsid w:val="001C782B"/>
    <w:rsid w:val="001D4B39"/>
    <w:rsid w:val="001D56F0"/>
    <w:rsid w:val="001D70A4"/>
    <w:rsid w:val="001E09D2"/>
    <w:rsid w:val="001E0FEC"/>
    <w:rsid w:val="001E38EA"/>
    <w:rsid w:val="001E596A"/>
    <w:rsid w:val="001E74E5"/>
    <w:rsid w:val="001F040D"/>
    <w:rsid w:val="001F4356"/>
    <w:rsid w:val="001F4369"/>
    <w:rsid w:val="001F6974"/>
    <w:rsid w:val="001F7A0C"/>
    <w:rsid w:val="00201132"/>
    <w:rsid w:val="00207401"/>
    <w:rsid w:val="0020767C"/>
    <w:rsid w:val="002076AF"/>
    <w:rsid w:val="00211CA3"/>
    <w:rsid w:val="00212891"/>
    <w:rsid w:val="00215FA1"/>
    <w:rsid w:val="0021649B"/>
    <w:rsid w:val="00216AB5"/>
    <w:rsid w:val="00216E07"/>
    <w:rsid w:val="00217223"/>
    <w:rsid w:val="0021770A"/>
    <w:rsid w:val="00220044"/>
    <w:rsid w:val="002206F7"/>
    <w:rsid w:val="00222137"/>
    <w:rsid w:val="00222D52"/>
    <w:rsid w:val="00223F64"/>
    <w:rsid w:val="00224BBF"/>
    <w:rsid w:val="00225513"/>
    <w:rsid w:val="00231EF2"/>
    <w:rsid w:val="00232F52"/>
    <w:rsid w:val="002338FE"/>
    <w:rsid w:val="002359B7"/>
    <w:rsid w:val="00235DC3"/>
    <w:rsid w:val="00240346"/>
    <w:rsid w:val="00240A5F"/>
    <w:rsid w:val="002419BD"/>
    <w:rsid w:val="00241A92"/>
    <w:rsid w:val="00242B9D"/>
    <w:rsid w:val="002474BA"/>
    <w:rsid w:val="00250263"/>
    <w:rsid w:val="00250872"/>
    <w:rsid w:val="00251095"/>
    <w:rsid w:val="002513A9"/>
    <w:rsid w:val="00251A9B"/>
    <w:rsid w:val="002548EC"/>
    <w:rsid w:val="002571BC"/>
    <w:rsid w:val="002614A4"/>
    <w:rsid w:val="0026278E"/>
    <w:rsid w:val="00263703"/>
    <w:rsid w:val="00263CB6"/>
    <w:rsid w:val="00264389"/>
    <w:rsid w:val="002659B7"/>
    <w:rsid w:val="00266B5E"/>
    <w:rsid w:val="00266C5A"/>
    <w:rsid w:val="002723CA"/>
    <w:rsid w:val="0027274C"/>
    <w:rsid w:val="00272838"/>
    <w:rsid w:val="00274E29"/>
    <w:rsid w:val="00274FFC"/>
    <w:rsid w:val="00276AC1"/>
    <w:rsid w:val="00280003"/>
    <w:rsid w:val="002801D7"/>
    <w:rsid w:val="00280294"/>
    <w:rsid w:val="00281BB6"/>
    <w:rsid w:val="00284BA3"/>
    <w:rsid w:val="00284C5A"/>
    <w:rsid w:val="00284D14"/>
    <w:rsid w:val="00286307"/>
    <w:rsid w:val="0028690F"/>
    <w:rsid w:val="00287222"/>
    <w:rsid w:val="00287846"/>
    <w:rsid w:val="002878E5"/>
    <w:rsid w:val="00290753"/>
    <w:rsid w:val="00290E44"/>
    <w:rsid w:val="002934E8"/>
    <w:rsid w:val="00293DDB"/>
    <w:rsid w:val="002940CF"/>
    <w:rsid w:val="002959E3"/>
    <w:rsid w:val="00295DB9"/>
    <w:rsid w:val="0029601D"/>
    <w:rsid w:val="002A26DF"/>
    <w:rsid w:val="002A27DF"/>
    <w:rsid w:val="002A4195"/>
    <w:rsid w:val="002A4341"/>
    <w:rsid w:val="002A69C8"/>
    <w:rsid w:val="002A757F"/>
    <w:rsid w:val="002A7CF8"/>
    <w:rsid w:val="002B39A6"/>
    <w:rsid w:val="002B4DC6"/>
    <w:rsid w:val="002B5499"/>
    <w:rsid w:val="002B6D7E"/>
    <w:rsid w:val="002C1FBE"/>
    <w:rsid w:val="002C28EC"/>
    <w:rsid w:val="002D1000"/>
    <w:rsid w:val="002D109B"/>
    <w:rsid w:val="002D1E9D"/>
    <w:rsid w:val="002D2221"/>
    <w:rsid w:val="002D2F09"/>
    <w:rsid w:val="002D355A"/>
    <w:rsid w:val="002D5B0A"/>
    <w:rsid w:val="002D6145"/>
    <w:rsid w:val="002D67C2"/>
    <w:rsid w:val="002D71BE"/>
    <w:rsid w:val="002E04B6"/>
    <w:rsid w:val="002F003F"/>
    <w:rsid w:val="002F039B"/>
    <w:rsid w:val="002F1457"/>
    <w:rsid w:val="002F253B"/>
    <w:rsid w:val="002F77B4"/>
    <w:rsid w:val="002F781B"/>
    <w:rsid w:val="00300802"/>
    <w:rsid w:val="0030168B"/>
    <w:rsid w:val="003024BD"/>
    <w:rsid w:val="00303631"/>
    <w:rsid w:val="003036A5"/>
    <w:rsid w:val="00304453"/>
    <w:rsid w:val="00304AB4"/>
    <w:rsid w:val="00305035"/>
    <w:rsid w:val="00307873"/>
    <w:rsid w:val="0031132F"/>
    <w:rsid w:val="00311757"/>
    <w:rsid w:val="00312912"/>
    <w:rsid w:val="00315704"/>
    <w:rsid w:val="0031625F"/>
    <w:rsid w:val="00317C9F"/>
    <w:rsid w:val="00320E98"/>
    <w:rsid w:val="003211E2"/>
    <w:rsid w:val="003214B3"/>
    <w:rsid w:val="0032274C"/>
    <w:rsid w:val="00322D46"/>
    <w:rsid w:val="00324BD0"/>
    <w:rsid w:val="00325AC2"/>
    <w:rsid w:val="00325DE1"/>
    <w:rsid w:val="003261A5"/>
    <w:rsid w:val="003262D1"/>
    <w:rsid w:val="0032638E"/>
    <w:rsid w:val="00326B7D"/>
    <w:rsid w:val="003273B8"/>
    <w:rsid w:val="0033030B"/>
    <w:rsid w:val="00333A24"/>
    <w:rsid w:val="00336C25"/>
    <w:rsid w:val="00337A3A"/>
    <w:rsid w:val="0034076A"/>
    <w:rsid w:val="003410A8"/>
    <w:rsid w:val="00341111"/>
    <w:rsid w:val="00341C1F"/>
    <w:rsid w:val="00343114"/>
    <w:rsid w:val="00347022"/>
    <w:rsid w:val="00350909"/>
    <w:rsid w:val="00350D80"/>
    <w:rsid w:val="0035281A"/>
    <w:rsid w:val="003537AD"/>
    <w:rsid w:val="00353CE7"/>
    <w:rsid w:val="00353F5D"/>
    <w:rsid w:val="0035425D"/>
    <w:rsid w:val="00354918"/>
    <w:rsid w:val="00354C6A"/>
    <w:rsid w:val="00356A5A"/>
    <w:rsid w:val="00357784"/>
    <w:rsid w:val="00360039"/>
    <w:rsid w:val="00360465"/>
    <w:rsid w:val="00360477"/>
    <w:rsid w:val="00364A4A"/>
    <w:rsid w:val="003654AC"/>
    <w:rsid w:val="0037014F"/>
    <w:rsid w:val="0037073B"/>
    <w:rsid w:val="00370D5B"/>
    <w:rsid w:val="00371CDA"/>
    <w:rsid w:val="003727D4"/>
    <w:rsid w:val="00372978"/>
    <w:rsid w:val="00374B3C"/>
    <w:rsid w:val="003752F1"/>
    <w:rsid w:val="00380F2B"/>
    <w:rsid w:val="003846E8"/>
    <w:rsid w:val="0038625B"/>
    <w:rsid w:val="00387FC4"/>
    <w:rsid w:val="003905F5"/>
    <w:rsid w:val="00392B9F"/>
    <w:rsid w:val="00394763"/>
    <w:rsid w:val="00395407"/>
    <w:rsid w:val="003954F9"/>
    <w:rsid w:val="003959AC"/>
    <w:rsid w:val="00397C6E"/>
    <w:rsid w:val="003A0930"/>
    <w:rsid w:val="003A1C33"/>
    <w:rsid w:val="003A666F"/>
    <w:rsid w:val="003A6F9D"/>
    <w:rsid w:val="003B02E6"/>
    <w:rsid w:val="003B1099"/>
    <w:rsid w:val="003B130D"/>
    <w:rsid w:val="003B1E29"/>
    <w:rsid w:val="003B49EB"/>
    <w:rsid w:val="003B579F"/>
    <w:rsid w:val="003B6413"/>
    <w:rsid w:val="003B71E5"/>
    <w:rsid w:val="003C0A88"/>
    <w:rsid w:val="003C0DB6"/>
    <w:rsid w:val="003C1B8F"/>
    <w:rsid w:val="003C1FCE"/>
    <w:rsid w:val="003D0CA5"/>
    <w:rsid w:val="003D1646"/>
    <w:rsid w:val="003D1E66"/>
    <w:rsid w:val="003D2092"/>
    <w:rsid w:val="003D5BF1"/>
    <w:rsid w:val="003D5CF4"/>
    <w:rsid w:val="003D7130"/>
    <w:rsid w:val="003D7B63"/>
    <w:rsid w:val="003E0151"/>
    <w:rsid w:val="003E1BEA"/>
    <w:rsid w:val="003E3488"/>
    <w:rsid w:val="003F380B"/>
    <w:rsid w:val="003F4A79"/>
    <w:rsid w:val="003F58F8"/>
    <w:rsid w:val="003F793A"/>
    <w:rsid w:val="003F7B6C"/>
    <w:rsid w:val="004025E4"/>
    <w:rsid w:val="0040440A"/>
    <w:rsid w:val="004044B8"/>
    <w:rsid w:val="00406A58"/>
    <w:rsid w:val="00406B6C"/>
    <w:rsid w:val="0040701F"/>
    <w:rsid w:val="00410B27"/>
    <w:rsid w:val="004119A5"/>
    <w:rsid w:val="0041283B"/>
    <w:rsid w:val="004134CB"/>
    <w:rsid w:val="0041526F"/>
    <w:rsid w:val="00416CCB"/>
    <w:rsid w:val="004177F4"/>
    <w:rsid w:val="004212B8"/>
    <w:rsid w:val="004221AA"/>
    <w:rsid w:val="00423A14"/>
    <w:rsid w:val="00423C46"/>
    <w:rsid w:val="00425440"/>
    <w:rsid w:val="004263BC"/>
    <w:rsid w:val="00427BC3"/>
    <w:rsid w:val="00427CEF"/>
    <w:rsid w:val="00432172"/>
    <w:rsid w:val="00433575"/>
    <w:rsid w:val="00433E47"/>
    <w:rsid w:val="00434493"/>
    <w:rsid w:val="00434EB5"/>
    <w:rsid w:val="004356A7"/>
    <w:rsid w:val="00437C75"/>
    <w:rsid w:val="00441BFD"/>
    <w:rsid w:val="00441EDA"/>
    <w:rsid w:val="00443E70"/>
    <w:rsid w:val="00445DAC"/>
    <w:rsid w:val="00446881"/>
    <w:rsid w:val="00450E7C"/>
    <w:rsid w:val="004518D1"/>
    <w:rsid w:val="00451B82"/>
    <w:rsid w:val="00453CF9"/>
    <w:rsid w:val="00461177"/>
    <w:rsid w:val="004618C1"/>
    <w:rsid w:val="00461957"/>
    <w:rsid w:val="004620B3"/>
    <w:rsid w:val="00462630"/>
    <w:rsid w:val="00464578"/>
    <w:rsid w:val="00464BF8"/>
    <w:rsid w:val="004659FF"/>
    <w:rsid w:val="0046625C"/>
    <w:rsid w:val="0046715F"/>
    <w:rsid w:val="00470A0F"/>
    <w:rsid w:val="00470C21"/>
    <w:rsid w:val="00475B31"/>
    <w:rsid w:val="00476C9E"/>
    <w:rsid w:val="00476CC8"/>
    <w:rsid w:val="00483202"/>
    <w:rsid w:val="0048456E"/>
    <w:rsid w:val="004875F6"/>
    <w:rsid w:val="00491B46"/>
    <w:rsid w:val="00491E5F"/>
    <w:rsid w:val="00494D2D"/>
    <w:rsid w:val="00496305"/>
    <w:rsid w:val="00496D0B"/>
    <w:rsid w:val="004A0656"/>
    <w:rsid w:val="004A092D"/>
    <w:rsid w:val="004A1589"/>
    <w:rsid w:val="004A4F9E"/>
    <w:rsid w:val="004A6130"/>
    <w:rsid w:val="004A775D"/>
    <w:rsid w:val="004A779F"/>
    <w:rsid w:val="004B1D54"/>
    <w:rsid w:val="004B2758"/>
    <w:rsid w:val="004B2760"/>
    <w:rsid w:val="004B41A4"/>
    <w:rsid w:val="004B51E6"/>
    <w:rsid w:val="004B6D34"/>
    <w:rsid w:val="004C3D9C"/>
    <w:rsid w:val="004C6B5D"/>
    <w:rsid w:val="004C710E"/>
    <w:rsid w:val="004D19B7"/>
    <w:rsid w:val="004D2643"/>
    <w:rsid w:val="004D2A0D"/>
    <w:rsid w:val="004D51A7"/>
    <w:rsid w:val="004D5801"/>
    <w:rsid w:val="004D7150"/>
    <w:rsid w:val="004E0F77"/>
    <w:rsid w:val="004E2475"/>
    <w:rsid w:val="004F0972"/>
    <w:rsid w:val="004F1FA6"/>
    <w:rsid w:val="004F3F2A"/>
    <w:rsid w:val="004F73A6"/>
    <w:rsid w:val="00502E2F"/>
    <w:rsid w:val="005039D2"/>
    <w:rsid w:val="005043EB"/>
    <w:rsid w:val="00505C1A"/>
    <w:rsid w:val="005110EF"/>
    <w:rsid w:val="00513AB2"/>
    <w:rsid w:val="00514E2A"/>
    <w:rsid w:val="00515A1E"/>
    <w:rsid w:val="00516B3D"/>
    <w:rsid w:val="00517A68"/>
    <w:rsid w:val="00520B6D"/>
    <w:rsid w:val="005229F3"/>
    <w:rsid w:val="0052448B"/>
    <w:rsid w:val="00524981"/>
    <w:rsid w:val="00526A1F"/>
    <w:rsid w:val="005274E7"/>
    <w:rsid w:val="005306B3"/>
    <w:rsid w:val="00530EA3"/>
    <w:rsid w:val="005355A6"/>
    <w:rsid w:val="00535B2E"/>
    <w:rsid w:val="005369B1"/>
    <w:rsid w:val="0053735A"/>
    <w:rsid w:val="00547D75"/>
    <w:rsid w:val="00550B96"/>
    <w:rsid w:val="00551BEC"/>
    <w:rsid w:val="00552597"/>
    <w:rsid w:val="00555356"/>
    <w:rsid w:val="00555EBC"/>
    <w:rsid w:val="00560455"/>
    <w:rsid w:val="0056174C"/>
    <w:rsid w:val="0056457C"/>
    <w:rsid w:val="00565FBC"/>
    <w:rsid w:val="00576EC9"/>
    <w:rsid w:val="00580141"/>
    <w:rsid w:val="00582FB3"/>
    <w:rsid w:val="005855A9"/>
    <w:rsid w:val="00590671"/>
    <w:rsid w:val="00593AA3"/>
    <w:rsid w:val="00594755"/>
    <w:rsid w:val="005A3118"/>
    <w:rsid w:val="005A7193"/>
    <w:rsid w:val="005B081F"/>
    <w:rsid w:val="005B2022"/>
    <w:rsid w:val="005B356E"/>
    <w:rsid w:val="005B4D0A"/>
    <w:rsid w:val="005B6228"/>
    <w:rsid w:val="005C36F6"/>
    <w:rsid w:val="005C4858"/>
    <w:rsid w:val="005C4E1D"/>
    <w:rsid w:val="005D0047"/>
    <w:rsid w:val="005D077A"/>
    <w:rsid w:val="005D3790"/>
    <w:rsid w:val="005D61EB"/>
    <w:rsid w:val="005E25BD"/>
    <w:rsid w:val="005E3221"/>
    <w:rsid w:val="005E5C56"/>
    <w:rsid w:val="005E615E"/>
    <w:rsid w:val="005E74C0"/>
    <w:rsid w:val="005F02A4"/>
    <w:rsid w:val="005F0ABA"/>
    <w:rsid w:val="005F15A2"/>
    <w:rsid w:val="005F22F2"/>
    <w:rsid w:val="005F3EBA"/>
    <w:rsid w:val="005F4D10"/>
    <w:rsid w:val="005F4DCF"/>
    <w:rsid w:val="00600D4E"/>
    <w:rsid w:val="00602CA1"/>
    <w:rsid w:val="00606DEA"/>
    <w:rsid w:val="006073A2"/>
    <w:rsid w:val="00610F78"/>
    <w:rsid w:val="00611B76"/>
    <w:rsid w:val="006138D1"/>
    <w:rsid w:val="00615D5E"/>
    <w:rsid w:val="006169E1"/>
    <w:rsid w:val="006202B5"/>
    <w:rsid w:val="006204BF"/>
    <w:rsid w:val="006219A4"/>
    <w:rsid w:val="006234AB"/>
    <w:rsid w:val="0062453C"/>
    <w:rsid w:val="00624E26"/>
    <w:rsid w:val="00625301"/>
    <w:rsid w:val="006273A1"/>
    <w:rsid w:val="0062785F"/>
    <w:rsid w:val="00627C26"/>
    <w:rsid w:val="00633AFD"/>
    <w:rsid w:val="006349ED"/>
    <w:rsid w:val="00635C53"/>
    <w:rsid w:val="00641546"/>
    <w:rsid w:val="006423C0"/>
    <w:rsid w:val="00643C78"/>
    <w:rsid w:val="006440A9"/>
    <w:rsid w:val="00644EE2"/>
    <w:rsid w:val="00645017"/>
    <w:rsid w:val="00647051"/>
    <w:rsid w:val="00651999"/>
    <w:rsid w:val="00655B08"/>
    <w:rsid w:val="0065600F"/>
    <w:rsid w:val="006561B6"/>
    <w:rsid w:val="00662B6B"/>
    <w:rsid w:val="0066458B"/>
    <w:rsid w:val="00664AA8"/>
    <w:rsid w:val="00665C0D"/>
    <w:rsid w:val="006705A5"/>
    <w:rsid w:val="006713A7"/>
    <w:rsid w:val="00671BE4"/>
    <w:rsid w:val="006736A3"/>
    <w:rsid w:val="0067432C"/>
    <w:rsid w:val="006774AB"/>
    <w:rsid w:val="006774EB"/>
    <w:rsid w:val="00680970"/>
    <w:rsid w:val="00681A2C"/>
    <w:rsid w:val="006859D5"/>
    <w:rsid w:val="00686252"/>
    <w:rsid w:val="00691494"/>
    <w:rsid w:val="0069154D"/>
    <w:rsid w:val="00692038"/>
    <w:rsid w:val="006920E8"/>
    <w:rsid w:val="00692302"/>
    <w:rsid w:val="00693AAB"/>
    <w:rsid w:val="00693CF9"/>
    <w:rsid w:val="006943C8"/>
    <w:rsid w:val="00696EAB"/>
    <w:rsid w:val="0069716F"/>
    <w:rsid w:val="006A0670"/>
    <w:rsid w:val="006A3198"/>
    <w:rsid w:val="006A4300"/>
    <w:rsid w:val="006B1281"/>
    <w:rsid w:val="006B13A3"/>
    <w:rsid w:val="006B1A5F"/>
    <w:rsid w:val="006B222A"/>
    <w:rsid w:val="006B2353"/>
    <w:rsid w:val="006B3808"/>
    <w:rsid w:val="006B3AAF"/>
    <w:rsid w:val="006B5E47"/>
    <w:rsid w:val="006B6C7B"/>
    <w:rsid w:val="006C0324"/>
    <w:rsid w:val="006C16FF"/>
    <w:rsid w:val="006C261F"/>
    <w:rsid w:val="006C5145"/>
    <w:rsid w:val="006C537C"/>
    <w:rsid w:val="006C7AB2"/>
    <w:rsid w:val="006D1E12"/>
    <w:rsid w:val="006D210B"/>
    <w:rsid w:val="006D4296"/>
    <w:rsid w:val="006D51D7"/>
    <w:rsid w:val="006E02AC"/>
    <w:rsid w:val="006E0F6C"/>
    <w:rsid w:val="006E253B"/>
    <w:rsid w:val="006E309E"/>
    <w:rsid w:val="006E3190"/>
    <w:rsid w:val="006E38FB"/>
    <w:rsid w:val="006E44D9"/>
    <w:rsid w:val="006E4A2F"/>
    <w:rsid w:val="006E6712"/>
    <w:rsid w:val="006E711C"/>
    <w:rsid w:val="006F029C"/>
    <w:rsid w:val="006F0922"/>
    <w:rsid w:val="006F1D19"/>
    <w:rsid w:val="006F25D7"/>
    <w:rsid w:val="006F4B30"/>
    <w:rsid w:val="006F5A2B"/>
    <w:rsid w:val="006F5ACA"/>
    <w:rsid w:val="006F6656"/>
    <w:rsid w:val="006F6BAF"/>
    <w:rsid w:val="006F7642"/>
    <w:rsid w:val="00700931"/>
    <w:rsid w:val="007011B7"/>
    <w:rsid w:val="0070295B"/>
    <w:rsid w:val="00703886"/>
    <w:rsid w:val="007045D2"/>
    <w:rsid w:val="00704AB4"/>
    <w:rsid w:val="00704F3E"/>
    <w:rsid w:val="007121E5"/>
    <w:rsid w:val="007141E2"/>
    <w:rsid w:val="007169D6"/>
    <w:rsid w:val="00717ADA"/>
    <w:rsid w:val="00721091"/>
    <w:rsid w:val="007231A0"/>
    <w:rsid w:val="0072440B"/>
    <w:rsid w:val="00724881"/>
    <w:rsid w:val="00727538"/>
    <w:rsid w:val="00727BCD"/>
    <w:rsid w:val="00727DDC"/>
    <w:rsid w:val="00727F03"/>
    <w:rsid w:val="007307E3"/>
    <w:rsid w:val="0073080B"/>
    <w:rsid w:val="00730BB6"/>
    <w:rsid w:val="00731E23"/>
    <w:rsid w:val="00732295"/>
    <w:rsid w:val="00737BCF"/>
    <w:rsid w:val="00741587"/>
    <w:rsid w:val="007420AC"/>
    <w:rsid w:val="007422FC"/>
    <w:rsid w:val="00742746"/>
    <w:rsid w:val="00743494"/>
    <w:rsid w:val="007438CE"/>
    <w:rsid w:val="007444A8"/>
    <w:rsid w:val="0074599A"/>
    <w:rsid w:val="00745F95"/>
    <w:rsid w:val="0074692A"/>
    <w:rsid w:val="007529E9"/>
    <w:rsid w:val="00754842"/>
    <w:rsid w:val="00754BF5"/>
    <w:rsid w:val="00754C35"/>
    <w:rsid w:val="00755B95"/>
    <w:rsid w:val="00755ED8"/>
    <w:rsid w:val="00756196"/>
    <w:rsid w:val="00757E98"/>
    <w:rsid w:val="0076041C"/>
    <w:rsid w:val="007607B5"/>
    <w:rsid w:val="007612DB"/>
    <w:rsid w:val="00761FCF"/>
    <w:rsid w:val="00762D0B"/>
    <w:rsid w:val="00764D6A"/>
    <w:rsid w:val="00766317"/>
    <w:rsid w:val="00766595"/>
    <w:rsid w:val="00767E76"/>
    <w:rsid w:val="00770B1D"/>
    <w:rsid w:val="0077101B"/>
    <w:rsid w:val="0077251E"/>
    <w:rsid w:val="00773056"/>
    <w:rsid w:val="007746DC"/>
    <w:rsid w:val="00774C82"/>
    <w:rsid w:val="00783680"/>
    <w:rsid w:val="0078489C"/>
    <w:rsid w:val="00785363"/>
    <w:rsid w:val="00785C84"/>
    <w:rsid w:val="00786262"/>
    <w:rsid w:val="007900A5"/>
    <w:rsid w:val="0079022D"/>
    <w:rsid w:val="00790B0A"/>
    <w:rsid w:val="00790FF8"/>
    <w:rsid w:val="007916C3"/>
    <w:rsid w:val="00792204"/>
    <w:rsid w:val="0079314C"/>
    <w:rsid w:val="007932B5"/>
    <w:rsid w:val="00794746"/>
    <w:rsid w:val="007A0B02"/>
    <w:rsid w:val="007A135C"/>
    <w:rsid w:val="007A2132"/>
    <w:rsid w:val="007A5678"/>
    <w:rsid w:val="007A5B85"/>
    <w:rsid w:val="007A5D10"/>
    <w:rsid w:val="007A7310"/>
    <w:rsid w:val="007A7B4C"/>
    <w:rsid w:val="007B2F71"/>
    <w:rsid w:val="007B3BE5"/>
    <w:rsid w:val="007B3DFE"/>
    <w:rsid w:val="007B66C4"/>
    <w:rsid w:val="007B7E13"/>
    <w:rsid w:val="007C358A"/>
    <w:rsid w:val="007C3F33"/>
    <w:rsid w:val="007C7864"/>
    <w:rsid w:val="007D1049"/>
    <w:rsid w:val="007D338F"/>
    <w:rsid w:val="007D7E88"/>
    <w:rsid w:val="007E0367"/>
    <w:rsid w:val="007E0C58"/>
    <w:rsid w:val="007E1167"/>
    <w:rsid w:val="007E173A"/>
    <w:rsid w:val="007E25EB"/>
    <w:rsid w:val="007E2BC6"/>
    <w:rsid w:val="007E33DE"/>
    <w:rsid w:val="007E39EF"/>
    <w:rsid w:val="007E655C"/>
    <w:rsid w:val="007E7349"/>
    <w:rsid w:val="007F322E"/>
    <w:rsid w:val="007F410F"/>
    <w:rsid w:val="007F5008"/>
    <w:rsid w:val="007F6958"/>
    <w:rsid w:val="007F7F8D"/>
    <w:rsid w:val="008000F2"/>
    <w:rsid w:val="00800789"/>
    <w:rsid w:val="008008C6"/>
    <w:rsid w:val="00800FE1"/>
    <w:rsid w:val="0080190A"/>
    <w:rsid w:val="00803625"/>
    <w:rsid w:val="008111E1"/>
    <w:rsid w:val="00811F78"/>
    <w:rsid w:val="00812D96"/>
    <w:rsid w:val="00812DBC"/>
    <w:rsid w:val="00812E25"/>
    <w:rsid w:val="00813057"/>
    <w:rsid w:val="008135B6"/>
    <w:rsid w:val="00816865"/>
    <w:rsid w:val="0081756C"/>
    <w:rsid w:val="0082038A"/>
    <w:rsid w:val="0082048A"/>
    <w:rsid w:val="00820F04"/>
    <w:rsid w:val="0082328F"/>
    <w:rsid w:val="008240D1"/>
    <w:rsid w:val="008256BE"/>
    <w:rsid w:val="0082593E"/>
    <w:rsid w:val="00826C18"/>
    <w:rsid w:val="00827C86"/>
    <w:rsid w:val="00831DED"/>
    <w:rsid w:val="008321E2"/>
    <w:rsid w:val="00833DA2"/>
    <w:rsid w:val="00834542"/>
    <w:rsid w:val="00834D3F"/>
    <w:rsid w:val="00836CA9"/>
    <w:rsid w:val="0084011B"/>
    <w:rsid w:val="0084168F"/>
    <w:rsid w:val="00841A79"/>
    <w:rsid w:val="00841CA9"/>
    <w:rsid w:val="0084251B"/>
    <w:rsid w:val="00844D25"/>
    <w:rsid w:val="00845070"/>
    <w:rsid w:val="0084509D"/>
    <w:rsid w:val="00845CCF"/>
    <w:rsid w:val="00846423"/>
    <w:rsid w:val="00850B71"/>
    <w:rsid w:val="00851D6F"/>
    <w:rsid w:val="00853F31"/>
    <w:rsid w:val="00854580"/>
    <w:rsid w:val="008553FE"/>
    <w:rsid w:val="00860A4C"/>
    <w:rsid w:val="00861407"/>
    <w:rsid w:val="00861B76"/>
    <w:rsid w:val="00863135"/>
    <w:rsid w:val="00865755"/>
    <w:rsid w:val="008700B8"/>
    <w:rsid w:val="00870672"/>
    <w:rsid w:val="00872177"/>
    <w:rsid w:val="008733AD"/>
    <w:rsid w:val="00873899"/>
    <w:rsid w:val="00873947"/>
    <w:rsid w:val="00874591"/>
    <w:rsid w:val="008754FE"/>
    <w:rsid w:val="0087638C"/>
    <w:rsid w:val="0088189B"/>
    <w:rsid w:val="00883663"/>
    <w:rsid w:val="00885840"/>
    <w:rsid w:val="00886364"/>
    <w:rsid w:val="00887C55"/>
    <w:rsid w:val="008914ED"/>
    <w:rsid w:val="0089159C"/>
    <w:rsid w:val="00891655"/>
    <w:rsid w:val="00892BD1"/>
    <w:rsid w:val="00892CC1"/>
    <w:rsid w:val="008934EA"/>
    <w:rsid w:val="0089380C"/>
    <w:rsid w:val="00894C30"/>
    <w:rsid w:val="00897B06"/>
    <w:rsid w:val="00897E11"/>
    <w:rsid w:val="00897EE5"/>
    <w:rsid w:val="008A0EE3"/>
    <w:rsid w:val="008A1A84"/>
    <w:rsid w:val="008A3B30"/>
    <w:rsid w:val="008B1035"/>
    <w:rsid w:val="008B14E1"/>
    <w:rsid w:val="008B2376"/>
    <w:rsid w:val="008B28D6"/>
    <w:rsid w:val="008B5A5D"/>
    <w:rsid w:val="008B5D51"/>
    <w:rsid w:val="008C584E"/>
    <w:rsid w:val="008C6E85"/>
    <w:rsid w:val="008C6F55"/>
    <w:rsid w:val="008D12A9"/>
    <w:rsid w:val="008D14B5"/>
    <w:rsid w:val="008D1A67"/>
    <w:rsid w:val="008D1E40"/>
    <w:rsid w:val="008D4022"/>
    <w:rsid w:val="008D450E"/>
    <w:rsid w:val="008D5C8B"/>
    <w:rsid w:val="008D619B"/>
    <w:rsid w:val="008D6FFA"/>
    <w:rsid w:val="008D7608"/>
    <w:rsid w:val="008D7ED2"/>
    <w:rsid w:val="008E17A1"/>
    <w:rsid w:val="008E2D08"/>
    <w:rsid w:val="008E5BE3"/>
    <w:rsid w:val="008E6864"/>
    <w:rsid w:val="008E6BEB"/>
    <w:rsid w:val="008E6F6A"/>
    <w:rsid w:val="008E7EA3"/>
    <w:rsid w:val="008F30CE"/>
    <w:rsid w:val="008F5863"/>
    <w:rsid w:val="0090016F"/>
    <w:rsid w:val="009017EF"/>
    <w:rsid w:val="009020C3"/>
    <w:rsid w:val="00902605"/>
    <w:rsid w:val="00903FA8"/>
    <w:rsid w:val="009056E1"/>
    <w:rsid w:val="0090766E"/>
    <w:rsid w:val="00907DA3"/>
    <w:rsid w:val="0091227B"/>
    <w:rsid w:val="00913447"/>
    <w:rsid w:val="00914C43"/>
    <w:rsid w:val="009200BD"/>
    <w:rsid w:val="00920CE5"/>
    <w:rsid w:val="00922B75"/>
    <w:rsid w:val="00922EB5"/>
    <w:rsid w:val="00923CC9"/>
    <w:rsid w:val="00925BCA"/>
    <w:rsid w:val="00926C96"/>
    <w:rsid w:val="00926F16"/>
    <w:rsid w:val="00927FE1"/>
    <w:rsid w:val="00932A73"/>
    <w:rsid w:val="00933219"/>
    <w:rsid w:val="00935049"/>
    <w:rsid w:val="0093664C"/>
    <w:rsid w:val="009407D8"/>
    <w:rsid w:val="00943563"/>
    <w:rsid w:val="0094366E"/>
    <w:rsid w:val="009450E1"/>
    <w:rsid w:val="009456CE"/>
    <w:rsid w:val="00951D2E"/>
    <w:rsid w:val="0095217C"/>
    <w:rsid w:val="00955D4A"/>
    <w:rsid w:val="00956963"/>
    <w:rsid w:val="00961A13"/>
    <w:rsid w:val="00961E65"/>
    <w:rsid w:val="009645A6"/>
    <w:rsid w:val="0096483C"/>
    <w:rsid w:val="009649C5"/>
    <w:rsid w:val="00964B7C"/>
    <w:rsid w:val="00965897"/>
    <w:rsid w:val="00966F89"/>
    <w:rsid w:val="00971E75"/>
    <w:rsid w:val="00972336"/>
    <w:rsid w:val="009732A2"/>
    <w:rsid w:val="00974A4E"/>
    <w:rsid w:val="0097624E"/>
    <w:rsid w:val="009767F6"/>
    <w:rsid w:val="00981B84"/>
    <w:rsid w:val="0098348B"/>
    <w:rsid w:val="009862FD"/>
    <w:rsid w:val="00986F7F"/>
    <w:rsid w:val="00987D34"/>
    <w:rsid w:val="00990F22"/>
    <w:rsid w:val="00991F3F"/>
    <w:rsid w:val="00996864"/>
    <w:rsid w:val="009969E3"/>
    <w:rsid w:val="00997C02"/>
    <w:rsid w:val="009A5A1D"/>
    <w:rsid w:val="009A6696"/>
    <w:rsid w:val="009B1528"/>
    <w:rsid w:val="009B3AE1"/>
    <w:rsid w:val="009B3C46"/>
    <w:rsid w:val="009B4F9D"/>
    <w:rsid w:val="009B58D9"/>
    <w:rsid w:val="009B6379"/>
    <w:rsid w:val="009B6FBB"/>
    <w:rsid w:val="009B774A"/>
    <w:rsid w:val="009B790D"/>
    <w:rsid w:val="009C119E"/>
    <w:rsid w:val="009C239A"/>
    <w:rsid w:val="009C2BCB"/>
    <w:rsid w:val="009C4643"/>
    <w:rsid w:val="009C5775"/>
    <w:rsid w:val="009C6D0B"/>
    <w:rsid w:val="009D0AD8"/>
    <w:rsid w:val="009D5007"/>
    <w:rsid w:val="009D5CBF"/>
    <w:rsid w:val="009D5FD5"/>
    <w:rsid w:val="009D6B0C"/>
    <w:rsid w:val="009E10C4"/>
    <w:rsid w:val="009E1BDD"/>
    <w:rsid w:val="009E2823"/>
    <w:rsid w:val="009E4184"/>
    <w:rsid w:val="009E5CCC"/>
    <w:rsid w:val="009E634A"/>
    <w:rsid w:val="009E6F8A"/>
    <w:rsid w:val="009F05BC"/>
    <w:rsid w:val="009F0B46"/>
    <w:rsid w:val="009F1C0B"/>
    <w:rsid w:val="009F74C5"/>
    <w:rsid w:val="00A04461"/>
    <w:rsid w:val="00A05E61"/>
    <w:rsid w:val="00A07A11"/>
    <w:rsid w:val="00A10074"/>
    <w:rsid w:val="00A13456"/>
    <w:rsid w:val="00A17B40"/>
    <w:rsid w:val="00A17BEB"/>
    <w:rsid w:val="00A20BBE"/>
    <w:rsid w:val="00A2123A"/>
    <w:rsid w:val="00A21C68"/>
    <w:rsid w:val="00A22C6B"/>
    <w:rsid w:val="00A24D96"/>
    <w:rsid w:val="00A306C3"/>
    <w:rsid w:val="00A32333"/>
    <w:rsid w:val="00A32E25"/>
    <w:rsid w:val="00A339C1"/>
    <w:rsid w:val="00A33AB7"/>
    <w:rsid w:val="00A352D6"/>
    <w:rsid w:val="00A410A5"/>
    <w:rsid w:val="00A411A8"/>
    <w:rsid w:val="00A4251A"/>
    <w:rsid w:val="00A44CA8"/>
    <w:rsid w:val="00A473EF"/>
    <w:rsid w:val="00A50C4B"/>
    <w:rsid w:val="00A50EBC"/>
    <w:rsid w:val="00A5239C"/>
    <w:rsid w:val="00A6035A"/>
    <w:rsid w:val="00A60BD7"/>
    <w:rsid w:val="00A62E54"/>
    <w:rsid w:val="00A63D51"/>
    <w:rsid w:val="00A66100"/>
    <w:rsid w:val="00A66221"/>
    <w:rsid w:val="00A73651"/>
    <w:rsid w:val="00A743C4"/>
    <w:rsid w:val="00A76FB5"/>
    <w:rsid w:val="00A80073"/>
    <w:rsid w:val="00A81E06"/>
    <w:rsid w:val="00A83D2F"/>
    <w:rsid w:val="00A85F05"/>
    <w:rsid w:val="00A86A20"/>
    <w:rsid w:val="00A87A7C"/>
    <w:rsid w:val="00A87C9B"/>
    <w:rsid w:val="00A91307"/>
    <w:rsid w:val="00A92387"/>
    <w:rsid w:val="00A926F3"/>
    <w:rsid w:val="00A934E3"/>
    <w:rsid w:val="00A93B2A"/>
    <w:rsid w:val="00A94261"/>
    <w:rsid w:val="00A94C3C"/>
    <w:rsid w:val="00A95948"/>
    <w:rsid w:val="00AA0044"/>
    <w:rsid w:val="00AA1D58"/>
    <w:rsid w:val="00AA1E3F"/>
    <w:rsid w:val="00AA250D"/>
    <w:rsid w:val="00AA29F6"/>
    <w:rsid w:val="00AA3069"/>
    <w:rsid w:val="00AA62D1"/>
    <w:rsid w:val="00AA6670"/>
    <w:rsid w:val="00AA66D6"/>
    <w:rsid w:val="00AA6839"/>
    <w:rsid w:val="00AA7222"/>
    <w:rsid w:val="00AA79B5"/>
    <w:rsid w:val="00AB296B"/>
    <w:rsid w:val="00AB3531"/>
    <w:rsid w:val="00AB3C41"/>
    <w:rsid w:val="00AB4CBC"/>
    <w:rsid w:val="00AB59E7"/>
    <w:rsid w:val="00AB686D"/>
    <w:rsid w:val="00AB726B"/>
    <w:rsid w:val="00AB7379"/>
    <w:rsid w:val="00AB7911"/>
    <w:rsid w:val="00AC086B"/>
    <w:rsid w:val="00AC10A6"/>
    <w:rsid w:val="00AC35F5"/>
    <w:rsid w:val="00AC4D02"/>
    <w:rsid w:val="00AC50A2"/>
    <w:rsid w:val="00AC5FBB"/>
    <w:rsid w:val="00AD12D5"/>
    <w:rsid w:val="00AD1420"/>
    <w:rsid w:val="00AD1E9F"/>
    <w:rsid w:val="00AD1F6C"/>
    <w:rsid w:val="00AD266D"/>
    <w:rsid w:val="00AD6651"/>
    <w:rsid w:val="00AE00FC"/>
    <w:rsid w:val="00AE0DE8"/>
    <w:rsid w:val="00AE1120"/>
    <w:rsid w:val="00AE2D85"/>
    <w:rsid w:val="00AE4237"/>
    <w:rsid w:val="00AE5014"/>
    <w:rsid w:val="00AE5853"/>
    <w:rsid w:val="00AE5D0A"/>
    <w:rsid w:val="00AE6C1F"/>
    <w:rsid w:val="00AE6F09"/>
    <w:rsid w:val="00AF1737"/>
    <w:rsid w:val="00AF44FA"/>
    <w:rsid w:val="00AF4F8E"/>
    <w:rsid w:val="00AF77C6"/>
    <w:rsid w:val="00B02B9B"/>
    <w:rsid w:val="00B044BB"/>
    <w:rsid w:val="00B12C19"/>
    <w:rsid w:val="00B12F96"/>
    <w:rsid w:val="00B1608F"/>
    <w:rsid w:val="00B16635"/>
    <w:rsid w:val="00B16976"/>
    <w:rsid w:val="00B16E21"/>
    <w:rsid w:val="00B17EA5"/>
    <w:rsid w:val="00B203E6"/>
    <w:rsid w:val="00B2236E"/>
    <w:rsid w:val="00B2306A"/>
    <w:rsid w:val="00B23924"/>
    <w:rsid w:val="00B251DF"/>
    <w:rsid w:val="00B2557D"/>
    <w:rsid w:val="00B25C58"/>
    <w:rsid w:val="00B26162"/>
    <w:rsid w:val="00B27696"/>
    <w:rsid w:val="00B32121"/>
    <w:rsid w:val="00B32745"/>
    <w:rsid w:val="00B33A95"/>
    <w:rsid w:val="00B33C5C"/>
    <w:rsid w:val="00B34E34"/>
    <w:rsid w:val="00B3716A"/>
    <w:rsid w:val="00B37E3B"/>
    <w:rsid w:val="00B421E9"/>
    <w:rsid w:val="00B42901"/>
    <w:rsid w:val="00B51B5B"/>
    <w:rsid w:val="00B51D17"/>
    <w:rsid w:val="00B5220A"/>
    <w:rsid w:val="00B548FF"/>
    <w:rsid w:val="00B55D3A"/>
    <w:rsid w:val="00B5740E"/>
    <w:rsid w:val="00B575EB"/>
    <w:rsid w:val="00B5763F"/>
    <w:rsid w:val="00B605AD"/>
    <w:rsid w:val="00B60929"/>
    <w:rsid w:val="00B616A1"/>
    <w:rsid w:val="00B63B5D"/>
    <w:rsid w:val="00B64140"/>
    <w:rsid w:val="00B64596"/>
    <w:rsid w:val="00B64DC8"/>
    <w:rsid w:val="00B67173"/>
    <w:rsid w:val="00B671DE"/>
    <w:rsid w:val="00B70A75"/>
    <w:rsid w:val="00B7119E"/>
    <w:rsid w:val="00B73F23"/>
    <w:rsid w:val="00B74782"/>
    <w:rsid w:val="00B76C9B"/>
    <w:rsid w:val="00B76FB0"/>
    <w:rsid w:val="00B810BB"/>
    <w:rsid w:val="00B82218"/>
    <w:rsid w:val="00B842AE"/>
    <w:rsid w:val="00B84485"/>
    <w:rsid w:val="00B84D0D"/>
    <w:rsid w:val="00B861B4"/>
    <w:rsid w:val="00B91037"/>
    <w:rsid w:val="00B91DFB"/>
    <w:rsid w:val="00B94793"/>
    <w:rsid w:val="00B97E61"/>
    <w:rsid w:val="00BA17AE"/>
    <w:rsid w:val="00BA2016"/>
    <w:rsid w:val="00BA493D"/>
    <w:rsid w:val="00BA6590"/>
    <w:rsid w:val="00BB060B"/>
    <w:rsid w:val="00BB0B4D"/>
    <w:rsid w:val="00BB280B"/>
    <w:rsid w:val="00BB2DC2"/>
    <w:rsid w:val="00BB4DF9"/>
    <w:rsid w:val="00BB60B8"/>
    <w:rsid w:val="00BB66D9"/>
    <w:rsid w:val="00BC1616"/>
    <w:rsid w:val="00BC46CD"/>
    <w:rsid w:val="00BC47D8"/>
    <w:rsid w:val="00BD0361"/>
    <w:rsid w:val="00BD0667"/>
    <w:rsid w:val="00BD2D0C"/>
    <w:rsid w:val="00BD36A8"/>
    <w:rsid w:val="00BD671A"/>
    <w:rsid w:val="00BD7008"/>
    <w:rsid w:val="00BE1340"/>
    <w:rsid w:val="00BE3176"/>
    <w:rsid w:val="00BE3EB7"/>
    <w:rsid w:val="00BE561A"/>
    <w:rsid w:val="00BE69B5"/>
    <w:rsid w:val="00BF1817"/>
    <w:rsid w:val="00BF30AE"/>
    <w:rsid w:val="00BF3AA9"/>
    <w:rsid w:val="00BF4E55"/>
    <w:rsid w:val="00BF6B88"/>
    <w:rsid w:val="00BF7376"/>
    <w:rsid w:val="00C001B0"/>
    <w:rsid w:val="00C003C5"/>
    <w:rsid w:val="00C02519"/>
    <w:rsid w:val="00C0432C"/>
    <w:rsid w:val="00C10C1F"/>
    <w:rsid w:val="00C1211E"/>
    <w:rsid w:val="00C12ACE"/>
    <w:rsid w:val="00C1358A"/>
    <w:rsid w:val="00C13AB0"/>
    <w:rsid w:val="00C17FBC"/>
    <w:rsid w:val="00C222CF"/>
    <w:rsid w:val="00C231E0"/>
    <w:rsid w:val="00C25575"/>
    <w:rsid w:val="00C25D96"/>
    <w:rsid w:val="00C25FD6"/>
    <w:rsid w:val="00C26A5E"/>
    <w:rsid w:val="00C26BBB"/>
    <w:rsid w:val="00C26BFA"/>
    <w:rsid w:val="00C318C7"/>
    <w:rsid w:val="00C325B2"/>
    <w:rsid w:val="00C33358"/>
    <w:rsid w:val="00C34959"/>
    <w:rsid w:val="00C371CD"/>
    <w:rsid w:val="00C37B69"/>
    <w:rsid w:val="00C416EC"/>
    <w:rsid w:val="00C41746"/>
    <w:rsid w:val="00C41D64"/>
    <w:rsid w:val="00C42F54"/>
    <w:rsid w:val="00C43828"/>
    <w:rsid w:val="00C45234"/>
    <w:rsid w:val="00C460DC"/>
    <w:rsid w:val="00C5214F"/>
    <w:rsid w:val="00C55401"/>
    <w:rsid w:val="00C55ECE"/>
    <w:rsid w:val="00C57305"/>
    <w:rsid w:val="00C653F9"/>
    <w:rsid w:val="00C66600"/>
    <w:rsid w:val="00C71BE0"/>
    <w:rsid w:val="00C735A3"/>
    <w:rsid w:val="00C80AA1"/>
    <w:rsid w:val="00C823FB"/>
    <w:rsid w:val="00C82654"/>
    <w:rsid w:val="00C84903"/>
    <w:rsid w:val="00C85C62"/>
    <w:rsid w:val="00C91210"/>
    <w:rsid w:val="00C91634"/>
    <w:rsid w:val="00C91B13"/>
    <w:rsid w:val="00C91C5F"/>
    <w:rsid w:val="00C93AB0"/>
    <w:rsid w:val="00C942C0"/>
    <w:rsid w:val="00C952B6"/>
    <w:rsid w:val="00C95BB4"/>
    <w:rsid w:val="00C961B4"/>
    <w:rsid w:val="00C965FD"/>
    <w:rsid w:val="00CA1356"/>
    <w:rsid w:val="00CA1888"/>
    <w:rsid w:val="00CA31E3"/>
    <w:rsid w:val="00CA3871"/>
    <w:rsid w:val="00CA58DD"/>
    <w:rsid w:val="00CA6438"/>
    <w:rsid w:val="00CB0301"/>
    <w:rsid w:val="00CC51DB"/>
    <w:rsid w:val="00CC7C2D"/>
    <w:rsid w:val="00CD0072"/>
    <w:rsid w:val="00CD0E74"/>
    <w:rsid w:val="00CD3A1D"/>
    <w:rsid w:val="00CD5560"/>
    <w:rsid w:val="00CD66F1"/>
    <w:rsid w:val="00CE1478"/>
    <w:rsid w:val="00CE4912"/>
    <w:rsid w:val="00CE4F9D"/>
    <w:rsid w:val="00CE51E4"/>
    <w:rsid w:val="00CE5EC5"/>
    <w:rsid w:val="00CE5F89"/>
    <w:rsid w:val="00CE6EF2"/>
    <w:rsid w:val="00CF1B24"/>
    <w:rsid w:val="00CF2178"/>
    <w:rsid w:val="00CF2793"/>
    <w:rsid w:val="00CF4F5E"/>
    <w:rsid w:val="00CF62BE"/>
    <w:rsid w:val="00CF6A13"/>
    <w:rsid w:val="00D00006"/>
    <w:rsid w:val="00D0419A"/>
    <w:rsid w:val="00D0485C"/>
    <w:rsid w:val="00D057B6"/>
    <w:rsid w:val="00D074CF"/>
    <w:rsid w:val="00D07A75"/>
    <w:rsid w:val="00D07F7D"/>
    <w:rsid w:val="00D1032B"/>
    <w:rsid w:val="00D13358"/>
    <w:rsid w:val="00D14FDD"/>
    <w:rsid w:val="00D15F51"/>
    <w:rsid w:val="00D167CE"/>
    <w:rsid w:val="00D174EA"/>
    <w:rsid w:val="00D20DAF"/>
    <w:rsid w:val="00D22CC2"/>
    <w:rsid w:val="00D24A20"/>
    <w:rsid w:val="00D25BDE"/>
    <w:rsid w:val="00D30863"/>
    <w:rsid w:val="00D30EA8"/>
    <w:rsid w:val="00D31157"/>
    <w:rsid w:val="00D36E4F"/>
    <w:rsid w:val="00D400F1"/>
    <w:rsid w:val="00D402DF"/>
    <w:rsid w:val="00D41E09"/>
    <w:rsid w:val="00D42F7C"/>
    <w:rsid w:val="00D43862"/>
    <w:rsid w:val="00D47121"/>
    <w:rsid w:val="00D47EEC"/>
    <w:rsid w:val="00D52477"/>
    <w:rsid w:val="00D533B8"/>
    <w:rsid w:val="00D5541F"/>
    <w:rsid w:val="00D57C70"/>
    <w:rsid w:val="00D57F7D"/>
    <w:rsid w:val="00D60483"/>
    <w:rsid w:val="00D60579"/>
    <w:rsid w:val="00D634F7"/>
    <w:rsid w:val="00D64483"/>
    <w:rsid w:val="00D6532F"/>
    <w:rsid w:val="00D654F8"/>
    <w:rsid w:val="00D6561B"/>
    <w:rsid w:val="00D65CD1"/>
    <w:rsid w:val="00D65F88"/>
    <w:rsid w:val="00D6626A"/>
    <w:rsid w:val="00D66317"/>
    <w:rsid w:val="00D6672D"/>
    <w:rsid w:val="00D672DA"/>
    <w:rsid w:val="00D673DF"/>
    <w:rsid w:val="00D762C4"/>
    <w:rsid w:val="00D80874"/>
    <w:rsid w:val="00D80A2A"/>
    <w:rsid w:val="00D833AF"/>
    <w:rsid w:val="00D839A8"/>
    <w:rsid w:val="00D842AD"/>
    <w:rsid w:val="00D86D83"/>
    <w:rsid w:val="00D86F4B"/>
    <w:rsid w:val="00D90E95"/>
    <w:rsid w:val="00DA0501"/>
    <w:rsid w:val="00DA0FA3"/>
    <w:rsid w:val="00DA1D6F"/>
    <w:rsid w:val="00DA1F76"/>
    <w:rsid w:val="00DA39EE"/>
    <w:rsid w:val="00DA43BB"/>
    <w:rsid w:val="00DA5E1F"/>
    <w:rsid w:val="00DA71B8"/>
    <w:rsid w:val="00DB004B"/>
    <w:rsid w:val="00DB150B"/>
    <w:rsid w:val="00DB2476"/>
    <w:rsid w:val="00DB2AB5"/>
    <w:rsid w:val="00DB2BF4"/>
    <w:rsid w:val="00DB31EB"/>
    <w:rsid w:val="00DB3D82"/>
    <w:rsid w:val="00DB4027"/>
    <w:rsid w:val="00DB482D"/>
    <w:rsid w:val="00DB48D8"/>
    <w:rsid w:val="00DB556B"/>
    <w:rsid w:val="00DB576B"/>
    <w:rsid w:val="00DB71A3"/>
    <w:rsid w:val="00DC04C4"/>
    <w:rsid w:val="00DC0DAC"/>
    <w:rsid w:val="00DC1461"/>
    <w:rsid w:val="00DC1C52"/>
    <w:rsid w:val="00DC2E74"/>
    <w:rsid w:val="00DC31F5"/>
    <w:rsid w:val="00DC41DE"/>
    <w:rsid w:val="00DC55BE"/>
    <w:rsid w:val="00DC64B9"/>
    <w:rsid w:val="00DC7AA9"/>
    <w:rsid w:val="00DD0B0A"/>
    <w:rsid w:val="00DD12EC"/>
    <w:rsid w:val="00DD1CC7"/>
    <w:rsid w:val="00DD2C98"/>
    <w:rsid w:val="00DD38D4"/>
    <w:rsid w:val="00DE0AAE"/>
    <w:rsid w:val="00DE384C"/>
    <w:rsid w:val="00DE3FA8"/>
    <w:rsid w:val="00DE577B"/>
    <w:rsid w:val="00DF2776"/>
    <w:rsid w:val="00DF31B8"/>
    <w:rsid w:val="00DF5240"/>
    <w:rsid w:val="00DF673F"/>
    <w:rsid w:val="00DF72A3"/>
    <w:rsid w:val="00E02AF5"/>
    <w:rsid w:val="00E034EA"/>
    <w:rsid w:val="00E07ACD"/>
    <w:rsid w:val="00E10450"/>
    <w:rsid w:val="00E114E7"/>
    <w:rsid w:val="00E11AC7"/>
    <w:rsid w:val="00E13720"/>
    <w:rsid w:val="00E144E8"/>
    <w:rsid w:val="00E14603"/>
    <w:rsid w:val="00E165DC"/>
    <w:rsid w:val="00E16CE8"/>
    <w:rsid w:val="00E20810"/>
    <w:rsid w:val="00E20DDB"/>
    <w:rsid w:val="00E2301F"/>
    <w:rsid w:val="00E239B9"/>
    <w:rsid w:val="00E25BEA"/>
    <w:rsid w:val="00E25E21"/>
    <w:rsid w:val="00E271CE"/>
    <w:rsid w:val="00E27E41"/>
    <w:rsid w:val="00E3129D"/>
    <w:rsid w:val="00E32FD4"/>
    <w:rsid w:val="00E35CD3"/>
    <w:rsid w:val="00E41AC4"/>
    <w:rsid w:val="00E41B5A"/>
    <w:rsid w:val="00E42F3E"/>
    <w:rsid w:val="00E43464"/>
    <w:rsid w:val="00E46FB0"/>
    <w:rsid w:val="00E50A99"/>
    <w:rsid w:val="00E51568"/>
    <w:rsid w:val="00E531D8"/>
    <w:rsid w:val="00E54A6F"/>
    <w:rsid w:val="00E54FFC"/>
    <w:rsid w:val="00E55676"/>
    <w:rsid w:val="00E576CC"/>
    <w:rsid w:val="00E57E84"/>
    <w:rsid w:val="00E63B89"/>
    <w:rsid w:val="00E63C81"/>
    <w:rsid w:val="00E63E49"/>
    <w:rsid w:val="00E65DBD"/>
    <w:rsid w:val="00E6799B"/>
    <w:rsid w:val="00E71611"/>
    <w:rsid w:val="00E747D5"/>
    <w:rsid w:val="00E77FA3"/>
    <w:rsid w:val="00E819E2"/>
    <w:rsid w:val="00E81DB9"/>
    <w:rsid w:val="00E82025"/>
    <w:rsid w:val="00E82BF1"/>
    <w:rsid w:val="00E83532"/>
    <w:rsid w:val="00E857C0"/>
    <w:rsid w:val="00E86168"/>
    <w:rsid w:val="00E87CEC"/>
    <w:rsid w:val="00E91D72"/>
    <w:rsid w:val="00E93F87"/>
    <w:rsid w:val="00E94295"/>
    <w:rsid w:val="00E9570C"/>
    <w:rsid w:val="00E97CE1"/>
    <w:rsid w:val="00E97F13"/>
    <w:rsid w:val="00EA3E22"/>
    <w:rsid w:val="00EA7787"/>
    <w:rsid w:val="00EB0D77"/>
    <w:rsid w:val="00EB1671"/>
    <w:rsid w:val="00EB5551"/>
    <w:rsid w:val="00EB7BB1"/>
    <w:rsid w:val="00EC289A"/>
    <w:rsid w:val="00EC40D3"/>
    <w:rsid w:val="00EC4962"/>
    <w:rsid w:val="00EC4D57"/>
    <w:rsid w:val="00EC6AFD"/>
    <w:rsid w:val="00EC7D03"/>
    <w:rsid w:val="00ED030F"/>
    <w:rsid w:val="00ED18EC"/>
    <w:rsid w:val="00ED1CA0"/>
    <w:rsid w:val="00ED2014"/>
    <w:rsid w:val="00ED2D80"/>
    <w:rsid w:val="00EE4833"/>
    <w:rsid w:val="00EE6315"/>
    <w:rsid w:val="00EF00AD"/>
    <w:rsid w:val="00EF351C"/>
    <w:rsid w:val="00EF55CC"/>
    <w:rsid w:val="00EF59B6"/>
    <w:rsid w:val="00EF6F35"/>
    <w:rsid w:val="00F02EAA"/>
    <w:rsid w:val="00F036AE"/>
    <w:rsid w:val="00F045E1"/>
    <w:rsid w:val="00F04729"/>
    <w:rsid w:val="00F06698"/>
    <w:rsid w:val="00F06AC8"/>
    <w:rsid w:val="00F078AF"/>
    <w:rsid w:val="00F10100"/>
    <w:rsid w:val="00F10171"/>
    <w:rsid w:val="00F107E3"/>
    <w:rsid w:val="00F111AD"/>
    <w:rsid w:val="00F1149B"/>
    <w:rsid w:val="00F11872"/>
    <w:rsid w:val="00F1327C"/>
    <w:rsid w:val="00F1386F"/>
    <w:rsid w:val="00F1507D"/>
    <w:rsid w:val="00F15CED"/>
    <w:rsid w:val="00F20231"/>
    <w:rsid w:val="00F204A4"/>
    <w:rsid w:val="00F207DF"/>
    <w:rsid w:val="00F21448"/>
    <w:rsid w:val="00F2155F"/>
    <w:rsid w:val="00F22AF2"/>
    <w:rsid w:val="00F23405"/>
    <w:rsid w:val="00F23CC8"/>
    <w:rsid w:val="00F2587E"/>
    <w:rsid w:val="00F26B9B"/>
    <w:rsid w:val="00F301B3"/>
    <w:rsid w:val="00F305B9"/>
    <w:rsid w:val="00F3096F"/>
    <w:rsid w:val="00F30D33"/>
    <w:rsid w:val="00F33C0C"/>
    <w:rsid w:val="00F35926"/>
    <w:rsid w:val="00F360A9"/>
    <w:rsid w:val="00F3724C"/>
    <w:rsid w:val="00F37C06"/>
    <w:rsid w:val="00F40DFB"/>
    <w:rsid w:val="00F41E09"/>
    <w:rsid w:val="00F43192"/>
    <w:rsid w:val="00F44BD2"/>
    <w:rsid w:val="00F50684"/>
    <w:rsid w:val="00F515C3"/>
    <w:rsid w:val="00F5304F"/>
    <w:rsid w:val="00F53CC3"/>
    <w:rsid w:val="00F5593C"/>
    <w:rsid w:val="00F56C3D"/>
    <w:rsid w:val="00F60144"/>
    <w:rsid w:val="00F60E38"/>
    <w:rsid w:val="00F60E98"/>
    <w:rsid w:val="00F6128A"/>
    <w:rsid w:val="00F61AB4"/>
    <w:rsid w:val="00F654D6"/>
    <w:rsid w:val="00F658A8"/>
    <w:rsid w:val="00F66096"/>
    <w:rsid w:val="00F6646B"/>
    <w:rsid w:val="00F672D4"/>
    <w:rsid w:val="00F74D7C"/>
    <w:rsid w:val="00F757A0"/>
    <w:rsid w:val="00F77DB0"/>
    <w:rsid w:val="00F77F43"/>
    <w:rsid w:val="00F80280"/>
    <w:rsid w:val="00F81260"/>
    <w:rsid w:val="00F82F27"/>
    <w:rsid w:val="00F831AA"/>
    <w:rsid w:val="00F86C23"/>
    <w:rsid w:val="00F90C0F"/>
    <w:rsid w:val="00F92137"/>
    <w:rsid w:val="00F94FC0"/>
    <w:rsid w:val="00F969EA"/>
    <w:rsid w:val="00F974BC"/>
    <w:rsid w:val="00FA0B2E"/>
    <w:rsid w:val="00FA2743"/>
    <w:rsid w:val="00FA3B5E"/>
    <w:rsid w:val="00FA4BB2"/>
    <w:rsid w:val="00FA544C"/>
    <w:rsid w:val="00FA6A04"/>
    <w:rsid w:val="00FA75E8"/>
    <w:rsid w:val="00FA7B63"/>
    <w:rsid w:val="00FB0470"/>
    <w:rsid w:val="00FB4563"/>
    <w:rsid w:val="00FB52C6"/>
    <w:rsid w:val="00FB5EDD"/>
    <w:rsid w:val="00FC0247"/>
    <w:rsid w:val="00FC03FA"/>
    <w:rsid w:val="00FC1487"/>
    <w:rsid w:val="00FC1759"/>
    <w:rsid w:val="00FC207A"/>
    <w:rsid w:val="00FC2C8F"/>
    <w:rsid w:val="00FC3E2B"/>
    <w:rsid w:val="00FC4235"/>
    <w:rsid w:val="00FC6848"/>
    <w:rsid w:val="00FC6D99"/>
    <w:rsid w:val="00FD0AF1"/>
    <w:rsid w:val="00FD1088"/>
    <w:rsid w:val="00FD3B90"/>
    <w:rsid w:val="00FD3CD6"/>
    <w:rsid w:val="00FD6FE4"/>
    <w:rsid w:val="00FD7177"/>
    <w:rsid w:val="00FE07FE"/>
    <w:rsid w:val="00FE0C9F"/>
    <w:rsid w:val="00FE1510"/>
    <w:rsid w:val="00FE1A88"/>
    <w:rsid w:val="00FE21EC"/>
    <w:rsid w:val="00FE274C"/>
    <w:rsid w:val="00FE3CDC"/>
    <w:rsid w:val="00FE4976"/>
    <w:rsid w:val="00FE5425"/>
    <w:rsid w:val="00FE64BC"/>
    <w:rsid w:val="00FE7093"/>
    <w:rsid w:val="00FF4FC8"/>
    <w:rsid w:val="00FF6328"/>
    <w:rsid w:val="00FF7F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3EEA6"/>
  <w15:docId w15:val="{464ED805-7534-4AC8-922C-C7BFD53E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AB7"/>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A33AB7"/>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A33AB7"/>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A33AB7"/>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A33AB7"/>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A33AB7"/>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A33AB7"/>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A33AB7"/>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A33AB7"/>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rsid w:val="00A33A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3AB7"/>
  </w:style>
  <w:style w:type="paragraph" w:styleId="CommentText">
    <w:name w:val="annotation text"/>
    <w:basedOn w:val="Normal"/>
    <w:link w:val="CommentTextChar"/>
    <w:unhideWhenUsed/>
    <w:rsid w:val="00A33AB7"/>
    <w:rPr>
      <w:sz w:val="20"/>
      <w:szCs w:val="20"/>
    </w:rPr>
  </w:style>
  <w:style w:type="character" w:customStyle="1" w:styleId="CommentTextChar">
    <w:name w:val="Comment Text Char"/>
    <w:basedOn w:val="DefaultParagraphFont"/>
    <w:link w:val="CommentText"/>
    <w:rsid w:val="00A33AB7"/>
    <w:rPr>
      <w:rFonts w:asciiTheme="minorHAnsi" w:eastAsiaTheme="minorHAnsi" w:hAnsiTheme="minorHAnsi" w:cstheme="minorBidi"/>
      <w:lang w:eastAsia="en-US"/>
    </w:rPr>
  </w:style>
  <w:style w:type="paragraph" w:styleId="Header">
    <w:name w:val="header"/>
    <w:basedOn w:val="Normal"/>
    <w:link w:val="HeaderChar"/>
    <w:uiPriority w:val="26"/>
    <w:rsid w:val="00A33AB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A33AB7"/>
    <w:rPr>
      <w:rFonts w:ascii="Calibri" w:eastAsiaTheme="minorHAnsi" w:hAnsi="Calibri" w:cstheme="minorBidi"/>
      <w:szCs w:val="22"/>
      <w:lang w:eastAsia="en-US"/>
    </w:rPr>
  </w:style>
  <w:style w:type="paragraph" w:styleId="Footer">
    <w:name w:val="footer"/>
    <w:basedOn w:val="Normal"/>
    <w:link w:val="FooterChar"/>
    <w:uiPriority w:val="27"/>
    <w:rsid w:val="00A33AB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A33AB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33AB7"/>
    <w:rPr>
      <w:sz w:val="16"/>
      <w:szCs w:val="16"/>
    </w:rPr>
  </w:style>
  <w:style w:type="paragraph" w:styleId="CommentSubject">
    <w:name w:val="annotation subject"/>
    <w:basedOn w:val="CommentText"/>
    <w:next w:val="CommentText"/>
    <w:link w:val="CommentSubjectChar"/>
    <w:uiPriority w:val="99"/>
    <w:semiHidden/>
    <w:unhideWhenUsed/>
    <w:rsid w:val="00A33AB7"/>
    <w:rPr>
      <w:b/>
      <w:bCs/>
    </w:rPr>
  </w:style>
  <w:style w:type="character" w:customStyle="1" w:styleId="CommentSubjectChar">
    <w:name w:val="Comment Subject Char"/>
    <w:basedOn w:val="CommentTextChar"/>
    <w:link w:val="CommentSubject"/>
    <w:uiPriority w:val="99"/>
    <w:semiHidden/>
    <w:rsid w:val="00A33AB7"/>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33AB7"/>
    <w:rPr>
      <w:rFonts w:ascii="Calibri" w:hAnsi="Calibri"/>
      <w:sz w:val="18"/>
      <w:szCs w:val="18"/>
    </w:rPr>
  </w:style>
  <w:style w:type="character" w:customStyle="1" w:styleId="BalloonTextChar">
    <w:name w:val="Balloon Text Char"/>
    <w:basedOn w:val="DefaultParagraphFont"/>
    <w:link w:val="BalloonText"/>
    <w:uiPriority w:val="99"/>
    <w:semiHidden/>
    <w:rsid w:val="00A33AB7"/>
    <w:rPr>
      <w:rFonts w:ascii="Calibri" w:eastAsiaTheme="minorHAnsi" w:hAnsi="Calibri" w:cstheme="minorBidi"/>
      <w:sz w:val="18"/>
      <w:szCs w:val="18"/>
      <w:lang w:eastAsia="en-US"/>
    </w:rPr>
  </w:style>
  <w:style w:type="paragraph" w:customStyle="1" w:styleId="Footeraddress">
    <w:name w:val="Footer address"/>
    <w:basedOn w:val="Footer"/>
    <w:semiHidden/>
    <w:qFormat/>
    <w:rsid w:val="00A33AB7"/>
    <w:rPr>
      <w:sz w:val="16"/>
    </w:rPr>
  </w:style>
  <w:style w:type="character" w:customStyle="1" w:styleId="Heading1Char">
    <w:name w:val="Heading 1 Char"/>
    <w:basedOn w:val="DefaultParagraphFont"/>
    <w:link w:val="Heading1"/>
    <w:uiPriority w:val="1"/>
    <w:rsid w:val="00A33AB7"/>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A33AB7"/>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A33AB7"/>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A33AB7"/>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A33AB7"/>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A33AB7"/>
    <w:pPr>
      <w:ind w:left="709" w:right="567"/>
    </w:pPr>
    <w:rPr>
      <w:iCs/>
      <w:color w:val="000000"/>
    </w:rPr>
  </w:style>
  <w:style w:type="character" w:customStyle="1" w:styleId="QuoteChar">
    <w:name w:val="Quote Char"/>
    <w:basedOn w:val="DefaultParagraphFont"/>
    <w:link w:val="Quote"/>
    <w:uiPriority w:val="18"/>
    <w:rsid w:val="00A33AB7"/>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33AB7"/>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33AB7"/>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33AB7"/>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A33AB7"/>
    <w:pPr>
      <w:spacing w:before="120"/>
    </w:pPr>
    <w:rPr>
      <w:b w:val="0"/>
      <w:sz w:val="56"/>
      <w:szCs w:val="56"/>
    </w:rPr>
  </w:style>
  <w:style w:type="character" w:customStyle="1" w:styleId="SubtitleChar">
    <w:name w:val="Subtitle Char"/>
    <w:basedOn w:val="DefaultParagraphFont"/>
    <w:link w:val="Subtitle"/>
    <w:uiPriority w:val="23"/>
    <w:rsid w:val="00A33AB7"/>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A33AB7"/>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A33AB7"/>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33AB7"/>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33AB7"/>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33AB7"/>
    <w:rPr>
      <w:color w:val="165788"/>
      <w:u w:val="single"/>
    </w:rPr>
  </w:style>
  <w:style w:type="paragraph" w:styleId="ListBullet">
    <w:name w:val="List Bullet"/>
    <w:basedOn w:val="Normal"/>
    <w:uiPriority w:val="99"/>
    <w:qFormat/>
    <w:rsid w:val="00A33AB7"/>
    <w:pPr>
      <w:numPr>
        <w:numId w:val="9"/>
      </w:numPr>
      <w:spacing w:before="120" w:after="120"/>
      <w:ind w:left="454" w:hanging="454"/>
    </w:pPr>
  </w:style>
  <w:style w:type="paragraph" w:styleId="TableofFigures">
    <w:name w:val="table of figures"/>
    <w:basedOn w:val="Normal"/>
    <w:next w:val="Normal"/>
    <w:uiPriority w:val="99"/>
    <w:rsid w:val="00A33AB7"/>
    <w:pPr>
      <w:spacing w:before="120" w:after="120" w:line="240" w:lineRule="auto"/>
    </w:pPr>
  </w:style>
  <w:style w:type="paragraph" w:styleId="ListBullet2">
    <w:name w:val="List Bullet 2"/>
    <w:basedOn w:val="Normal"/>
    <w:uiPriority w:val="8"/>
    <w:qFormat/>
    <w:rsid w:val="00A33AB7"/>
    <w:pPr>
      <w:numPr>
        <w:ilvl w:val="1"/>
        <w:numId w:val="9"/>
      </w:numPr>
      <w:spacing w:before="120" w:after="120"/>
      <w:ind w:left="908" w:hanging="454"/>
      <w:contextualSpacing/>
    </w:pPr>
  </w:style>
  <w:style w:type="paragraph" w:styleId="ListNumber">
    <w:name w:val="List Number"/>
    <w:basedOn w:val="Normal"/>
    <w:uiPriority w:val="9"/>
    <w:qFormat/>
    <w:rsid w:val="00A33AB7"/>
    <w:pPr>
      <w:numPr>
        <w:numId w:val="2"/>
      </w:numPr>
      <w:tabs>
        <w:tab w:val="left" w:pos="142"/>
      </w:tabs>
      <w:spacing w:before="120" w:after="120"/>
      <w:ind w:left="454" w:hanging="454"/>
    </w:pPr>
  </w:style>
  <w:style w:type="paragraph" w:styleId="ListNumber2">
    <w:name w:val="List Number 2"/>
    <w:uiPriority w:val="10"/>
    <w:qFormat/>
    <w:rsid w:val="00A33AB7"/>
    <w:pPr>
      <w:numPr>
        <w:ilvl w:val="1"/>
        <w:numId w:val="2"/>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A33AB7"/>
    <w:pPr>
      <w:numPr>
        <w:ilvl w:val="2"/>
        <w:numId w:val="2"/>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33AB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33AB7"/>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A33AB7"/>
    <w:pPr>
      <w:spacing w:before="60" w:after="60" w:line="240" w:lineRule="auto"/>
    </w:pPr>
    <w:rPr>
      <w:sz w:val="18"/>
    </w:rPr>
  </w:style>
  <w:style w:type="table" w:styleId="TableGrid1">
    <w:name w:val="Table Grid 1"/>
    <w:basedOn w:val="TableNormal"/>
    <w:uiPriority w:val="99"/>
    <w:semiHidden/>
    <w:unhideWhenUsed/>
    <w:rsid w:val="00A33AB7"/>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A33AB7"/>
    <w:pPr>
      <w:keepNext/>
    </w:pPr>
    <w:rPr>
      <w:b/>
    </w:rPr>
  </w:style>
  <w:style w:type="character" w:styleId="PlaceholderText">
    <w:name w:val="Placeholder Text"/>
    <w:basedOn w:val="DefaultParagraphFont"/>
    <w:uiPriority w:val="99"/>
    <w:semiHidden/>
    <w:rsid w:val="00A33AB7"/>
    <w:rPr>
      <w:color w:val="808080"/>
    </w:rPr>
  </w:style>
  <w:style w:type="paragraph" w:customStyle="1" w:styleId="Author">
    <w:name w:val="Author"/>
    <w:basedOn w:val="Normal"/>
    <w:next w:val="Normal"/>
    <w:uiPriority w:val="24"/>
    <w:qFormat/>
    <w:rsid w:val="00A33AB7"/>
    <w:pPr>
      <w:spacing w:after="60"/>
    </w:pPr>
    <w:rPr>
      <w:b/>
      <w:sz w:val="28"/>
      <w:szCs w:val="28"/>
    </w:rPr>
  </w:style>
  <w:style w:type="paragraph" w:customStyle="1" w:styleId="AuthorOrganisationAffiliation">
    <w:name w:val="Author Organisation/Affiliation"/>
    <w:basedOn w:val="Normal"/>
    <w:next w:val="Normal"/>
    <w:uiPriority w:val="25"/>
    <w:qFormat/>
    <w:rsid w:val="00A33AB7"/>
    <w:pPr>
      <w:spacing w:after="720"/>
    </w:pPr>
  </w:style>
  <w:style w:type="character" w:styleId="Strong">
    <w:name w:val="Strong"/>
    <w:basedOn w:val="DefaultParagraphFont"/>
    <w:uiPriority w:val="22"/>
    <w:qFormat/>
    <w:rsid w:val="00A33AB7"/>
    <w:rPr>
      <w:b/>
      <w:bCs/>
    </w:rPr>
  </w:style>
  <w:style w:type="paragraph" w:customStyle="1" w:styleId="Glossary">
    <w:name w:val="Glossary"/>
    <w:basedOn w:val="Normal"/>
    <w:link w:val="GlossaryChar"/>
    <w:uiPriority w:val="28"/>
    <w:semiHidden/>
    <w:locked/>
    <w:rsid w:val="00A33AB7"/>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A33AB7"/>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33AB7"/>
    <w:rPr>
      <w:i/>
      <w:iCs/>
    </w:rPr>
  </w:style>
  <w:style w:type="paragraph" w:styleId="TOAHeading">
    <w:name w:val="toa heading"/>
    <w:basedOn w:val="Heading1"/>
    <w:next w:val="Normal"/>
    <w:uiPriority w:val="99"/>
    <w:semiHidden/>
    <w:unhideWhenUsed/>
    <w:rsid w:val="00A33AB7"/>
    <w:pPr>
      <w:spacing w:before="120"/>
    </w:pPr>
    <w:rPr>
      <w:bCs w:val="0"/>
      <w:sz w:val="24"/>
    </w:rPr>
  </w:style>
  <w:style w:type="paragraph" w:styleId="NormalWeb">
    <w:name w:val="Normal (Web)"/>
    <w:basedOn w:val="Normal"/>
    <w:uiPriority w:val="99"/>
    <w:semiHidden/>
    <w:unhideWhenUsed/>
    <w:rsid w:val="00A33AB7"/>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A33AB7"/>
    <w:pPr>
      <w:numPr>
        <w:numId w:val="7"/>
      </w:numPr>
      <w:ind w:left="357" w:hanging="357"/>
    </w:pPr>
  </w:style>
  <w:style w:type="paragraph" w:styleId="DocumentMap">
    <w:name w:val="Document Map"/>
    <w:basedOn w:val="Normal"/>
    <w:link w:val="DocumentMapChar"/>
    <w:uiPriority w:val="99"/>
    <w:semiHidden/>
    <w:unhideWhenUsed/>
    <w:rsid w:val="00A33AB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3AB7"/>
    <w:rPr>
      <w:rFonts w:ascii="Tahoma" w:eastAsiaTheme="minorHAnsi" w:hAnsi="Tahoma" w:cs="Tahoma"/>
      <w:sz w:val="16"/>
      <w:szCs w:val="16"/>
      <w:lang w:eastAsia="en-US"/>
    </w:rPr>
  </w:style>
  <w:style w:type="paragraph" w:customStyle="1" w:styleId="BoxHeading">
    <w:name w:val="Box Heading"/>
    <w:basedOn w:val="BoxText"/>
    <w:uiPriority w:val="20"/>
    <w:qFormat/>
    <w:rsid w:val="00A33AB7"/>
    <w:pPr>
      <w:spacing w:line="240" w:lineRule="auto"/>
    </w:pPr>
    <w:rPr>
      <w:b/>
    </w:rPr>
  </w:style>
  <w:style w:type="paragraph" w:customStyle="1" w:styleId="Securityclassification">
    <w:name w:val="Security classification"/>
    <w:basedOn w:val="Header"/>
    <w:next w:val="Header"/>
    <w:uiPriority w:val="26"/>
    <w:qFormat/>
    <w:rsid w:val="00A33AB7"/>
    <w:pPr>
      <w:spacing w:after="0"/>
    </w:pPr>
    <w:rPr>
      <w:b/>
      <w:color w:val="FF0000"/>
      <w:sz w:val="36"/>
      <w:szCs w:val="36"/>
    </w:rPr>
  </w:style>
  <w:style w:type="paragraph" w:customStyle="1" w:styleId="DisseminationLimitingMarker">
    <w:name w:val="Dissemination Limiting Marker"/>
    <w:basedOn w:val="Header"/>
    <w:next w:val="Header"/>
    <w:uiPriority w:val="27"/>
    <w:rsid w:val="00A33AB7"/>
    <w:pPr>
      <w:spacing w:after="0"/>
    </w:pPr>
    <w:rPr>
      <w:b/>
      <w:sz w:val="36"/>
      <w:szCs w:val="36"/>
    </w:rPr>
  </w:style>
  <w:style w:type="paragraph" w:styleId="FootnoteText">
    <w:name w:val="footnote text"/>
    <w:basedOn w:val="Normal"/>
    <w:link w:val="FootnoteTextChar"/>
    <w:uiPriority w:val="99"/>
    <w:unhideWhenUsed/>
    <w:rsid w:val="00A33AB7"/>
    <w:pPr>
      <w:spacing w:after="60" w:line="264" w:lineRule="auto"/>
    </w:pPr>
    <w:rPr>
      <w:sz w:val="20"/>
      <w:szCs w:val="20"/>
    </w:rPr>
  </w:style>
  <w:style w:type="character" w:customStyle="1" w:styleId="FootnoteTextChar">
    <w:name w:val="Footnote Text Char"/>
    <w:basedOn w:val="DefaultParagraphFont"/>
    <w:link w:val="FootnoteText"/>
    <w:uiPriority w:val="99"/>
    <w:rsid w:val="00A33AB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33AB7"/>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33AB7"/>
    <w:rPr>
      <w:vertAlign w:val="superscript"/>
    </w:rPr>
  </w:style>
  <w:style w:type="character" w:styleId="FollowedHyperlink">
    <w:name w:val="FollowedHyperlink"/>
    <w:basedOn w:val="DefaultParagraphFont"/>
    <w:uiPriority w:val="99"/>
    <w:semiHidden/>
    <w:unhideWhenUsed/>
    <w:rsid w:val="00A33AB7"/>
    <w:rPr>
      <w:color w:val="800080"/>
      <w:u w:val="single"/>
    </w:rPr>
  </w:style>
  <w:style w:type="paragraph" w:customStyle="1" w:styleId="BoxSource">
    <w:name w:val="Box Source"/>
    <w:basedOn w:val="FigureTableNoteSource"/>
    <w:uiPriority w:val="22"/>
    <w:qFormat/>
    <w:rsid w:val="00A33AB7"/>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A33AB7"/>
    <w:pPr>
      <w:numPr>
        <w:numId w:val="9"/>
      </w:numPr>
    </w:pPr>
  </w:style>
  <w:style w:type="paragraph" w:styleId="Title">
    <w:name w:val="Title"/>
    <w:basedOn w:val="Normal"/>
    <w:next w:val="Normal"/>
    <w:link w:val="TitleChar"/>
    <w:uiPriority w:val="10"/>
    <w:semiHidden/>
    <w:qFormat/>
    <w:rsid w:val="00A33AB7"/>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33AB7"/>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33AB7"/>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A33AB7"/>
    <w:pPr>
      <w:numPr>
        <w:numId w:val="2"/>
      </w:numPr>
    </w:pPr>
  </w:style>
  <w:style w:type="numbering" w:customStyle="1" w:styleId="Headinglist">
    <w:name w:val="Heading list"/>
    <w:uiPriority w:val="99"/>
    <w:rsid w:val="00A33AB7"/>
    <w:pPr>
      <w:numPr>
        <w:numId w:val="8"/>
      </w:numPr>
    </w:pPr>
  </w:style>
  <w:style w:type="paragraph" w:customStyle="1" w:styleId="Normalsmall">
    <w:name w:val="Normal small"/>
    <w:qFormat/>
    <w:rsid w:val="00A33AB7"/>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A33AB7"/>
    <w:pPr>
      <w:numPr>
        <w:ilvl w:val="2"/>
        <w:numId w:val="9"/>
      </w:numPr>
      <w:contextualSpacing/>
    </w:pPr>
  </w:style>
  <w:style w:type="table" w:customStyle="1" w:styleId="ABARESTableleftrightalign">
    <w:name w:val="ABARES Table (left/right align)"/>
    <w:basedOn w:val="TableNormal"/>
    <w:uiPriority w:val="99"/>
    <w:rsid w:val="00A33AB7"/>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rsid w:val="00A33AB7"/>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character" w:styleId="IntenseEmphasis">
    <w:name w:val="Intense Emphasis"/>
    <w:basedOn w:val="DefaultParagraphFont"/>
    <w:uiPriority w:val="21"/>
    <w:semiHidden/>
    <w:qFormat/>
    <w:locked/>
    <w:rsid w:val="00A33AB7"/>
    <w:rPr>
      <w:i/>
      <w:iCs/>
      <w:color w:val="4F81BD" w:themeColor="accent1"/>
    </w:rPr>
  </w:style>
  <w:style w:type="paragraph" w:customStyle="1" w:styleId="TableBullet2">
    <w:name w:val="Table Bullet 2"/>
    <w:basedOn w:val="TableBullet"/>
    <w:qFormat/>
    <w:rsid w:val="00A33AB7"/>
    <w:pPr>
      <w:numPr>
        <w:numId w:val="11"/>
      </w:numPr>
      <w:tabs>
        <w:tab w:val="num" w:pos="361"/>
      </w:tabs>
      <w:ind w:left="568" w:hanging="284"/>
    </w:pPr>
  </w:style>
  <w:style w:type="numbering" w:customStyle="1" w:styleId="TableBulletlist">
    <w:name w:val="Table Bullet list"/>
    <w:uiPriority w:val="99"/>
    <w:rsid w:val="00A33AB7"/>
    <w:pPr>
      <w:numPr>
        <w:numId w:val="5"/>
      </w:numPr>
    </w:pPr>
  </w:style>
  <w:style w:type="character" w:styleId="UnresolvedMention">
    <w:name w:val="Unresolved Mention"/>
    <w:basedOn w:val="DefaultParagraphFont"/>
    <w:uiPriority w:val="99"/>
    <w:semiHidden/>
    <w:unhideWhenUsed/>
    <w:rsid w:val="00A33AB7"/>
    <w:rPr>
      <w:color w:val="605E5C"/>
      <w:shd w:val="clear" w:color="auto" w:fill="E1DFDD"/>
    </w:rPr>
  </w:style>
  <w:style w:type="paragraph" w:styleId="ListParagraph">
    <w:name w:val="List Paragraph"/>
    <w:basedOn w:val="Normal"/>
    <w:link w:val="ListParagraphChar"/>
    <w:uiPriority w:val="34"/>
    <w:qFormat/>
    <w:rsid w:val="00A33AB7"/>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33AB7"/>
    <w:rPr>
      <w:rFonts w:asciiTheme="minorHAnsi" w:eastAsiaTheme="majorEastAsia" w:hAnsiTheme="minorHAnsi" w:cstheme="majorBidi"/>
      <w:b/>
      <w:i/>
      <w:sz w:val="24"/>
      <w:szCs w:val="22"/>
      <w:lang w:eastAsia="en-US"/>
    </w:rPr>
  </w:style>
  <w:style w:type="numbering" w:customStyle="1" w:styleId="Style1">
    <w:name w:val="Style1"/>
    <w:uiPriority w:val="99"/>
    <w:rsid w:val="00755ED8"/>
    <w:pPr>
      <w:numPr>
        <w:numId w:val="15"/>
      </w:numPr>
    </w:pPr>
  </w:style>
  <w:style w:type="character" w:customStyle="1" w:styleId="ListParagraphChar">
    <w:name w:val="List Paragraph Char"/>
    <w:basedOn w:val="DefaultParagraphFont"/>
    <w:link w:val="ListParagraph"/>
    <w:uiPriority w:val="34"/>
    <w:locked/>
    <w:rsid w:val="005F15A2"/>
    <w:rPr>
      <w:rFonts w:ascii="Calibri" w:eastAsiaTheme="minorHAnsi" w:hAnsi="Calibri" w:cs="Calibri"/>
      <w:sz w:val="22"/>
      <w:szCs w:val="22"/>
      <w:lang w:eastAsia="en-US"/>
    </w:rPr>
  </w:style>
  <w:style w:type="paragraph" w:styleId="Revision">
    <w:name w:val="Revision"/>
    <w:hidden/>
    <w:uiPriority w:val="99"/>
    <w:semiHidden/>
    <w:rsid w:val="00A93B2A"/>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uiPriority w:val="9"/>
    <w:semiHidden/>
    <w:rsid w:val="00A33AB7"/>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A33AB7"/>
    <w:rPr>
      <w:rFonts w:ascii="Calibri" w:eastAsiaTheme="majorEastAsia" w:hAnsi="Calibri" w:cstheme="majorBidi"/>
      <w:b/>
      <w:i/>
      <w:color w:val="272727" w:themeColor="text1" w:themeTint="D8"/>
      <w:sz w:val="22"/>
      <w:szCs w:val="21"/>
      <w:lang w:eastAsia="en-US"/>
    </w:rPr>
  </w:style>
  <w:style w:type="paragraph" w:customStyle="1" w:styleId="TableBullet">
    <w:name w:val="Table Bullet"/>
    <w:basedOn w:val="TableText"/>
    <w:uiPriority w:val="15"/>
    <w:qFormat/>
    <w:rsid w:val="00A33AB7"/>
    <w:pPr>
      <w:numPr>
        <w:numId w:val="6"/>
      </w:numPr>
    </w:pPr>
  </w:style>
  <w:style w:type="paragraph" w:customStyle="1" w:styleId="TableListNumber">
    <w:name w:val="Table List Number"/>
    <w:uiPriority w:val="99"/>
    <w:qFormat/>
    <w:rsid w:val="00A33AB7"/>
    <w:pPr>
      <w:numPr>
        <w:numId w:val="41"/>
      </w:numPr>
      <w:spacing w:before="60" w:after="60"/>
      <w:contextualSpacing/>
    </w:pPr>
    <w:rPr>
      <w:rFonts w:asciiTheme="minorHAnsi" w:eastAsia="Calibri" w:hAnsiTheme="minorHAnsi"/>
      <w:color w:val="000000" w:themeColor="text1"/>
      <w:sz w:val="18"/>
      <w:szCs w:val="22"/>
      <w:lang w:eastAsia="en-US"/>
    </w:rPr>
  </w:style>
  <w:style w:type="paragraph" w:customStyle="1" w:styleId="TableListNumber2">
    <w:name w:val="Table List Number 2"/>
    <w:basedOn w:val="TableText"/>
    <w:qFormat/>
    <w:rsid w:val="00A33AB7"/>
    <w:pPr>
      <w:numPr>
        <w:ilvl w:val="1"/>
        <w:numId w:val="41"/>
      </w:numPr>
    </w:pPr>
  </w:style>
  <w:style w:type="paragraph" w:customStyle="1" w:styleId="TableListNumber3">
    <w:name w:val="Table List Number 3"/>
    <w:basedOn w:val="TableText"/>
    <w:qFormat/>
    <w:rsid w:val="00A33AB7"/>
    <w:pPr>
      <w:numPr>
        <w:ilvl w:val="2"/>
        <w:numId w:val="41"/>
      </w:numPr>
    </w:pPr>
  </w:style>
  <w:style w:type="numbering" w:customStyle="1" w:styleId="Tablenumberedlists">
    <w:name w:val="Table numbered lists"/>
    <w:uiPriority w:val="99"/>
    <w:rsid w:val="00A33AB7"/>
    <w:pPr>
      <w:numPr>
        <w:numId w:val="41"/>
      </w:numPr>
    </w:pPr>
  </w:style>
  <w:style w:type="paragraph" w:customStyle="1" w:styleId="BoxTextNumber">
    <w:name w:val="Box Text Number"/>
    <w:basedOn w:val="BoxText"/>
    <w:qFormat/>
    <w:rsid w:val="00A33AB7"/>
    <w:pPr>
      <w:numPr>
        <w:numId w:val="43"/>
      </w:numPr>
    </w:pPr>
  </w:style>
  <w:style w:type="table" w:styleId="TableGrid">
    <w:name w:val="Table Grid"/>
    <w:basedOn w:val="TableNormal"/>
    <w:uiPriority w:val="59"/>
    <w:rsid w:val="00A33AB7"/>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260">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6981999">
      <w:bodyDiv w:val="1"/>
      <w:marLeft w:val="0"/>
      <w:marRight w:val="0"/>
      <w:marTop w:val="0"/>
      <w:marBottom w:val="0"/>
      <w:divBdr>
        <w:top w:val="none" w:sz="0" w:space="0" w:color="auto"/>
        <w:left w:val="none" w:sz="0" w:space="0" w:color="auto"/>
        <w:bottom w:val="none" w:sz="0" w:space="0" w:color="auto"/>
        <w:right w:val="none" w:sz="0" w:space="0" w:color="auto"/>
      </w:divBdr>
    </w:div>
    <w:div w:id="58327683">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414">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69611372">
      <w:bodyDiv w:val="1"/>
      <w:marLeft w:val="0"/>
      <w:marRight w:val="0"/>
      <w:marTop w:val="0"/>
      <w:marBottom w:val="0"/>
      <w:divBdr>
        <w:top w:val="none" w:sz="0" w:space="0" w:color="auto"/>
        <w:left w:val="none" w:sz="0" w:space="0" w:color="auto"/>
        <w:bottom w:val="none" w:sz="0" w:space="0" w:color="auto"/>
        <w:right w:val="none" w:sz="0" w:space="0" w:color="auto"/>
      </w:divBdr>
    </w:div>
    <w:div w:id="175274491">
      <w:bodyDiv w:val="1"/>
      <w:marLeft w:val="0"/>
      <w:marRight w:val="0"/>
      <w:marTop w:val="0"/>
      <w:marBottom w:val="0"/>
      <w:divBdr>
        <w:top w:val="none" w:sz="0" w:space="0" w:color="auto"/>
        <w:left w:val="none" w:sz="0" w:space="0" w:color="auto"/>
        <w:bottom w:val="none" w:sz="0" w:space="0" w:color="auto"/>
        <w:right w:val="none" w:sz="0" w:space="0" w:color="auto"/>
      </w:divBdr>
    </w:div>
    <w:div w:id="197400562">
      <w:bodyDiv w:val="1"/>
      <w:marLeft w:val="0"/>
      <w:marRight w:val="0"/>
      <w:marTop w:val="0"/>
      <w:marBottom w:val="0"/>
      <w:divBdr>
        <w:top w:val="none" w:sz="0" w:space="0" w:color="auto"/>
        <w:left w:val="none" w:sz="0" w:space="0" w:color="auto"/>
        <w:bottom w:val="none" w:sz="0" w:space="0" w:color="auto"/>
        <w:right w:val="none" w:sz="0" w:space="0" w:color="auto"/>
      </w:divBdr>
    </w:div>
    <w:div w:id="285620622">
      <w:bodyDiv w:val="1"/>
      <w:marLeft w:val="0"/>
      <w:marRight w:val="0"/>
      <w:marTop w:val="0"/>
      <w:marBottom w:val="0"/>
      <w:divBdr>
        <w:top w:val="none" w:sz="0" w:space="0" w:color="auto"/>
        <w:left w:val="none" w:sz="0" w:space="0" w:color="auto"/>
        <w:bottom w:val="none" w:sz="0" w:space="0" w:color="auto"/>
        <w:right w:val="none" w:sz="0" w:space="0" w:color="auto"/>
      </w:divBdr>
    </w:div>
    <w:div w:id="35226361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552090">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8104136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3282286">
      <w:bodyDiv w:val="1"/>
      <w:marLeft w:val="0"/>
      <w:marRight w:val="0"/>
      <w:marTop w:val="0"/>
      <w:marBottom w:val="0"/>
      <w:divBdr>
        <w:top w:val="none" w:sz="0" w:space="0" w:color="auto"/>
        <w:left w:val="none" w:sz="0" w:space="0" w:color="auto"/>
        <w:bottom w:val="none" w:sz="0" w:space="0" w:color="auto"/>
        <w:right w:val="none" w:sz="0" w:space="0" w:color="auto"/>
      </w:divBdr>
    </w:div>
    <w:div w:id="507254264">
      <w:bodyDiv w:val="1"/>
      <w:marLeft w:val="0"/>
      <w:marRight w:val="0"/>
      <w:marTop w:val="0"/>
      <w:marBottom w:val="0"/>
      <w:divBdr>
        <w:top w:val="none" w:sz="0" w:space="0" w:color="auto"/>
        <w:left w:val="none" w:sz="0" w:space="0" w:color="auto"/>
        <w:bottom w:val="none" w:sz="0" w:space="0" w:color="auto"/>
        <w:right w:val="none" w:sz="0" w:space="0" w:color="auto"/>
      </w:divBdr>
    </w:div>
    <w:div w:id="569997351">
      <w:bodyDiv w:val="1"/>
      <w:marLeft w:val="0"/>
      <w:marRight w:val="0"/>
      <w:marTop w:val="0"/>
      <w:marBottom w:val="0"/>
      <w:divBdr>
        <w:top w:val="none" w:sz="0" w:space="0" w:color="auto"/>
        <w:left w:val="none" w:sz="0" w:space="0" w:color="auto"/>
        <w:bottom w:val="none" w:sz="0" w:space="0" w:color="auto"/>
        <w:right w:val="none" w:sz="0" w:space="0" w:color="auto"/>
      </w:divBdr>
    </w:div>
    <w:div w:id="577716742">
      <w:bodyDiv w:val="1"/>
      <w:marLeft w:val="0"/>
      <w:marRight w:val="0"/>
      <w:marTop w:val="0"/>
      <w:marBottom w:val="0"/>
      <w:divBdr>
        <w:top w:val="none" w:sz="0" w:space="0" w:color="auto"/>
        <w:left w:val="none" w:sz="0" w:space="0" w:color="auto"/>
        <w:bottom w:val="none" w:sz="0" w:space="0" w:color="auto"/>
        <w:right w:val="none" w:sz="0" w:space="0" w:color="auto"/>
      </w:divBdr>
    </w:div>
    <w:div w:id="595601554">
      <w:bodyDiv w:val="1"/>
      <w:marLeft w:val="0"/>
      <w:marRight w:val="0"/>
      <w:marTop w:val="0"/>
      <w:marBottom w:val="0"/>
      <w:divBdr>
        <w:top w:val="none" w:sz="0" w:space="0" w:color="auto"/>
        <w:left w:val="none" w:sz="0" w:space="0" w:color="auto"/>
        <w:bottom w:val="none" w:sz="0" w:space="0" w:color="auto"/>
        <w:right w:val="none" w:sz="0" w:space="0" w:color="auto"/>
      </w:divBdr>
    </w:div>
    <w:div w:id="596601884">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11798">
      <w:bodyDiv w:val="1"/>
      <w:marLeft w:val="0"/>
      <w:marRight w:val="0"/>
      <w:marTop w:val="0"/>
      <w:marBottom w:val="0"/>
      <w:divBdr>
        <w:top w:val="none" w:sz="0" w:space="0" w:color="auto"/>
        <w:left w:val="none" w:sz="0" w:space="0" w:color="auto"/>
        <w:bottom w:val="none" w:sz="0" w:space="0" w:color="auto"/>
        <w:right w:val="none" w:sz="0" w:space="0" w:color="auto"/>
      </w:divBdr>
    </w:div>
    <w:div w:id="637536565">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60862">
      <w:bodyDiv w:val="1"/>
      <w:marLeft w:val="0"/>
      <w:marRight w:val="0"/>
      <w:marTop w:val="0"/>
      <w:marBottom w:val="0"/>
      <w:divBdr>
        <w:top w:val="none" w:sz="0" w:space="0" w:color="auto"/>
        <w:left w:val="none" w:sz="0" w:space="0" w:color="auto"/>
        <w:bottom w:val="none" w:sz="0" w:space="0" w:color="auto"/>
        <w:right w:val="none" w:sz="0" w:space="0" w:color="auto"/>
      </w:divBdr>
    </w:div>
    <w:div w:id="888420811">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9701094">
      <w:bodyDiv w:val="1"/>
      <w:marLeft w:val="0"/>
      <w:marRight w:val="0"/>
      <w:marTop w:val="0"/>
      <w:marBottom w:val="0"/>
      <w:divBdr>
        <w:top w:val="none" w:sz="0" w:space="0" w:color="auto"/>
        <w:left w:val="none" w:sz="0" w:space="0" w:color="auto"/>
        <w:bottom w:val="none" w:sz="0" w:space="0" w:color="auto"/>
        <w:right w:val="none" w:sz="0" w:space="0" w:color="auto"/>
      </w:divBdr>
    </w:div>
    <w:div w:id="955864616">
      <w:bodyDiv w:val="1"/>
      <w:marLeft w:val="0"/>
      <w:marRight w:val="0"/>
      <w:marTop w:val="0"/>
      <w:marBottom w:val="0"/>
      <w:divBdr>
        <w:top w:val="none" w:sz="0" w:space="0" w:color="auto"/>
        <w:left w:val="none" w:sz="0" w:space="0" w:color="auto"/>
        <w:bottom w:val="none" w:sz="0" w:space="0" w:color="auto"/>
        <w:right w:val="none" w:sz="0" w:space="0" w:color="auto"/>
      </w:divBdr>
    </w:div>
    <w:div w:id="983239382">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02808">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84228683">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417291">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14347458">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25742168">
      <w:bodyDiv w:val="1"/>
      <w:marLeft w:val="0"/>
      <w:marRight w:val="0"/>
      <w:marTop w:val="0"/>
      <w:marBottom w:val="0"/>
      <w:divBdr>
        <w:top w:val="none" w:sz="0" w:space="0" w:color="auto"/>
        <w:left w:val="none" w:sz="0" w:space="0" w:color="auto"/>
        <w:bottom w:val="none" w:sz="0" w:space="0" w:color="auto"/>
        <w:right w:val="none" w:sz="0" w:space="0" w:color="auto"/>
      </w:divBdr>
    </w:div>
    <w:div w:id="1325891404">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1601">
      <w:bodyDiv w:val="1"/>
      <w:marLeft w:val="0"/>
      <w:marRight w:val="0"/>
      <w:marTop w:val="0"/>
      <w:marBottom w:val="0"/>
      <w:divBdr>
        <w:top w:val="none" w:sz="0" w:space="0" w:color="auto"/>
        <w:left w:val="none" w:sz="0" w:space="0" w:color="auto"/>
        <w:bottom w:val="none" w:sz="0" w:space="0" w:color="auto"/>
        <w:right w:val="none" w:sz="0" w:space="0" w:color="auto"/>
      </w:divBdr>
    </w:div>
    <w:div w:id="1432387524">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60628025">
      <w:bodyDiv w:val="1"/>
      <w:marLeft w:val="0"/>
      <w:marRight w:val="0"/>
      <w:marTop w:val="0"/>
      <w:marBottom w:val="0"/>
      <w:divBdr>
        <w:top w:val="none" w:sz="0" w:space="0" w:color="auto"/>
        <w:left w:val="none" w:sz="0" w:space="0" w:color="auto"/>
        <w:bottom w:val="none" w:sz="0" w:space="0" w:color="auto"/>
        <w:right w:val="none" w:sz="0" w:space="0" w:color="auto"/>
      </w:divBdr>
    </w:div>
    <w:div w:id="1659306217">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419169">
      <w:bodyDiv w:val="1"/>
      <w:marLeft w:val="0"/>
      <w:marRight w:val="0"/>
      <w:marTop w:val="0"/>
      <w:marBottom w:val="0"/>
      <w:divBdr>
        <w:top w:val="none" w:sz="0" w:space="0" w:color="auto"/>
        <w:left w:val="none" w:sz="0" w:space="0" w:color="auto"/>
        <w:bottom w:val="none" w:sz="0" w:space="0" w:color="auto"/>
        <w:right w:val="none" w:sz="0" w:space="0" w:color="auto"/>
      </w:divBdr>
    </w:div>
    <w:div w:id="1782916579">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1208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4499">
      <w:bodyDiv w:val="1"/>
      <w:marLeft w:val="0"/>
      <w:marRight w:val="0"/>
      <w:marTop w:val="0"/>
      <w:marBottom w:val="0"/>
      <w:divBdr>
        <w:top w:val="none" w:sz="0" w:space="0" w:color="auto"/>
        <w:left w:val="none" w:sz="0" w:space="0" w:color="auto"/>
        <w:bottom w:val="none" w:sz="0" w:space="0" w:color="auto"/>
        <w:right w:val="none" w:sz="0" w:space="0" w:color="auto"/>
      </w:divBdr>
    </w:div>
    <w:div w:id="2003656224">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510264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429960">
      <w:bodyDiv w:val="1"/>
      <w:marLeft w:val="0"/>
      <w:marRight w:val="0"/>
      <w:marTop w:val="0"/>
      <w:marBottom w:val="0"/>
      <w:divBdr>
        <w:top w:val="none" w:sz="0" w:space="0" w:color="auto"/>
        <w:left w:val="none" w:sz="0" w:space="0" w:color="auto"/>
        <w:bottom w:val="none" w:sz="0" w:space="0" w:color="auto"/>
        <w:right w:val="none" w:sz="0" w:space="0" w:color="auto"/>
      </w:divBdr>
    </w:div>
    <w:div w:id="2092314921">
      <w:bodyDiv w:val="1"/>
      <w:marLeft w:val="0"/>
      <w:marRight w:val="0"/>
      <w:marTop w:val="0"/>
      <w:marBottom w:val="0"/>
      <w:divBdr>
        <w:top w:val="none" w:sz="0" w:space="0" w:color="auto"/>
        <w:left w:val="none" w:sz="0" w:space="0" w:color="auto"/>
        <w:bottom w:val="none" w:sz="0" w:space="0" w:color="auto"/>
        <w:right w:val="none" w:sz="0" w:space="0" w:color="auto"/>
      </w:divBdr>
    </w:div>
    <w:div w:id="2117091652">
      <w:bodyDiv w:val="1"/>
      <w:marLeft w:val="0"/>
      <w:marRight w:val="0"/>
      <w:marTop w:val="0"/>
      <w:marBottom w:val="0"/>
      <w:divBdr>
        <w:top w:val="none" w:sz="0" w:space="0" w:color="auto"/>
        <w:left w:val="none" w:sz="0" w:space="0" w:color="auto"/>
        <w:bottom w:val="none" w:sz="0" w:space="0" w:color="auto"/>
        <w:right w:val="none" w:sz="0" w:space="0" w:color="auto"/>
      </w:divBdr>
    </w:div>
    <w:div w:id="211766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aca.org/?id=1040" TargetMode="External"/><Relationship Id="rId18" Type="http://schemas.openxmlformats.org/officeDocument/2006/relationships/header" Target="header3.xml"/><Relationship Id="rId26" Type="http://schemas.openxmlformats.org/officeDocument/2006/relationships/image" Target="media/image7.png"/><Relationship Id="rId21" Type="http://schemas.openxmlformats.org/officeDocument/2006/relationships/hyperlink" Target="https://enaca.org/?id=1040" TargetMode="External"/><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yperlink" Target="https://www.agriculture.gov.au/"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naca.org/?id=685&amp;title=regional-proficiency-testing-program-for-aquatic-animal-disease-diagnostic-laboratories-in-asia-pacific"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culture.gov.au/publications"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s://enaca.org/?id=1147" TargetMode="External"/><Relationship Id="rId10" Type="http://schemas.openxmlformats.org/officeDocument/2006/relationships/hyperlink" Target="https://www.agriculture.gov.au/agriculture-land/animal/aquatic/international_activities" TargetMode="Externa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yperlink" Target="https://enaca.org/?id=606" TargetMode="External"/><Relationship Id="rId8" Type="http://schemas.openxmlformats.org/officeDocument/2006/relationships/hyperlink" Target="https://creativecommons.org/licenses/by/4.0/legalcode"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ct001cl04fs02\parliamentmedia$\ParliamentMedia\Corporate%20Communications\Production\Editors\Templates\Current%20templates%20on%20L\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0</TotalTime>
  <Pages>33</Pages>
  <Words>9701</Words>
  <Characters>55302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The aquatic proficiency testing program for the Asia-Pacific region</vt:lpstr>
    </vt:vector>
  </TitlesOfParts>
  <Company/>
  <LinksUpToDate>false</LinksUpToDate>
  <CharactersWithSpaces>64874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aquatic proficiency testing program for the Asia-Pacific region</dc:title>
  <dc:subject/>
  <dc:creator>Department of Agriculture Fisheries and Forestry</dc:creator>
  <cp:keywords/>
  <dc:description/>
  <cp:lastModifiedBy>Byrnes, Sonia</cp:lastModifiedBy>
  <cp:revision>3</cp:revision>
  <cp:lastPrinted>2025-11-20T07:35:00Z</cp:lastPrinted>
  <dcterms:created xsi:type="dcterms:W3CDTF">2025-11-20T07:35:00Z</dcterms:created>
  <dcterms:modified xsi:type="dcterms:W3CDTF">2025-11-20T07:35:00Z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2d80bb08,5035f074,5e311419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577df696,442514ed,dcafee7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2024-08-21T07:35:53Z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fb488d14-6e62-4708-9680-2f0a28cbce23</vt:lpwstr>
  </property>
  <property fmtid="{D5CDD505-2E9C-101B-9397-08002B2CF9AE}" pid="14" name="MSIP_Label_933d8be6-3c40-4052-87a2-9c2adcba8759_ContentBits">
    <vt:lpwstr>3</vt:lpwstr>
  </property>
</Properties>
</file>