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F260" w14:textId="56611005" w:rsidR="00E362EF" w:rsidRDefault="00AD1841">
      <w:pPr>
        <w:pStyle w:val="Heading1"/>
      </w:pPr>
      <w:bookmarkStart w:id="0" w:name="_Hlk134803228"/>
      <w:r>
        <w:t>AAV</w:t>
      </w:r>
      <w:r w:rsidR="00843D64">
        <w:t>s</w:t>
      </w:r>
      <w:r>
        <w:t xml:space="preserve"> and stockperson</w:t>
      </w:r>
      <w:r w:rsidR="00843D64">
        <w:t xml:space="preserve">s on </w:t>
      </w:r>
      <w:r w:rsidR="001A7488">
        <w:t xml:space="preserve">livestock </w:t>
      </w:r>
      <w:r w:rsidR="00843D64">
        <w:t>voyages</w:t>
      </w:r>
      <w:r w:rsidR="001A7488">
        <w:t xml:space="preserve"> by sea</w:t>
      </w:r>
      <w:r w:rsidR="006A419D">
        <w:t xml:space="preserve"> under ASEL</w:t>
      </w:r>
    </w:p>
    <w:bookmarkEnd w:id="0"/>
    <w:p w14:paraId="2F32A58F" w14:textId="46DEE0C5" w:rsidR="00B5453F" w:rsidRPr="00B5453F" w:rsidRDefault="00D57861" w:rsidP="00B5453F">
      <w:pPr>
        <w:pStyle w:val="Author"/>
      </w:pPr>
      <w:r>
        <w:t>Live Animal Export Branch</w:t>
      </w:r>
    </w:p>
    <w:p w14:paraId="69CEC7FE" w14:textId="36E1BFF7" w:rsidR="00E362EF" w:rsidRPr="00C05EA8" w:rsidRDefault="00D57861" w:rsidP="00C05EA8">
      <w:pPr>
        <w:pStyle w:val="Heading2"/>
      </w:pPr>
      <w:r>
        <w:t>Purpose</w:t>
      </w:r>
    </w:p>
    <w:p w14:paraId="3DD5DE95" w14:textId="79AAE816" w:rsidR="00D57861" w:rsidRDefault="00AB250B">
      <w:r>
        <w:t xml:space="preserve">This </w:t>
      </w:r>
      <w:r w:rsidRPr="00AB250B">
        <w:t xml:space="preserve">policy outlines </w:t>
      </w:r>
      <w:r w:rsidR="006843C7">
        <w:t xml:space="preserve">the </w:t>
      </w:r>
      <w:r w:rsidRPr="00AB250B">
        <w:t xml:space="preserve">on-board personnel requirements </w:t>
      </w:r>
      <w:r w:rsidR="002C2981">
        <w:t>for livestock</w:t>
      </w:r>
      <w:r w:rsidRPr="00AB250B">
        <w:t xml:space="preserve"> </w:t>
      </w:r>
      <w:r w:rsidR="007216EB">
        <w:t>exports</w:t>
      </w:r>
      <w:r w:rsidR="007216EB" w:rsidRPr="00AB250B">
        <w:t xml:space="preserve"> </w:t>
      </w:r>
      <w:r w:rsidRPr="00AB250B">
        <w:t>by sea</w:t>
      </w:r>
      <w:r w:rsidR="002C2981">
        <w:t xml:space="preserve"> in accordance with </w:t>
      </w:r>
      <w:r w:rsidRPr="00AB250B">
        <w:t xml:space="preserve">the Australian Standards for the Export of Livestock (ASEL). It also provides a guide for </w:t>
      </w:r>
      <w:r w:rsidR="00684126">
        <w:t xml:space="preserve">alternative arrangement </w:t>
      </w:r>
      <w:r w:rsidRPr="00AB250B">
        <w:t xml:space="preserve">applications that can be made under </w:t>
      </w:r>
      <w:r w:rsidR="00E257CB">
        <w:t>a</w:t>
      </w:r>
      <w:r w:rsidRPr="00AB250B">
        <w:t xml:space="preserve"> </w:t>
      </w:r>
      <w:r w:rsidR="006651FD">
        <w:t xml:space="preserve">consignment’s </w:t>
      </w:r>
      <w:r w:rsidRPr="00AB250B">
        <w:t>notice of intention to export (NOI</w:t>
      </w:r>
      <w:r>
        <w:t>)</w:t>
      </w:r>
      <w:r w:rsidR="00D57861">
        <w:t>.</w:t>
      </w:r>
    </w:p>
    <w:p w14:paraId="283FEBB8" w14:textId="0F972561" w:rsidR="00D57861" w:rsidRDefault="00D57861" w:rsidP="00D57861">
      <w:pPr>
        <w:pStyle w:val="Heading2"/>
      </w:pPr>
      <w:r>
        <w:t>S</w:t>
      </w:r>
      <w:r w:rsidR="00AB250B">
        <w:t>cope</w:t>
      </w:r>
    </w:p>
    <w:p w14:paraId="20DC8B31" w14:textId="2B4BE849" w:rsidR="007216EB" w:rsidRDefault="00AB250B" w:rsidP="00AB250B">
      <w:r>
        <w:t xml:space="preserve">This </w:t>
      </w:r>
      <w:r w:rsidRPr="00AB250B">
        <w:t>policy applies to exporters,</w:t>
      </w:r>
      <w:r w:rsidR="00C27757">
        <w:t xml:space="preserve"> </w:t>
      </w:r>
      <w:r w:rsidR="0087334B">
        <w:t>a</w:t>
      </w:r>
      <w:r w:rsidRPr="00AB250B">
        <w:t xml:space="preserve">ccredited </w:t>
      </w:r>
      <w:r w:rsidR="0087334B">
        <w:t>v</w:t>
      </w:r>
      <w:r w:rsidRPr="00AB250B">
        <w:t xml:space="preserve">eterinarians (AAVs) and </w:t>
      </w:r>
      <w:r w:rsidR="00843D64">
        <w:t xml:space="preserve">accredited </w:t>
      </w:r>
      <w:r w:rsidRPr="00AB250B">
        <w:t>stockpersons</w:t>
      </w:r>
      <w:r>
        <w:t>.</w:t>
      </w:r>
    </w:p>
    <w:p w14:paraId="3111AB0F" w14:textId="2782A3F0" w:rsidR="00AB250B" w:rsidRDefault="00AB250B" w:rsidP="007216EB">
      <w:r>
        <w:rPr>
          <w:lang w:val="en-US"/>
        </w:rPr>
        <w:t xml:space="preserve">In </w:t>
      </w:r>
      <w:r w:rsidRPr="00AB250B">
        <w:t xml:space="preserve">accordance with ASEL </w:t>
      </w:r>
      <w:r w:rsidR="00B0476E">
        <w:t xml:space="preserve">standards 4.1.9, 4.1.10, 4.1.11 and 4.1.12, </w:t>
      </w:r>
      <w:r w:rsidRPr="00AB250B">
        <w:t xml:space="preserve">the department will consider on-board personnel arrangements as part of an NOI application. In considering the approval of </w:t>
      </w:r>
      <w:r w:rsidR="004F0D5E">
        <w:t xml:space="preserve">an </w:t>
      </w:r>
      <w:r w:rsidRPr="00AB250B">
        <w:t>NOI</w:t>
      </w:r>
      <w:r w:rsidR="007216EB">
        <w:t>,</w:t>
      </w:r>
      <w:r w:rsidRPr="00AB250B">
        <w:t xml:space="preserve"> the department will consider whether the international transport arrangements for the livestock are adequate for their health and welfare.</w:t>
      </w:r>
    </w:p>
    <w:p w14:paraId="645EB00C" w14:textId="6DE2A510" w:rsidR="000936DD" w:rsidRDefault="00AB250B" w:rsidP="007216EB">
      <w:pPr>
        <w:pStyle w:val="ListBullet"/>
        <w:numPr>
          <w:ilvl w:val="0"/>
          <w:numId w:val="0"/>
        </w:numPr>
        <w:ind w:left="425" w:hanging="425"/>
        <w:rPr>
          <w:rFonts w:cstheme="minorHAnsi"/>
        </w:rPr>
      </w:pPr>
      <w:r>
        <w:rPr>
          <w:rFonts w:cstheme="minorHAnsi"/>
        </w:rPr>
        <w:t xml:space="preserve">This </w:t>
      </w:r>
      <w:r w:rsidR="007216EB">
        <w:rPr>
          <w:rFonts w:cstheme="minorHAnsi"/>
        </w:rPr>
        <w:t>policy</w:t>
      </w:r>
      <w:r w:rsidRPr="00AB250B">
        <w:rPr>
          <w:rFonts w:cstheme="minorHAnsi"/>
        </w:rPr>
        <w:t xml:space="preserve"> outlines</w:t>
      </w:r>
      <w:r w:rsidR="00F124B9">
        <w:rPr>
          <w:rFonts w:cstheme="minorHAnsi"/>
        </w:rPr>
        <w:t xml:space="preserve"> the</w:t>
      </w:r>
      <w:r w:rsidR="000936DD">
        <w:rPr>
          <w:rFonts w:cstheme="minorHAnsi"/>
        </w:rPr>
        <w:t>:</w:t>
      </w:r>
    </w:p>
    <w:p w14:paraId="6FCCCE46" w14:textId="0C99BB3B" w:rsidR="006843C7" w:rsidRPr="00AB250B" w:rsidRDefault="006843C7" w:rsidP="006843C7">
      <w:pPr>
        <w:pStyle w:val="ListBullet"/>
      </w:pPr>
      <w:r w:rsidRPr="00F124B9">
        <w:t>requirements</w:t>
      </w:r>
      <w:r>
        <w:t xml:space="preserve"> for</w:t>
      </w:r>
      <w:r w:rsidRPr="00AB250B">
        <w:t xml:space="preserve"> an AAV to accompany a consignment in accordance with ASEL s</w:t>
      </w:r>
      <w:r>
        <w:t>tandard</w:t>
      </w:r>
      <w:r w:rsidR="00F124B9">
        <w:t> </w:t>
      </w:r>
      <w:r w:rsidRPr="00AB250B">
        <w:t>4.1.9</w:t>
      </w:r>
      <w:r w:rsidR="00F124B9">
        <w:t>.</w:t>
      </w:r>
    </w:p>
    <w:p w14:paraId="792FE53E" w14:textId="7EFF6E9E" w:rsidR="00E257CB" w:rsidRDefault="00E257CB" w:rsidP="00593B79">
      <w:pPr>
        <w:pStyle w:val="ListBullet"/>
      </w:pPr>
      <w:r>
        <w:t xml:space="preserve">process exporters must follow when </w:t>
      </w:r>
      <w:r w:rsidR="00593B79">
        <w:t xml:space="preserve">applying </w:t>
      </w:r>
      <w:r>
        <w:t xml:space="preserve">for </w:t>
      </w:r>
      <w:r w:rsidR="00593B79">
        <w:t xml:space="preserve">an </w:t>
      </w:r>
      <w:r>
        <w:t>alternative arrangement</w:t>
      </w:r>
      <w:r w:rsidR="00593B79">
        <w:t xml:space="preserve"> as provided for under ASEL standards 4.1.10 and 4.1.12</w:t>
      </w:r>
      <w:r>
        <w:t>, and the criteria the department would consider for any applications made.</w:t>
      </w:r>
    </w:p>
    <w:p w14:paraId="2DDC3BAA" w14:textId="285C5CEE" w:rsidR="00D57861" w:rsidRPr="00601973" w:rsidRDefault="00AB250B" w:rsidP="008E477E">
      <w:pPr>
        <w:rPr>
          <w:rFonts w:cstheme="minorHAnsi"/>
        </w:rPr>
      </w:pPr>
      <w:r>
        <w:rPr>
          <w:rFonts w:cstheme="minorHAnsi"/>
        </w:rPr>
        <w:t xml:space="preserve">This </w:t>
      </w:r>
      <w:r w:rsidRPr="00AB250B">
        <w:rPr>
          <w:rFonts w:cstheme="minorHAnsi"/>
        </w:rPr>
        <w:t xml:space="preserve">policy should be read in conjunction with relevant export legislation and standards listed under </w:t>
      </w:r>
      <w:hyperlink w:anchor="_Related_material" w:history="1">
        <w:r w:rsidRPr="00AB250B">
          <w:rPr>
            <w:rStyle w:val="Hyperlink"/>
            <w:rFonts w:cstheme="minorHAnsi"/>
          </w:rPr>
          <w:t>related material</w:t>
        </w:r>
      </w:hyperlink>
      <w:r>
        <w:rPr>
          <w:rFonts w:cstheme="minorHAnsi"/>
          <w:lang w:val="en-US"/>
        </w:rPr>
        <w:t>.</w:t>
      </w:r>
    </w:p>
    <w:p w14:paraId="50193B23" w14:textId="46E51150" w:rsidR="001625AF" w:rsidRDefault="00566937" w:rsidP="001625AF">
      <w:pPr>
        <w:pStyle w:val="Heading2"/>
      </w:pPr>
      <w:bookmarkStart w:id="1" w:name="_Requirements"/>
      <w:bookmarkEnd w:id="1"/>
      <w:r>
        <w:t xml:space="preserve">Requirements </w:t>
      </w:r>
    </w:p>
    <w:p w14:paraId="73E22FFB" w14:textId="77777777" w:rsidR="00566937" w:rsidRPr="00637813" w:rsidRDefault="00566937" w:rsidP="005136C5">
      <w:pPr>
        <w:pStyle w:val="Heading3"/>
        <w:numPr>
          <w:ilvl w:val="0"/>
          <w:numId w:val="0"/>
        </w:numPr>
        <w:ind w:left="964" w:hanging="964"/>
      </w:pPr>
      <w:bookmarkStart w:id="2" w:name="_Where_the_department"/>
      <w:bookmarkEnd w:id="2"/>
      <w:r w:rsidRPr="00637813">
        <w:t>Where the department may require an AAV to accompany a consignment</w:t>
      </w:r>
    </w:p>
    <w:p w14:paraId="0B222A71" w14:textId="150402A9" w:rsidR="00566937" w:rsidRDefault="005C3F9B" w:rsidP="001625AF">
      <w:r w:rsidRPr="005C3F9B">
        <w:t>ASEL s</w:t>
      </w:r>
      <w:r w:rsidR="005136C5">
        <w:t xml:space="preserve">tandard </w:t>
      </w:r>
      <w:r w:rsidRPr="005C3F9B">
        <w:t>4.1.9 requires that unless an exporter has an approved application under ASEL s</w:t>
      </w:r>
      <w:r w:rsidR="005136C5">
        <w:t xml:space="preserve">tandard </w:t>
      </w:r>
      <w:r w:rsidRPr="005C3F9B">
        <w:t>4.1.10, an AAV must accompany each consignment of livestock and must remain with the consignment until the last animal has been unloaded at the final port of disembarkation in these circumstances</w:t>
      </w:r>
      <w:r w:rsidR="00D47DD8">
        <w:t>:</w:t>
      </w:r>
    </w:p>
    <w:p w14:paraId="2A4D89B0" w14:textId="79430527" w:rsidR="00D47DD8" w:rsidRPr="00D47DD8" w:rsidRDefault="00D47DD8" w:rsidP="00D47DD8">
      <w:pPr>
        <w:pStyle w:val="ListBullet"/>
      </w:pPr>
      <w:r w:rsidRPr="00D47DD8">
        <w:t>if the voyage is expected to be an extended long haul voyage</w:t>
      </w:r>
    </w:p>
    <w:p w14:paraId="7BA80059" w14:textId="24404687" w:rsidR="00D47DD8" w:rsidRPr="00D47DD8" w:rsidRDefault="00D47DD8" w:rsidP="00D47DD8">
      <w:pPr>
        <w:pStyle w:val="ListBullet"/>
      </w:pPr>
      <w:r w:rsidRPr="00D47DD8">
        <w:t>on voyages with pregnant livestock</w:t>
      </w:r>
    </w:p>
    <w:p w14:paraId="32422179" w14:textId="0EEC713D" w:rsidR="00D47DD8" w:rsidRDefault="00D47DD8" w:rsidP="00D47DD8">
      <w:pPr>
        <w:pStyle w:val="ListBullet"/>
      </w:pPr>
      <w:r w:rsidRPr="00D47DD8">
        <w:t>any other voyage when directed by the department</w:t>
      </w:r>
      <w:r>
        <w:t>.</w:t>
      </w:r>
    </w:p>
    <w:p w14:paraId="72FE8CDF" w14:textId="1BF36BCA" w:rsidR="001625AF" w:rsidRDefault="00D47DD8" w:rsidP="003C21E5">
      <w:pPr>
        <w:keepNext/>
        <w:keepLines/>
      </w:pPr>
      <w:r>
        <w:lastRenderedPageBreak/>
        <w:t xml:space="preserve">In </w:t>
      </w:r>
      <w:r w:rsidRPr="00D47DD8">
        <w:t>accordance with ASEL s</w:t>
      </w:r>
      <w:r w:rsidR="0033774D">
        <w:t xml:space="preserve">tandard </w:t>
      </w:r>
      <w:r w:rsidRPr="00D47DD8">
        <w:t xml:space="preserve">4.1.9 </w:t>
      </w:r>
      <w:r w:rsidR="0033774D">
        <w:t>(</w:t>
      </w:r>
      <w:r w:rsidRPr="00D47DD8">
        <w:t>c), the department may direct an exporter to have an AAV on any voyage when required. This may be required as part of the basis of an NOI approval, so that the department can be satisfied that the international transport arrangements for the livestock are adequate for their health and welfare</w:t>
      </w:r>
      <w:r w:rsidR="00A30B46">
        <w:t>.</w:t>
      </w:r>
    </w:p>
    <w:p w14:paraId="564E7DEA" w14:textId="5CD5F909" w:rsidR="009408FD" w:rsidRDefault="00D47DD8" w:rsidP="005136C5">
      <w:r w:rsidRPr="00D47DD8">
        <w:t>If the department requires an exporter to engage an AAV for a consignment, we will notify the exporter in writing prior to approval of the NOI. If the exporter wishes to comment on the notice or provide the department with evidence as to why the requirement to engage an AAV cannot be met, the exporter may respond to the notice in writing</w:t>
      </w:r>
      <w:r w:rsidR="00576E8B">
        <w:t>, and</w:t>
      </w:r>
      <w:r w:rsidR="00850F18">
        <w:t xml:space="preserve"> within the timeframe stipulated in th</w:t>
      </w:r>
      <w:r w:rsidR="00576E8B">
        <w:t>e</w:t>
      </w:r>
      <w:r w:rsidR="00850F18">
        <w:t xml:space="preserve"> notice</w:t>
      </w:r>
      <w:r w:rsidRPr="00D47DD8">
        <w:t>.</w:t>
      </w:r>
    </w:p>
    <w:p w14:paraId="2462ED80" w14:textId="6BBDCEFD" w:rsidR="00D47DD8" w:rsidRPr="00D47DD8" w:rsidRDefault="0033774D" w:rsidP="005136C5">
      <w:bookmarkStart w:id="3" w:name="_Hlk136020091"/>
      <w:r>
        <w:t>E</w:t>
      </w:r>
      <w:r w:rsidR="00D47DD8" w:rsidRPr="00D47DD8">
        <w:t>xamples of where an AAV may be required include:</w:t>
      </w:r>
    </w:p>
    <w:p w14:paraId="023E004D" w14:textId="571804A8" w:rsidR="00D47DD8" w:rsidRPr="00D47DD8" w:rsidRDefault="009408FD" w:rsidP="00D47DD8">
      <w:pPr>
        <w:pStyle w:val="ListBullet"/>
      </w:pPr>
      <w:r>
        <w:t>t</w:t>
      </w:r>
      <w:r w:rsidR="00D47DD8" w:rsidRPr="00D47DD8">
        <w:t>he exporter has had a recent or previous notifiable incident</w:t>
      </w:r>
    </w:p>
    <w:p w14:paraId="1F9E3150" w14:textId="1F66B8A7" w:rsidR="00D47DD8" w:rsidRPr="00D47DD8" w:rsidRDefault="009408FD" w:rsidP="00D47DD8">
      <w:pPr>
        <w:pStyle w:val="ListBullet"/>
      </w:pPr>
      <w:r>
        <w:t>t</w:t>
      </w:r>
      <w:r w:rsidR="00D47DD8" w:rsidRPr="00D47DD8">
        <w:t>he vessel is new or has had a significant structural change or re-fit, or a change of ownership or management</w:t>
      </w:r>
    </w:p>
    <w:p w14:paraId="12D68B68" w14:textId="76375EF2" w:rsidR="00D47DD8" w:rsidRPr="00D47DD8" w:rsidRDefault="009408FD" w:rsidP="00D47DD8">
      <w:pPr>
        <w:pStyle w:val="ListBullet"/>
      </w:pPr>
      <w:r>
        <w:t>p</w:t>
      </w:r>
      <w:r w:rsidR="00D47DD8" w:rsidRPr="00D47DD8">
        <w:t xml:space="preserve">revious voyage reports or </w:t>
      </w:r>
      <w:r w:rsidR="0033774D">
        <w:t>i</w:t>
      </w:r>
      <w:r w:rsidR="00D47DD8" w:rsidRPr="00D47DD8">
        <w:t xml:space="preserve">ndependent </w:t>
      </w:r>
      <w:r w:rsidR="0033774D">
        <w:t>o</w:t>
      </w:r>
      <w:r w:rsidR="00D47DD8" w:rsidRPr="00D47DD8">
        <w:t>bserver (IO) reports have noted concerns on the health and welfare of animals exported by that exporter or on a given vessel</w:t>
      </w:r>
    </w:p>
    <w:p w14:paraId="4BAEC7E2" w14:textId="17BFB958" w:rsidR="00D47DD8" w:rsidRPr="00D47DD8" w:rsidRDefault="009408FD" w:rsidP="00D47DD8">
      <w:pPr>
        <w:pStyle w:val="ListBullet"/>
      </w:pPr>
      <w:r>
        <w:t>w</w:t>
      </w:r>
      <w:r w:rsidR="00D47DD8" w:rsidRPr="00D47DD8">
        <w:t>here the route of the consignment, time of year, destination</w:t>
      </w:r>
      <w:r w:rsidR="00DD7F11">
        <w:t xml:space="preserve"> port, or species/class of livestock</w:t>
      </w:r>
      <w:r w:rsidR="00D47DD8" w:rsidRPr="00D47DD8">
        <w:t xml:space="preserve"> present a cumulative higher risk to animal health and welfare (see </w:t>
      </w:r>
      <w:hyperlink w:anchor="_Factors_relevant_to" w:history="1">
        <w:r w:rsidR="00D47DD8" w:rsidRPr="00D47DD8">
          <w:rPr>
            <w:rStyle w:val="Hyperlink"/>
          </w:rPr>
          <w:t>factors relevant to determining if a consignment is lower or higher risk</w:t>
        </w:r>
      </w:hyperlink>
      <w:r w:rsidR="00D47DD8" w:rsidRPr="00D47DD8">
        <w:t>)</w:t>
      </w:r>
    </w:p>
    <w:p w14:paraId="57C6713D" w14:textId="16FADEB2" w:rsidR="00D47DD8" w:rsidRPr="00D47DD8" w:rsidRDefault="00491E55" w:rsidP="00D47DD8">
      <w:pPr>
        <w:pStyle w:val="ListBullet"/>
      </w:pPr>
      <w:r>
        <w:t xml:space="preserve">for a </w:t>
      </w:r>
      <w:r w:rsidR="009408FD">
        <w:t>n</w:t>
      </w:r>
      <w:r w:rsidR="00D47DD8" w:rsidRPr="00D47DD8">
        <w:t>ew exporter or a new market for an existing exporter</w:t>
      </w:r>
    </w:p>
    <w:p w14:paraId="72F323DF" w14:textId="749962E1" w:rsidR="00D47DD8" w:rsidRDefault="00491E55" w:rsidP="00D47DD8">
      <w:pPr>
        <w:pStyle w:val="ListBullet"/>
      </w:pPr>
      <w:r>
        <w:t xml:space="preserve">where </w:t>
      </w:r>
      <w:r w:rsidR="009408FD">
        <w:t>a</w:t>
      </w:r>
      <w:r w:rsidR="00D47DD8" w:rsidRPr="00D47DD8">
        <w:t xml:space="preserve"> vessel has previously had a notifiable incident and the cause is unknown</w:t>
      </w:r>
      <w:r w:rsidR="00934E88">
        <w:t>,</w:t>
      </w:r>
      <w:r w:rsidR="00D47DD8" w:rsidRPr="00D47DD8">
        <w:t xml:space="preserve"> or known to be from a vessel/structural concern.</w:t>
      </w:r>
    </w:p>
    <w:bookmarkEnd w:id="3"/>
    <w:p w14:paraId="62454EF2" w14:textId="0507189A" w:rsidR="000936DD" w:rsidRPr="00D47DD8" w:rsidRDefault="00684126" w:rsidP="00BA145C">
      <w:pPr>
        <w:pStyle w:val="Heading2"/>
      </w:pPr>
      <w:r>
        <w:t>Alternative arrangements</w:t>
      </w:r>
    </w:p>
    <w:p w14:paraId="31B0096A" w14:textId="4671506D" w:rsidR="0059424C" w:rsidRDefault="004F0D5E">
      <w:bookmarkStart w:id="4" w:name="_Application_process_for"/>
      <w:bookmarkStart w:id="5" w:name="_Application_process"/>
      <w:bookmarkEnd w:id="4"/>
      <w:bookmarkEnd w:id="5"/>
      <w:r>
        <w:t>At the time of NOI submission, a</w:t>
      </w:r>
      <w:r w:rsidR="00D45369">
        <w:t xml:space="preserve">n exporter may apply for an alternative arrangement </w:t>
      </w:r>
      <w:r w:rsidR="00E92592">
        <w:t>as provided for under ASEL standards 4.1.10 and 4.1.12</w:t>
      </w:r>
      <w:r w:rsidR="007156C5">
        <w:t>. The</w:t>
      </w:r>
      <w:r w:rsidR="00D45369">
        <w:t xml:space="preserve"> department </w:t>
      </w:r>
      <w:r w:rsidR="007156C5">
        <w:t>will consider</w:t>
      </w:r>
      <w:r w:rsidR="00E92592">
        <w:t xml:space="preserve"> applicatio</w:t>
      </w:r>
      <w:r w:rsidR="0059424C">
        <w:t xml:space="preserve">ns where an exporter </w:t>
      </w:r>
      <w:r w:rsidR="00684126">
        <w:t>requests</w:t>
      </w:r>
      <w:r w:rsidR="0059424C">
        <w:t xml:space="preserve"> to:</w:t>
      </w:r>
    </w:p>
    <w:p w14:paraId="393F092C" w14:textId="1C8E0CAB" w:rsidR="00425E99" w:rsidRPr="00AB250B" w:rsidRDefault="00425E99" w:rsidP="00425E99">
      <w:pPr>
        <w:pStyle w:val="ListBullet"/>
      </w:pPr>
      <w:bookmarkStart w:id="6" w:name="_Hlk134804098"/>
      <w:r w:rsidRPr="00AB250B">
        <w:t>not require an AAV to accompany a consignment where they would have otherwise been required (</w:t>
      </w:r>
      <w:r>
        <w:t>s</w:t>
      </w:r>
      <w:r w:rsidRPr="00AB250B">
        <w:t xml:space="preserve">ee </w:t>
      </w:r>
      <w:hyperlink w:anchor="_Application_process_for" w:history="1">
        <w:r>
          <w:rPr>
            <w:rStyle w:val="Hyperlink"/>
            <w:rFonts w:cstheme="minorHAnsi"/>
          </w:rPr>
          <w:t>application process for alternative arrangements to having AAV on a voyage</w:t>
        </w:r>
      </w:hyperlink>
      <w:r w:rsidRPr="00AB250B">
        <w:t>)</w:t>
      </w:r>
      <w:bookmarkEnd w:id="6"/>
    </w:p>
    <w:p w14:paraId="41AAA51A" w14:textId="6B691AEA" w:rsidR="00425E99" w:rsidRPr="000936DD" w:rsidRDefault="00425E99" w:rsidP="00BA145C">
      <w:pPr>
        <w:pStyle w:val="ListBullet"/>
      </w:pPr>
      <w:bookmarkStart w:id="7" w:name="_Hlk134804119"/>
      <w:r w:rsidRPr="00AB250B">
        <w:t>allow an AAV to be the same person as the accredited stockperson (</w:t>
      </w:r>
      <w:r>
        <w:t>s</w:t>
      </w:r>
      <w:r w:rsidRPr="00AB250B">
        <w:t>ee</w:t>
      </w:r>
      <w:r>
        <w:t xml:space="preserve"> </w:t>
      </w:r>
      <w:hyperlink w:anchor="_Applications_to_allow" w:history="1">
        <w:r w:rsidRPr="00FE2EC4">
          <w:rPr>
            <w:rStyle w:val="Hyperlink"/>
            <w:rFonts w:cstheme="minorHAnsi"/>
          </w:rPr>
          <w:t>application process to allow AAV and stockperson to be the same person</w:t>
        </w:r>
      </w:hyperlink>
      <w:r w:rsidRPr="00FE2EC4">
        <w:rPr>
          <w:lang w:val="en-US"/>
        </w:rPr>
        <w:t>).</w:t>
      </w:r>
      <w:bookmarkEnd w:id="7"/>
    </w:p>
    <w:p w14:paraId="495B3C03" w14:textId="499CE433" w:rsidR="00F715CD" w:rsidRDefault="00F715CD" w:rsidP="0033774D">
      <w:pPr>
        <w:pStyle w:val="Heading3"/>
        <w:numPr>
          <w:ilvl w:val="0"/>
          <w:numId w:val="0"/>
        </w:numPr>
      </w:pPr>
      <w:r>
        <w:t>Application process for alternative arrangements to having AAV on a voyage</w:t>
      </w:r>
    </w:p>
    <w:p w14:paraId="1AD3FD8E" w14:textId="6EDA4231" w:rsidR="00F715CD" w:rsidRPr="00F715CD" w:rsidRDefault="00870BA3" w:rsidP="00DC0DE3">
      <w:pPr>
        <w:pStyle w:val="ListBullet"/>
        <w:numPr>
          <w:ilvl w:val="0"/>
          <w:numId w:val="0"/>
        </w:numPr>
      </w:pPr>
      <w:r>
        <w:t xml:space="preserve">In accordance with ASEL </w:t>
      </w:r>
      <w:r w:rsidR="00435A15">
        <w:t xml:space="preserve">standard </w:t>
      </w:r>
      <w:r>
        <w:t>4.1.10</w:t>
      </w:r>
      <w:r w:rsidR="00435A15">
        <w:t>,</w:t>
      </w:r>
      <w:r>
        <w:t xml:space="preserve"> </w:t>
      </w:r>
      <w:bookmarkStart w:id="8" w:name="_Hlk134800619"/>
      <w:r>
        <w:t xml:space="preserve">to apply for an </w:t>
      </w:r>
      <w:r w:rsidR="00435A15">
        <w:t>alternative arrangement</w:t>
      </w:r>
      <w:r>
        <w:t xml:space="preserve"> an </w:t>
      </w:r>
      <w:bookmarkEnd w:id="8"/>
      <w:r w:rsidR="00F715CD" w:rsidRPr="00F715CD">
        <w:t>exporter must make a written application to the department at the time of submitting an NOI for any particular consignment. Th</w:t>
      </w:r>
      <w:r w:rsidR="00934E88">
        <w:t>e application</w:t>
      </w:r>
      <w:r w:rsidR="00F715CD" w:rsidRPr="00F715CD">
        <w:t xml:space="preserve"> must be upl</w:t>
      </w:r>
      <w:r w:rsidR="00934E88">
        <w:t>oaded to</w:t>
      </w:r>
      <w:r w:rsidR="00F715CD" w:rsidRPr="00F715CD">
        <w:t xml:space="preserve"> TRACE or </w:t>
      </w:r>
      <w:r w:rsidR="00934E88">
        <w:t>emailed</w:t>
      </w:r>
      <w:r w:rsidR="00F715CD" w:rsidRPr="00F715CD">
        <w:t xml:space="preserve"> to</w:t>
      </w:r>
      <w:r w:rsidR="00934E88">
        <w:t xml:space="preserve"> </w:t>
      </w:r>
      <w:hyperlink r:id="rId11" w:history="1">
        <w:r w:rsidR="001856B2">
          <w:rPr>
            <w:rStyle w:val="Hyperlink"/>
          </w:rPr>
          <w:t>livestockexp@aff.gov.au</w:t>
        </w:r>
      </w:hyperlink>
      <w:r w:rsidR="00934E88">
        <w:t>, and must include:</w:t>
      </w:r>
    </w:p>
    <w:p w14:paraId="074C337E" w14:textId="117FC590" w:rsidR="00F715CD" w:rsidRPr="00F715CD" w:rsidRDefault="00F715CD" w:rsidP="00DC0DE3">
      <w:pPr>
        <w:pStyle w:val="ListBullet"/>
      </w:pPr>
      <w:r>
        <w:t xml:space="preserve">the </w:t>
      </w:r>
      <w:r w:rsidRPr="00F715CD">
        <w:t>consignment LNC number</w:t>
      </w:r>
    </w:p>
    <w:p w14:paraId="116029BD" w14:textId="77777777" w:rsidR="00F715CD" w:rsidRPr="00F715CD" w:rsidRDefault="00F715CD" w:rsidP="00DC0DE3">
      <w:pPr>
        <w:pStyle w:val="ListBullet"/>
      </w:pPr>
      <w:r w:rsidRPr="00F715CD">
        <w:t>the reasons or grounds in which the application is being made</w:t>
      </w:r>
    </w:p>
    <w:p w14:paraId="312DFDA5" w14:textId="77777777" w:rsidR="00F715CD" w:rsidRPr="00F715CD" w:rsidRDefault="00F715CD" w:rsidP="00DC0DE3">
      <w:pPr>
        <w:pStyle w:val="ListBullet"/>
      </w:pPr>
      <w:r w:rsidRPr="00F715CD">
        <w:t>details on how the exporter intends to manage the health and welfare of the livestock throughout the voyage without the presence of an AAV</w:t>
      </w:r>
    </w:p>
    <w:p w14:paraId="4C686F71" w14:textId="77777777" w:rsidR="00F715CD" w:rsidRPr="00F715CD" w:rsidRDefault="00F715CD" w:rsidP="00DC0DE3">
      <w:pPr>
        <w:pStyle w:val="ListBullet"/>
      </w:pPr>
      <w:r w:rsidRPr="00F715CD">
        <w:lastRenderedPageBreak/>
        <w:t>details of the number of accredited and competent stockpersons that will accompany the animals, and their level of knowledge (including any qualifications), skill and experience to appropriately carry and use veterinary medications, such as drugs for sedation and pain relief, without an AAV present</w:t>
      </w:r>
    </w:p>
    <w:p w14:paraId="5D882D59" w14:textId="77777777" w:rsidR="00F715CD" w:rsidRPr="00F715CD" w:rsidRDefault="00F715CD" w:rsidP="00DC0DE3">
      <w:pPr>
        <w:pStyle w:val="ListBullet"/>
      </w:pPr>
      <w:r w:rsidRPr="00F715CD">
        <w:t>details of how the stockpersons’ additional workload of providing AAV functions will be managed</w:t>
      </w:r>
    </w:p>
    <w:p w14:paraId="4C408D5E" w14:textId="77777777" w:rsidR="00F715CD" w:rsidRPr="00F715CD" w:rsidRDefault="00F715CD" w:rsidP="00DC0DE3">
      <w:pPr>
        <w:pStyle w:val="ListBullet"/>
      </w:pPr>
      <w:r w:rsidRPr="00F715CD">
        <w:t>details of a communication plan that will allow the stockperson to make contact with the exporter at any time during the voyage</w:t>
      </w:r>
    </w:p>
    <w:p w14:paraId="31F62859" w14:textId="65198A38" w:rsidR="00D47DD8" w:rsidRDefault="00F715CD" w:rsidP="00DC0DE3">
      <w:pPr>
        <w:pStyle w:val="ListBullet"/>
      </w:pPr>
      <w:r w:rsidRPr="00F715CD">
        <w:t>a written contingency plan for circumstances where a significant animal health or welfare issue occurs during the voyage, and how arrangements will be made for the prompt and humane handling, care, treatment, separation, euthanasia and/or disposal of the livestock in compliance with ASEL and all relevant and applicable</w:t>
      </w:r>
      <w:r>
        <w:t xml:space="preserve"> legislation.</w:t>
      </w:r>
    </w:p>
    <w:p w14:paraId="0B844E79" w14:textId="77777777" w:rsidR="00D87736" w:rsidRPr="00D87736" w:rsidRDefault="00D87736" w:rsidP="00D87736">
      <w:pPr>
        <w:spacing w:after="120"/>
        <w:rPr>
          <w:rFonts w:cstheme="minorHAnsi"/>
          <w:lang w:eastAsia="ja-JP"/>
        </w:rPr>
      </w:pPr>
      <w:r w:rsidRPr="00D87736">
        <w:rPr>
          <w:rFonts w:cstheme="minorHAnsi"/>
        </w:rPr>
        <w:t>The department will consider any applications made against the criteria outlined in this guideline and provide a written outcome of decision to the exporter. In making the decision, the department may also consider the latest information, advice and research relevant to the application.</w:t>
      </w:r>
    </w:p>
    <w:p w14:paraId="23D4E98C" w14:textId="5E161894" w:rsidR="00D47DD8" w:rsidRDefault="00D87736" w:rsidP="00D87736">
      <w:r w:rsidRPr="000A34BF">
        <w:rPr>
          <w:rFonts w:cstheme="minorHAnsi"/>
          <w:lang w:eastAsia="ja-JP"/>
        </w:rPr>
        <w:t>Unless otherwise approved in writing, the exporter must have an AAV accompany any consignment that is required to have an AAV</w:t>
      </w:r>
      <w:r w:rsidR="00DC0DE3">
        <w:rPr>
          <w:rFonts w:cstheme="minorHAnsi"/>
          <w:lang w:eastAsia="ja-JP"/>
        </w:rPr>
        <w:t>,</w:t>
      </w:r>
      <w:r w:rsidRPr="000A34BF">
        <w:rPr>
          <w:rFonts w:cstheme="minorHAnsi"/>
          <w:lang w:eastAsia="ja-JP"/>
        </w:rPr>
        <w:t xml:space="preserve"> as per ASEL</w:t>
      </w:r>
      <w:r>
        <w:rPr>
          <w:rFonts w:cstheme="minorHAnsi"/>
          <w:lang w:eastAsia="ja-JP"/>
        </w:rPr>
        <w:t xml:space="preserve"> s</w:t>
      </w:r>
      <w:r w:rsidR="0033774D">
        <w:rPr>
          <w:rFonts w:cstheme="minorHAnsi"/>
          <w:lang w:eastAsia="ja-JP"/>
        </w:rPr>
        <w:t xml:space="preserve">tandard </w:t>
      </w:r>
      <w:r>
        <w:rPr>
          <w:rFonts w:cstheme="minorHAnsi"/>
          <w:lang w:eastAsia="ja-JP"/>
        </w:rPr>
        <w:t>4.1.9.</w:t>
      </w:r>
    </w:p>
    <w:p w14:paraId="0B273BD2" w14:textId="77777777" w:rsidR="00FD740C" w:rsidRPr="00FD740C" w:rsidRDefault="00FD740C" w:rsidP="00743896">
      <w:pPr>
        <w:pStyle w:val="Heading4"/>
        <w:numPr>
          <w:ilvl w:val="0"/>
          <w:numId w:val="0"/>
        </w:numPr>
        <w:ind w:left="964" w:hanging="964"/>
      </w:pPr>
      <w:r w:rsidRPr="00FD740C">
        <w:t>Assessment of applications received by the department</w:t>
      </w:r>
    </w:p>
    <w:p w14:paraId="4C95AE92" w14:textId="536140D0" w:rsidR="00D87736" w:rsidRDefault="00FD740C" w:rsidP="001625AF">
      <w:r>
        <w:t xml:space="preserve">All </w:t>
      </w:r>
      <w:r w:rsidRPr="00FD740C">
        <w:t>applications are considered on an individual consignment basis. In deciding whether to approve an application, the department will</w:t>
      </w:r>
      <w:r>
        <w:t xml:space="preserve"> consider:</w:t>
      </w:r>
    </w:p>
    <w:p w14:paraId="152865EE" w14:textId="77777777" w:rsidR="00FD740C" w:rsidRPr="00FD740C" w:rsidRDefault="00FD740C" w:rsidP="00FD740C">
      <w:pPr>
        <w:pStyle w:val="ListBullet"/>
      </w:pPr>
      <w:r w:rsidRPr="00FD740C">
        <w:t>the reasons or grounds for the application being made by the exporter</w:t>
      </w:r>
    </w:p>
    <w:p w14:paraId="49DB2351" w14:textId="0B46F4A0" w:rsidR="00FD740C" w:rsidRPr="00FD740C" w:rsidRDefault="008D6C55" w:rsidP="00FD740C">
      <w:pPr>
        <w:pStyle w:val="ListBullet"/>
      </w:pPr>
      <w:r>
        <w:t>the risk of the</w:t>
      </w:r>
      <w:r w:rsidR="00FD740C" w:rsidRPr="00FD740C">
        <w:t xml:space="preserve"> proposed voyage </w:t>
      </w:r>
      <w:r>
        <w:t>and whether</w:t>
      </w:r>
      <w:r w:rsidR="00FD740C" w:rsidRPr="00FD740C">
        <w:t xml:space="preserve"> the proposal to not have an AAV on board would compromise animal health and welfare (see </w:t>
      </w:r>
      <w:hyperlink w:anchor="_Factors_relevant_to" w:history="1">
        <w:r w:rsidR="00FD740C" w:rsidRPr="00FD740C">
          <w:rPr>
            <w:rStyle w:val="Hyperlink"/>
          </w:rPr>
          <w:t>factors relevant to determining if a consignment is lower or higher risk</w:t>
        </w:r>
      </w:hyperlink>
      <w:r w:rsidR="00FD740C" w:rsidRPr="00FD740C">
        <w:t>)</w:t>
      </w:r>
    </w:p>
    <w:p w14:paraId="76E6BBAE" w14:textId="367540CB" w:rsidR="00FD740C" w:rsidRPr="00FD740C" w:rsidRDefault="00FD740C" w:rsidP="00FD740C">
      <w:pPr>
        <w:pStyle w:val="ListBullet"/>
      </w:pPr>
      <w:r w:rsidRPr="00FD740C">
        <w:t>if the number, knowledge (including any qualifications), skill and experience of the stockperson(s) on board can appropriately manage the health and welfare of the livestock, without the presence of an AAV</w:t>
      </w:r>
    </w:p>
    <w:p w14:paraId="550040D4" w14:textId="1F21428B" w:rsidR="00FD740C" w:rsidRDefault="00FD740C" w:rsidP="00FD740C">
      <w:pPr>
        <w:pStyle w:val="ListBullet"/>
      </w:pPr>
      <w:r w:rsidRPr="00FD740C">
        <w:t>any other matters that the department considers relevant to the application</w:t>
      </w:r>
      <w:r>
        <w:t>.</w:t>
      </w:r>
    </w:p>
    <w:p w14:paraId="1654D788" w14:textId="76185F46" w:rsidR="00D87736" w:rsidRDefault="00600734" w:rsidP="001625AF">
      <w:r w:rsidRPr="00600734">
        <w:t>If an application is approved and any circumstances of the consignment change, this may affect the approval. Any changes will be reviewed by the department when an exporter amends a previously approved NOI. Exporters will be notified if the changes impact any previous approvals given</w:t>
      </w:r>
      <w:r>
        <w:t>.</w:t>
      </w:r>
    </w:p>
    <w:p w14:paraId="200BFB77" w14:textId="3F3AE9AD" w:rsidR="00197FF0" w:rsidRDefault="00197FF0" w:rsidP="00197FF0">
      <w:pPr>
        <w:pStyle w:val="Heading3"/>
        <w:numPr>
          <w:ilvl w:val="0"/>
          <w:numId w:val="0"/>
        </w:numPr>
        <w:ind w:left="964" w:hanging="964"/>
      </w:pPr>
      <w:bookmarkStart w:id="9" w:name="_Applications_to_allow"/>
      <w:bookmarkEnd w:id="9"/>
      <w:r>
        <w:t>Application</w:t>
      </w:r>
      <w:r w:rsidR="00800567">
        <w:t xml:space="preserve"> process</w:t>
      </w:r>
      <w:r>
        <w:t xml:space="preserve"> to allow AAV and stockperson to be the same person</w:t>
      </w:r>
    </w:p>
    <w:p w14:paraId="10A566B1" w14:textId="3C2361F0" w:rsidR="00197FF0" w:rsidRPr="00197FF0" w:rsidRDefault="0043522A" w:rsidP="00743896">
      <w:pPr>
        <w:pStyle w:val="ListBullet"/>
        <w:numPr>
          <w:ilvl w:val="0"/>
          <w:numId w:val="0"/>
        </w:numPr>
      </w:pPr>
      <w:r>
        <w:t>In accordance with ASEL standard 4.1.12</w:t>
      </w:r>
      <w:r w:rsidR="00435A15">
        <w:t>,</w:t>
      </w:r>
      <w:r>
        <w:t xml:space="preserve"> </w:t>
      </w:r>
      <w:r w:rsidR="00435A15">
        <w:t xml:space="preserve">to apply for an alternative arrangement </w:t>
      </w:r>
      <w:r>
        <w:t xml:space="preserve">an </w:t>
      </w:r>
      <w:r w:rsidR="00197FF0" w:rsidRPr="00197FF0">
        <w:t xml:space="preserve">exporter must make a written application to the department at the time of submitting an NOI for any particular consignment. </w:t>
      </w:r>
      <w:r w:rsidR="00934E88" w:rsidRPr="00F715CD">
        <w:t>Th</w:t>
      </w:r>
      <w:r w:rsidR="00934E88">
        <w:t>e application</w:t>
      </w:r>
      <w:r w:rsidR="00934E88" w:rsidRPr="00F715CD">
        <w:t xml:space="preserve"> must be upl</w:t>
      </w:r>
      <w:r w:rsidR="00934E88">
        <w:t>oaded to</w:t>
      </w:r>
      <w:r w:rsidR="00934E88" w:rsidRPr="00F715CD">
        <w:t xml:space="preserve"> TRACE or </w:t>
      </w:r>
      <w:r w:rsidR="00934E88">
        <w:t>emailed</w:t>
      </w:r>
      <w:r w:rsidR="00934E88" w:rsidRPr="00F715CD">
        <w:t xml:space="preserve"> to</w:t>
      </w:r>
      <w:r w:rsidR="00934E88">
        <w:t xml:space="preserve"> </w:t>
      </w:r>
      <w:hyperlink r:id="rId12" w:history="1">
        <w:r w:rsidR="00353843">
          <w:rPr>
            <w:rStyle w:val="Hyperlink"/>
          </w:rPr>
          <w:t>livestockexp@aff.gov.au</w:t>
        </w:r>
      </w:hyperlink>
      <w:r w:rsidR="00934E88">
        <w:t>, and must include:</w:t>
      </w:r>
    </w:p>
    <w:p w14:paraId="14D47A68" w14:textId="77777777" w:rsidR="00197FF0" w:rsidRPr="00197FF0" w:rsidRDefault="00197FF0" w:rsidP="00743896">
      <w:pPr>
        <w:pStyle w:val="ListBullet"/>
      </w:pPr>
      <w:r w:rsidRPr="00197FF0">
        <w:t>the consignment LNC number</w:t>
      </w:r>
    </w:p>
    <w:p w14:paraId="366897BC" w14:textId="77777777" w:rsidR="00197FF0" w:rsidRPr="00197FF0" w:rsidRDefault="00197FF0" w:rsidP="00743896">
      <w:pPr>
        <w:pStyle w:val="ListBullet"/>
      </w:pPr>
      <w:r w:rsidRPr="00197FF0">
        <w:t>the reasons or grounds in which the application is being made</w:t>
      </w:r>
    </w:p>
    <w:p w14:paraId="6591EABA" w14:textId="491A5D05" w:rsidR="00197FF0" w:rsidRPr="00197FF0" w:rsidRDefault="00197FF0" w:rsidP="00743896">
      <w:pPr>
        <w:pStyle w:val="ListBullet"/>
      </w:pPr>
      <w:r w:rsidRPr="00197FF0">
        <w:lastRenderedPageBreak/>
        <w:t>details on how the exporter intends to manage the health and welfare of the livestock throughout the voyage, taking into consideration the number, species and class of livestock on the voyage, including</w:t>
      </w:r>
    </w:p>
    <w:p w14:paraId="29E6BCD6" w14:textId="77777777" w:rsidR="00197FF0" w:rsidRPr="00197FF0" w:rsidRDefault="00197FF0" w:rsidP="00743896">
      <w:pPr>
        <w:pStyle w:val="ListBullet2"/>
      </w:pPr>
      <w:r w:rsidRPr="00197FF0">
        <w:t>the number of accredited and competent stockpersons (if any) that will accompany the animals, and their level of knowledge (including any qualifications), skill and experience in the management and handling of livestock on voyages</w:t>
      </w:r>
    </w:p>
    <w:p w14:paraId="13E71A5D" w14:textId="77777777" w:rsidR="00197FF0" w:rsidRPr="00197FF0" w:rsidRDefault="00197FF0" w:rsidP="00743896">
      <w:pPr>
        <w:pStyle w:val="ListBullet2"/>
      </w:pPr>
      <w:r w:rsidRPr="00197FF0">
        <w:t>details of how the AAV/stockperson will manage the additional workload to ensure that their ability to provide both AAV and stockperson functions will not be affected (such as the employment of additional suitable crew to assist with stockperson functions)</w:t>
      </w:r>
    </w:p>
    <w:p w14:paraId="23EB133D" w14:textId="77777777" w:rsidR="00197FF0" w:rsidRPr="00197FF0" w:rsidRDefault="00197FF0" w:rsidP="00743896">
      <w:pPr>
        <w:pStyle w:val="ListBullet"/>
      </w:pPr>
      <w:r w:rsidRPr="00197FF0">
        <w:t>a written contingency plan for circumstances where a significant animal health or welfare issue occurs during the voyage, and how arrangements will be made for the prompt and humane handling, care, treatment, separation, euthanasia and/or disposal of the livestock in compliance with ASEL and all relevant and applicable legislation.</w:t>
      </w:r>
    </w:p>
    <w:p w14:paraId="0C4DE082" w14:textId="77777777" w:rsidR="00197FF0" w:rsidRPr="00197FF0" w:rsidRDefault="00197FF0" w:rsidP="00197FF0">
      <w:r w:rsidRPr="00197FF0">
        <w:t>The department will consider any applications made against the criteria outlined in this guideline and provide a written outcome of decision to the exporter. In making the decision, the department may also consider the latest information, advice and research relevant to the application.</w:t>
      </w:r>
    </w:p>
    <w:p w14:paraId="6EB22E5D" w14:textId="136F6428" w:rsidR="00197FF0" w:rsidRDefault="00197FF0" w:rsidP="00197FF0">
      <w:r w:rsidRPr="00197FF0">
        <w:t>Unless otherwise approved in writing, the exporter must ensure that an AAV and stockperson are not the same person</w:t>
      </w:r>
      <w:r w:rsidR="00743896">
        <w:t>,</w:t>
      </w:r>
      <w:r w:rsidRPr="00197FF0">
        <w:t xml:space="preserve"> as per ASEL s</w:t>
      </w:r>
      <w:r w:rsidR="0033774D">
        <w:t xml:space="preserve">tandard </w:t>
      </w:r>
      <w:r w:rsidRPr="00197FF0">
        <w:t>4.1.11</w:t>
      </w:r>
      <w:r>
        <w:t>.</w:t>
      </w:r>
    </w:p>
    <w:p w14:paraId="1D1EBF46" w14:textId="77777777" w:rsidR="00197FF0" w:rsidRPr="00197FF0" w:rsidRDefault="00197FF0" w:rsidP="00911A89">
      <w:pPr>
        <w:pStyle w:val="Heading4"/>
        <w:numPr>
          <w:ilvl w:val="0"/>
          <w:numId w:val="0"/>
        </w:numPr>
        <w:ind w:left="964" w:hanging="964"/>
      </w:pPr>
      <w:r w:rsidRPr="00197FF0">
        <w:t>Assessment of applications received by the department</w:t>
      </w:r>
    </w:p>
    <w:p w14:paraId="3F9C9076" w14:textId="3362161E" w:rsidR="00197FF0" w:rsidRPr="00197FF0" w:rsidRDefault="00197FF0" w:rsidP="00197FF0">
      <w:r w:rsidRPr="00197FF0">
        <w:t>All applications are considered on an individual consignment basis. In deciding whether to grant an application for an AAV and stockperson to be the same person, the department will consider</w:t>
      </w:r>
      <w:r w:rsidR="00743896">
        <w:t>:</w:t>
      </w:r>
    </w:p>
    <w:p w14:paraId="745EC2E6" w14:textId="77777777" w:rsidR="00197FF0" w:rsidRPr="00197FF0" w:rsidRDefault="00197FF0" w:rsidP="00911A89">
      <w:pPr>
        <w:pStyle w:val="ListBullet"/>
      </w:pPr>
      <w:r w:rsidRPr="00197FF0">
        <w:t>the reasons or grounds for the application being made by the exporter</w:t>
      </w:r>
    </w:p>
    <w:p w14:paraId="7267EF0F" w14:textId="77777777" w:rsidR="00197FF0" w:rsidRPr="00197FF0" w:rsidRDefault="00197FF0" w:rsidP="00911A89">
      <w:pPr>
        <w:pStyle w:val="ListBullet"/>
      </w:pPr>
      <w:r w:rsidRPr="00197FF0">
        <w:t xml:space="preserve">whether the proposed voyage is of lower risk, and that by having an AAV as the same person as a stockperson would not comprise animal health and welfare (see </w:t>
      </w:r>
      <w:hyperlink w:anchor="_Factors_relevant_to" w:history="1">
        <w:r w:rsidRPr="00197FF0">
          <w:rPr>
            <w:rStyle w:val="Hyperlink"/>
          </w:rPr>
          <w:t>factors relevant to determining if a consignment is lower or higher risk</w:t>
        </w:r>
      </w:hyperlink>
      <w:r w:rsidRPr="00197FF0">
        <w:t>)</w:t>
      </w:r>
    </w:p>
    <w:p w14:paraId="184AF5E2" w14:textId="77777777" w:rsidR="00197FF0" w:rsidRPr="00197FF0" w:rsidRDefault="00197FF0" w:rsidP="00911A89">
      <w:pPr>
        <w:pStyle w:val="ListBullet"/>
      </w:pPr>
      <w:r w:rsidRPr="00197FF0">
        <w:t>whether the workload of the AAV/stockperson can be managed in a manner that is appropriate to achieve best animal health and welfare outcomes throughout the voyage</w:t>
      </w:r>
    </w:p>
    <w:p w14:paraId="0EC79414" w14:textId="77777777" w:rsidR="00197FF0" w:rsidRPr="00197FF0" w:rsidRDefault="00197FF0" w:rsidP="00911A89">
      <w:pPr>
        <w:pStyle w:val="ListBullet"/>
      </w:pPr>
      <w:r w:rsidRPr="00197FF0">
        <w:t>any other matters that the department considers relevant to the application.</w:t>
      </w:r>
    </w:p>
    <w:p w14:paraId="198886DB" w14:textId="77777777" w:rsidR="00197FF0" w:rsidRPr="00197FF0" w:rsidRDefault="00197FF0" w:rsidP="00197FF0">
      <w:r w:rsidRPr="00197FF0">
        <w:t>If an application is approved and any circumstances of the consignment change, this may affect the approval. Any changes will be reviewed by the department when an exporter amends a previously approved NOI. Exporters will be notified if the changes impact any previous approvals given.</w:t>
      </w:r>
    </w:p>
    <w:p w14:paraId="4659B0BF" w14:textId="77777777" w:rsidR="00F63F8D" w:rsidRDefault="00F63F8D" w:rsidP="00A52B8E">
      <w:pPr>
        <w:pStyle w:val="Heading3"/>
        <w:numPr>
          <w:ilvl w:val="0"/>
          <w:numId w:val="0"/>
        </w:numPr>
        <w:ind w:left="964" w:hanging="964"/>
      </w:pPr>
      <w:bookmarkStart w:id="10" w:name="_Factors_relevant_to"/>
      <w:bookmarkEnd w:id="10"/>
      <w:r>
        <w:t xml:space="preserve">Factors </w:t>
      </w:r>
      <w:r w:rsidRPr="00F63F8D">
        <w:t>relevant to determining if a consignment is lower or higher risk</w:t>
      </w:r>
    </w:p>
    <w:p w14:paraId="3D4BF0F4" w14:textId="03B82F4A" w:rsidR="00F63F8D" w:rsidRDefault="00F63F8D" w:rsidP="00F63F8D">
      <w:r w:rsidRPr="00F63F8D">
        <w:t>Risk factors in each category will be considered to determine a cumulative overall risk level</w:t>
      </w:r>
      <w:r w:rsidR="00461CF7">
        <w:t xml:space="preserve"> (see Table 1)</w:t>
      </w:r>
      <w:r w:rsidRPr="00F63F8D">
        <w:t>.</w:t>
      </w:r>
      <w:r w:rsidR="00934E88">
        <w:t xml:space="preserve"> </w:t>
      </w:r>
      <w:r w:rsidRPr="00F63F8D">
        <w:t>Having one or more higher risk factors may not necessarily mean that an application will not be approved, as they will be considered in conjunction with lower risk factors which may reduce the total risk</w:t>
      </w:r>
      <w:r w:rsidR="004836F6">
        <w:t xml:space="preserve"> level.</w:t>
      </w:r>
    </w:p>
    <w:p w14:paraId="3F064388" w14:textId="77777777" w:rsidR="005669D6" w:rsidRPr="005669D6" w:rsidRDefault="005669D6" w:rsidP="00E83DEF">
      <w:pPr>
        <w:pStyle w:val="TableHeading"/>
      </w:pPr>
      <w:bookmarkStart w:id="11" w:name="_Ref35848066"/>
      <w:r w:rsidRPr="005669D6">
        <w:lastRenderedPageBreak/>
        <w:t xml:space="preserve">Table </w:t>
      </w:r>
      <w:r w:rsidRPr="005669D6">
        <w:rPr>
          <w:noProof/>
        </w:rPr>
        <w:fldChar w:fldCharType="begin"/>
      </w:r>
      <w:r w:rsidRPr="005669D6">
        <w:rPr>
          <w:noProof/>
        </w:rPr>
        <w:instrText xml:space="preserve"> SEQ Table \* ARABIC </w:instrText>
      </w:r>
      <w:r w:rsidRPr="005669D6">
        <w:rPr>
          <w:noProof/>
        </w:rPr>
        <w:fldChar w:fldCharType="separate"/>
      </w:r>
      <w:r w:rsidRPr="005669D6">
        <w:rPr>
          <w:noProof/>
        </w:rPr>
        <w:t>1</w:t>
      </w:r>
      <w:r w:rsidRPr="005669D6">
        <w:rPr>
          <w:noProof/>
        </w:rPr>
        <w:fldChar w:fldCharType="end"/>
      </w:r>
      <w:bookmarkEnd w:id="11"/>
      <w:r w:rsidRPr="005669D6">
        <w:t xml:space="preserve"> Determining consignment risk factors</w:t>
      </w:r>
    </w:p>
    <w:tbl>
      <w:tblPr>
        <w:tblStyle w:val="TableGrid"/>
        <w:tblW w:w="484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61"/>
        <w:gridCol w:w="3827"/>
      </w:tblGrid>
      <w:tr w:rsidR="00E83DEF" w14:paraId="39CEB3C1" w14:textId="77777777" w:rsidTr="00461CF7">
        <w:trPr>
          <w:cantSplit/>
          <w:tblHeader/>
        </w:trPr>
        <w:tc>
          <w:tcPr>
            <w:tcW w:w="968" w:type="pct"/>
            <w:tcBorders>
              <w:bottom w:val="single" w:sz="4" w:space="0" w:color="auto"/>
            </w:tcBorders>
          </w:tcPr>
          <w:p w14:paraId="0BEE014B" w14:textId="77777777" w:rsidR="00E83DEF" w:rsidRDefault="00E83DEF">
            <w:pPr>
              <w:pStyle w:val="TableHeading"/>
            </w:pPr>
            <w:r>
              <w:t>Category</w:t>
            </w:r>
          </w:p>
        </w:tc>
        <w:tc>
          <w:tcPr>
            <w:tcW w:w="1855" w:type="pct"/>
            <w:tcBorders>
              <w:bottom w:val="single" w:sz="4" w:space="0" w:color="auto"/>
            </w:tcBorders>
          </w:tcPr>
          <w:p w14:paraId="44B450B8" w14:textId="77777777" w:rsidR="00E83DEF" w:rsidRDefault="00E83DEF">
            <w:pPr>
              <w:pStyle w:val="TableHeading"/>
            </w:pPr>
            <w:r>
              <w:t>Lower risk factors</w:t>
            </w:r>
          </w:p>
        </w:tc>
        <w:tc>
          <w:tcPr>
            <w:tcW w:w="2177" w:type="pct"/>
            <w:tcBorders>
              <w:bottom w:val="single" w:sz="4" w:space="0" w:color="auto"/>
            </w:tcBorders>
          </w:tcPr>
          <w:p w14:paraId="54897EB4" w14:textId="77777777" w:rsidR="00E83DEF" w:rsidRDefault="00E83DEF">
            <w:pPr>
              <w:pStyle w:val="TableHeading"/>
            </w:pPr>
            <w:r>
              <w:t>Higher risk factors</w:t>
            </w:r>
          </w:p>
        </w:tc>
      </w:tr>
      <w:tr w:rsidR="00E83DEF" w14:paraId="5457A605" w14:textId="77777777" w:rsidTr="00461CF7">
        <w:trPr>
          <w:cantSplit/>
        </w:trPr>
        <w:tc>
          <w:tcPr>
            <w:tcW w:w="968" w:type="pct"/>
            <w:tcBorders>
              <w:top w:val="single" w:sz="4" w:space="0" w:color="auto"/>
              <w:bottom w:val="nil"/>
            </w:tcBorders>
          </w:tcPr>
          <w:p w14:paraId="49D2D053" w14:textId="77777777" w:rsidR="00E83DEF" w:rsidRDefault="00E83DEF">
            <w:pPr>
              <w:pStyle w:val="TableText"/>
            </w:pPr>
            <w:r w:rsidRPr="00FD5670">
              <w:t>Route and destination</w:t>
            </w:r>
          </w:p>
        </w:tc>
        <w:tc>
          <w:tcPr>
            <w:tcW w:w="1855" w:type="pct"/>
            <w:tcBorders>
              <w:top w:val="single" w:sz="4" w:space="0" w:color="auto"/>
              <w:bottom w:val="nil"/>
            </w:tcBorders>
          </w:tcPr>
          <w:p w14:paraId="191CC0D0" w14:textId="0A018FBF" w:rsidR="00EE01B5" w:rsidRDefault="00461CF7" w:rsidP="00EE01B5">
            <w:pPr>
              <w:pStyle w:val="TableBullet1"/>
              <w:numPr>
                <w:ilvl w:val="0"/>
                <w:numId w:val="14"/>
              </w:numPr>
              <w:ind w:left="284" w:hanging="284"/>
            </w:pPr>
            <w:r>
              <w:t>t</w:t>
            </w:r>
            <w:r w:rsidR="00EE01B5">
              <w:t>he market and route of travel is of close proximity to Australia</w:t>
            </w:r>
          </w:p>
          <w:p w14:paraId="378ED87E" w14:textId="6D18B881" w:rsidR="00E83DEF" w:rsidRDefault="00461CF7" w:rsidP="00E83DEF">
            <w:pPr>
              <w:pStyle w:val="TableBullet1"/>
              <w:numPr>
                <w:ilvl w:val="0"/>
                <w:numId w:val="14"/>
              </w:numPr>
              <w:ind w:left="284" w:hanging="284"/>
            </w:pPr>
            <w:r>
              <w:t>v</w:t>
            </w:r>
            <w:r w:rsidR="00E83DEF">
              <w:t>oyage length is short haul or consignment does not cross the equator</w:t>
            </w:r>
          </w:p>
          <w:p w14:paraId="68EFF57D" w14:textId="6EC463ED" w:rsidR="00E83DEF" w:rsidRDefault="00461CF7" w:rsidP="00E83DEF">
            <w:pPr>
              <w:pStyle w:val="TableBullet1"/>
              <w:numPr>
                <w:ilvl w:val="0"/>
                <w:numId w:val="14"/>
              </w:numPr>
              <w:ind w:left="284" w:hanging="284"/>
            </w:pPr>
            <w:r>
              <w:t>v</w:t>
            </w:r>
            <w:r w:rsidR="00E83DEF">
              <w:t>oyage will not travel through waters known to be of higher risk</w:t>
            </w:r>
          </w:p>
        </w:tc>
        <w:tc>
          <w:tcPr>
            <w:tcW w:w="2177" w:type="pct"/>
            <w:tcBorders>
              <w:top w:val="single" w:sz="4" w:space="0" w:color="auto"/>
              <w:bottom w:val="nil"/>
            </w:tcBorders>
          </w:tcPr>
          <w:p w14:paraId="0AED8F08" w14:textId="2D1104D5" w:rsidR="00EE01B5" w:rsidRPr="00FD5670" w:rsidRDefault="00EE01B5" w:rsidP="00EE01B5">
            <w:pPr>
              <w:pStyle w:val="TableBullet1"/>
              <w:numPr>
                <w:ilvl w:val="0"/>
                <w:numId w:val="14"/>
              </w:numPr>
              <w:ind w:left="284" w:hanging="284"/>
            </w:pPr>
            <w:r w:rsidRPr="00FD5670">
              <w:t>consignment is going to a new market</w:t>
            </w:r>
          </w:p>
          <w:p w14:paraId="4F5288CF" w14:textId="50E3C6E4" w:rsidR="00EE01B5" w:rsidRDefault="00EE01B5" w:rsidP="00EE01B5">
            <w:pPr>
              <w:pStyle w:val="TableBullet1"/>
              <w:numPr>
                <w:ilvl w:val="0"/>
                <w:numId w:val="14"/>
              </w:numPr>
              <w:ind w:left="284" w:hanging="284"/>
            </w:pPr>
            <w:r w:rsidRPr="00FD5670">
              <w:t>consignment is going to multiple ports of call</w:t>
            </w:r>
          </w:p>
          <w:p w14:paraId="62606D0D" w14:textId="77777777" w:rsidR="00C33C00" w:rsidRDefault="00EE01B5" w:rsidP="00C33C00">
            <w:pPr>
              <w:pStyle w:val="TableBullet1"/>
              <w:numPr>
                <w:ilvl w:val="0"/>
                <w:numId w:val="14"/>
              </w:numPr>
              <w:ind w:left="284" w:hanging="284"/>
            </w:pPr>
            <w:r w:rsidRPr="00FD5670">
              <w:t>voyage is travelling to or through the Middle East, Russia, China, Japan, the Suez Canal, Cape of Good Hope, Cape Horn or the Panama Canal</w:t>
            </w:r>
          </w:p>
          <w:p w14:paraId="3887FF3D" w14:textId="199FEEC0" w:rsidR="0084594E" w:rsidRDefault="00461CF7" w:rsidP="00F64C2C">
            <w:pPr>
              <w:pStyle w:val="TableBullet1"/>
              <w:numPr>
                <w:ilvl w:val="0"/>
                <w:numId w:val="14"/>
              </w:numPr>
              <w:ind w:left="284" w:hanging="284"/>
            </w:pPr>
            <w:r>
              <w:t>v</w:t>
            </w:r>
            <w:r w:rsidR="00E83DEF" w:rsidRPr="00FD5670">
              <w:t>oyage length is long haul or extended long haul, or the voyage crosses the equator</w:t>
            </w:r>
          </w:p>
        </w:tc>
      </w:tr>
      <w:tr w:rsidR="00E83DEF" w14:paraId="2D7B84BD" w14:textId="77777777" w:rsidTr="00461CF7">
        <w:trPr>
          <w:cantSplit/>
        </w:trPr>
        <w:tc>
          <w:tcPr>
            <w:tcW w:w="968" w:type="pct"/>
            <w:tcBorders>
              <w:top w:val="single" w:sz="4" w:space="0" w:color="auto"/>
              <w:bottom w:val="nil"/>
            </w:tcBorders>
          </w:tcPr>
          <w:p w14:paraId="4188E602" w14:textId="77777777" w:rsidR="00E83DEF" w:rsidRDefault="00E83DEF">
            <w:pPr>
              <w:pStyle w:val="TableText"/>
            </w:pPr>
            <w:r w:rsidRPr="00FD5670">
              <w:t>Climatic difference of ports</w:t>
            </w:r>
          </w:p>
        </w:tc>
        <w:tc>
          <w:tcPr>
            <w:tcW w:w="1855" w:type="pct"/>
            <w:tcBorders>
              <w:top w:val="single" w:sz="4" w:space="0" w:color="auto"/>
              <w:bottom w:val="nil"/>
            </w:tcBorders>
          </w:tcPr>
          <w:p w14:paraId="3BECAC8D" w14:textId="19E27554" w:rsidR="00E83DEF" w:rsidRPr="00FD5670" w:rsidRDefault="00461CF7" w:rsidP="00E83DEF">
            <w:pPr>
              <w:pStyle w:val="TableBullet1"/>
              <w:numPr>
                <w:ilvl w:val="0"/>
                <w:numId w:val="14"/>
              </w:numPr>
              <w:ind w:left="284" w:hanging="284"/>
            </w:pPr>
            <w:r>
              <w:t>t</w:t>
            </w:r>
            <w:r w:rsidR="00E83DEF" w:rsidRPr="00FD5670">
              <w:t>ravel between ports of similar climate</w:t>
            </w:r>
          </w:p>
        </w:tc>
        <w:tc>
          <w:tcPr>
            <w:tcW w:w="2177" w:type="pct"/>
            <w:tcBorders>
              <w:top w:val="single" w:sz="4" w:space="0" w:color="auto"/>
              <w:bottom w:val="nil"/>
            </w:tcBorders>
          </w:tcPr>
          <w:p w14:paraId="7EB93350" w14:textId="04717D8E" w:rsidR="00EE01B5" w:rsidRDefault="00461CF7" w:rsidP="00E83DEF">
            <w:pPr>
              <w:pStyle w:val="TableBullet1"/>
              <w:numPr>
                <w:ilvl w:val="0"/>
                <w:numId w:val="14"/>
              </w:numPr>
              <w:ind w:left="284" w:hanging="284"/>
            </w:pPr>
            <w:r>
              <w:t>l</w:t>
            </w:r>
            <w:r w:rsidR="00EE01B5">
              <w:t>ivestock sourced or exported from ports in Australia below 26</w:t>
            </w:r>
            <w:r w:rsidR="00B15279">
              <w:rPr>
                <w:rFonts w:cstheme="minorHAnsi"/>
              </w:rPr>
              <w:t>°</w:t>
            </w:r>
            <w:r w:rsidR="00B15279">
              <w:t>S</w:t>
            </w:r>
            <w:r w:rsidR="00EE01B5">
              <w:t xml:space="preserve"> that will cross the equator</w:t>
            </w:r>
          </w:p>
          <w:p w14:paraId="19BE1D6C" w14:textId="2BDB2E51" w:rsidR="00E83DEF" w:rsidRDefault="00461CF7" w:rsidP="00EE01B5">
            <w:pPr>
              <w:pStyle w:val="TableBullet1"/>
              <w:numPr>
                <w:ilvl w:val="0"/>
                <w:numId w:val="14"/>
              </w:numPr>
              <w:ind w:left="284" w:hanging="284"/>
            </w:pPr>
            <w:r>
              <w:t>t</w:t>
            </w:r>
            <w:r w:rsidR="00E83DEF" w:rsidRPr="00FD5670">
              <w:t xml:space="preserve">ravel between ports with differing climate conditions </w:t>
            </w:r>
            <w:r w:rsidR="00E83DEF">
              <w:t>(</w:t>
            </w:r>
            <w:r w:rsidR="00B15279">
              <w:t>i.e.</w:t>
            </w:r>
            <w:r w:rsidR="00E83DEF" w:rsidRPr="00FD5670">
              <w:t xml:space="preserve"> travelling from an Australian winter to the destination country’s summer, or vice versa</w:t>
            </w:r>
            <w:r w:rsidR="00E83DEF">
              <w:t>)</w:t>
            </w:r>
          </w:p>
        </w:tc>
      </w:tr>
      <w:tr w:rsidR="00E83DEF" w14:paraId="26254DC9" w14:textId="77777777" w:rsidTr="00461CF7">
        <w:trPr>
          <w:cantSplit/>
        </w:trPr>
        <w:tc>
          <w:tcPr>
            <w:tcW w:w="968" w:type="pct"/>
            <w:tcBorders>
              <w:top w:val="single" w:sz="4" w:space="0" w:color="auto"/>
              <w:bottom w:val="single" w:sz="4" w:space="0" w:color="auto"/>
            </w:tcBorders>
          </w:tcPr>
          <w:p w14:paraId="76A01718" w14:textId="77777777" w:rsidR="00E83DEF" w:rsidRDefault="00E83DEF">
            <w:pPr>
              <w:pStyle w:val="TableText"/>
            </w:pPr>
            <w:r>
              <w:t>Vessel</w:t>
            </w:r>
          </w:p>
        </w:tc>
        <w:tc>
          <w:tcPr>
            <w:tcW w:w="1855" w:type="pct"/>
            <w:tcBorders>
              <w:top w:val="single" w:sz="4" w:space="0" w:color="auto"/>
              <w:bottom w:val="single" w:sz="4" w:space="0" w:color="auto"/>
            </w:tcBorders>
          </w:tcPr>
          <w:p w14:paraId="76A2E066" w14:textId="3B64BCCD" w:rsidR="00E83DEF" w:rsidRDefault="00461CF7" w:rsidP="00E83DEF">
            <w:pPr>
              <w:pStyle w:val="TableBullet1"/>
              <w:numPr>
                <w:ilvl w:val="0"/>
                <w:numId w:val="14"/>
              </w:numPr>
              <w:ind w:left="284" w:hanging="284"/>
            </w:pPr>
            <w:r>
              <w:t>v</w:t>
            </w:r>
            <w:r w:rsidR="00E83DEF" w:rsidRPr="00FD5670">
              <w:t>essel has been regularly used to carry Australian livestock</w:t>
            </w:r>
          </w:p>
          <w:p w14:paraId="6187A835" w14:textId="4988BF94" w:rsidR="00E83DEF" w:rsidRDefault="00461CF7" w:rsidP="00E83DEF">
            <w:pPr>
              <w:pStyle w:val="TableBullet1"/>
              <w:numPr>
                <w:ilvl w:val="0"/>
                <w:numId w:val="14"/>
              </w:numPr>
              <w:ind w:left="284" w:hanging="284"/>
            </w:pPr>
            <w:r>
              <w:t>v</w:t>
            </w:r>
            <w:r w:rsidR="00E83DEF">
              <w:t>essel</w:t>
            </w:r>
            <w:r w:rsidR="00E83DEF" w:rsidRPr="00FD5670">
              <w:t xml:space="preserve"> has not had a </w:t>
            </w:r>
            <w:r w:rsidR="00E83DEF">
              <w:t>notifiable</w:t>
            </w:r>
            <w:r w:rsidR="00E83DEF" w:rsidRPr="00FD5670">
              <w:t xml:space="preserve"> incident</w:t>
            </w:r>
            <w:r w:rsidR="00E83DEF">
              <w:t xml:space="preserve"> in the last 12 months (for any exporter)</w:t>
            </w:r>
          </w:p>
        </w:tc>
        <w:tc>
          <w:tcPr>
            <w:tcW w:w="2177" w:type="pct"/>
            <w:tcBorders>
              <w:top w:val="single" w:sz="4" w:space="0" w:color="auto"/>
              <w:bottom w:val="single" w:sz="4" w:space="0" w:color="auto"/>
            </w:tcBorders>
          </w:tcPr>
          <w:p w14:paraId="6D9F78F7" w14:textId="24F761B5" w:rsidR="00EE01B5" w:rsidRDefault="00461CF7" w:rsidP="00EE01B5">
            <w:pPr>
              <w:pStyle w:val="TableBullet1"/>
              <w:numPr>
                <w:ilvl w:val="0"/>
                <w:numId w:val="14"/>
              </w:numPr>
              <w:ind w:left="284" w:hanging="284"/>
            </w:pPr>
            <w:r>
              <w:t>e</w:t>
            </w:r>
            <w:r w:rsidR="00EE01B5" w:rsidRPr="00FD5670">
              <w:t xml:space="preserve">xporter is using a vessel that has been reported through the IO program to have structural concerns </w:t>
            </w:r>
            <w:r w:rsidR="00EE01B5">
              <w:t>(for example,</w:t>
            </w:r>
            <w:r w:rsidR="00EE01B5" w:rsidRPr="00FD5670">
              <w:t xml:space="preserve"> flooring</w:t>
            </w:r>
            <w:r w:rsidR="00EE01B5">
              <w:t xml:space="preserve"> or </w:t>
            </w:r>
            <w:r w:rsidR="00EE01B5" w:rsidRPr="00FD5670">
              <w:t>ageing vessel</w:t>
            </w:r>
            <w:r w:rsidR="00EE01B5">
              <w:t>)</w:t>
            </w:r>
          </w:p>
          <w:p w14:paraId="2A5A2D38" w14:textId="5DE2E8FC" w:rsidR="00EE01B5" w:rsidRDefault="00461CF7" w:rsidP="00E83DEF">
            <w:pPr>
              <w:pStyle w:val="TableBullet1"/>
              <w:numPr>
                <w:ilvl w:val="0"/>
                <w:numId w:val="14"/>
              </w:numPr>
              <w:ind w:left="284" w:hanging="284"/>
            </w:pPr>
            <w:r>
              <w:t>v</w:t>
            </w:r>
            <w:r w:rsidR="00EE01B5" w:rsidRPr="00FD5670">
              <w:t>essel has had a notifiable incident in the last 12 months (for any exporter). Consideration may be given to the likely cause of any notifiable incident</w:t>
            </w:r>
          </w:p>
          <w:p w14:paraId="0C3CE8CB" w14:textId="5289A5A8" w:rsidR="00EE01B5" w:rsidRDefault="00461CF7" w:rsidP="00EE01B5">
            <w:pPr>
              <w:pStyle w:val="TableBullet1"/>
              <w:numPr>
                <w:ilvl w:val="0"/>
                <w:numId w:val="14"/>
              </w:numPr>
              <w:ind w:left="284" w:hanging="284"/>
            </w:pPr>
            <w:r>
              <w:t>v</w:t>
            </w:r>
            <w:r w:rsidR="00EE01B5" w:rsidRPr="00FD5670">
              <w:t>essel has undergone a recent dry dock repair, or has had recent mechanical issues, which has the potential to impact animal welfare or cause delays</w:t>
            </w:r>
          </w:p>
          <w:p w14:paraId="74EF949D" w14:textId="24CE974C" w:rsidR="00E83DEF" w:rsidRDefault="00461CF7" w:rsidP="00A52B8E">
            <w:pPr>
              <w:pStyle w:val="TableBullet1"/>
              <w:numPr>
                <w:ilvl w:val="0"/>
                <w:numId w:val="14"/>
              </w:numPr>
              <w:ind w:left="284" w:hanging="284"/>
            </w:pPr>
            <w:r>
              <w:t>v</w:t>
            </w:r>
            <w:r w:rsidR="00E83DEF" w:rsidRPr="00FD5670">
              <w:t>essel is new (or recently renovated)</w:t>
            </w:r>
          </w:p>
        </w:tc>
      </w:tr>
      <w:tr w:rsidR="00E83DEF" w14:paraId="4FB92160" w14:textId="77777777" w:rsidTr="00461CF7">
        <w:trPr>
          <w:cantSplit/>
        </w:trPr>
        <w:tc>
          <w:tcPr>
            <w:tcW w:w="968" w:type="pct"/>
            <w:tcBorders>
              <w:top w:val="single" w:sz="4" w:space="0" w:color="auto"/>
              <w:bottom w:val="single" w:sz="4" w:space="0" w:color="auto"/>
            </w:tcBorders>
          </w:tcPr>
          <w:p w14:paraId="0025F084" w14:textId="77777777" w:rsidR="00E83DEF" w:rsidRDefault="00E83DEF">
            <w:pPr>
              <w:pStyle w:val="TableText"/>
            </w:pPr>
            <w:r>
              <w:t>Species and class of livestock</w:t>
            </w:r>
          </w:p>
        </w:tc>
        <w:tc>
          <w:tcPr>
            <w:tcW w:w="1855" w:type="pct"/>
            <w:tcBorders>
              <w:top w:val="single" w:sz="4" w:space="0" w:color="auto"/>
              <w:bottom w:val="single" w:sz="4" w:space="0" w:color="auto"/>
            </w:tcBorders>
          </w:tcPr>
          <w:p w14:paraId="4A8898EC" w14:textId="2084136C" w:rsidR="00E83DEF" w:rsidRPr="00FD5670" w:rsidRDefault="00461CF7" w:rsidP="00E83DEF">
            <w:pPr>
              <w:pStyle w:val="TableBullet1"/>
              <w:numPr>
                <w:ilvl w:val="0"/>
                <w:numId w:val="14"/>
              </w:numPr>
              <w:ind w:left="284" w:hanging="284"/>
            </w:pPr>
            <w:r>
              <w:t>s</w:t>
            </w:r>
            <w:r w:rsidR="00E83DEF" w:rsidRPr="00FD5670">
              <w:t>maller consignments of cattle or sheep that are not considered heavy, long horned or pregnant</w:t>
            </w:r>
          </w:p>
        </w:tc>
        <w:tc>
          <w:tcPr>
            <w:tcW w:w="2177" w:type="pct"/>
            <w:tcBorders>
              <w:top w:val="single" w:sz="4" w:space="0" w:color="auto"/>
              <w:bottom w:val="single" w:sz="4" w:space="0" w:color="auto"/>
            </w:tcBorders>
          </w:tcPr>
          <w:p w14:paraId="75C526F7" w14:textId="3A650DB8" w:rsidR="00197FF0" w:rsidRDefault="00461CF7" w:rsidP="00197FF0">
            <w:pPr>
              <w:pStyle w:val="TableBullet1"/>
              <w:numPr>
                <w:ilvl w:val="0"/>
                <w:numId w:val="14"/>
              </w:numPr>
              <w:ind w:left="284" w:hanging="284"/>
            </w:pPr>
            <w:r>
              <w:t>b</w:t>
            </w:r>
            <w:r w:rsidR="00197FF0" w:rsidRPr="00FD5670">
              <w:t>uffalo</w:t>
            </w:r>
          </w:p>
          <w:p w14:paraId="52093E3E" w14:textId="21134DA2" w:rsidR="00197FF0" w:rsidRDefault="00461CF7" w:rsidP="00197FF0">
            <w:pPr>
              <w:pStyle w:val="TableBullet1"/>
              <w:numPr>
                <w:ilvl w:val="0"/>
                <w:numId w:val="14"/>
              </w:numPr>
              <w:ind w:left="284" w:hanging="284"/>
            </w:pPr>
            <w:r>
              <w:t>c</w:t>
            </w:r>
            <w:r w:rsidR="00197FF0" w:rsidRPr="00FD5670">
              <w:t>amels/camelids</w:t>
            </w:r>
          </w:p>
          <w:p w14:paraId="755F6C93" w14:textId="4B436B5C" w:rsidR="00E83DEF" w:rsidRPr="00FD5670" w:rsidRDefault="00461CF7" w:rsidP="00E83DEF">
            <w:pPr>
              <w:pStyle w:val="TableBullet1"/>
              <w:numPr>
                <w:ilvl w:val="0"/>
                <w:numId w:val="14"/>
              </w:numPr>
              <w:ind w:left="284" w:hanging="284"/>
            </w:pPr>
            <w:r>
              <w:t>c</w:t>
            </w:r>
            <w:r w:rsidR="00E83DEF" w:rsidRPr="00FD5670">
              <w:t>attle weighing more than 500</w:t>
            </w:r>
            <w:r w:rsidR="007E6AEB">
              <w:t> </w:t>
            </w:r>
            <w:r w:rsidR="00E83DEF" w:rsidRPr="00FD5670">
              <w:t>kg</w:t>
            </w:r>
          </w:p>
          <w:p w14:paraId="2E5375BE" w14:textId="041FC452" w:rsidR="00197FF0" w:rsidRPr="00FD5670" w:rsidRDefault="00461CF7" w:rsidP="00197FF0">
            <w:pPr>
              <w:pStyle w:val="TableBullet1"/>
              <w:numPr>
                <w:ilvl w:val="0"/>
                <w:numId w:val="14"/>
              </w:numPr>
              <w:ind w:left="284" w:hanging="284"/>
            </w:pPr>
            <w:r>
              <w:t>d</w:t>
            </w:r>
            <w:r w:rsidR="00197FF0" w:rsidRPr="00FD5670">
              <w:t>eer</w:t>
            </w:r>
          </w:p>
          <w:p w14:paraId="68A10301" w14:textId="1307EA47" w:rsidR="00197FF0" w:rsidRPr="00FD5670" w:rsidRDefault="00461CF7" w:rsidP="00197FF0">
            <w:pPr>
              <w:pStyle w:val="TableBullet1"/>
              <w:numPr>
                <w:ilvl w:val="0"/>
                <w:numId w:val="14"/>
              </w:numPr>
              <w:ind w:left="284" w:hanging="284"/>
            </w:pPr>
            <w:r>
              <w:t>g</w:t>
            </w:r>
            <w:r w:rsidR="00197FF0" w:rsidRPr="00FD5670">
              <w:t>oats</w:t>
            </w:r>
          </w:p>
          <w:p w14:paraId="451A3F1F" w14:textId="4A5D27C1" w:rsidR="00197FF0" w:rsidRDefault="00461CF7" w:rsidP="00197FF0">
            <w:pPr>
              <w:pStyle w:val="TableBullet1"/>
              <w:numPr>
                <w:ilvl w:val="0"/>
                <w:numId w:val="14"/>
              </w:numPr>
              <w:ind w:left="284" w:hanging="284"/>
            </w:pPr>
            <w:r>
              <w:t>l</w:t>
            </w:r>
            <w:r w:rsidR="00197FF0" w:rsidRPr="00FD5670">
              <w:t>ong horned animals</w:t>
            </w:r>
          </w:p>
          <w:p w14:paraId="40A57179" w14:textId="6CF8246A" w:rsidR="00E83DEF" w:rsidRDefault="00461CF7" w:rsidP="00461CF7">
            <w:pPr>
              <w:pStyle w:val="TableBullet1"/>
              <w:numPr>
                <w:ilvl w:val="0"/>
                <w:numId w:val="14"/>
              </w:numPr>
              <w:ind w:left="284" w:hanging="284"/>
            </w:pPr>
            <w:r>
              <w:t>p</w:t>
            </w:r>
            <w:r w:rsidR="00E83DEF" w:rsidRPr="00FD5670">
              <w:t>regnant livestock</w:t>
            </w:r>
          </w:p>
          <w:p w14:paraId="689C5015" w14:textId="453C1DDF" w:rsidR="00461CF7" w:rsidRPr="00FD5670" w:rsidRDefault="00461CF7" w:rsidP="00461CF7">
            <w:pPr>
              <w:pStyle w:val="TableBullet1"/>
              <w:numPr>
                <w:ilvl w:val="0"/>
                <w:numId w:val="14"/>
              </w:numPr>
              <w:ind w:left="284" w:hanging="284"/>
            </w:pPr>
            <w:r>
              <w:t>any animals exported under an approved management plan</w:t>
            </w:r>
          </w:p>
        </w:tc>
      </w:tr>
      <w:tr w:rsidR="00E83DEF" w14:paraId="63342F9E" w14:textId="77777777" w:rsidTr="00461CF7">
        <w:trPr>
          <w:cantSplit/>
        </w:trPr>
        <w:tc>
          <w:tcPr>
            <w:tcW w:w="968" w:type="pct"/>
            <w:tcBorders>
              <w:top w:val="single" w:sz="4" w:space="0" w:color="auto"/>
            </w:tcBorders>
          </w:tcPr>
          <w:p w14:paraId="0C42415C" w14:textId="77777777" w:rsidR="00E83DEF" w:rsidRDefault="00E83DEF">
            <w:pPr>
              <w:pStyle w:val="TableText"/>
            </w:pPr>
            <w:r>
              <w:t>Previous exporter performance</w:t>
            </w:r>
          </w:p>
        </w:tc>
        <w:tc>
          <w:tcPr>
            <w:tcW w:w="1855" w:type="pct"/>
            <w:tcBorders>
              <w:top w:val="single" w:sz="4" w:space="0" w:color="auto"/>
            </w:tcBorders>
          </w:tcPr>
          <w:p w14:paraId="64D225F6" w14:textId="7DCC095E" w:rsidR="00E83DEF" w:rsidRPr="00FD5670" w:rsidRDefault="00461CF7" w:rsidP="00E83DEF">
            <w:pPr>
              <w:pStyle w:val="TableBullet1"/>
              <w:numPr>
                <w:ilvl w:val="0"/>
                <w:numId w:val="14"/>
              </w:numPr>
              <w:ind w:left="284" w:hanging="284"/>
            </w:pPr>
            <w:r>
              <w:t>e</w:t>
            </w:r>
            <w:r w:rsidR="00E83DEF" w:rsidRPr="00FD5670">
              <w:t>xporter has</w:t>
            </w:r>
            <w:r w:rsidR="00E83DEF">
              <w:t xml:space="preserve"> not</w:t>
            </w:r>
            <w:r w:rsidR="00E83DEF" w:rsidRPr="00FD5670">
              <w:t xml:space="preserve"> had </w:t>
            </w:r>
            <w:r w:rsidR="00E83DEF">
              <w:t>a</w:t>
            </w:r>
            <w:r w:rsidR="00E83DEF" w:rsidRPr="00FD5670">
              <w:t xml:space="preserve"> notifiable </w:t>
            </w:r>
            <w:r w:rsidR="00E83DEF">
              <w:t>incident in the last 12 months</w:t>
            </w:r>
          </w:p>
          <w:p w14:paraId="6D072967" w14:textId="06D279CC" w:rsidR="00E83DEF" w:rsidRPr="00FD5670" w:rsidRDefault="00461CF7" w:rsidP="00E83DEF">
            <w:pPr>
              <w:pStyle w:val="TableBullet1"/>
              <w:numPr>
                <w:ilvl w:val="0"/>
                <w:numId w:val="14"/>
              </w:numPr>
              <w:ind w:left="284" w:hanging="284"/>
            </w:pPr>
            <w:r>
              <w:t>e</w:t>
            </w:r>
            <w:r w:rsidR="00E83DEF" w:rsidRPr="00FD5670">
              <w:t>xporter has proven</w:t>
            </w:r>
            <w:r w:rsidR="008D4AD6">
              <w:t xml:space="preserve"> </w:t>
            </w:r>
            <w:r w:rsidR="00E83DEF" w:rsidRPr="00FD5670">
              <w:t>compliance</w:t>
            </w:r>
            <w:r w:rsidR="00E83DEF">
              <w:t>,</w:t>
            </w:r>
            <w:r w:rsidR="00E83DEF" w:rsidRPr="00FD5670">
              <w:t xml:space="preserve"> based on regional veterinary officer, </w:t>
            </w:r>
            <w:r w:rsidR="00491E55">
              <w:t>IO</w:t>
            </w:r>
            <w:r w:rsidR="00E83DEF" w:rsidRPr="00FD5670">
              <w:t>,</w:t>
            </w:r>
            <w:r w:rsidR="00F64C2C">
              <w:t xml:space="preserve"> </w:t>
            </w:r>
            <w:r w:rsidR="00E83DEF" w:rsidRPr="00FD5670">
              <w:t>mortality and audit reports</w:t>
            </w:r>
          </w:p>
        </w:tc>
        <w:tc>
          <w:tcPr>
            <w:tcW w:w="2177" w:type="pct"/>
            <w:tcBorders>
              <w:top w:val="single" w:sz="4" w:space="0" w:color="auto"/>
            </w:tcBorders>
          </w:tcPr>
          <w:p w14:paraId="46CC48DB" w14:textId="5BC873CB" w:rsidR="00E83DEF" w:rsidRPr="00FD5670" w:rsidRDefault="00461CF7" w:rsidP="00E83DEF">
            <w:pPr>
              <w:pStyle w:val="TableBullet1"/>
              <w:numPr>
                <w:ilvl w:val="0"/>
                <w:numId w:val="14"/>
              </w:numPr>
              <w:ind w:left="284" w:hanging="284"/>
            </w:pPr>
            <w:r>
              <w:t>e</w:t>
            </w:r>
            <w:r w:rsidR="00E83DEF" w:rsidRPr="00FD5670">
              <w:t>xporter has had a notifiable incident in that species in the last 12 months</w:t>
            </w:r>
          </w:p>
          <w:p w14:paraId="2613DDE4" w14:textId="565E2474" w:rsidR="00E83DEF" w:rsidRPr="00FD5670" w:rsidRDefault="00461CF7" w:rsidP="00E83DEF">
            <w:pPr>
              <w:pStyle w:val="TableBullet1"/>
              <w:numPr>
                <w:ilvl w:val="0"/>
                <w:numId w:val="14"/>
              </w:numPr>
              <w:ind w:left="284" w:hanging="284"/>
            </w:pPr>
            <w:r>
              <w:t>e</w:t>
            </w:r>
            <w:r w:rsidR="00E83DEF" w:rsidRPr="00FD5670">
              <w:t xml:space="preserve">xporter has received a non-compliance in the last 12 months (this could be through </w:t>
            </w:r>
            <w:r w:rsidR="00E83DEF" w:rsidRPr="002270A4">
              <w:t xml:space="preserve">Livestock Export Consignment </w:t>
            </w:r>
            <w:r w:rsidR="00E83DEF">
              <w:t>Reports (LECR)</w:t>
            </w:r>
            <w:r w:rsidR="00E83DEF" w:rsidRPr="00FD5670">
              <w:t xml:space="preserve"> or through auditing of an exporter’s approved arrangement)</w:t>
            </w:r>
          </w:p>
        </w:tc>
      </w:tr>
    </w:tbl>
    <w:p w14:paraId="2D232B9A" w14:textId="2CFD6AFB" w:rsidR="00076A29" w:rsidRDefault="00076A29" w:rsidP="007E6AEB">
      <w:pPr>
        <w:pStyle w:val="Heading2"/>
        <w:pageBreakBefore/>
      </w:pPr>
      <w:bookmarkStart w:id="12" w:name="_Related_material"/>
      <w:bookmarkEnd w:id="12"/>
      <w:r>
        <w:lastRenderedPageBreak/>
        <w:t>Related material</w:t>
      </w:r>
    </w:p>
    <w:p w14:paraId="47CF34C0" w14:textId="6E1385AE" w:rsidR="004836F6" w:rsidRPr="00FB1030" w:rsidRDefault="007B3E4F" w:rsidP="004836F6">
      <w:pPr>
        <w:pStyle w:val="ListBullet"/>
        <w:rPr>
          <w:rStyle w:val="Hyperlink"/>
        </w:rPr>
      </w:pPr>
      <w:hyperlink r:id="rId13" w:history="1">
        <w:r w:rsidR="007E6AEB">
          <w:rPr>
            <w:rStyle w:val="Hyperlink"/>
            <w:rFonts w:cstheme="minorHAnsi"/>
          </w:rPr>
          <w:t>Approved arrangement guidelines for the export of livestock</w:t>
        </w:r>
      </w:hyperlink>
    </w:p>
    <w:p w14:paraId="73278037" w14:textId="72B3DDC0" w:rsidR="004836F6" w:rsidRPr="009A5404" w:rsidRDefault="007B3E4F" w:rsidP="004836F6">
      <w:pPr>
        <w:pStyle w:val="ListBullet"/>
        <w:rPr>
          <w:rStyle w:val="Hyperlink"/>
          <w:color w:val="auto"/>
          <w:u w:val="none"/>
        </w:rPr>
      </w:pPr>
      <w:hyperlink r:id="rId14" w:history="1">
        <w:r w:rsidR="004836F6" w:rsidRPr="00FB1030">
          <w:rPr>
            <w:rStyle w:val="Hyperlink"/>
          </w:rPr>
          <w:t xml:space="preserve">Approved </w:t>
        </w:r>
        <w:r w:rsidR="009A5404">
          <w:rPr>
            <w:rStyle w:val="Hyperlink"/>
          </w:rPr>
          <w:t>export program guidelines for the export of livestock</w:t>
        </w:r>
      </w:hyperlink>
    </w:p>
    <w:p w14:paraId="1C39C05E" w14:textId="72E94243" w:rsidR="009A5404" w:rsidRPr="009A5404" w:rsidRDefault="007B3E4F" w:rsidP="004836F6">
      <w:pPr>
        <w:pStyle w:val="ListBullet"/>
        <w:rPr>
          <w:rStyle w:val="Hyperlink"/>
          <w:color w:val="auto"/>
          <w:u w:val="none"/>
        </w:rPr>
      </w:pPr>
      <w:hyperlink r:id="rId15" w:history="1">
        <w:r w:rsidR="009A5404" w:rsidRPr="00B203C2">
          <w:rPr>
            <w:rStyle w:val="Hyperlink"/>
            <w:rFonts w:cstheme="minorHAnsi"/>
          </w:rPr>
          <w:t>Australian Standards for the Export of Livestock</w:t>
        </w:r>
      </w:hyperlink>
      <w:r w:rsidR="00C56A83">
        <w:rPr>
          <w:rStyle w:val="Hyperlink"/>
          <w:rFonts w:cstheme="minorHAnsi"/>
        </w:rPr>
        <w:t xml:space="preserve"> (ASEL)</w:t>
      </w:r>
    </w:p>
    <w:p w14:paraId="3AA395CF" w14:textId="77777777" w:rsidR="009A5404" w:rsidRPr="00D16A96" w:rsidRDefault="007B3E4F" w:rsidP="009A5404">
      <w:pPr>
        <w:pStyle w:val="ListBullet"/>
        <w:rPr>
          <w:rStyle w:val="Emphasis"/>
          <w:rFonts w:cstheme="minorHAnsi"/>
          <w:i w:val="0"/>
          <w:iCs w:val="0"/>
        </w:rPr>
      </w:pPr>
      <w:hyperlink r:id="rId16" w:history="1">
        <w:r w:rsidR="009A5404">
          <w:rPr>
            <w:rStyle w:val="Hyperlink"/>
          </w:rPr>
          <w:t>Export Control Act 2020</w:t>
        </w:r>
      </w:hyperlink>
    </w:p>
    <w:p w14:paraId="5B41A606" w14:textId="77777777" w:rsidR="009A5404" w:rsidRDefault="007B3E4F" w:rsidP="009A5404">
      <w:pPr>
        <w:pStyle w:val="ListBullet"/>
      </w:pPr>
      <w:hyperlink r:id="rId17" w:history="1">
        <w:r w:rsidR="009A5404">
          <w:rPr>
            <w:rStyle w:val="Hyperlink"/>
            <w:rFonts w:cstheme="minorHAnsi"/>
          </w:rPr>
          <w:t>Export Control (Animals) Rules 2021</w:t>
        </w:r>
      </w:hyperlink>
    </w:p>
    <w:bookmarkStart w:id="13" w:name="_Hlk133925402"/>
    <w:p w14:paraId="2067E508" w14:textId="5705BA09" w:rsidR="009A5404" w:rsidRDefault="00821A84" w:rsidP="004836F6">
      <w:pPr>
        <w:pStyle w:val="ListBullet"/>
      </w:pPr>
      <w:r>
        <w:fldChar w:fldCharType="begin"/>
      </w:r>
      <w:r>
        <w:instrText>HYPERLINK "https://www.agriculture.gov.au/biosecurity-trade/export/controlled-goods/live-animals/livestock/regulating-live-animal-exports"</w:instrText>
      </w:r>
      <w:r>
        <w:fldChar w:fldCharType="separate"/>
      </w:r>
      <w:r w:rsidR="009A5404" w:rsidRPr="009A5404">
        <w:rPr>
          <w:rStyle w:val="Hyperlink"/>
        </w:rPr>
        <w:t>Regulating live animal exports</w:t>
      </w:r>
      <w:r>
        <w:rPr>
          <w:rStyle w:val="Hyperlink"/>
        </w:rPr>
        <w:fldChar w:fldCharType="end"/>
      </w:r>
    </w:p>
    <w:bookmarkEnd w:id="13"/>
    <w:p w14:paraId="4D6EAF59" w14:textId="03098CB6" w:rsidR="004836F6" w:rsidRPr="005153BA" w:rsidRDefault="00821A84" w:rsidP="004836F6">
      <w:pPr>
        <w:pStyle w:val="ListBullet"/>
        <w:rPr>
          <w:rStyle w:val="Hyperlink"/>
          <w:color w:val="auto"/>
          <w:u w:val="none"/>
        </w:rPr>
      </w:pPr>
      <w:r>
        <w:fldChar w:fldCharType="begin"/>
      </w:r>
      <w:r>
        <w:instrText>HYPERLINK "https://trace.agriculture.gov.au/Account/LogOn?ReturnUrl=%2f"</w:instrText>
      </w:r>
      <w:r>
        <w:fldChar w:fldCharType="separate"/>
      </w:r>
      <w:r w:rsidR="004836F6" w:rsidRPr="00DB1805">
        <w:rPr>
          <w:rStyle w:val="Hyperlink"/>
        </w:rPr>
        <w:t>TRACE</w:t>
      </w:r>
      <w:r>
        <w:rPr>
          <w:rStyle w:val="Hyperlink"/>
        </w:rPr>
        <w:fldChar w:fldCharType="end"/>
      </w:r>
    </w:p>
    <w:p w14:paraId="1D4FA9B3" w14:textId="77777777" w:rsidR="004836F6" w:rsidRPr="004836F6" w:rsidRDefault="004836F6" w:rsidP="005153BA">
      <w:pPr>
        <w:pStyle w:val="Heading2"/>
        <w:numPr>
          <w:ilvl w:val="0"/>
          <w:numId w:val="0"/>
        </w:numPr>
        <w:ind w:left="720" w:hanging="720"/>
      </w:pPr>
      <w:bookmarkStart w:id="14" w:name="_Appendix_A:_Statistical"/>
      <w:bookmarkStart w:id="15" w:name="_Appendix_A:_Stakeholder"/>
      <w:bookmarkStart w:id="16" w:name="Title_A2"/>
      <w:bookmarkEnd w:id="14"/>
      <w:bookmarkEnd w:id="15"/>
      <w:bookmarkEnd w:id="16"/>
      <w:r w:rsidRPr="004836F6">
        <w:t>Version control</w:t>
      </w:r>
    </w:p>
    <w:tbl>
      <w:tblPr>
        <w:tblStyle w:val="TableGrid"/>
        <w:tblW w:w="0" w:type="auto"/>
        <w:tblLook w:val="04A0" w:firstRow="1" w:lastRow="0" w:firstColumn="1" w:lastColumn="0" w:noHBand="0" w:noVBand="1"/>
      </w:tblPr>
      <w:tblGrid>
        <w:gridCol w:w="1134"/>
        <w:gridCol w:w="1843"/>
        <w:gridCol w:w="2552"/>
        <w:gridCol w:w="3531"/>
      </w:tblGrid>
      <w:tr w:rsidR="004836F6" w:rsidRPr="004836F6" w14:paraId="79CB6773" w14:textId="77777777" w:rsidTr="00E4079C">
        <w:tc>
          <w:tcPr>
            <w:tcW w:w="1134" w:type="dxa"/>
            <w:tcBorders>
              <w:left w:val="nil"/>
              <w:bottom w:val="single" w:sz="4" w:space="0" w:color="auto"/>
              <w:right w:val="nil"/>
            </w:tcBorders>
          </w:tcPr>
          <w:p w14:paraId="142E0A3A" w14:textId="77777777" w:rsidR="004836F6" w:rsidRPr="004836F6" w:rsidRDefault="004836F6" w:rsidP="009A5404">
            <w:pPr>
              <w:pStyle w:val="TableHeading"/>
              <w:rPr>
                <w:lang w:eastAsia="ja-JP"/>
              </w:rPr>
            </w:pPr>
            <w:r w:rsidRPr="004836F6">
              <w:t>Version</w:t>
            </w:r>
          </w:p>
        </w:tc>
        <w:tc>
          <w:tcPr>
            <w:tcW w:w="1843" w:type="dxa"/>
            <w:tcBorders>
              <w:left w:val="nil"/>
              <w:bottom w:val="single" w:sz="4" w:space="0" w:color="auto"/>
              <w:right w:val="nil"/>
            </w:tcBorders>
          </w:tcPr>
          <w:p w14:paraId="454B1083" w14:textId="77777777" w:rsidR="004836F6" w:rsidRPr="004836F6" w:rsidRDefault="004836F6" w:rsidP="009A5404">
            <w:pPr>
              <w:pStyle w:val="TableHeading"/>
              <w:rPr>
                <w:lang w:eastAsia="ja-JP"/>
              </w:rPr>
            </w:pPr>
            <w:r w:rsidRPr="004836F6">
              <w:t>Date of issue</w:t>
            </w:r>
          </w:p>
        </w:tc>
        <w:tc>
          <w:tcPr>
            <w:tcW w:w="2552" w:type="dxa"/>
            <w:tcBorders>
              <w:left w:val="nil"/>
              <w:bottom w:val="single" w:sz="4" w:space="0" w:color="auto"/>
              <w:right w:val="nil"/>
            </w:tcBorders>
          </w:tcPr>
          <w:p w14:paraId="6BC54954" w14:textId="77777777" w:rsidR="004836F6" w:rsidRPr="004836F6" w:rsidRDefault="004836F6" w:rsidP="009A5404">
            <w:pPr>
              <w:pStyle w:val="TableHeading"/>
              <w:rPr>
                <w:lang w:eastAsia="ja-JP"/>
              </w:rPr>
            </w:pPr>
            <w:r w:rsidRPr="004836F6">
              <w:t>Author</w:t>
            </w:r>
          </w:p>
        </w:tc>
        <w:tc>
          <w:tcPr>
            <w:tcW w:w="3531" w:type="dxa"/>
            <w:tcBorders>
              <w:left w:val="nil"/>
              <w:bottom w:val="single" w:sz="4" w:space="0" w:color="auto"/>
              <w:right w:val="nil"/>
            </w:tcBorders>
          </w:tcPr>
          <w:p w14:paraId="0A9B1042" w14:textId="77777777" w:rsidR="004836F6" w:rsidRPr="004836F6" w:rsidRDefault="004836F6" w:rsidP="009A5404">
            <w:pPr>
              <w:pStyle w:val="TableHeading"/>
              <w:rPr>
                <w:lang w:eastAsia="ja-JP"/>
              </w:rPr>
            </w:pPr>
            <w:r w:rsidRPr="004836F6">
              <w:t>Reason for change</w:t>
            </w:r>
          </w:p>
        </w:tc>
      </w:tr>
      <w:tr w:rsidR="004836F6" w:rsidRPr="004836F6" w14:paraId="4A148BCD" w14:textId="77777777" w:rsidTr="00E4079C">
        <w:tc>
          <w:tcPr>
            <w:tcW w:w="1134" w:type="dxa"/>
            <w:tcBorders>
              <w:left w:val="nil"/>
              <w:right w:val="nil"/>
            </w:tcBorders>
          </w:tcPr>
          <w:p w14:paraId="0B4C9ED1" w14:textId="77777777" w:rsidR="004836F6" w:rsidRPr="004836F6" w:rsidRDefault="004836F6" w:rsidP="0042162B">
            <w:pPr>
              <w:pStyle w:val="TableText"/>
              <w:rPr>
                <w:lang w:eastAsia="ja-JP"/>
              </w:rPr>
            </w:pPr>
            <w:r w:rsidRPr="004836F6">
              <w:rPr>
                <w:lang w:eastAsia="ja-JP"/>
              </w:rPr>
              <w:t>1.0</w:t>
            </w:r>
          </w:p>
        </w:tc>
        <w:tc>
          <w:tcPr>
            <w:tcW w:w="1843" w:type="dxa"/>
            <w:tcBorders>
              <w:left w:val="nil"/>
              <w:right w:val="nil"/>
            </w:tcBorders>
          </w:tcPr>
          <w:p w14:paraId="15756B1B" w14:textId="77777777" w:rsidR="004836F6" w:rsidRPr="004836F6" w:rsidRDefault="004836F6" w:rsidP="0042162B">
            <w:pPr>
              <w:pStyle w:val="TableText"/>
              <w:rPr>
                <w:lang w:eastAsia="ja-JP"/>
              </w:rPr>
            </w:pPr>
            <w:r w:rsidRPr="004836F6">
              <w:rPr>
                <w:lang w:eastAsia="ja-JP"/>
              </w:rPr>
              <w:t xml:space="preserve">May 2020 </w:t>
            </w:r>
          </w:p>
        </w:tc>
        <w:tc>
          <w:tcPr>
            <w:tcW w:w="2552" w:type="dxa"/>
            <w:tcBorders>
              <w:left w:val="nil"/>
              <w:right w:val="nil"/>
            </w:tcBorders>
          </w:tcPr>
          <w:p w14:paraId="549AA09B" w14:textId="77777777" w:rsidR="004836F6" w:rsidRPr="004836F6" w:rsidRDefault="004836F6" w:rsidP="0042162B">
            <w:pPr>
              <w:pStyle w:val="TableText"/>
              <w:rPr>
                <w:lang w:eastAsia="ja-JP"/>
              </w:rPr>
            </w:pPr>
            <w:r w:rsidRPr="004836F6">
              <w:rPr>
                <w:lang w:eastAsia="ja-JP"/>
              </w:rPr>
              <w:t>Live Animal Export Branch</w:t>
            </w:r>
          </w:p>
        </w:tc>
        <w:tc>
          <w:tcPr>
            <w:tcW w:w="3531" w:type="dxa"/>
            <w:tcBorders>
              <w:left w:val="nil"/>
              <w:right w:val="nil"/>
            </w:tcBorders>
          </w:tcPr>
          <w:p w14:paraId="4B10442F" w14:textId="77777777" w:rsidR="004836F6" w:rsidRPr="004836F6" w:rsidRDefault="004836F6" w:rsidP="0042162B">
            <w:pPr>
              <w:pStyle w:val="TableText"/>
              <w:rPr>
                <w:lang w:eastAsia="ja-JP"/>
              </w:rPr>
            </w:pPr>
            <w:r w:rsidRPr="004836F6">
              <w:rPr>
                <w:lang w:eastAsia="ja-JP"/>
              </w:rPr>
              <w:t xml:space="preserve">First publication </w:t>
            </w:r>
          </w:p>
        </w:tc>
      </w:tr>
      <w:tr w:rsidR="004836F6" w:rsidRPr="004836F6" w14:paraId="6DE080E1" w14:textId="77777777" w:rsidTr="00E4079C">
        <w:tc>
          <w:tcPr>
            <w:tcW w:w="1134" w:type="dxa"/>
            <w:tcBorders>
              <w:left w:val="nil"/>
              <w:right w:val="nil"/>
            </w:tcBorders>
          </w:tcPr>
          <w:p w14:paraId="11441151" w14:textId="65325D6D" w:rsidR="004836F6" w:rsidRPr="004836F6" w:rsidRDefault="00704415" w:rsidP="0042162B">
            <w:pPr>
              <w:pStyle w:val="TableText"/>
              <w:rPr>
                <w:lang w:eastAsia="ja-JP"/>
              </w:rPr>
            </w:pPr>
            <w:r>
              <w:rPr>
                <w:lang w:eastAsia="ja-JP"/>
              </w:rPr>
              <w:t>2.0</w:t>
            </w:r>
          </w:p>
        </w:tc>
        <w:tc>
          <w:tcPr>
            <w:tcW w:w="1843" w:type="dxa"/>
            <w:tcBorders>
              <w:left w:val="nil"/>
              <w:right w:val="nil"/>
            </w:tcBorders>
          </w:tcPr>
          <w:p w14:paraId="7B58FBBB" w14:textId="5B799C1D" w:rsidR="004836F6" w:rsidRPr="004836F6" w:rsidRDefault="00155481" w:rsidP="0042162B">
            <w:pPr>
              <w:pStyle w:val="TableText"/>
              <w:rPr>
                <w:lang w:eastAsia="ja-JP"/>
              </w:rPr>
            </w:pPr>
            <w:r w:rsidRPr="00155481">
              <w:rPr>
                <w:lang w:eastAsia="ja-JP"/>
              </w:rPr>
              <w:t xml:space="preserve">July </w:t>
            </w:r>
            <w:r w:rsidR="004836F6" w:rsidRPr="00155481">
              <w:rPr>
                <w:lang w:eastAsia="ja-JP"/>
              </w:rPr>
              <w:t>2023</w:t>
            </w:r>
          </w:p>
        </w:tc>
        <w:tc>
          <w:tcPr>
            <w:tcW w:w="2552" w:type="dxa"/>
            <w:tcBorders>
              <w:left w:val="nil"/>
              <w:right w:val="nil"/>
            </w:tcBorders>
          </w:tcPr>
          <w:p w14:paraId="1FBE34B0" w14:textId="77777777" w:rsidR="004836F6" w:rsidRPr="004836F6" w:rsidRDefault="004836F6" w:rsidP="0042162B">
            <w:pPr>
              <w:pStyle w:val="TableText"/>
              <w:rPr>
                <w:lang w:eastAsia="ja-JP"/>
              </w:rPr>
            </w:pPr>
            <w:r w:rsidRPr="004836F6">
              <w:rPr>
                <w:lang w:eastAsia="ja-JP"/>
              </w:rPr>
              <w:t>Live Animal Export Branch</w:t>
            </w:r>
          </w:p>
        </w:tc>
        <w:tc>
          <w:tcPr>
            <w:tcW w:w="3531" w:type="dxa"/>
            <w:tcBorders>
              <w:left w:val="nil"/>
              <w:right w:val="nil"/>
            </w:tcBorders>
          </w:tcPr>
          <w:p w14:paraId="16C143C6" w14:textId="536969E1" w:rsidR="00892423" w:rsidRDefault="00CB3D97" w:rsidP="0042162B">
            <w:pPr>
              <w:pStyle w:val="TableText"/>
              <w:rPr>
                <w:lang w:eastAsia="ja-JP"/>
              </w:rPr>
            </w:pPr>
            <w:r>
              <w:rPr>
                <w:lang w:eastAsia="ja-JP"/>
              </w:rPr>
              <w:t>Update</w:t>
            </w:r>
            <w:r w:rsidR="00E72F79">
              <w:rPr>
                <w:lang w:eastAsia="ja-JP"/>
              </w:rPr>
              <w:t>s to</w:t>
            </w:r>
            <w:r>
              <w:rPr>
                <w:lang w:eastAsia="ja-JP"/>
              </w:rPr>
              <w:t xml:space="preserve"> d</w:t>
            </w:r>
            <w:r w:rsidRPr="003A41B7">
              <w:rPr>
                <w:lang w:eastAsia="ja-JP"/>
              </w:rPr>
              <w:t xml:space="preserve">epartment branding and </w:t>
            </w:r>
            <w:r>
              <w:rPr>
                <w:lang w:eastAsia="ja-JP"/>
              </w:rPr>
              <w:t>document formatting</w:t>
            </w:r>
          </w:p>
          <w:p w14:paraId="5EF8123C" w14:textId="3A2E5B3D" w:rsidR="004836F6" w:rsidRPr="004836F6" w:rsidDel="00CF341D" w:rsidRDefault="004035A4" w:rsidP="0042162B">
            <w:pPr>
              <w:pStyle w:val="TableText"/>
              <w:rPr>
                <w:lang w:eastAsia="ja-JP"/>
              </w:rPr>
            </w:pPr>
            <w:r>
              <w:rPr>
                <w:lang w:eastAsia="ja-JP"/>
              </w:rPr>
              <w:t xml:space="preserve">Updates </w:t>
            </w:r>
            <w:r w:rsidR="00704415">
              <w:rPr>
                <w:lang w:eastAsia="ja-JP"/>
              </w:rPr>
              <w:t xml:space="preserve">to clarify </w:t>
            </w:r>
            <w:r>
              <w:rPr>
                <w:lang w:eastAsia="ja-JP"/>
              </w:rPr>
              <w:t xml:space="preserve">the </w:t>
            </w:r>
            <w:r w:rsidR="00704415">
              <w:rPr>
                <w:lang w:eastAsia="ja-JP"/>
              </w:rPr>
              <w:t>scope of</w:t>
            </w:r>
            <w:r w:rsidR="003C21E5">
              <w:rPr>
                <w:lang w:eastAsia="ja-JP"/>
              </w:rPr>
              <w:t xml:space="preserve"> the</w:t>
            </w:r>
            <w:r w:rsidR="00704415">
              <w:rPr>
                <w:lang w:eastAsia="ja-JP"/>
              </w:rPr>
              <w:t xml:space="preserve"> policy </w:t>
            </w:r>
          </w:p>
        </w:tc>
      </w:tr>
    </w:tbl>
    <w:p w14:paraId="7DC55CCE" w14:textId="5AC2332E" w:rsidR="00187E2A" w:rsidRDefault="00187E2A" w:rsidP="0042162B">
      <w:pPr>
        <w:tabs>
          <w:tab w:val="left" w:pos="1232"/>
        </w:tabs>
      </w:pPr>
    </w:p>
    <w:p w14:paraId="230D7EEC" w14:textId="77777777" w:rsidR="0042162B" w:rsidRDefault="0042162B" w:rsidP="0042162B">
      <w:pPr>
        <w:pStyle w:val="Normalsmall"/>
      </w:pPr>
      <w:r>
        <w:rPr>
          <w:rStyle w:val="Strong"/>
        </w:rPr>
        <w:t>Acknowledgement of Country</w:t>
      </w:r>
    </w:p>
    <w:p w14:paraId="57CAF82D" w14:textId="77777777" w:rsidR="0042162B" w:rsidRDefault="0042162B" w:rsidP="0042162B">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209FCB63" w14:textId="77777777" w:rsidR="0042162B" w:rsidRDefault="0042162B" w:rsidP="0042162B">
      <w:pPr>
        <w:pStyle w:val="Normalsmall"/>
        <w:spacing w:before="360"/>
      </w:pPr>
      <w:r>
        <w:t>© Commonwealth of Australia 2023</w:t>
      </w:r>
    </w:p>
    <w:p w14:paraId="2D4A642A" w14:textId="77777777" w:rsidR="0042162B" w:rsidRDefault="0042162B" w:rsidP="0042162B">
      <w:pPr>
        <w:pStyle w:val="Normalsmall"/>
      </w:pPr>
      <w:r>
        <w:t>Unless otherwise noted, copyright (and any other intellectual property rights) in this publication is owned by the Commonwealth of Australia (referred to as the Commonwealth).</w:t>
      </w:r>
    </w:p>
    <w:p w14:paraId="19F178E0" w14:textId="77777777" w:rsidR="0042162B" w:rsidRDefault="0042162B" w:rsidP="0042162B">
      <w:pPr>
        <w:pStyle w:val="Normalsmall"/>
      </w:pPr>
      <w:r>
        <w:t xml:space="preserve">All material in this publication is licensed under a </w:t>
      </w:r>
      <w:hyperlink r:id="rId18" w:history="1">
        <w:r>
          <w:rPr>
            <w:rStyle w:val="Hyperlink"/>
          </w:rPr>
          <w:t>Creative Commons Attribution 4.0 International Licence</w:t>
        </w:r>
      </w:hyperlink>
      <w:r>
        <w:t xml:space="preserve"> except content supplied by third parties, logos and the Commonwealth Coat of Arms.</w:t>
      </w:r>
    </w:p>
    <w:p w14:paraId="6732556F" w14:textId="794F116C" w:rsidR="0042162B" w:rsidRPr="00DD7BE8" w:rsidRDefault="0042162B" w:rsidP="007E6AEB">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42162B" w:rsidRPr="00DD7BE8" w:rsidSect="001528DD">
      <w:headerReference w:type="default" r:id="rId19"/>
      <w:footerReference w:type="default" r:id="rId20"/>
      <w:headerReference w:type="first" r:id="rId21"/>
      <w:footerReference w:type="first" r:id="rId22"/>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84E7" w14:textId="77777777" w:rsidR="00751B67" w:rsidRDefault="00751B67">
      <w:r>
        <w:separator/>
      </w:r>
    </w:p>
    <w:p w14:paraId="50C4841C" w14:textId="77777777" w:rsidR="00751B67" w:rsidRDefault="00751B67"/>
    <w:p w14:paraId="1E0CF91F" w14:textId="77777777" w:rsidR="00751B67" w:rsidRDefault="00751B67"/>
  </w:endnote>
  <w:endnote w:type="continuationSeparator" w:id="0">
    <w:p w14:paraId="76FAB849" w14:textId="77777777" w:rsidR="00751B67" w:rsidRDefault="00751B67">
      <w:r>
        <w:continuationSeparator/>
      </w:r>
    </w:p>
    <w:p w14:paraId="0B7CC115" w14:textId="77777777" w:rsidR="00751B67" w:rsidRDefault="00751B67"/>
    <w:p w14:paraId="4C080025" w14:textId="77777777" w:rsidR="00751B67" w:rsidRDefault="00751B67"/>
  </w:endnote>
  <w:endnote w:type="continuationNotice" w:id="1">
    <w:p w14:paraId="46C7246C" w14:textId="77777777" w:rsidR="00751B67" w:rsidRDefault="00751B67">
      <w:pPr>
        <w:pStyle w:val="Footer"/>
      </w:pPr>
    </w:p>
    <w:p w14:paraId="60CD1D4C" w14:textId="77777777" w:rsidR="00751B67" w:rsidRDefault="00751B67"/>
    <w:p w14:paraId="37E9D330" w14:textId="77777777" w:rsidR="00751B67" w:rsidRDefault="00751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547993"/>
      <w:docPartObj>
        <w:docPartGallery w:val="Page Numbers (Bottom of Page)"/>
        <w:docPartUnique/>
      </w:docPartObj>
    </w:sdtPr>
    <w:sdtEndPr>
      <w:rPr>
        <w:noProof/>
      </w:rPr>
    </w:sdtEndPr>
    <w:sdtContent>
      <w:p w14:paraId="713A8F33" w14:textId="5FDFDF03" w:rsidR="00E739B6" w:rsidRDefault="00E739B6">
        <w:pPr>
          <w:pStyle w:val="Footer"/>
        </w:pPr>
        <w:r>
          <w:t xml:space="preserve">Department of Agriculture, Fisheries and Forestry </w:t>
        </w:r>
      </w:p>
      <w:p w14:paraId="23AFC7E7" w14:textId="438F72F9" w:rsidR="00E739B6" w:rsidRDefault="00E739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79B5" w14:textId="21499C7C" w:rsidR="00272E38" w:rsidRDefault="00272E38">
    <w:pPr>
      <w:pStyle w:val="Footer"/>
    </w:pPr>
    <w:bookmarkStart w:id="17" w:name="_Hlk131429583"/>
    <w:bookmarkStart w:id="18" w:name="_Hlk131429584"/>
    <w:r>
      <w:t>Department of Agriculture, Fisheries and Forestry</w:t>
    </w:r>
    <w:bookmarkEnd w:id="17"/>
    <w:bookmarkEnd w:id="18"/>
  </w:p>
  <w:p w14:paraId="2005157E" w14:textId="7E165172" w:rsidR="00483B76" w:rsidRDefault="00483B76">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70EF" w14:textId="77777777" w:rsidR="00751B67" w:rsidRDefault="00751B67">
      <w:r>
        <w:separator/>
      </w:r>
    </w:p>
    <w:p w14:paraId="3AFC7E8E" w14:textId="77777777" w:rsidR="00751B67" w:rsidRDefault="00751B67"/>
    <w:p w14:paraId="038FDFA3" w14:textId="77777777" w:rsidR="00751B67" w:rsidRDefault="00751B67"/>
  </w:footnote>
  <w:footnote w:type="continuationSeparator" w:id="0">
    <w:p w14:paraId="5E64B5D3" w14:textId="77777777" w:rsidR="00751B67" w:rsidRDefault="00751B67">
      <w:r>
        <w:continuationSeparator/>
      </w:r>
    </w:p>
    <w:p w14:paraId="58A053A4" w14:textId="77777777" w:rsidR="00751B67" w:rsidRDefault="00751B67"/>
    <w:p w14:paraId="19B59B50" w14:textId="77777777" w:rsidR="00751B67" w:rsidRDefault="00751B67"/>
  </w:footnote>
  <w:footnote w:type="continuationNotice" w:id="1">
    <w:p w14:paraId="081C21D5" w14:textId="77777777" w:rsidR="00751B67" w:rsidRDefault="00751B67">
      <w:pPr>
        <w:pStyle w:val="Footer"/>
      </w:pPr>
    </w:p>
    <w:p w14:paraId="3A4A8C58" w14:textId="77777777" w:rsidR="00751B67" w:rsidRDefault="00751B67"/>
    <w:p w14:paraId="58F6ED00" w14:textId="77777777" w:rsidR="00751B67" w:rsidRDefault="00751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868D" w14:textId="53D489E0" w:rsidR="00272E38" w:rsidRPr="00593B79" w:rsidRDefault="00593B79" w:rsidP="00593B79">
    <w:pPr>
      <w:pStyle w:val="Header"/>
    </w:pPr>
    <w:r w:rsidRPr="00593B79">
      <w:t xml:space="preserve">AAVs and stockpersons </w:t>
    </w:r>
    <w:r w:rsidR="00C26D10">
      <w:t>on livestock voyages by sea</w:t>
    </w:r>
    <w:r w:rsidR="006A419D">
      <w:t xml:space="preserve"> under ASEL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54C2" w14:textId="1A89C40D" w:rsidR="009827DD" w:rsidRPr="006F110A" w:rsidRDefault="00272E38" w:rsidP="00623620">
    <w:pPr>
      <w:pStyle w:val="Header"/>
      <w:jc w:val="left"/>
    </w:pPr>
    <w:r>
      <w:rPr>
        <w:noProof/>
        <w:lang w:eastAsia="en-AU"/>
      </w:rPr>
      <w:drawing>
        <wp:inline distT="0" distB="0" distL="0" distR="0" wp14:anchorId="264521BA" wp14:editId="452B90F2">
          <wp:extent cx="2542599" cy="738943"/>
          <wp:effectExtent l="0" t="0" r="0" b="4445"/>
          <wp:docPr id="4" name="Picture 4"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BD616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E0560262"/>
    <w:lvl w:ilvl="0" w:tplc="03D8AE96">
      <w:start w:val="1"/>
      <w:numFmt w:val="bullet"/>
      <w:lvlText w:val=""/>
      <w:lvlJc w:val="left"/>
      <w:pPr>
        <w:ind w:left="720" w:hanging="360"/>
      </w:pPr>
      <w:rPr>
        <w:rFonts w:ascii="Symbol" w:hAnsi="Symbol" w:hint="default"/>
      </w:rPr>
    </w:lvl>
    <w:lvl w:ilvl="1" w:tplc="5022A1EC" w:tentative="1">
      <w:start w:val="1"/>
      <w:numFmt w:val="bullet"/>
      <w:lvlText w:val="o"/>
      <w:lvlJc w:val="left"/>
      <w:pPr>
        <w:ind w:left="1440" w:hanging="360"/>
      </w:pPr>
      <w:rPr>
        <w:rFonts w:ascii="Courier New" w:hAnsi="Courier New" w:cs="Courier New" w:hint="default"/>
      </w:rPr>
    </w:lvl>
    <w:lvl w:ilvl="2" w:tplc="47A042F0" w:tentative="1">
      <w:start w:val="1"/>
      <w:numFmt w:val="bullet"/>
      <w:lvlText w:val=""/>
      <w:lvlJc w:val="left"/>
      <w:pPr>
        <w:ind w:left="2160" w:hanging="360"/>
      </w:pPr>
      <w:rPr>
        <w:rFonts w:ascii="Wingdings" w:hAnsi="Wingdings" w:hint="default"/>
      </w:rPr>
    </w:lvl>
    <w:lvl w:ilvl="3" w:tplc="4B4E69D6" w:tentative="1">
      <w:start w:val="1"/>
      <w:numFmt w:val="bullet"/>
      <w:lvlText w:val=""/>
      <w:lvlJc w:val="left"/>
      <w:pPr>
        <w:ind w:left="2880" w:hanging="360"/>
      </w:pPr>
      <w:rPr>
        <w:rFonts w:ascii="Symbol" w:hAnsi="Symbol" w:hint="default"/>
      </w:rPr>
    </w:lvl>
    <w:lvl w:ilvl="4" w:tplc="AEE039F6" w:tentative="1">
      <w:start w:val="1"/>
      <w:numFmt w:val="bullet"/>
      <w:lvlText w:val="o"/>
      <w:lvlJc w:val="left"/>
      <w:pPr>
        <w:ind w:left="3600" w:hanging="360"/>
      </w:pPr>
      <w:rPr>
        <w:rFonts w:ascii="Courier New" w:hAnsi="Courier New" w:cs="Courier New" w:hint="default"/>
      </w:rPr>
    </w:lvl>
    <w:lvl w:ilvl="5" w:tplc="EFF41218" w:tentative="1">
      <w:start w:val="1"/>
      <w:numFmt w:val="bullet"/>
      <w:lvlText w:val=""/>
      <w:lvlJc w:val="left"/>
      <w:pPr>
        <w:ind w:left="4320" w:hanging="360"/>
      </w:pPr>
      <w:rPr>
        <w:rFonts w:ascii="Wingdings" w:hAnsi="Wingdings" w:hint="default"/>
      </w:rPr>
    </w:lvl>
    <w:lvl w:ilvl="6" w:tplc="9A08C958" w:tentative="1">
      <w:start w:val="1"/>
      <w:numFmt w:val="bullet"/>
      <w:lvlText w:val=""/>
      <w:lvlJc w:val="left"/>
      <w:pPr>
        <w:ind w:left="5040" w:hanging="360"/>
      </w:pPr>
      <w:rPr>
        <w:rFonts w:ascii="Symbol" w:hAnsi="Symbol" w:hint="default"/>
      </w:rPr>
    </w:lvl>
    <w:lvl w:ilvl="7" w:tplc="B79EADD2" w:tentative="1">
      <w:start w:val="1"/>
      <w:numFmt w:val="bullet"/>
      <w:lvlText w:val="o"/>
      <w:lvlJc w:val="left"/>
      <w:pPr>
        <w:ind w:left="5760" w:hanging="360"/>
      </w:pPr>
      <w:rPr>
        <w:rFonts w:ascii="Courier New" w:hAnsi="Courier New" w:cs="Courier New" w:hint="default"/>
      </w:rPr>
    </w:lvl>
    <w:lvl w:ilvl="8" w:tplc="D620078C" w:tentative="1">
      <w:start w:val="1"/>
      <w:numFmt w:val="bullet"/>
      <w:lvlText w:val=""/>
      <w:lvlJc w:val="left"/>
      <w:pPr>
        <w:ind w:left="6480" w:hanging="360"/>
      </w:pPr>
      <w:rPr>
        <w:rFonts w:ascii="Wingdings" w:hAnsi="Wingdings" w:hint="default"/>
      </w:rPr>
    </w:lvl>
  </w:abstractNum>
  <w:abstractNum w:abstractNumId="4" w15:restartNumberingAfterBreak="0">
    <w:nsid w:val="1E111DB8"/>
    <w:multiLevelType w:val="multilevel"/>
    <w:tmpl w:val="B95457A8"/>
    <w:numStyleLink w:val="Headinglist"/>
  </w:abstractNum>
  <w:abstractNum w:abstractNumId="5"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94A15FE"/>
    <w:multiLevelType w:val="multilevel"/>
    <w:tmpl w:val="B95457A8"/>
    <w:numStyleLink w:val="Headinglist"/>
  </w:abstractNum>
  <w:abstractNum w:abstractNumId="7" w15:restartNumberingAfterBreak="0">
    <w:nsid w:val="486800B4"/>
    <w:multiLevelType w:val="multilevel"/>
    <w:tmpl w:val="A0241B28"/>
    <w:numStyleLink w:val="List1"/>
  </w:abstractNum>
  <w:abstractNum w:abstractNumId="8"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1" w15:restartNumberingAfterBreak="0">
    <w:nsid w:val="5A8B541B"/>
    <w:multiLevelType w:val="multilevel"/>
    <w:tmpl w:val="BF3294C2"/>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1171791816">
    <w:abstractNumId w:val="1"/>
  </w:num>
  <w:num w:numId="2" w16cid:durableId="1667321647">
    <w:abstractNumId w:val="7"/>
  </w:num>
  <w:num w:numId="3" w16cid:durableId="2037268471">
    <w:abstractNumId w:val="12"/>
  </w:num>
  <w:num w:numId="4" w16cid:durableId="1355770275">
    <w:abstractNumId w:val="13"/>
  </w:num>
  <w:num w:numId="5" w16cid:durableId="1882862685">
    <w:abstractNumId w:val="5"/>
  </w:num>
  <w:num w:numId="6" w16cid:durableId="286162399">
    <w:abstractNumId w:val="9"/>
  </w:num>
  <w:num w:numId="7" w16cid:durableId="1314989398">
    <w:abstractNumId w:val="11"/>
  </w:num>
  <w:num w:numId="8" w16cid:durableId="951480071">
    <w:abstractNumId w:val="8"/>
  </w:num>
  <w:num w:numId="9" w16cid:durableId="1942100909">
    <w:abstractNumId w:val="5"/>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698308952">
    <w:abstractNumId w:val="12"/>
  </w:num>
  <w:num w:numId="11" w16cid:durableId="547035718">
    <w:abstractNumId w:val="13"/>
  </w:num>
  <w:num w:numId="12" w16cid:durableId="1145393031">
    <w:abstractNumId w:val="2"/>
  </w:num>
  <w:num w:numId="13" w16cid:durableId="919363984">
    <w:abstractNumId w:val="10"/>
  </w:num>
  <w:num w:numId="14" w16cid:durableId="1375038256">
    <w:abstractNumId w:val="3"/>
  </w:num>
  <w:num w:numId="15" w16cid:durableId="939798247">
    <w:abstractNumId w:val="0"/>
  </w:num>
  <w:num w:numId="16" w16cid:durableId="1811628508">
    <w:abstractNumId w:val="6"/>
  </w:num>
  <w:num w:numId="17" w16cid:durableId="963118713">
    <w:abstractNumId w:val="1"/>
  </w:num>
  <w:num w:numId="18" w16cid:durableId="902520189">
    <w:abstractNumId w:val="4"/>
    <w:lvlOverride w:ilvl="0">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B0"/>
    <w:rsid w:val="00052E86"/>
    <w:rsid w:val="00076A29"/>
    <w:rsid w:val="00086895"/>
    <w:rsid w:val="000936DD"/>
    <w:rsid w:val="000A3A3C"/>
    <w:rsid w:val="000B7504"/>
    <w:rsid w:val="000D6DD8"/>
    <w:rsid w:val="00112B86"/>
    <w:rsid w:val="001166B3"/>
    <w:rsid w:val="001233DF"/>
    <w:rsid w:val="00146B4D"/>
    <w:rsid w:val="001528DD"/>
    <w:rsid w:val="00155481"/>
    <w:rsid w:val="00155902"/>
    <w:rsid w:val="001567E9"/>
    <w:rsid w:val="001625AF"/>
    <w:rsid w:val="00164391"/>
    <w:rsid w:val="001736B3"/>
    <w:rsid w:val="001751B3"/>
    <w:rsid w:val="00183612"/>
    <w:rsid w:val="001856B2"/>
    <w:rsid w:val="00187E2A"/>
    <w:rsid w:val="00192FA8"/>
    <w:rsid w:val="00194DBF"/>
    <w:rsid w:val="00197FF0"/>
    <w:rsid w:val="001A1F79"/>
    <w:rsid w:val="001A64D3"/>
    <w:rsid w:val="001A7488"/>
    <w:rsid w:val="001B1009"/>
    <w:rsid w:val="001C0FAE"/>
    <w:rsid w:val="001C3583"/>
    <w:rsid w:val="001D77BC"/>
    <w:rsid w:val="001E1C4C"/>
    <w:rsid w:val="00201500"/>
    <w:rsid w:val="002159B9"/>
    <w:rsid w:val="0022142A"/>
    <w:rsid w:val="0022596B"/>
    <w:rsid w:val="00262394"/>
    <w:rsid w:val="00270847"/>
    <w:rsid w:val="00272E38"/>
    <w:rsid w:val="002A193C"/>
    <w:rsid w:val="002B1769"/>
    <w:rsid w:val="002C1748"/>
    <w:rsid w:val="002C2981"/>
    <w:rsid w:val="002C2D1E"/>
    <w:rsid w:val="002E5F55"/>
    <w:rsid w:val="00305911"/>
    <w:rsid w:val="0032074E"/>
    <w:rsid w:val="003214F8"/>
    <w:rsid w:val="003333B9"/>
    <w:rsid w:val="0033774D"/>
    <w:rsid w:val="00340820"/>
    <w:rsid w:val="00353843"/>
    <w:rsid w:val="00357095"/>
    <w:rsid w:val="00362353"/>
    <w:rsid w:val="00381D23"/>
    <w:rsid w:val="00396339"/>
    <w:rsid w:val="003A41B7"/>
    <w:rsid w:val="003A4B4A"/>
    <w:rsid w:val="003C21E5"/>
    <w:rsid w:val="003D3CE1"/>
    <w:rsid w:val="003D44DC"/>
    <w:rsid w:val="00402404"/>
    <w:rsid w:val="004035A4"/>
    <w:rsid w:val="00406AC2"/>
    <w:rsid w:val="004148F9"/>
    <w:rsid w:val="0042162B"/>
    <w:rsid w:val="00425E99"/>
    <w:rsid w:val="004272CA"/>
    <w:rsid w:val="0043522A"/>
    <w:rsid w:val="00435A15"/>
    <w:rsid w:val="00456E7C"/>
    <w:rsid w:val="00457267"/>
    <w:rsid w:val="00460750"/>
    <w:rsid w:val="00461CF7"/>
    <w:rsid w:val="004704C8"/>
    <w:rsid w:val="004705F2"/>
    <w:rsid w:val="00473964"/>
    <w:rsid w:val="004776F8"/>
    <w:rsid w:val="004836F6"/>
    <w:rsid w:val="004837B1"/>
    <w:rsid w:val="00483B76"/>
    <w:rsid w:val="0048569E"/>
    <w:rsid w:val="00486C20"/>
    <w:rsid w:val="00487C15"/>
    <w:rsid w:val="00490E7F"/>
    <w:rsid w:val="00491C6D"/>
    <w:rsid w:val="00491E55"/>
    <w:rsid w:val="004A3179"/>
    <w:rsid w:val="004C6362"/>
    <w:rsid w:val="004C6C47"/>
    <w:rsid w:val="004D0E36"/>
    <w:rsid w:val="004E7366"/>
    <w:rsid w:val="004E7D8C"/>
    <w:rsid w:val="004F0D5E"/>
    <w:rsid w:val="004F4CCE"/>
    <w:rsid w:val="00505A67"/>
    <w:rsid w:val="005079D8"/>
    <w:rsid w:val="005136C5"/>
    <w:rsid w:val="005153BA"/>
    <w:rsid w:val="00566937"/>
    <w:rsid w:val="005669D6"/>
    <w:rsid w:val="00576E8B"/>
    <w:rsid w:val="0058582F"/>
    <w:rsid w:val="00593B79"/>
    <w:rsid w:val="0059424C"/>
    <w:rsid w:val="005C3F9B"/>
    <w:rsid w:val="005F0E4D"/>
    <w:rsid w:val="00600734"/>
    <w:rsid w:val="00611DA7"/>
    <w:rsid w:val="00623620"/>
    <w:rsid w:val="006317DB"/>
    <w:rsid w:val="006416D4"/>
    <w:rsid w:val="00645C30"/>
    <w:rsid w:val="006651FD"/>
    <w:rsid w:val="00684126"/>
    <w:rsid w:val="006843C7"/>
    <w:rsid w:val="006A419D"/>
    <w:rsid w:val="006B3255"/>
    <w:rsid w:val="006D57DC"/>
    <w:rsid w:val="006F110A"/>
    <w:rsid w:val="00704415"/>
    <w:rsid w:val="007156C5"/>
    <w:rsid w:val="007170F4"/>
    <w:rsid w:val="007216EB"/>
    <w:rsid w:val="007405CB"/>
    <w:rsid w:val="00743896"/>
    <w:rsid w:val="00751B67"/>
    <w:rsid w:val="00757014"/>
    <w:rsid w:val="0076663B"/>
    <w:rsid w:val="007B1F92"/>
    <w:rsid w:val="007B3E4F"/>
    <w:rsid w:val="007C5B94"/>
    <w:rsid w:val="007E0D66"/>
    <w:rsid w:val="007E6AEB"/>
    <w:rsid w:val="007E6DB0"/>
    <w:rsid w:val="00800567"/>
    <w:rsid w:val="008153FE"/>
    <w:rsid w:val="0082028F"/>
    <w:rsid w:val="00821A84"/>
    <w:rsid w:val="0082249A"/>
    <w:rsid w:val="00833933"/>
    <w:rsid w:val="0083400E"/>
    <w:rsid w:val="00834C16"/>
    <w:rsid w:val="00843D64"/>
    <w:rsid w:val="0084594E"/>
    <w:rsid w:val="00850F18"/>
    <w:rsid w:val="00870BA3"/>
    <w:rsid w:val="0087334B"/>
    <w:rsid w:val="00882CE1"/>
    <w:rsid w:val="00883AB0"/>
    <w:rsid w:val="00892423"/>
    <w:rsid w:val="008A3190"/>
    <w:rsid w:val="008B10EC"/>
    <w:rsid w:val="008C6C15"/>
    <w:rsid w:val="008D1B48"/>
    <w:rsid w:val="008D4AD6"/>
    <w:rsid w:val="008D6C55"/>
    <w:rsid w:val="008E477E"/>
    <w:rsid w:val="008F09E4"/>
    <w:rsid w:val="008F2420"/>
    <w:rsid w:val="008F3EFB"/>
    <w:rsid w:val="0090774C"/>
    <w:rsid w:val="00911A89"/>
    <w:rsid w:val="00931892"/>
    <w:rsid w:val="009345F1"/>
    <w:rsid w:val="00934E88"/>
    <w:rsid w:val="009408FD"/>
    <w:rsid w:val="009679F4"/>
    <w:rsid w:val="00980523"/>
    <w:rsid w:val="009827DD"/>
    <w:rsid w:val="009908B0"/>
    <w:rsid w:val="00991227"/>
    <w:rsid w:val="009A5404"/>
    <w:rsid w:val="009A623D"/>
    <w:rsid w:val="009C1448"/>
    <w:rsid w:val="009F2DBE"/>
    <w:rsid w:val="00A26D23"/>
    <w:rsid w:val="00A30113"/>
    <w:rsid w:val="00A30B46"/>
    <w:rsid w:val="00A4229F"/>
    <w:rsid w:val="00A45D77"/>
    <w:rsid w:val="00A52B8E"/>
    <w:rsid w:val="00A7782E"/>
    <w:rsid w:val="00A85878"/>
    <w:rsid w:val="00A87634"/>
    <w:rsid w:val="00A9002C"/>
    <w:rsid w:val="00AA70E3"/>
    <w:rsid w:val="00AB072C"/>
    <w:rsid w:val="00AB0FBE"/>
    <w:rsid w:val="00AB250B"/>
    <w:rsid w:val="00AD1841"/>
    <w:rsid w:val="00AD6A1B"/>
    <w:rsid w:val="00AF1EB9"/>
    <w:rsid w:val="00AF5211"/>
    <w:rsid w:val="00B01FB8"/>
    <w:rsid w:val="00B0476E"/>
    <w:rsid w:val="00B15279"/>
    <w:rsid w:val="00B16DC5"/>
    <w:rsid w:val="00B33096"/>
    <w:rsid w:val="00B343A4"/>
    <w:rsid w:val="00B35721"/>
    <w:rsid w:val="00B43A41"/>
    <w:rsid w:val="00B5453F"/>
    <w:rsid w:val="00B5466B"/>
    <w:rsid w:val="00B54F61"/>
    <w:rsid w:val="00B6231C"/>
    <w:rsid w:val="00BA0AFF"/>
    <w:rsid w:val="00BA145C"/>
    <w:rsid w:val="00BB6ACE"/>
    <w:rsid w:val="00BC6BA3"/>
    <w:rsid w:val="00BD2275"/>
    <w:rsid w:val="00BE66BB"/>
    <w:rsid w:val="00C00AAC"/>
    <w:rsid w:val="00C05EA8"/>
    <w:rsid w:val="00C06619"/>
    <w:rsid w:val="00C110E7"/>
    <w:rsid w:val="00C26D10"/>
    <w:rsid w:val="00C27757"/>
    <w:rsid w:val="00C33C00"/>
    <w:rsid w:val="00C51E35"/>
    <w:rsid w:val="00C56A83"/>
    <w:rsid w:val="00C70E06"/>
    <w:rsid w:val="00C759F8"/>
    <w:rsid w:val="00CA7D23"/>
    <w:rsid w:val="00CB2CD0"/>
    <w:rsid w:val="00CB3D97"/>
    <w:rsid w:val="00CC5938"/>
    <w:rsid w:val="00D0311C"/>
    <w:rsid w:val="00D06356"/>
    <w:rsid w:val="00D1622A"/>
    <w:rsid w:val="00D16A96"/>
    <w:rsid w:val="00D22DE8"/>
    <w:rsid w:val="00D36729"/>
    <w:rsid w:val="00D45274"/>
    <w:rsid w:val="00D45369"/>
    <w:rsid w:val="00D45E0E"/>
    <w:rsid w:val="00D47DD8"/>
    <w:rsid w:val="00D57861"/>
    <w:rsid w:val="00D57C3B"/>
    <w:rsid w:val="00D666DC"/>
    <w:rsid w:val="00D87736"/>
    <w:rsid w:val="00D912A7"/>
    <w:rsid w:val="00DA2607"/>
    <w:rsid w:val="00DB38B4"/>
    <w:rsid w:val="00DB7645"/>
    <w:rsid w:val="00DC0DE3"/>
    <w:rsid w:val="00DC5AAD"/>
    <w:rsid w:val="00DD1D13"/>
    <w:rsid w:val="00DD7BE8"/>
    <w:rsid w:val="00DD7F11"/>
    <w:rsid w:val="00DE2317"/>
    <w:rsid w:val="00DF2F96"/>
    <w:rsid w:val="00E00B03"/>
    <w:rsid w:val="00E05D92"/>
    <w:rsid w:val="00E24C8E"/>
    <w:rsid w:val="00E257CB"/>
    <w:rsid w:val="00E316BF"/>
    <w:rsid w:val="00E362EF"/>
    <w:rsid w:val="00E4079C"/>
    <w:rsid w:val="00E43FB4"/>
    <w:rsid w:val="00E623CD"/>
    <w:rsid w:val="00E65B05"/>
    <w:rsid w:val="00E72F79"/>
    <w:rsid w:val="00E732BE"/>
    <w:rsid w:val="00E739B6"/>
    <w:rsid w:val="00E773C5"/>
    <w:rsid w:val="00E83DEF"/>
    <w:rsid w:val="00E92592"/>
    <w:rsid w:val="00E96E54"/>
    <w:rsid w:val="00EA7292"/>
    <w:rsid w:val="00EB740B"/>
    <w:rsid w:val="00EC1B6B"/>
    <w:rsid w:val="00ED6ED7"/>
    <w:rsid w:val="00EE01B5"/>
    <w:rsid w:val="00EE22F1"/>
    <w:rsid w:val="00EE5CD9"/>
    <w:rsid w:val="00EF43A7"/>
    <w:rsid w:val="00EF7461"/>
    <w:rsid w:val="00F02E88"/>
    <w:rsid w:val="00F124B9"/>
    <w:rsid w:val="00F27F4F"/>
    <w:rsid w:val="00F35EE8"/>
    <w:rsid w:val="00F4110F"/>
    <w:rsid w:val="00F5099F"/>
    <w:rsid w:val="00F55324"/>
    <w:rsid w:val="00F63F8D"/>
    <w:rsid w:val="00F64C2C"/>
    <w:rsid w:val="00F65DFD"/>
    <w:rsid w:val="00F715CD"/>
    <w:rsid w:val="00F90D42"/>
    <w:rsid w:val="00FB088E"/>
    <w:rsid w:val="00FB5F9C"/>
    <w:rsid w:val="00FB6115"/>
    <w:rsid w:val="00FC044C"/>
    <w:rsid w:val="00FD117D"/>
    <w:rsid w:val="00FD740C"/>
    <w:rsid w:val="00FE2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A2C56"/>
  <w15:docId w15:val="{13FC282A-A65D-4A62-BC7F-1325022C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340820"/>
    <w:pPr>
      <w:widowControl w:val="0"/>
      <w:spacing w:before="360"/>
      <w:contextualSpacing/>
      <w:outlineLvl w:val="0"/>
    </w:pPr>
    <w:rPr>
      <w:rFonts w:ascii="Calibri" w:eastAsiaTheme="minorHAnsi" w:hAnsi="Calibri" w:cstheme="minorBidi"/>
      <w:b/>
      <w:bCs/>
      <w:spacing w:val="5"/>
      <w:kern w:val="28"/>
      <w:sz w:val="52"/>
      <w:szCs w:val="28"/>
      <w:lang w:eastAsia="en-US"/>
    </w:rPr>
  </w:style>
  <w:style w:type="paragraph" w:styleId="Heading2">
    <w:name w:val="heading 2"/>
    <w:basedOn w:val="Normal"/>
    <w:next w:val="Normal"/>
    <w:link w:val="Heading2Char"/>
    <w:uiPriority w:val="3"/>
    <w:rsid w:val="001B1009"/>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406AC2"/>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406AC2"/>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E96E54"/>
    <w:pPr>
      <w:keepNext/>
      <w:keepLines/>
      <w:spacing w:after="0" w:line="240" w:lineRule="auto"/>
      <w:outlineLvl w:val="4"/>
    </w:pPr>
    <w:rPr>
      <w:rFonts w:ascii="Calibri" w:hAnsi="Calibri"/>
      <w:b/>
      <w:sz w:val="20"/>
    </w:rPr>
  </w:style>
  <w:style w:type="paragraph" w:styleId="Heading6">
    <w:name w:val="heading 6"/>
    <w:basedOn w:val="Normal"/>
    <w:next w:val="Normal"/>
    <w:link w:val="Heading6Char"/>
    <w:uiPriority w:val="9"/>
    <w:semiHidden/>
    <w:qFormat/>
    <w:rsid w:val="00FB6115"/>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B6ACE"/>
    <w:rPr>
      <w:sz w:val="20"/>
      <w:szCs w:val="20"/>
    </w:rPr>
  </w:style>
  <w:style w:type="character" w:customStyle="1" w:styleId="CommentTextChar">
    <w:name w:val="Comment Text Char"/>
    <w:basedOn w:val="DefaultParagraphFont"/>
    <w:link w:val="CommentText"/>
    <w:uiPriority w:val="99"/>
    <w:rsid w:val="00BB6ACE"/>
    <w:rPr>
      <w:rFonts w:asciiTheme="minorHAnsi" w:eastAsiaTheme="minorHAnsi" w:hAnsiTheme="minorHAnsi" w:cstheme="minorBidi"/>
      <w:lang w:eastAsia="en-US"/>
    </w:rPr>
  </w:style>
  <w:style w:type="paragraph" w:styleId="Header">
    <w:name w:val="header"/>
    <w:basedOn w:val="Normal"/>
    <w:link w:val="HeaderChar"/>
    <w:uiPriority w:val="26"/>
    <w:rsid w:val="00BB6ACE"/>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BB6ACE"/>
    <w:rPr>
      <w:rFonts w:ascii="Calibri" w:eastAsiaTheme="minorHAnsi" w:hAnsi="Calibri" w:cstheme="minorBidi"/>
      <w:szCs w:val="22"/>
      <w:lang w:eastAsia="en-US"/>
    </w:rPr>
  </w:style>
  <w:style w:type="paragraph" w:styleId="Footer">
    <w:name w:val="footer"/>
    <w:basedOn w:val="Normal"/>
    <w:link w:val="FooterChar"/>
    <w:uiPriority w:val="99"/>
    <w:rsid w:val="00BB6ACE"/>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sid w:val="00BB6ACE"/>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340820"/>
    <w:rPr>
      <w:rFonts w:ascii="Calibri" w:eastAsiaTheme="minorHAnsi" w:hAnsi="Calibri" w:cstheme="minorBidi"/>
      <w:b/>
      <w:bCs/>
      <w:spacing w:val="5"/>
      <w:kern w:val="28"/>
      <w:sz w:val="52"/>
      <w:szCs w:val="28"/>
      <w:lang w:eastAsia="en-US"/>
    </w:rPr>
  </w:style>
  <w:style w:type="character" w:customStyle="1" w:styleId="Heading2Char">
    <w:name w:val="Heading 2 Char"/>
    <w:basedOn w:val="DefaultParagraphFont"/>
    <w:link w:val="Heading2"/>
    <w:uiPriority w:val="3"/>
    <w:rsid w:val="001B1009"/>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sid w:val="00406AC2"/>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406AC2"/>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E96E54"/>
    <w:rPr>
      <w:rFonts w:ascii="Calibri" w:eastAsiaTheme="minorHAnsi" w:hAnsi="Calibri" w:cstheme="minorBidi"/>
      <w:b/>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BB6ACE"/>
    <w:pPr>
      <w:numPr>
        <w:numId w:val="10"/>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BB6ACE"/>
    <w:pPr>
      <w:numPr>
        <w:ilvl w:val="1"/>
        <w:numId w:val="10"/>
      </w:numPr>
      <w:spacing w:before="120" w:after="120"/>
      <w:contextualSpacing/>
    </w:pPr>
  </w:style>
  <w:style w:type="paragraph" w:styleId="ListNumber">
    <w:name w:val="List Number"/>
    <w:basedOn w:val="Normal"/>
    <w:uiPriority w:val="9"/>
    <w:qFormat/>
    <w:rsid w:val="00BB6ACE"/>
    <w:pPr>
      <w:numPr>
        <w:numId w:val="11"/>
      </w:numPr>
      <w:tabs>
        <w:tab w:val="left" w:pos="142"/>
      </w:tabs>
      <w:spacing w:before="120" w:after="120"/>
    </w:pPr>
  </w:style>
  <w:style w:type="paragraph" w:styleId="ListNumber2">
    <w:name w:val="List Number 2"/>
    <w:uiPriority w:val="10"/>
    <w:qFormat/>
    <w:rsid w:val="00BB6ACE"/>
    <w:pPr>
      <w:numPr>
        <w:ilvl w:val="1"/>
        <w:numId w:val="11"/>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BB6ACE"/>
    <w:pPr>
      <w:numPr>
        <w:ilvl w:val="2"/>
        <w:numId w:val="11"/>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8"/>
      </w:numPr>
      <w:ind w:left="357" w:hanging="357"/>
    </w:pPr>
  </w:style>
  <w:style w:type="paragraph" w:customStyle="1" w:styleId="TableBullet1">
    <w:name w:val="Table Bullet 1"/>
    <w:basedOn w:val="TableText"/>
    <w:uiPriority w:val="15"/>
    <w:qFormat/>
    <w:rsid w:val="003D3CE1"/>
    <w:pPr>
      <w:numPr>
        <w:numId w:val="7"/>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3"/>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4"/>
      </w:numPr>
    </w:pPr>
  </w:style>
  <w:style w:type="numbering" w:customStyle="1" w:styleId="Headinglist">
    <w:name w:val="Heading list"/>
    <w:uiPriority w:val="99"/>
    <w:rsid w:val="00BB6ACE"/>
    <w:pPr>
      <w:numPr>
        <w:numId w:val="5"/>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BB6ACE"/>
    <w:pPr>
      <w:numPr>
        <w:ilvl w:val="2"/>
        <w:numId w:val="10"/>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E1C4C"/>
    <w:pPr>
      <w:numPr>
        <w:numId w:val="13"/>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1"/>
    <w:qFormat/>
    <w:rsid w:val="003D3CE1"/>
    <w:pPr>
      <w:numPr>
        <w:numId w:val="12"/>
      </w:numPr>
      <w:tabs>
        <w:tab w:val="num" w:pos="462"/>
      </w:tabs>
      <w:ind w:left="604" w:hanging="445"/>
    </w:pPr>
  </w:style>
  <w:style w:type="numbering" w:customStyle="1" w:styleId="TableBulletlist">
    <w:name w:val="Table Bullet list"/>
    <w:uiPriority w:val="99"/>
    <w:rsid w:val="00BB6ACE"/>
    <w:pPr>
      <w:numPr>
        <w:numId w:val="6"/>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FB6115"/>
    <w:rPr>
      <w:rFonts w:asciiTheme="minorHAnsi" w:eastAsiaTheme="majorEastAsia" w:hAnsiTheme="minorHAnsi" w:cstheme="majorBidi"/>
      <w:i/>
      <w:color w:val="59621D"/>
      <w:szCs w:val="22"/>
      <w:lang w:eastAsia="en-US"/>
    </w:rPr>
  </w:style>
  <w:style w:type="paragraph" w:styleId="Revision">
    <w:name w:val="Revision"/>
    <w:hidden/>
    <w:uiPriority w:val="99"/>
    <w:semiHidden/>
    <w:rsid w:val="00D57861"/>
    <w:rPr>
      <w:rFonts w:asciiTheme="minorHAnsi" w:eastAsiaTheme="minorHAnsi" w:hAnsiTheme="minorHAnsi" w:cstheme="minorBidi"/>
      <w:sz w:val="22"/>
      <w:szCs w:val="22"/>
      <w:lang w:eastAsia="en-US"/>
    </w:rPr>
  </w:style>
  <w:style w:type="table" w:styleId="TableGrid">
    <w:name w:val="Table Grid"/>
    <w:basedOn w:val="TableNormal"/>
    <w:uiPriority w:val="59"/>
    <w:rsid w:val="00EF7461"/>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
    <w:name w:val="List11"/>
    <w:basedOn w:val="NoList"/>
    <w:uiPriority w:val="99"/>
    <w:rsid w:val="005669D6"/>
  </w:style>
  <w:style w:type="table" w:customStyle="1" w:styleId="TableGrid10">
    <w:name w:val="Table Grid1"/>
    <w:basedOn w:val="TableNormal"/>
    <w:next w:val="TableGrid"/>
    <w:uiPriority w:val="59"/>
    <w:rsid w:val="005669D6"/>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export/controlled-goods/live-animals/livestock/exporters/approved-arrangements" TargetMode="External"/><Relationship Id="rId18" Type="http://schemas.openxmlformats.org/officeDocument/2006/relationships/hyperlink" Target="https://creativecommons.org/licenses/by/4.0/legalco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livestockexp@aff.gov.au?subject=Application%20for%20alternative%20arrangement%20for%20AAV/stockperson" TargetMode="External"/><Relationship Id="rId17" Type="http://schemas.openxmlformats.org/officeDocument/2006/relationships/hyperlink" Target="https://www.legislation.gov.au/Series/F2021L00319" TargetMode="External"/><Relationship Id="rId2" Type="http://schemas.openxmlformats.org/officeDocument/2006/relationships/customXml" Target="../customXml/item2.xml"/><Relationship Id="rId16" Type="http://schemas.openxmlformats.org/officeDocument/2006/relationships/hyperlink" Target="https://www.legislation.gov.au/Series/C2020A000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stockexp@aff.gov.au?subject=Application%20for%20alternative%20arrangement%20for%20AAV/stockpers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griculture.gov.au/export/controlled-goods/live-animals/livestock/australian-standards-livestoc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export/controlled-goods/live-animals/livestock/exporters/approved-export-progra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2006/metadata/properties"/>
    <ds:schemaRef ds:uri="81c01dc6-2c49-4730-b140-874c95cac377"/>
    <ds:schemaRef ds:uri="http://schemas.microsoft.com/office/infopath/2007/PartnerControls"/>
    <ds:schemaRef ds:uri="http://schemas.openxmlformats.org/package/2006/metadata/core-properties"/>
    <ds:schemaRef ds:uri="c95b51c2-b2ac-4224-a5b5-069909057829"/>
    <ds:schemaRef ds:uri="2b53c995-2120-4bc0-8922-c25044d37f65"/>
  </ds:schemaRefs>
</ds:datastoreItem>
</file>

<file path=customXml/itemProps2.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3.xml><?xml version="1.0" encoding="utf-8"?>
<ds:datastoreItem xmlns:ds="http://schemas.openxmlformats.org/officeDocument/2006/customXml" ds:itemID="{D171CBF6-DEF3-4659-8856-A2256337D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AAVs and stockpersons on livestock voyages by sea under ASEL</vt:lpstr>
    </vt:vector>
  </TitlesOfParts>
  <Company/>
  <LinksUpToDate>false</LinksUpToDate>
  <CharactersWithSpaces>15713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AAVs and stockpersons on livestock voyages by sea under ASEL</dc:title>
  <dc:subject/>
  <dc:creator>Department of Agriculture, Fisheries and Forestry</dc:creator>
  <cp:keywords/>
  <dc:description/>
  <cp:lastModifiedBy>Goggins, Fiona</cp:lastModifiedBy>
  <cp:revision>8</cp:revision>
  <cp:lastPrinted>2019-02-13T02:42:00Z</cp:lastPrinted>
  <dcterms:created xsi:type="dcterms:W3CDTF">2023-06-06T05:59:00Z</dcterms:created>
  <dcterms:modified xsi:type="dcterms:W3CDTF">2023-07-04T03:04:00Z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MediaServiceImageTags">
    <vt:lpwstr/>
  </property>
</Properties>
</file>