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BF260" w14:textId="3BEB9C06" w:rsidR="00E362EF" w:rsidRDefault="000E6996">
      <w:pPr>
        <w:pStyle w:val="Heading1"/>
      </w:pPr>
      <w:r>
        <w:t xml:space="preserve">Breeder cattle by sea – applying for pregnancy test certification validity extension in accordance with </w:t>
      </w:r>
      <w:proofErr w:type="gramStart"/>
      <w:r>
        <w:t>ASEL</w:t>
      </w:r>
      <w:proofErr w:type="gramEnd"/>
    </w:p>
    <w:p w14:paraId="2F32A58F" w14:textId="04232B2A" w:rsidR="00B5453F" w:rsidRDefault="00D57861" w:rsidP="00B5453F">
      <w:pPr>
        <w:pStyle w:val="Author"/>
      </w:pPr>
      <w:r>
        <w:t>Live Animal Export Branch</w:t>
      </w:r>
    </w:p>
    <w:p w14:paraId="0F77F774" w14:textId="77777777" w:rsidR="000E6996" w:rsidRDefault="000E6996" w:rsidP="000E6996">
      <w:pPr>
        <w:pStyle w:val="Heading2"/>
      </w:pPr>
      <w:r>
        <w:t>Purpose</w:t>
      </w:r>
    </w:p>
    <w:p w14:paraId="085CD45E" w14:textId="6CBF1DA6" w:rsidR="000E6996" w:rsidRPr="008C0EAF" w:rsidRDefault="000E6996" w:rsidP="000E6996">
      <w:pPr>
        <w:rPr>
          <w:lang w:eastAsia="ja-JP"/>
        </w:rPr>
      </w:pPr>
      <w:r w:rsidRPr="008C0EAF">
        <w:rPr>
          <w:lang w:eastAsia="ja-JP"/>
        </w:rPr>
        <w:t>This policy is a guide to applying to extend the validity of certification for pregnancy tests of breeder cattle exported by sea, as provided for in the Australian Standards for the Export of Livestock (ASEL)</w:t>
      </w:r>
      <w:r w:rsidR="00897F63">
        <w:rPr>
          <w:lang w:eastAsia="ja-JP"/>
        </w:rPr>
        <w:t>.</w:t>
      </w:r>
    </w:p>
    <w:p w14:paraId="6C4BC89A" w14:textId="77777777" w:rsidR="000E6996" w:rsidRDefault="000E6996" w:rsidP="000E6996">
      <w:pPr>
        <w:pStyle w:val="Heading2"/>
      </w:pPr>
      <w:r>
        <w:t>Scope</w:t>
      </w:r>
    </w:p>
    <w:p w14:paraId="325BAD76" w14:textId="354F17B8" w:rsidR="000E6996" w:rsidRPr="008C0EAF" w:rsidRDefault="000E6996" w:rsidP="000E6996">
      <w:r w:rsidRPr="008C0EAF">
        <w:t xml:space="preserve">This policy applies to exporters, </w:t>
      </w:r>
      <w:r w:rsidR="00897F63">
        <w:t>a</w:t>
      </w:r>
      <w:r w:rsidRPr="008C0EAF">
        <w:t xml:space="preserve">ccredited </w:t>
      </w:r>
      <w:r w:rsidR="00897F63">
        <w:t>v</w:t>
      </w:r>
      <w:r w:rsidRPr="008C0EAF">
        <w:t>eterinarians (AAVs) and registered veterinarians.</w:t>
      </w:r>
    </w:p>
    <w:p w14:paraId="021A68E7" w14:textId="3FE081C5" w:rsidR="000E6996" w:rsidRPr="008C0EAF" w:rsidRDefault="000E6996" w:rsidP="000E6996">
      <w:r w:rsidRPr="008C0EAF">
        <w:t>This policy applies only to validity extension applications as provided for under ASEL</w:t>
      </w:r>
      <w:r w:rsidR="00CF0A05">
        <w:t xml:space="preserve"> standard 1.4.7 (a)</w:t>
      </w:r>
      <w:r w:rsidRPr="008C0EAF">
        <w:t xml:space="preserve"> for pregnant breeder cattle exported by sea. Pregnancy certification validity requirements for other breeds, classes or pregnancy status of livestock are required to be met in accordance with the relevant standards in ASEL.</w:t>
      </w:r>
    </w:p>
    <w:p w14:paraId="4A372203" w14:textId="77777777" w:rsidR="000E6996" w:rsidRPr="008C0EAF" w:rsidRDefault="000E6996" w:rsidP="000E6996">
      <w:r w:rsidRPr="008C0EAF">
        <w:t>This document outlines the process exporters must follow when seeking to make an application, and the criteria under which the department would consider any applications made. In considering the approval of applications, the department will consider whether extending the validity represents the best outcome for animal health and welfare.</w:t>
      </w:r>
    </w:p>
    <w:p w14:paraId="4446799C" w14:textId="77777777" w:rsidR="00CF0A05" w:rsidRPr="00601973" w:rsidRDefault="00CF0A05" w:rsidP="00CF0A05">
      <w:pPr>
        <w:rPr>
          <w:rFonts w:cstheme="minorHAnsi"/>
        </w:rPr>
      </w:pPr>
      <w:r>
        <w:rPr>
          <w:rFonts w:cstheme="minorHAnsi"/>
        </w:rPr>
        <w:t xml:space="preserve">This </w:t>
      </w:r>
      <w:r w:rsidRPr="00AB250B">
        <w:rPr>
          <w:rFonts w:cstheme="minorHAnsi"/>
        </w:rPr>
        <w:t xml:space="preserve">policy should be read in conjunction with relevant export legislation and standards listed under </w:t>
      </w:r>
      <w:hyperlink w:anchor="_Related_material" w:history="1">
        <w:r w:rsidRPr="00AB250B">
          <w:rPr>
            <w:rStyle w:val="Hyperlink"/>
            <w:rFonts w:cstheme="minorHAnsi"/>
          </w:rPr>
          <w:t>related material</w:t>
        </w:r>
      </w:hyperlink>
      <w:r>
        <w:rPr>
          <w:rFonts w:cstheme="minorHAnsi"/>
          <w:lang w:val="en-US"/>
        </w:rPr>
        <w:t>.</w:t>
      </w:r>
    </w:p>
    <w:p w14:paraId="5096F957" w14:textId="77777777" w:rsidR="000E6996" w:rsidRPr="000E6996" w:rsidRDefault="000E6996" w:rsidP="000E6996">
      <w:pPr>
        <w:pStyle w:val="Heading2"/>
      </w:pPr>
      <w:r w:rsidRPr="000E6996">
        <w:t>Requirements</w:t>
      </w:r>
    </w:p>
    <w:p w14:paraId="4AE851C7" w14:textId="588806E3" w:rsidR="000E6996" w:rsidRPr="000E6996" w:rsidRDefault="000E6996" w:rsidP="000E6996">
      <w:r w:rsidRPr="000E6996">
        <w:t xml:space="preserve">As </w:t>
      </w:r>
      <w:r w:rsidR="00CF0A05">
        <w:t>per</w:t>
      </w:r>
      <w:r w:rsidRPr="000E6996">
        <w:t xml:space="preserve"> ASEL standard 1.4.7 </w:t>
      </w:r>
      <w:r w:rsidR="00CF0A05">
        <w:t>(</w:t>
      </w:r>
      <w:r w:rsidRPr="000E6996">
        <w:t xml:space="preserve">a), pregnancy test certification is valid for 30 days from the date of the procedure for pregnant breeder cattle. This validity period of 30 days </w:t>
      </w:r>
      <w:proofErr w:type="gramStart"/>
      <w:r w:rsidRPr="000E6996">
        <w:t>applies, unless</w:t>
      </w:r>
      <w:proofErr w:type="gramEnd"/>
      <w:r w:rsidRPr="000E6996">
        <w:t xml:space="preserve"> an exporter has applied for a certification validity extension and received approval in writing from the department prior to loading.</w:t>
      </w:r>
    </w:p>
    <w:p w14:paraId="4D960A98" w14:textId="5C312029" w:rsidR="000E6996" w:rsidRPr="000E6996" w:rsidRDefault="000E6996" w:rsidP="000E6996">
      <w:r w:rsidRPr="000E6996">
        <w:t>For breeder cattle that are certified in writing to be not detectably pregnant, the certificate is valid for 60 days from the date of procedure or collection of blood sample (ASEL standard 1.4.7 b)).</w:t>
      </w:r>
    </w:p>
    <w:p w14:paraId="1021581E" w14:textId="77777777" w:rsidR="000E6996" w:rsidRPr="000E6996" w:rsidRDefault="000E6996" w:rsidP="000E6996">
      <w:pPr>
        <w:pStyle w:val="ListBullet"/>
      </w:pPr>
      <w:r w:rsidRPr="000E6996">
        <w:t xml:space="preserve">There is no provision for approval of a certification validity extension for not detectably pregnant breeder cattle. The </w:t>
      </w:r>
      <w:proofErr w:type="gramStart"/>
      <w:r w:rsidRPr="000E6996">
        <w:t>60 day</w:t>
      </w:r>
      <w:proofErr w:type="gramEnd"/>
      <w:r w:rsidRPr="000E6996">
        <w:t xml:space="preserve"> validity period in ASEL has been developed on the basis of the maximum validity the department would allow to be confident in the welfare of cattle exported.</w:t>
      </w:r>
    </w:p>
    <w:p w14:paraId="12CAC860" w14:textId="368C5891" w:rsidR="000E6996" w:rsidRDefault="000E6996" w:rsidP="000E6996">
      <w:pPr>
        <w:pStyle w:val="Heading2"/>
      </w:pPr>
      <w:r>
        <w:lastRenderedPageBreak/>
        <w:t xml:space="preserve">Instructions </w:t>
      </w:r>
    </w:p>
    <w:p w14:paraId="4D2C5513" w14:textId="69A7FC17" w:rsidR="000E6996" w:rsidRPr="00496AC5" w:rsidRDefault="000E6996" w:rsidP="000E6996">
      <w:r w:rsidRPr="00496AC5">
        <w:t>Exporters wishing to apply to extend the validity of the pregnancy test certification for pregnant breeder cattle must apply via email to the</w:t>
      </w:r>
      <w:r w:rsidR="00994CF0">
        <w:t xml:space="preserve"> relevant</w:t>
      </w:r>
      <w:r w:rsidRPr="00496AC5">
        <w:t xml:space="preserve"> </w:t>
      </w:r>
      <w:hyperlink r:id="rId11" w:history="1">
        <w:r w:rsidR="00994CF0">
          <w:rPr>
            <w:rStyle w:val="Hyperlink"/>
          </w:rPr>
          <w:t>regional office</w:t>
        </w:r>
      </w:hyperlink>
      <w:r w:rsidRPr="00496AC5">
        <w:t>, copying in the certifying Regional Veterinary Officer (RVO) if known, at least 3 business days prior to the scheduled date of export.</w:t>
      </w:r>
    </w:p>
    <w:p w14:paraId="38C8A400" w14:textId="0AAFD1FF" w:rsidR="000E6996" w:rsidRPr="00496AC5" w:rsidRDefault="000E6996" w:rsidP="000E6996">
      <w:r w:rsidRPr="00496AC5">
        <w:t>The application must set out the grounds for the application</w:t>
      </w:r>
      <w:r w:rsidR="002F462A">
        <w:t>, and include</w:t>
      </w:r>
      <w:r w:rsidRPr="00496AC5">
        <w:t>:</w:t>
      </w:r>
    </w:p>
    <w:p w14:paraId="044875A3" w14:textId="77777777" w:rsidR="000E6996" w:rsidRPr="000E6996" w:rsidRDefault="000E6996" w:rsidP="000E6996">
      <w:pPr>
        <w:pStyle w:val="ListBullet"/>
      </w:pPr>
      <w:r w:rsidRPr="000E6996">
        <w:t>the consignment’s LNC number</w:t>
      </w:r>
    </w:p>
    <w:p w14:paraId="6AD59553" w14:textId="038C78E1" w:rsidR="000E6996" w:rsidRPr="000E6996" w:rsidRDefault="000E6996" w:rsidP="000E6996">
      <w:pPr>
        <w:pStyle w:val="ListBullet"/>
      </w:pPr>
      <w:r w:rsidRPr="000E6996">
        <w:t xml:space="preserve">the NLIS identification number of </w:t>
      </w:r>
      <w:r w:rsidR="002F462A">
        <w:t>all</w:t>
      </w:r>
      <w:r w:rsidRPr="000E6996">
        <w:t xml:space="preserve"> animal</w:t>
      </w:r>
      <w:r w:rsidR="002F462A">
        <w:t>s</w:t>
      </w:r>
      <w:r w:rsidRPr="000E6996">
        <w:t xml:space="preserve"> under the application</w:t>
      </w:r>
    </w:p>
    <w:p w14:paraId="1ECE8A50" w14:textId="77777777" w:rsidR="000E6996" w:rsidRPr="000E6996" w:rsidRDefault="000E6996" w:rsidP="000E6996">
      <w:pPr>
        <w:pStyle w:val="ListBullet"/>
      </w:pPr>
      <w:r w:rsidRPr="000E6996">
        <w:t>the number of days pregnant for each animal included in the application, at the time the first pregnancy test was undertaken, in accordance with ASEL standard 1.4.6</w:t>
      </w:r>
    </w:p>
    <w:p w14:paraId="749CEDF6" w14:textId="77777777" w:rsidR="000E6996" w:rsidRPr="000E6996" w:rsidRDefault="000E6996" w:rsidP="000E6996">
      <w:pPr>
        <w:pStyle w:val="ListBullet"/>
      </w:pPr>
      <w:r w:rsidRPr="000E6996">
        <w:t xml:space="preserve">evidence of the extenuating circumstances (outside the exporter’s control) that led to the extension being sought, noting that any requests for extension should be the exception and not the </w:t>
      </w:r>
      <w:proofErr w:type="gramStart"/>
      <w:r w:rsidRPr="000E6996">
        <w:t>norm</w:t>
      </w:r>
      <w:proofErr w:type="gramEnd"/>
    </w:p>
    <w:p w14:paraId="4361DA79" w14:textId="77777777" w:rsidR="000E6996" w:rsidRPr="000E6996" w:rsidRDefault="000E6996" w:rsidP="000E6996">
      <w:pPr>
        <w:pStyle w:val="ListBullet"/>
      </w:pPr>
      <w:r w:rsidRPr="000E6996">
        <w:t>evidence the extension would not be reasonably expected to cause a negative impact on animal welfare outcomes.</w:t>
      </w:r>
    </w:p>
    <w:p w14:paraId="0B5410EB" w14:textId="25005E03" w:rsidR="000E6996" w:rsidRPr="00496AC5" w:rsidRDefault="000E6996" w:rsidP="000E6996">
      <w:r w:rsidRPr="00496AC5">
        <w:t xml:space="preserve">The application for extension must include the relevant pregnancy test certification, which must link to the consignment. This is in accordance with the </w:t>
      </w:r>
      <w:hyperlink r:id="rId12" w:anchor="prepare-preexport-documents" w:history="1">
        <w:r w:rsidRPr="00CF2549">
          <w:rPr>
            <w:rStyle w:val="Hyperlink"/>
          </w:rPr>
          <w:t>approved arrangements for livestock exports core documents</w:t>
        </w:r>
      </w:hyperlink>
      <w:r w:rsidRPr="00496AC5">
        <w:t xml:space="preserve"> list.</w:t>
      </w:r>
    </w:p>
    <w:p w14:paraId="3319C377" w14:textId="4739234C" w:rsidR="000E6996" w:rsidRPr="00496AC5" w:rsidRDefault="000E6996" w:rsidP="000E6996">
      <w:r w:rsidRPr="00496AC5">
        <w:t>Where the pregnancy test certification includes animals that are eligible for an extension and others that are ineligible, the exporter may request an extension for only the eligible animals on the pregnancy test certification. The application must clearly identify each animal that the extension request applies to.</w:t>
      </w:r>
    </w:p>
    <w:p w14:paraId="7E6C79A1" w14:textId="3E740588" w:rsidR="000E6996" w:rsidRPr="00496AC5" w:rsidRDefault="000E6996" w:rsidP="000E6996">
      <w:r w:rsidRPr="00496AC5">
        <w:t xml:space="preserve">If an application is approved and any circumstances of the consignment change (such as market, consignment route or vessel), this may affect the approval. If circumstances change, exporters must contact the relevant </w:t>
      </w:r>
      <w:hyperlink r:id="rId13" w:history="1">
        <w:r w:rsidRPr="00CF2549">
          <w:rPr>
            <w:rStyle w:val="Hyperlink"/>
          </w:rPr>
          <w:t>regional office</w:t>
        </w:r>
      </w:hyperlink>
      <w:r w:rsidRPr="00496AC5">
        <w:t xml:space="preserve"> to confirm if they impact previous approvals.</w:t>
      </w:r>
    </w:p>
    <w:p w14:paraId="228307AE" w14:textId="02105962" w:rsidR="000E6996" w:rsidRDefault="000E6996" w:rsidP="000E6996">
      <w:r w:rsidRPr="00496AC5">
        <w:t>Unless otherwise approved in writing, an exporter must comply with the pregnancy testing validity periods in accordance with the relevant standards in ASEL.</w:t>
      </w:r>
    </w:p>
    <w:p w14:paraId="0FD1AF9C" w14:textId="58CD5FBB" w:rsidR="000E6996" w:rsidRPr="000E6996" w:rsidRDefault="000E6996" w:rsidP="000E6996">
      <w:pPr>
        <w:pStyle w:val="Heading3"/>
        <w:numPr>
          <w:ilvl w:val="0"/>
          <w:numId w:val="0"/>
        </w:numPr>
        <w:ind w:left="964" w:hanging="964"/>
      </w:pPr>
      <w:r w:rsidRPr="000E6996">
        <w:t xml:space="preserve">Assessment of applications received by the </w:t>
      </w:r>
      <w:proofErr w:type="gramStart"/>
      <w:r w:rsidRPr="000E6996">
        <w:t>department</w:t>
      </w:r>
      <w:proofErr w:type="gramEnd"/>
    </w:p>
    <w:p w14:paraId="7A4AB2D6" w14:textId="55ECF75F" w:rsidR="000E6996" w:rsidRPr="000E6996" w:rsidRDefault="000E6996" w:rsidP="000E6996">
      <w:r w:rsidRPr="000E6996">
        <w:t xml:space="preserve">The RVO will consider applications against the criteria in accordance with this </w:t>
      </w:r>
      <w:proofErr w:type="gramStart"/>
      <w:r w:rsidRPr="000E6996">
        <w:t>policy, and</w:t>
      </w:r>
      <w:proofErr w:type="gramEnd"/>
      <w:r w:rsidRPr="000E6996">
        <w:t xml:space="preserve"> will make a recommendation to a department Senior Veterinary Officer or Principal Veterinary Officer. In </w:t>
      </w:r>
      <w:proofErr w:type="gramStart"/>
      <w:r w:rsidRPr="000E6996">
        <w:t>making a decision</w:t>
      </w:r>
      <w:proofErr w:type="gramEnd"/>
      <w:r w:rsidRPr="000E6996">
        <w:t>, the department may also consider the latest information, advice and research relevant to the extension sought.</w:t>
      </w:r>
    </w:p>
    <w:p w14:paraId="1EBBA5CE" w14:textId="70CD4EAE" w:rsidR="000E6996" w:rsidRPr="000E6996" w:rsidRDefault="000E6996" w:rsidP="000E6996">
      <w:r w:rsidRPr="000E6996">
        <w:t>All applications are considered on an individual consignment basis. In deciding whether to grant an application for extension to the pregnancy certification validity, the department must be satisfied:</w:t>
      </w:r>
    </w:p>
    <w:p w14:paraId="5F9D8639" w14:textId="7202971F" w:rsidR="000E6996" w:rsidRPr="000E6996" w:rsidRDefault="002F462A" w:rsidP="000E6996">
      <w:pPr>
        <w:pStyle w:val="ListBullet"/>
        <w:rPr>
          <w:lang w:eastAsia="ja-JP"/>
        </w:rPr>
      </w:pPr>
      <w:r>
        <w:rPr>
          <w:lang w:eastAsia="ja-JP"/>
        </w:rPr>
        <w:t>that a</w:t>
      </w:r>
      <w:r w:rsidR="000E6996" w:rsidRPr="000E6996">
        <w:rPr>
          <w:lang w:eastAsia="ja-JP"/>
        </w:rPr>
        <w:t xml:space="preserve">n extension to the certification validity would not compromise animal health or welfare, including </w:t>
      </w:r>
      <w:r>
        <w:rPr>
          <w:lang w:eastAsia="ja-JP"/>
        </w:rPr>
        <w:t>consideration of</w:t>
      </w:r>
      <w:r w:rsidR="000E6996" w:rsidRPr="000E6996">
        <w:rPr>
          <w:lang w:eastAsia="ja-JP"/>
        </w:rPr>
        <w:t xml:space="preserve"> the</w:t>
      </w:r>
      <w:r>
        <w:rPr>
          <w:lang w:eastAsia="ja-JP"/>
        </w:rPr>
        <w:t>se</w:t>
      </w:r>
      <w:r w:rsidR="000E6996" w:rsidRPr="000E6996">
        <w:rPr>
          <w:lang w:eastAsia="ja-JP"/>
        </w:rPr>
        <w:t xml:space="preserve"> </w:t>
      </w:r>
      <w:proofErr w:type="gramStart"/>
      <w:r w:rsidR="000E6996" w:rsidRPr="000E6996">
        <w:rPr>
          <w:lang w:eastAsia="ja-JP"/>
        </w:rPr>
        <w:t>factors</w:t>
      </w:r>
      <w:proofErr w:type="gramEnd"/>
    </w:p>
    <w:p w14:paraId="393320A2" w14:textId="0F90B07F" w:rsidR="000E6996" w:rsidRPr="000E6996" w:rsidRDefault="000E6996" w:rsidP="000E6996">
      <w:pPr>
        <w:pStyle w:val="ListBullet2"/>
        <w:rPr>
          <w:lang w:eastAsia="ja-JP"/>
        </w:rPr>
      </w:pPr>
      <w:r w:rsidRPr="000E6996">
        <w:rPr>
          <w:lang w:eastAsia="ja-JP"/>
        </w:rPr>
        <w:lastRenderedPageBreak/>
        <w:t>The numbers of days pregnant for each animal and the estimated length of the voyage. The cattle must not be at risk of travelling on board the vessel beyond 190 days gestation</w:t>
      </w:r>
      <w:r w:rsidR="00015F01">
        <w:rPr>
          <w:rStyle w:val="FootnoteReference"/>
          <w:lang w:eastAsia="ja-JP"/>
        </w:rPr>
        <w:footnoteReference w:id="2"/>
      </w:r>
      <w:r w:rsidRPr="000E6996">
        <w:rPr>
          <w:lang w:eastAsia="ja-JP"/>
        </w:rPr>
        <w:t xml:space="preserve"> (providing for any reasonable margins of error for estimating factors such as foetal age and voyage length).</w:t>
      </w:r>
    </w:p>
    <w:p w14:paraId="7977BE37" w14:textId="77777777" w:rsidR="000E6996" w:rsidRPr="000E6996" w:rsidRDefault="000E6996" w:rsidP="000E6996">
      <w:pPr>
        <w:pStyle w:val="ListBullet2"/>
        <w:rPr>
          <w:lang w:eastAsia="ja-JP"/>
        </w:rPr>
      </w:pPr>
      <w:r w:rsidRPr="000E6996">
        <w:rPr>
          <w:lang w:eastAsia="ja-JP"/>
        </w:rPr>
        <w:t>Whether extending the certification validity would avoid unnecessary rehandling and re-testing of the animals, without increasing risk to the animals’ health or welfare during the voyage.</w:t>
      </w:r>
    </w:p>
    <w:p w14:paraId="3796E398" w14:textId="56722E9D" w:rsidR="000E6996" w:rsidRPr="00305820" w:rsidRDefault="002F462A" w:rsidP="00305820">
      <w:pPr>
        <w:pStyle w:val="ListBullet"/>
      </w:pPr>
      <w:r>
        <w:t>with t</w:t>
      </w:r>
      <w:r w:rsidR="000E6996" w:rsidRPr="00305820">
        <w:t>he extenuating circumstances that led to the application being made by the exporter.</w:t>
      </w:r>
    </w:p>
    <w:p w14:paraId="32A60374" w14:textId="77777777" w:rsidR="000E6996" w:rsidRPr="00305820" w:rsidRDefault="000E6996" w:rsidP="00305820">
      <w:pPr>
        <w:pStyle w:val="ListBullet2"/>
      </w:pPr>
      <w:r w:rsidRPr="00305820">
        <w:t>Extensions will only be granted for reasons that could not have been reasonably foreseen by the exporter, such as unexpected vessel delay or breakdown, or bad weather.</w:t>
      </w:r>
    </w:p>
    <w:p w14:paraId="25DF4CB0" w14:textId="77777777" w:rsidR="000E6996" w:rsidRPr="00305820" w:rsidRDefault="000E6996" w:rsidP="00305820">
      <w:pPr>
        <w:pStyle w:val="ListBullet2"/>
      </w:pPr>
      <w:r w:rsidRPr="00305820">
        <w:t>Repeated applications for extensions may indicate a systematic operational concern with the management of pregnancy testing.</w:t>
      </w:r>
    </w:p>
    <w:p w14:paraId="028DC3B9" w14:textId="337BF035" w:rsidR="000E6996" w:rsidRPr="00305820" w:rsidRDefault="002F462A" w:rsidP="00305820">
      <w:pPr>
        <w:pStyle w:val="ListBullet"/>
      </w:pPr>
      <w:r>
        <w:t>with a</w:t>
      </w:r>
      <w:r w:rsidR="000E6996" w:rsidRPr="00305820">
        <w:t xml:space="preserve">ny other factor that the department considers relevant to ensure an acceptable animal health or welfare outcome, and to ensure a sound basis for the issuance of an </w:t>
      </w:r>
      <w:r>
        <w:t>e</w:t>
      </w:r>
      <w:r w:rsidR="000E6996" w:rsidRPr="00305820">
        <w:t xml:space="preserve">xport </w:t>
      </w:r>
      <w:r>
        <w:t>p</w:t>
      </w:r>
      <w:r w:rsidR="000E6996" w:rsidRPr="00305820">
        <w:t xml:space="preserve">ermit under the </w:t>
      </w:r>
      <w:r w:rsidR="000E6996" w:rsidRPr="00C9064A">
        <w:rPr>
          <w:rStyle w:val="Emphasis"/>
        </w:rPr>
        <w:t>Export Control Act 2020</w:t>
      </w:r>
      <w:r w:rsidR="000E6996" w:rsidRPr="00305820">
        <w:t xml:space="preserve"> and Export Control (Animals) Rules 2021.</w:t>
      </w:r>
    </w:p>
    <w:p w14:paraId="2F527048" w14:textId="509BA414" w:rsidR="003A1AB9" w:rsidRDefault="000E6996" w:rsidP="003A1AB9">
      <w:r w:rsidRPr="00496AC5">
        <w:t xml:space="preserve">The department will provide the exporter with a written notice of the outcome of the decision. A notice of decision will include the </w:t>
      </w:r>
      <w:r w:rsidR="002F462A">
        <w:t xml:space="preserve">consignment’s </w:t>
      </w:r>
      <w:r w:rsidRPr="00496AC5">
        <w:t>LNC number and, if approved, the number of days the pregnancy certification validity has been extended by.</w:t>
      </w:r>
      <w:bookmarkStart w:id="0" w:name="_Related_material"/>
      <w:bookmarkEnd w:id="0"/>
    </w:p>
    <w:p w14:paraId="2D232B9A" w14:textId="17DDB416" w:rsidR="00076A29" w:rsidRDefault="00076A29" w:rsidP="003A1AB9">
      <w:pPr>
        <w:pStyle w:val="Heading2"/>
      </w:pPr>
      <w:r>
        <w:t>Related material</w:t>
      </w:r>
    </w:p>
    <w:p w14:paraId="578D8CA8" w14:textId="3CEC57CB" w:rsidR="00994CF0" w:rsidRPr="00FB1030" w:rsidRDefault="00000000" w:rsidP="00994CF0">
      <w:pPr>
        <w:pStyle w:val="ListBullet"/>
        <w:numPr>
          <w:ilvl w:val="0"/>
          <w:numId w:val="5"/>
        </w:numPr>
        <w:rPr>
          <w:rStyle w:val="Hyperlink"/>
        </w:rPr>
      </w:pPr>
      <w:hyperlink r:id="rId14" w:anchor="current-guidelines-and-policies" w:history="1">
        <w:r w:rsidR="00994CF0">
          <w:rPr>
            <w:rStyle w:val="Hyperlink"/>
            <w:rFonts w:cstheme="minorHAnsi"/>
          </w:rPr>
          <w:t>Approved arrangement guidelines for the export of livestock</w:t>
        </w:r>
      </w:hyperlink>
    </w:p>
    <w:p w14:paraId="6C59F29A" w14:textId="77777777" w:rsidR="00994CF0" w:rsidRPr="009A5404" w:rsidRDefault="00000000" w:rsidP="00994CF0">
      <w:pPr>
        <w:pStyle w:val="ListBullet"/>
        <w:numPr>
          <w:ilvl w:val="0"/>
          <w:numId w:val="5"/>
        </w:numPr>
        <w:rPr>
          <w:rStyle w:val="Hyperlink"/>
          <w:color w:val="auto"/>
          <w:u w:val="none"/>
        </w:rPr>
      </w:pPr>
      <w:hyperlink r:id="rId15" w:history="1">
        <w:r w:rsidR="00994CF0" w:rsidRPr="00FB1030">
          <w:rPr>
            <w:rStyle w:val="Hyperlink"/>
          </w:rPr>
          <w:t xml:space="preserve">Approved </w:t>
        </w:r>
        <w:r w:rsidR="00994CF0">
          <w:rPr>
            <w:rStyle w:val="Hyperlink"/>
          </w:rPr>
          <w:t>export program guidelines for the export of livestock</w:t>
        </w:r>
      </w:hyperlink>
    </w:p>
    <w:p w14:paraId="368163C8" w14:textId="77515DF8" w:rsidR="00305820" w:rsidRPr="001476A2" w:rsidRDefault="00305820" w:rsidP="00305820">
      <w:pPr>
        <w:pStyle w:val="ListBullet"/>
        <w:rPr>
          <w:rStyle w:val="Hyperlink"/>
        </w:rPr>
      </w:pPr>
      <w:r>
        <w:fldChar w:fldCharType="begin"/>
      </w:r>
      <w:r>
        <w:instrText xml:space="preserve"> HYPERLINK "https://www.agriculture.gov.au/biosecurity-trade/export/controlled-goods/live-animals/livestock/australian-standards-livestock" </w:instrText>
      </w:r>
      <w:r>
        <w:fldChar w:fldCharType="separate"/>
      </w:r>
      <w:r w:rsidRPr="001476A2">
        <w:rPr>
          <w:rStyle w:val="Hyperlink"/>
        </w:rPr>
        <w:t>Australian Standards for the Export of Livestock</w:t>
      </w:r>
      <w:r w:rsidR="00994CF0">
        <w:rPr>
          <w:rStyle w:val="Hyperlink"/>
        </w:rPr>
        <w:t xml:space="preserve"> (ASEL)</w:t>
      </w:r>
    </w:p>
    <w:p w14:paraId="14E02DB1" w14:textId="1765422D" w:rsidR="00994CF0" w:rsidRPr="00994CF0" w:rsidRDefault="00305820" w:rsidP="00305820">
      <w:pPr>
        <w:pStyle w:val="ListBullet"/>
        <w:rPr>
          <w:color w:val="165788"/>
          <w:u w:val="single"/>
        </w:rPr>
      </w:pPr>
      <w:r>
        <w:fldChar w:fldCharType="end"/>
      </w:r>
      <w:hyperlink r:id="rId16" w:anchor="prepare-preexport-documents" w:history="1">
        <w:r w:rsidR="00994CF0" w:rsidRPr="00994CF0">
          <w:rPr>
            <w:rStyle w:val="Hyperlink"/>
          </w:rPr>
          <w:t>Core documents for approved arrangement livestock exports</w:t>
        </w:r>
      </w:hyperlink>
    </w:p>
    <w:p w14:paraId="1CDDBF62" w14:textId="7F5FAF97" w:rsidR="00305820" w:rsidRPr="001476A2" w:rsidRDefault="00305820" w:rsidP="00305820">
      <w:pPr>
        <w:pStyle w:val="ListBullet"/>
        <w:rPr>
          <w:rStyle w:val="Hyperlink"/>
        </w:rPr>
      </w:pPr>
      <w:r w:rsidRPr="001476A2">
        <w:rPr>
          <w:rStyle w:val="Hyperlink"/>
        </w:rPr>
        <w:fldChar w:fldCharType="begin"/>
      </w:r>
      <w:r w:rsidRPr="001476A2">
        <w:rPr>
          <w:rStyle w:val="Hyperlink"/>
        </w:rPr>
        <w:instrText>HYPERLINK "https://www.legislation.gov.au/Series/C2020A00012"</w:instrText>
      </w:r>
      <w:r w:rsidRPr="001476A2">
        <w:rPr>
          <w:rStyle w:val="Hyperlink"/>
        </w:rPr>
      </w:r>
      <w:r w:rsidRPr="001476A2">
        <w:rPr>
          <w:rStyle w:val="Hyperlink"/>
        </w:rPr>
        <w:fldChar w:fldCharType="separate"/>
      </w:r>
      <w:r w:rsidRPr="001476A2">
        <w:rPr>
          <w:rStyle w:val="Hyperlink"/>
        </w:rPr>
        <w:t>Export Control Act 2020</w:t>
      </w:r>
    </w:p>
    <w:p w14:paraId="0203D046" w14:textId="77777777" w:rsidR="00305820" w:rsidRPr="001476A2" w:rsidRDefault="00305820" w:rsidP="00305820">
      <w:pPr>
        <w:pStyle w:val="ListBullet"/>
        <w:rPr>
          <w:rStyle w:val="Hyperlink"/>
        </w:rPr>
      </w:pPr>
      <w:r w:rsidRPr="001476A2">
        <w:rPr>
          <w:rStyle w:val="Hyperlink"/>
        </w:rPr>
        <w:fldChar w:fldCharType="end"/>
      </w:r>
      <w:r>
        <w:fldChar w:fldCharType="begin"/>
      </w:r>
      <w:r>
        <w:instrText xml:space="preserve"> HYPERLINK "https://www.legislation.gov.au/Series/F2021L00319" </w:instrText>
      </w:r>
      <w:r>
        <w:fldChar w:fldCharType="separate"/>
      </w:r>
      <w:r w:rsidRPr="001476A2">
        <w:rPr>
          <w:rStyle w:val="Hyperlink"/>
        </w:rPr>
        <w:t>Export Control (Animals) Rules 2021</w:t>
      </w:r>
    </w:p>
    <w:p w14:paraId="29C3082F" w14:textId="3F97317B" w:rsidR="00994CF0" w:rsidRPr="00994CF0" w:rsidRDefault="00305820" w:rsidP="00994CF0">
      <w:pPr>
        <w:pStyle w:val="ListBullet"/>
      </w:pPr>
      <w:r>
        <w:fldChar w:fldCharType="end"/>
      </w:r>
      <w:hyperlink r:id="rId17" w:history="1">
        <w:r w:rsidR="00994CF0" w:rsidRPr="00994CF0">
          <w:rPr>
            <w:rStyle w:val="Hyperlink"/>
          </w:rPr>
          <w:t>Regional office contact details</w:t>
        </w:r>
      </w:hyperlink>
    </w:p>
    <w:p w14:paraId="6759AD59" w14:textId="4EC291BC" w:rsidR="00305820" w:rsidRPr="00994CF0" w:rsidRDefault="00000000" w:rsidP="00994CF0">
      <w:pPr>
        <w:pStyle w:val="ListBullet"/>
        <w:rPr>
          <w:rStyle w:val="Hyperlink"/>
          <w:color w:val="auto"/>
          <w:u w:val="none"/>
        </w:rPr>
      </w:pPr>
      <w:hyperlink r:id="rId18" w:history="1">
        <w:r w:rsidR="00994CF0" w:rsidRPr="009A5404">
          <w:rPr>
            <w:rStyle w:val="Hyperlink"/>
          </w:rPr>
          <w:t>Regulating live animal exports</w:t>
        </w:r>
      </w:hyperlink>
      <w:r w:rsidR="00305820">
        <w:fldChar w:fldCharType="begin"/>
      </w:r>
      <w:r w:rsidR="00305820">
        <w:instrText xml:space="preserve"> HYPERLINK "https://www.agriculture.gov.au/biosecurity-trade/export/controlled-goods/live-animals/contact-us" </w:instrText>
      </w:r>
      <w:r w:rsidR="00305820">
        <w:fldChar w:fldCharType="separate"/>
      </w:r>
    </w:p>
    <w:p w14:paraId="4AB39D88" w14:textId="5FF9BC44" w:rsidR="00DC69AC" w:rsidRDefault="00305820" w:rsidP="00D33BF4">
      <w:pPr>
        <w:pStyle w:val="ListBullet"/>
        <w:rPr>
          <w:rStyle w:val="Hyperlink"/>
        </w:rPr>
      </w:pPr>
      <w:r>
        <w:fldChar w:fldCharType="begin"/>
      </w:r>
      <w:r>
        <w:instrText xml:space="preserve"> HYPERLINK "https://trace.agriculture.gov.au/Account/LogOn?ReturnUrl=%2f" </w:instrText>
      </w:r>
      <w:r>
        <w:fldChar w:fldCharType="separate"/>
      </w:r>
      <w:r w:rsidRPr="001476A2">
        <w:rPr>
          <w:rStyle w:val="Hyperlink"/>
        </w:rPr>
        <w:t>TRACE</w:t>
      </w:r>
      <w:r w:rsidR="00DC69AC">
        <w:rPr>
          <w:rStyle w:val="Hyperlink"/>
        </w:rPr>
        <w:br w:type="page"/>
      </w:r>
    </w:p>
    <w:p w14:paraId="4114AA99" w14:textId="2D6A74C1" w:rsidR="00E362EF" w:rsidRDefault="00305820" w:rsidP="00A91DA6">
      <w:pPr>
        <w:pStyle w:val="Heading2"/>
        <w:numPr>
          <w:ilvl w:val="0"/>
          <w:numId w:val="0"/>
        </w:numPr>
        <w:ind w:left="720" w:hanging="720"/>
      </w:pPr>
      <w:r>
        <w:lastRenderedPageBreak/>
        <w:fldChar w:fldCharType="end"/>
      </w:r>
      <w:r>
        <w:fldChar w:fldCharType="end"/>
      </w:r>
      <w:r w:rsidR="003A41B7">
        <w:t>Ver</w:t>
      </w:r>
      <w:r w:rsidR="00DC69AC">
        <w:t>s</w:t>
      </w:r>
      <w:r w:rsidR="003A41B7">
        <w:t>ion control</w:t>
      </w:r>
    </w:p>
    <w:tbl>
      <w:tblPr>
        <w:tblStyle w:val="TableGrid"/>
        <w:tblW w:w="0" w:type="auto"/>
        <w:tblLook w:val="04A0" w:firstRow="1" w:lastRow="0" w:firstColumn="1" w:lastColumn="0" w:noHBand="0" w:noVBand="1"/>
      </w:tblPr>
      <w:tblGrid>
        <w:gridCol w:w="1134"/>
        <w:gridCol w:w="1701"/>
        <w:gridCol w:w="2694"/>
        <w:gridCol w:w="3531"/>
      </w:tblGrid>
      <w:tr w:rsidR="003A41B7" w:rsidRPr="003A41B7" w14:paraId="06C65528" w14:textId="77777777" w:rsidTr="00D33BF4">
        <w:tc>
          <w:tcPr>
            <w:tcW w:w="1134" w:type="dxa"/>
            <w:tcBorders>
              <w:left w:val="nil"/>
              <w:bottom w:val="single" w:sz="4" w:space="0" w:color="auto"/>
              <w:right w:val="nil"/>
            </w:tcBorders>
          </w:tcPr>
          <w:p w14:paraId="2407DBB8" w14:textId="77777777" w:rsidR="003A41B7" w:rsidRPr="003A41B7" w:rsidRDefault="003A41B7" w:rsidP="007E0D66">
            <w:pPr>
              <w:pStyle w:val="TableHeading"/>
              <w:rPr>
                <w:lang w:eastAsia="ja-JP"/>
              </w:rPr>
            </w:pPr>
            <w:r w:rsidRPr="003A41B7">
              <w:t>Version</w:t>
            </w:r>
          </w:p>
        </w:tc>
        <w:tc>
          <w:tcPr>
            <w:tcW w:w="1701" w:type="dxa"/>
            <w:tcBorders>
              <w:left w:val="nil"/>
              <w:bottom w:val="single" w:sz="4" w:space="0" w:color="auto"/>
              <w:right w:val="nil"/>
            </w:tcBorders>
          </w:tcPr>
          <w:p w14:paraId="5C84DACA" w14:textId="77777777" w:rsidR="003A41B7" w:rsidRPr="003A41B7" w:rsidRDefault="003A41B7" w:rsidP="007E0D66">
            <w:pPr>
              <w:pStyle w:val="TableHeading"/>
              <w:rPr>
                <w:rFonts w:cstheme="minorHAnsi"/>
                <w:bCs/>
                <w:lang w:eastAsia="ja-JP"/>
              </w:rPr>
            </w:pPr>
            <w:r w:rsidRPr="003A41B7">
              <w:rPr>
                <w:rFonts w:cstheme="minorHAnsi"/>
                <w:bCs/>
              </w:rPr>
              <w:t>Date of issue</w:t>
            </w:r>
          </w:p>
        </w:tc>
        <w:tc>
          <w:tcPr>
            <w:tcW w:w="2694" w:type="dxa"/>
            <w:tcBorders>
              <w:left w:val="nil"/>
              <w:bottom w:val="single" w:sz="4" w:space="0" w:color="auto"/>
              <w:right w:val="nil"/>
            </w:tcBorders>
          </w:tcPr>
          <w:p w14:paraId="6FCA5304" w14:textId="77777777" w:rsidR="003A41B7" w:rsidRPr="003A41B7" w:rsidRDefault="003A41B7" w:rsidP="007E0D66">
            <w:pPr>
              <w:pStyle w:val="TableHeading"/>
              <w:rPr>
                <w:rFonts w:cstheme="minorHAnsi"/>
                <w:bCs/>
                <w:lang w:eastAsia="ja-JP"/>
              </w:rPr>
            </w:pPr>
            <w:r w:rsidRPr="003A41B7">
              <w:rPr>
                <w:rFonts w:cstheme="minorHAnsi"/>
                <w:bCs/>
              </w:rPr>
              <w:t>Author</w:t>
            </w:r>
          </w:p>
        </w:tc>
        <w:tc>
          <w:tcPr>
            <w:tcW w:w="3531" w:type="dxa"/>
            <w:tcBorders>
              <w:left w:val="nil"/>
              <w:bottom w:val="single" w:sz="4" w:space="0" w:color="auto"/>
              <w:right w:val="nil"/>
            </w:tcBorders>
          </w:tcPr>
          <w:p w14:paraId="3FDFC647" w14:textId="77777777" w:rsidR="003A41B7" w:rsidRPr="003A41B7" w:rsidRDefault="003A41B7" w:rsidP="007E0D66">
            <w:pPr>
              <w:pStyle w:val="TableHeading"/>
              <w:rPr>
                <w:rFonts w:cstheme="minorHAnsi"/>
                <w:bCs/>
                <w:lang w:eastAsia="ja-JP"/>
              </w:rPr>
            </w:pPr>
            <w:r w:rsidRPr="003A41B7">
              <w:rPr>
                <w:rFonts w:cstheme="minorHAnsi"/>
                <w:bCs/>
              </w:rPr>
              <w:t>Reason for change</w:t>
            </w:r>
          </w:p>
        </w:tc>
      </w:tr>
      <w:tr w:rsidR="003A41B7" w:rsidRPr="003A41B7" w14:paraId="4FD0A27F" w14:textId="77777777" w:rsidTr="00D33BF4">
        <w:tc>
          <w:tcPr>
            <w:tcW w:w="1134" w:type="dxa"/>
            <w:tcBorders>
              <w:left w:val="nil"/>
              <w:right w:val="nil"/>
            </w:tcBorders>
          </w:tcPr>
          <w:p w14:paraId="01BD9E53" w14:textId="77777777" w:rsidR="003A41B7" w:rsidRPr="003A41B7" w:rsidRDefault="003A41B7" w:rsidP="007E0D66">
            <w:pPr>
              <w:pStyle w:val="TableText"/>
              <w:rPr>
                <w:lang w:eastAsia="ja-JP"/>
              </w:rPr>
            </w:pPr>
            <w:r w:rsidRPr="003A41B7">
              <w:rPr>
                <w:lang w:eastAsia="ja-JP"/>
              </w:rPr>
              <w:t>1.0</w:t>
            </w:r>
          </w:p>
        </w:tc>
        <w:tc>
          <w:tcPr>
            <w:tcW w:w="1701" w:type="dxa"/>
            <w:tcBorders>
              <w:left w:val="nil"/>
              <w:right w:val="nil"/>
            </w:tcBorders>
          </w:tcPr>
          <w:p w14:paraId="626F91DE" w14:textId="437D37BB" w:rsidR="003A41B7" w:rsidRPr="003A41B7" w:rsidRDefault="00305820" w:rsidP="007E0D66">
            <w:pPr>
              <w:pStyle w:val="TableText"/>
              <w:rPr>
                <w:lang w:eastAsia="ja-JP"/>
              </w:rPr>
            </w:pPr>
            <w:r>
              <w:rPr>
                <w:lang w:eastAsia="ja-JP"/>
              </w:rPr>
              <w:t>May 2020</w:t>
            </w:r>
          </w:p>
        </w:tc>
        <w:tc>
          <w:tcPr>
            <w:tcW w:w="2694" w:type="dxa"/>
            <w:tcBorders>
              <w:left w:val="nil"/>
              <w:right w:val="nil"/>
            </w:tcBorders>
          </w:tcPr>
          <w:p w14:paraId="6D3BE8EF" w14:textId="77777777" w:rsidR="003A41B7" w:rsidRPr="003A41B7" w:rsidRDefault="003A41B7" w:rsidP="007E0D66">
            <w:pPr>
              <w:pStyle w:val="TableText"/>
              <w:rPr>
                <w:lang w:eastAsia="ja-JP"/>
              </w:rPr>
            </w:pPr>
            <w:r w:rsidRPr="003A41B7">
              <w:rPr>
                <w:lang w:eastAsia="ja-JP"/>
              </w:rPr>
              <w:t>Live Animal Export Branch</w:t>
            </w:r>
          </w:p>
        </w:tc>
        <w:tc>
          <w:tcPr>
            <w:tcW w:w="3531" w:type="dxa"/>
            <w:tcBorders>
              <w:left w:val="nil"/>
              <w:right w:val="nil"/>
            </w:tcBorders>
          </w:tcPr>
          <w:p w14:paraId="2E641043" w14:textId="761529B9" w:rsidR="003A41B7" w:rsidRPr="003A41B7" w:rsidRDefault="003A41B7" w:rsidP="007E0D66">
            <w:pPr>
              <w:pStyle w:val="TableText"/>
              <w:rPr>
                <w:lang w:eastAsia="ja-JP"/>
              </w:rPr>
            </w:pPr>
            <w:r w:rsidRPr="003A41B7">
              <w:rPr>
                <w:lang w:eastAsia="ja-JP"/>
              </w:rPr>
              <w:t>First publication</w:t>
            </w:r>
          </w:p>
        </w:tc>
      </w:tr>
      <w:tr w:rsidR="00305820" w:rsidRPr="003A41B7" w14:paraId="3850F9FA" w14:textId="77777777" w:rsidTr="00D33BF4">
        <w:tc>
          <w:tcPr>
            <w:tcW w:w="1134" w:type="dxa"/>
            <w:tcBorders>
              <w:left w:val="nil"/>
              <w:right w:val="nil"/>
            </w:tcBorders>
          </w:tcPr>
          <w:p w14:paraId="4CA0E651" w14:textId="5C2BDE91" w:rsidR="00305820" w:rsidRPr="003A41B7" w:rsidRDefault="00305820" w:rsidP="007E0D66">
            <w:pPr>
              <w:pStyle w:val="TableText"/>
              <w:rPr>
                <w:lang w:eastAsia="ja-JP"/>
              </w:rPr>
            </w:pPr>
            <w:r>
              <w:rPr>
                <w:lang w:eastAsia="ja-JP"/>
              </w:rPr>
              <w:t>2.0</w:t>
            </w:r>
          </w:p>
        </w:tc>
        <w:tc>
          <w:tcPr>
            <w:tcW w:w="1701" w:type="dxa"/>
            <w:tcBorders>
              <w:left w:val="nil"/>
              <w:right w:val="nil"/>
            </w:tcBorders>
          </w:tcPr>
          <w:p w14:paraId="53B081AC" w14:textId="5EC1A115" w:rsidR="00305820" w:rsidRPr="003A41B7" w:rsidDel="00305820" w:rsidRDefault="00305820" w:rsidP="007E0D66">
            <w:pPr>
              <w:pStyle w:val="TableText"/>
              <w:rPr>
                <w:lang w:eastAsia="ja-JP"/>
              </w:rPr>
            </w:pPr>
            <w:r>
              <w:rPr>
                <w:lang w:eastAsia="ja-JP"/>
              </w:rPr>
              <w:t>October 2020</w:t>
            </w:r>
          </w:p>
        </w:tc>
        <w:tc>
          <w:tcPr>
            <w:tcW w:w="2694" w:type="dxa"/>
            <w:tcBorders>
              <w:left w:val="nil"/>
              <w:right w:val="nil"/>
            </w:tcBorders>
          </w:tcPr>
          <w:p w14:paraId="356B91EE" w14:textId="15CC1EFB" w:rsidR="00305820" w:rsidRPr="003A41B7" w:rsidRDefault="00305820" w:rsidP="007E0D66">
            <w:pPr>
              <w:pStyle w:val="TableText"/>
              <w:rPr>
                <w:lang w:eastAsia="ja-JP"/>
              </w:rPr>
            </w:pPr>
            <w:r>
              <w:rPr>
                <w:lang w:eastAsia="ja-JP"/>
              </w:rPr>
              <w:t>Live Animal Export Branch</w:t>
            </w:r>
          </w:p>
        </w:tc>
        <w:tc>
          <w:tcPr>
            <w:tcW w:w="3531" w:type="dxa"/>
            <w:tcBorders>
              <w:left w:val="nil"/>
              <w:right w:val="nil"/>
            </w:tcBorders>
          </w:tcPr>
          <w:p w14:paraId="7ACA2742" w14:textId="4B0E4424" w:rsidR="00305820" w:rsidRPr="003A41B7" w:rsidRDefault="005B45BB" w:rsidP="007E0D66">
            <w:pPr>
              <w:pStyle w:val="TableText"/>
              <w:rPr>
                <w:lang w:eastAsia="ja-JP"/>
              </w:rPr>
            </w:pPr>
            <w:r>
              <w:rPr>
                <w:lang w:eastAsia="ja-JP"/>
              </w:rPr>
              <w:t xml:space="preserve">Update to core document </w:t>
            </w:r>
            <w:r w:rsidR="00305820">
              <w:rPr>
                <w:lang w:eastAsia="ja-JP"/>
              </w:rPr>
              <w:t>requirement</w:t>
            </w:r>
          </w:p>
        </w:tc>
      </w:tr>
      <w:tr w:rsidR="003A41B7" w:rsidRPr="003A41B7" w14:paraId="6CE2DDAB" w14:textId="77777777" w:rsidTr="00D33BF4">
        <w:tc>
          <w:tcPr>
            <w:tcW w:w="1134" w:type="dxa"/>
            <w:tcBorders>
              <w:left w:val="nil"/>
              <w:right w:val="nil"/>
            </w:tcBorders>
          </w:tcPr>
          <w:p w14:paraId="11F6B8E8" w14:textId="35CFDE72" w:rsidR="003A41B7" w:rsidRPr="003A41B7" w:rsidRDefault="003A41B7" w:rsidP="007E0D66">
            <w:pPr>
              <w:pStyle w:val="TableText"/>
              <w:rPr>
                <w:lang w:eastAsia="ja-JP"/>
              </w:rPr>
            </w:pPr>
            <w:r w:rsidRPr="007E0D66">
              <w:rPr>
                <w:lang w:eastAsia="ja-JP"/>
              </w:rPr>
              <w:t>2</w:t>
            </w:r>
            <w:r w:rsidRPr="003A41B7">
              <w:rPr>
                <w:lang w:eastAsia="ja-JP"/>
              </w:rPr>
              <w:t>.</w:t>
            </w:r>
            <w:r w:rsidR="00305820">
              <w:rPr>
                <w:lang w:eastAsia="ja-JP"/>
              </w:rPr>
              <w:t>1</w:t>
            </w:r>
          </w:p>
        </w:tc>
        <w:tc>
          <w:tcPr>
            <w:tcW w:w="1701" w:type="dxa"/>
            <w:tcBorders>
              <w:left w:val="nil"/>
              <w:right w:val="nil"/>
            </w:tcBorders>
          </w:tcPr>
          <w:p w14:paraId="41205CCB" w14:textId="1839CDCB" w:rsidR="003A41B7" w:rsidRPr="003A41B7" w:rsidRDefault="00696D7A" w:rsidP="007E0D66">
            <w:pPr>
              <w:pStyle w:val="TableText"/>
              <w:rPr>
                <w:lang w:eastAsia="ja-JP"/>
              </w:rPr>
            </w:pPr>
            <w:r w:rsidRPr="00696D7A">
              <w:rPr>
                <w:lang w:eastAsia="ja-JP"/>
              </w:rPr>
              <w:t>June</w:t>
            </w:r>
            <w:r w:rsidR="003A41B7" w:rsidRPr="00696D7A">
              <w:rPr>
                <w:lang w:eastAsia="ja-JP"/>
              </w:rPr>
              <w:t xml:space="preserve"> 2023</w:t>
            </w:r>
          </w:p>
        </w:tc>
        <w:tc>
          <w:tcPr>
            <w:tcW w:w="2694" w:type="dxa"/>
            <w:tcBorders>
              <w:left w:val="nil"/>
              <w:right w:val="nil"/>
            </w:tcBorders>
          </w:tcPr>
          <w:p w14:paraId="1194C0A6" w14:textId="77777777" w:rsidR="003A41B7" w:rsidRPr="003A41B7" w:rsidRDefault="003A41B7" w:rsidP="007E0D66">
            <w:pPr>
              <w:pStyle w:val="TableText"/>
              <w:rPr>
                <w:lang w:eastAsia="ja-JP"/>
              </w:rPr>
            </w:pPr>
            <w:r w:rsidRPr="003A41B7">
              <w:rPr>
                <w:lang w:eastAsia="ja-JP"/>
              </w:rPr>
              <w:t>Live Animal Export Branch</w:t>
            </w:r>
          </w:p>
        </w:tc>
        <w:tc>
          <w:tcPr>
            <w:tcW w:w="3531" w:type="dxa"/>
            <w:tcBorders>
              <w:left w:val="nil"/>
              <w:right w:val="nil"/>
            </w:tcBorders>
          </w:tcPr>
          <w:p w14:paraId="12AF5F2C" w14:textId="66C3D186" w:rsidR="003A41B7" w:rsidRPr="003A41B7" w:rsidDel="00CF341D" w:rsidRDefault="00155902" w:rsidP="00155902">
            <w:pPr>
              <w:pStyle w:val="TableText"/>
              <w:rPr>
                <w:lang w:eastAsia="ja-JP"/>
              </w:rPr>
            </w:pPr>
            <w:r>
              <w:rPr>
                <w:lang w:eastAsia="ja-JP"/>
              </w:rPr>
              <w:t>Update</w:t>
            </w:r>
            <w:r w:rsidR="00696DE9">
              <w:rPr>
                <w:lang w:eastAsia="ja-JP"/>
              </w:rPr>
              <w:t>s to</w:t>
            </w:r>
            <w:r>
              <w:rPr>
                <w:lang w:eastAsia="ja-JP"/>
              </w:rPr>
              <w:t xml:space="preserve"> d</w:t>
            </w:r>
            <w:r w:rsidRPr="003A41B7">
              <w:rPr>
                <w:lang w:eastAsia="ja-JP"/>
              </w:rPr>
              <w:t xml:space="preserve">epartment branding and </w:t>
            </w:r>
            <w:r>
              <w:rPr>
                <w:lang w:eastAsia="ja-JP"/>
              </w:rPr>
              <w:t>document formatting</w:t>
            </w:r>
          </w:p>
        </w:tc>
      </w:tr>
    </w:tbl>
    <w:p w14:paraId="70B76011" w14:textId="77777777" w:rsidR="007E0D66" w:rsidRDefault="007E0D66" w:rsidP="008D1B48">
      <w:pPr>
        <w:pStyle w:val="Normalsmall"/>
        <w:rPr>
          <w:rStyle w:val="Strong"/>
        </w:rPr>
      </w:pPr>
    </w:p>
    <w:p w14:paraId="5DD1E38C" w14:textId="75F91C16" w:rsidR="008D1B48" w:rsidRDefault="008D1B48" w:rsidP="008D1B48">
      <w:pPr>
        <w:pStyle w:val="Normalsmall"/>
      </w:pPr>
      <w:r>
        <w:rPr>
          <w:rStyle w:val="Strong"/>
        </w:rPr>
        <w:t>Acknowledgement of Country</w:t>
      </w:r>
    </w:p>
    <w:p w14:paraId="58136B3E" w14:textId="77777777" w:rsidR="008D1B48" w:rsidRDefault="008D1B48" w:rsidP="008D1B48">
      <w:pPr>
        <w:pStyle w:val="Normalsmall"/>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7C060D40" w14:textId="77777777" w:rsidR="00262394" w:rsidRDefault="00262394" w:rsidP="00262394">
      <w:pPr>
        <w:pStyle w:val="Normalsmall"/>
        <w:spacing w:before="360"/>
      </w:pPr>
      <w:r>
        <w:t>© Commonwealth of Australia 202</w:t>
      </w:r>
      <w:r w:rsidR="00340820">
        <w:t>3</w:t>
      </w:r>
    </w:p>
    <w:p w14:paraId="0F374764"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56BA739C" w14:textId="77777777" w:rsidR="00262394" w:rsidRDefault="00262394" w:rsidP="00262394">
      <w:pPr>
        <w:pStyle w:val="Normalsmall"/>
      </w:pPr>
      <w:r>
        <w:t xml:space="preserve">All material in this publication is licensed under a </w:t>
      </w:r>
      <w:hyperlink r:id="rId19" w:history="1">
        <w:r>
          <w:rPr>
            <w:rStyle w:val="Hyperlink"/>
          </w:rPr>
          <w:t>Creative Commons Attribution 4.0 International Licence</w:t>
        </w:r>
      </w:hyperlink>
      <w:r>
        <w:t xml:space="preserve"> except content supplied by third parties, logos and the Commonwealth Coat of Arms.</w:t>
      </w:r>
    </w:p>
    <w:p w14:paraId="49F20EEC"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262394" w:rsidSect="00C40E7C">
      <w:headerReference w:type="default" r:id="rId20"/>
      <w:footerReference w:type="default" r:id="rId21"/>
      <w:headerReference w:type="first" r:id="rId22"/>
      <w:footerReference w:type="first" r:id="rId23"/>
      <w:pgSz w:w="11906" w:h="16838"/>
      <w:pgMar w:top="1418" w:right="1418" w:bottom="1418"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61A48" w14:textId="77777777" w:rsidR="002968E3" w:rsidRDefault="002968E3">
      <w:r>
        <w:separator/>
      </w:r>
    </w:p>
    <w:p w14:paraId="684B3DDB" w14:textId="77777777" w:rsidR="002968E3" w:rsidRDefault="002968E3"/>
    <w:p w14:paraId="2990E495" w14:textId="77777777" w:rsidR="002968E3" w:rsidRDefault="002968E3"/>
  </w:endnote>
  <w:endnote w:type="continuationSeparator" w:id="0">
    <w:p w14:paraId="66DDF757" w14:textId="77777777" w:rsidR="002968E3" w:rsidRDefault="002968E3">
      <w:r>
        <w:continuationSeparator/>
      </w:r>
    </w:p>
    <w:p w14:paraId="6C66BD63" w14:textId="77777777" w:rsidR="002968E3" w:rsidRDefault="002968E3"/>
    <w:p w14:paraId="3C7C77AD" w14:textId="77777777" w:rsidR="002968E3" w:rsidRDefault="002968E3"/>
  </w:endnote>
  <w:endnote w:type="continuationNotice" w:id="1">
    <w:p w14:paraId="620DA770" w14:textId="77777777" w:rsidR="002968E3" w:rsidRDefault="002968E3">
      <w:pPr>
        <w:pStyle w:val="Footer"/>
      </w:pPr>
    </w:p>
    <w:p w14:paraId="40DD650E" w14:textId="77777777" w:rsidR="002968E3" w:rsidRDefault="002968E3"/>
    <w:p w14:paraId="087A9D1C" w14:textId="77777777" w:rsidR="002968E3" w:rsidRDefault="00296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3DCB" w14:textId="77777777" w:rsidR="00C40E7C" w:rsidRDefault="00C40E7C" w:rsidP="00C40E7C">
    <w:pPr>
      <w:pStyle w:val="Footer"/>
    </w:pPr>
    <w:r>
      <w:t>Department of Agriculture, Fisheries and Forestry</w:t>
    </w:r>
  </w:p>
  <w:p w14:paraId="246D538A" w14:textId="77777777" w:rsidR="00C40E7C" w:rsidRDefault="00C40E7C" w:rsidP="00C40E7C">
    <w:pPr>
      <w:pStyle w:val="Footer"/>
    </w:pP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758D" w14:textId="77777777" w:rsidR="00C40E7C" w:rsidRDefault="00C40E7C" w:rsidP="00C40E7C">
    <w:pPr>
      <w:pStyle w:val="Footer"/>
    </w:pPr>
    <w:r>
      <w:t>Department of Agriculture, Fisheries and Forestry</w:t>
    </w:r>
  </w:p>
  <w:p w14:paraId="0E026AD5" w14:textId="77777777" w:rsidR="00C40E7C" w:rsidRDefault="00C40E7C" w:rsidP="00C40E7C">
    <w:pPr>
      <w:pStyle w:val="Footer"/>
    </w:pP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91745" w14:textId="77777777" w:rsidR="002968E3" w:rsidRDefault="002968E3">
      <w:r>
        <w:separator/>
      </w:r>
    </w:p>
    <w:p w14:paraId="7C2E7041" w14:textId="77777777" w:rsidR="002968E3" w:rsidRDefault="002968E3"/>
    <w:p w14:paraId="1C9564AD" w14:textId="77777777" w:rsidR="002968E3" w:rsidRDefault="002968E3"/>
  </w:footnote>
  <w:footnote w:type="continuationSeparator" w:id="0">
    <w:p w14:paraId="0F9E7C2F" w14:textId="77777777" w:rsidR="002968E3" w:rsidRDefault="002968E3">
      <w:r>
        <w:continuationSeparator/>
      </w:r>
    </w:p>
    <w:p w14:paraId="4E0ED9D6" w14:textId="77777777" w:rsidR="002968E3" w:rsidRDefault="002968E3"/>
    <w:p w14:paraId="2AC7BA83" w14:textId="77777777" w:rsidR="002968E3" w:rsidRDefault="002968E3"/>
  </w:footnote>
  <w:footnote w:type="continuationNotice" w:id="1">
    <w:p w14:paraId="19BC41B9" w14:textId="77777777" w:rsidR="002968E3" w:rsidRDefault="002968E3">
      <w:pPr>
        <w:pStyle w:val="Footer"/>
      </w:pPr>
    </w:p>
    <w:p w14:paraId="66320616" w14:textId="77777777" w:rsidR="002968E3" w:rsidRDefault="002968E3"/>
    <w:p w14:paraId="28205675" w14:textId="77777777" w:rsidR="002968E3" w:rsidRDefault="002968E3"/>
  </w:footnote>
  <w:footnote w:id="2">
    <w:p w14:paraId="3CCFA0F9" w14:textId="723BD7DB" w:rsidR="00015F01" w:rsidRDefault="001F550A">
      <w:pPr>
        <w:pStyle w:val="FootnoteText"/>
      </w:pPr>
      <w:r w:rsidRPr="001F550A">
        <w:rPr>
          <w:vertAlign w:val="superscript"/>
        </w:rPr>
        <w:t>1</w:t>
      </w:r>
      <w:r>
        <w:t xml:space="preserve"> </w:t>
      </w:r>
      <w:r w:rsidR="00015F01">
        <w:t>Cattle gestation period is approximately 280 days. Breeder cattle must be no more than 190 days pregnant at the scheduled date of discharge in the importing country.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2223E" w14:textId="0778D59B" w:rsidR="00C40E7C" w:rsidRDefault="00C40E7C">
    <w:pPr>
      <w:pStyle w:val="Header"/>
    </w:pPr>
    <w:r>
      <w:t xml:space="preserve">Breeder cattle by sea – applying for pregnancy test certification validity extension in accordance with </w:t>
    </w:r>
    <w:proofErr w:type="gramStart"/>
    <w:r>
      <w:t>ASEL</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54C2" w14:textId="404552D4" w:rsidR="009827DD" w:rsidRDefault="00C40E7C" w:rsidP="00C40E7C">
    <w:pPr>
      <w:pStyle w:val="Header"/>
      <w:jc w:val="left"/>
    </w:pPr>
    <w:r>
      <w:rPr>
        <w:noProof/>
        <w:lang w:eastAsia="en-AU"/>
      </w:rPr>
      <w:drawing>
        <wp:inline distT="0" distB="0" distL="0" distR="0" wp14:anchorId="3E87748B" wp14:editId="6D8ED70E">
          <wp:extent cx="2542599" cy="738943"/>
          <wp:effectExtent l="0" t="0" r="0" b="4445"/>
          <wp:docPr id="4" name="Picture 4"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582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AAC49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2FA9A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FCE55C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F46FDA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B95457A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8C10A1"/>
    <w:multiLevelType w:val="multilevel"/>
    <w:tmpl w:val="BE78A4F8"/>
    <w:numStyleLink w:val="Numberlist"/>
  </w:abstractNum>
  <w:abstractNum w:abstractNumId="28" w15:restartNumberingAfterBreak="0">
    <w:nsid w:val="733934B7"/>
    <w:multiLevelType w:val="multilevel"/>
    <w:tmpl w:val="A0241B28"/>
    <w:numStyleLink w:val="List1"/>
  </w:abstractNum>
  <w:num w:numId="1" w16cid:durableId="1171791816">
    <w:abstractNumId w:val="7"/>
  </w:num>
  <w:num w:numId="2" w16cid:durableId="1667321647">
    <w:abstractNumId w:val="17"/>
  </w:num>
  <w:num w:numId="3" w16cid:durableId="59796415">
    <w:abstractNumId w:val="18"/>
  </w:num>
  <w:num w:numId="4" w16cid:durableId="1913806772">
    <w:abstractNumId w:val="10"/>
  </w:num>
  <w:num w:numId="5" w16cid:durableId="2037268471">
    <w:abstractNumId w:val="23"/>
  </w:num>
  <w:num w:numId="6" w16cid:durableId="1355770275">
    <w:abstractNumId w:val="24"/>
  </w:num>
  <w:num w:numId="7" w16cid:durableId="2033527157">
    <w:abstractNumId w:val="8"/>
  </w:num>
  <w:num w:numId="8" w16cid:durableId="1882862685">
    <w:abstractNumId w:val="13"/>
  </w:num>
  <w:num w:numId="9" w16cid:durableId="179634464">
    <w:abstractNumId w:val="15"/>
  </w:num>
  <w:num w:numId="10" w16cid:durableId="1901558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057158">
    <w:abstractNumId w:val="6"/>
  </w:num>
  <w:num w:numId="12" w16cid:durableId="1162504366">
    <w:abstractNumId w:val="4"/>
  </w:num>
  <w:num w:numId="13" w16cid:durableId="306473293">
    <w:abstractNumId w:val="3"/>
  </w:num>
  <w:num w:numId="14" w16cid:durableId="1231303610">
    <w:abstractNumId w:val="2"/>
  </w:num>
  <w:num w:numId="15" w16cid:durableId="1486430518">
    <w:abstractNumId w:val="11"/>
  </w:num>
  <w:num w:numId="16" w16cid:durableId="52967123">
    <w:abstractNumId w:val="21"/>
  </w:num>
  <w:num w:numId="17" w16cid:durableId="643438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328216">
    <w:abstractNumId w:val="26"/>
  </w:num>
  <w:num w:numId="19" w16cid:durableId="1707943211">
    <w:abstractNumId w:val="1"/>
  </w:num>
  <w:num w:numId="20" w16cid:durableId="570045979">
    <w:abstractNumId w:val="0"/>
  </w:num>
  <w:num w:numId="21" w16cid:durableId="1679841556">
    <w:abstractNumId w:val="14"/>
  </w:num>
  <w:num w:numId="22" w16cid:durableId="959340878">
    <w:abstractNumId w:val="19"/>
  </w:num>
  <w:num w:numId="23" w16cid:durableId="17239849">
    <w:abstractNumId w:val="27"/>
  </w:num>
  <w:num w:numId="24" w16cid:durableId="1609504699">
    <w:abstractNumId w:val="12"/>
  </w:num>
  <w:num w:numId="25" w16cid:durableId="121310739">
    <w:abstractNumId w:val="16"/>
  </w:num>
  <w:num w:numId="26" w16cid:durableId="36050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910102">
    <w:abstractNumId w:val="28"/>
  </w:num>
  <w:num w:numId="28" w16cid:durableId="286162399">
    <w:abstractNumId w:val="20"/>
  </w:num>
  <w:num w:numId="29" w16cid:durableId="1314989398">
    <w:abstractNumId w:val="22"/>
  </w:num>
  <w:num w:numId="30" w16cid:durableId="66652615">
    <w:abstractNumId w:val="9"/>
  </w:num>
  <w:num w:numId="31" w16cid:durableId="1990859383">
    <w:abstractNumId w:val="5"/>
  </w:num>
  <w:num w:numId="32" w16cid:durableId="951480071">
    <w:abstractNumId w:val="18"/>
  </w:num>
  <w:num w:numId="33" w16cid:durableId="2131590192">
    <w:abstractNumId w:val="13"/>
    <w:lvlOverride w:ilvl="0">
      <w:lvl w:ilvl="0">
        <w:start w:val="1"/>
        <w:numFmt w:val="decimal"/>
        <w:pStyle w:val="Heading2"/>
        <w:lvlText w:val="%1"/>
        <w:lvlJc w:val="left"/>
        <w:pPr>
          <w:ind w:left="720" w:hanging="720"/>
        </w:pPr>
        <w:rPr>
          <w:color w:val="59621D"/>
        </w:rPr>
      </w:lvl>
    </w:lvlOverride>
  </w:num>
  <w:num w:numId="34" w16cid:durableId="21588965">
    <w:abstractNumId w:val="13"/>
    <w:lvlOverride w:ilvl="0">
      <w:lvl w:ilvl="0">
        <w:start w:val="1"/>
        <w:numFmt w:val="decimal"/>
        <w:pStyle w:val="Heading2"/>
        <w:lvlText w:val="%1"/>
        <w:lvlJc w:val="left"/>
        <w:pPr>
          <w:ind w:left="720" w:hanging="720"/>
        </w:pPr>
        <w:rPr>
          <w:color w:val="59621D"/>
        </w:rPr>
      </w:lvl>
    </w:lvlOverride>
  </w:num>
  <w:num w:numId="35" w16cid:durableId="188571948">
    <w:abstractNumId w:val="13"/>
    <w:lvlOverride w:ilvl="0">
      <w:lvl w:ilvl="0">
        <w:start w:val="1"/>
        <w:numFmt w:val="decimal"/>
        <w:pStyle w:val="Heading2"/>
        <w:lvlText w:val="%1"/>
        <w:lvlJc w:val="left"/>
        <w:pPr>
          <w:ind w:left="720" w:hanging="720"/>
        </w:pPr>
        <w:rPr>
          <w:color w:val="59621D"/>
        </w:rPr>
      </w:lvl>
    </w:lvlOverride>
  </w:num>
  <w:num w:numId="36" w16cid:durableId="1942100909">
    <w:abstractNumId w:val="13"/>
    <w:lvlOverride w:ilvl="0">
      <w:lvl w:ilvl="0">
        <w:start w:val="1"/>
        <w:numFmt w:val="decimal"/>
        <w:pStyle w:val="Heading2"/>
        <w:lvlText w:val="%1"/>
        <w:lvlJc w:val="left"/>
        <w:pPr>
          <w:ind w:left="1572"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1816" w:hanging="964"/>
        </w:pPr>
        <w:rPr>
          <w:rFonts w:hint="default"/>
        </w:rPr>
      </w:lvl>
    </w:lvlOverride>
    <w:lvlOverride w:ilvl="2">
      <w:lvl w:ilvl="2">
        <w:start w:val="1"/>
        <w:numFmt w:val="decimal"/>
        <w:pStyle w:val="Heading4"/>
        <w:lvlText w:val="%1.%2.%3"/>
        <w:lvlJc w:val="left"/>
        <w:pPr>
          <w:ind w:left="1816" w:hanging="964"/>
        </w:pPr>
        <w:rPr>
          <w:rFonts w:hint="default"/>
        </w:rPr>
      </w:lvl>
    </w:lvlOverride>
    <w:lvlOverride w:ilvl="3">
      <w:lvl w:ilvl="3">
        <w:start w:val="1"/>
        <w:numFmt w:val="decimal"/>
        <w:lvlText w:val="%4."/>
        <w:lvlJc w:val="left"/>
        <w:pPr>
          <w:ind w:left="3732" w:hanging="360"/>
        </w:pPr>
        <w:rPr>
          <w:rFonts w:hint="default"/>
        </w:rPr>
      </w:lvl>
    </w:lvlOverride>
    <w:lvlOverride w:ilvl="4">
      <w:lvl w:ilvl="4">
        <w:start w:val="1"/>
        <w:numFmt w:val="lowerLetter"/>
        <w:lvlText w:val="%5."/>
        <w:lvlJc w:val="left"/>
        <w:pPr>
          <w:ind w:left="4452" w:hanging="360"/>
        </w:pPr>
        <w:rPr>
          <w:rFonts w:hint="default"/>
        </w:rPr>
      </w:lvl>
    </w:lvlOverride>
    <w:lvlOverride w:ilvl="5">
      <w:lvl w:ilvl="5">
        <w:start w:val="1"/>
        <w:numFmt w:val="lowerRoman"/>
        <w:lvlText w:val="%6."/>
        <w:lvlJc w:val="right"/>
        <w:pPr>
          <w:ind w:left="5172" w:hanging="180"/>
        </w:pPr>
        <w:rPr>
          <w:rFonts w:hint="default"/>
        </w:rPr>
      </w:lvl>
    </w:lvlOverride>
    <w:lvlOverride w:ilvl="6">
      <w:lvl w:ilvl="6">
        <w:start w:val="1"/>
        <w:numFmt w:val="decimal"/>
        <w:lvlText w:val="%7."/>
        <w:lvlJc w:val="left"/>
        <w:pPr>
          <w:ind w:left="5892" w:hanging="360"/>
        </w:pPr>
        <w:rPr>
          <w:rFonts w:hint="default"/>
        </w:rPr>
      </w:lvl>
    </w:lvlOverride>
    <w:lvlOverride w:ilvl="7">
      <w:lvl w:ilvl="7">
        <w:start w:val="1"/>
        <w:numFmt w:val="lowerLetter"/>
        <w:lvlText w:val="%8."/>
        <w:lvlJc w:val="left"/>
        <w:pPr>
          <w:ind w:left="6612" w:hanging="360"/>
        </w:pPr>
        <w:rPr>
          <w:rFonts w:hint="default"/>
        </w:rPr>
      </w:lvl>
    </w:lvlOverride>
    <w:lvlOverride w:ilvl="8">
      <w:lvl w:ilvl="8">
        <w:start w:val="1"/>
        <w:numFmt w:val="lowerRoman"/>
        <w:lvlText w:val="%9."/>
        <w:lvlJc w:val="right"/>
        <w:pPr>
          <w:ind w:left="7332" w:hanging="180"/>
        </w:pPr>
        <w:rPr>
          <w:rFonts w:hint="default"/>
        </w:rPr>
      </w:lvl>
    </w:lvlOverride>
  </w:num>
  <w:num w:numId="37" w16cid:durableId="935332696">
    <w:abstractNumId w:val="23"/>
  </w:num>
  <w:num w:numId="38" w16cid:durableId="1594363265">
    <w:abstractNumId w:val="23"/>
  </w:num>
  <w:num w:numId="39" w16cid:durableId="934168278">
    <w:abstractNumId w:val="23"/>
  </w:num>
  <w:num w:numId="40" w16cid:durableId="1347173504">
    <w:abstractNumId w:val="24"/>
  </w:num>
  <w:num w:numId="41" w16cid:durableId="823355897">
    <w:abstractNumId w:val="24"/>
  </w:num>
  <w:num w:numId="42" w16cid:durableId="1100218817">
    <w:abstractNumId w:val="24"/>
  </w:num>
  <w:num w:numId="43" w16cid:durableId="1698308952">
    <w:abstractNumId w:val="23"/>
  </w:num>
  <w:num w:numId="44" w16cid:durableId="547035718">
    <w:abstractNumId w:val="24"/>
  </w:num>
  <w:num w:numId="45" w16cid:durableId="921455078">
    <w:abstractNumId w:val="10"/>
  </w:num>
  <w:num w:numId="46" w16cid:durableId="1145393031">
    <w:abstractNumId w:val="9"/>
  </w:num>
  <w:num w:numId="47" w16cid:durableId="776364836">
    <w:abstractNumId w:val="20"/>
  </w:num>
  <w:num w:numId="48" w16cid:durableId="919363984">
    <w:abstractNumId w:val="21"/>
  </w:num>
  <w:num w:numId="49" w16cid:durableId="645671681">
    <w:abstractNumId w:val="25"/>
  </w:num>
  <w:num w:numId="50" w16cid:durableId="120258953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AB0"/>
    <w:rsid w:val="00015F01"/>
    <w:rsid w:val="0004157F"/>
    <w:rsid w:val="00076A29"/>
    <w:rsid w:val="000D6DD8"/>
    <w:rsid w:val="000E6996"/>
    <w:rsid w:val="00112B86"/>
    <w:rsid w:val="001204A7"/>
    <w:rsid w:val="00155902"/>
    <w:rsid w:val="001567E9"/>
    <w:rsid w:val="001625AF"/>
    <w:rsid w:val="00164391"/>
    <w:rsid w:val="00183612"/>
    <w:rsid w:val="001A1F79"/>
    <w:rsid w:val="001B1009"/>
    <w:rsid w:val="001C3583"/>
    <w:rsid w:val="001D77BC"/>
    <w:rsid w:val="001E1C4C"/>
    <w:rsid w:val="001F550A"/>
    <w:rsid w:val="00201500"/>
    <w:rsid w:val="00213EC9"/>
    <w:rsid w:val="002159B9"/>
    <w:rsid w:val="002200BD"/>
    <w:rsid w:val="0022596B"/>
    <w:rsid w:val="00232C99"/>
    <w:rsid w:val="00262394"/>
    <w:rsid w:val="00270847"/>
    <w:rsid w:val="002968E3"/>
    <w:rsid w:val="002A193C"/>
    <w:rsid w:val="002B0046"/>
    <w:rsid w:val="002B1769"/>
    <w:rsid w:val="002C1748"/>
    <w:rsid w:val="002F0100"/>
    <w:rsid w:val="002F462A"/>
    <w:rsid w:val="00305820"/>
    <w:rsid w:val="00305911"/>
    <w:rsid w:val="003214F8"/>
    <w:rsid w:val="00340820"/>
    <w:rsid w:val="00357095"/>
    <w:rsid w:val="00362353"/>
    <w:rsid w:val="00373D69"/>
    <w:rsid w:val="00381D23"/>
    <w:rsid w:val="00396339"/>
    <w:rsid w:val="003A1AB9"/>
    <w:rsid w:val="003A41B7"/>
    <w:rsid w:val="003A4B4A"/>
    <w:rsid w:val="003D3CE1"/>
    <w:rsid w:val="003D44DC"/>
    <w:rsid w:val="00402404"/>
    <w:rsid w:val="00406AC2"/>
    <w:rsid w:val="0045716E"/>
    <w:rsid w:val="00460750"/>
    <w:rsid w:val="004705F2"/>
    <w:rsid w:val="00473964"/>
    <w:rsid w:val="004776F8"/>
    <w:rsid w:val="004837B1"/>
    <w:rsid w:val="0048569E"/>
    <w:rsid w:val="00486C20"/>
    <w:rsid w:val="00490E7F"/>
    <w:rsid w:val="00491C6D"/>
    <w:rsid w:val="004C2CCE"/>
    <w:rsid w:val="004C6362"/>
    <w:rsid w:val="004C6C47"/>
    <w:rsid w:val="004E7366"/>
    <w:rsid w:val="004E7D8C"/>
    <w:rsid w:val="005079D8"/>
    <w:rsid w:val="005B45BB"/>
    <w:rsid w:val="005F0E4D"/>
    <w:rsid w:val="00611DA7"/>
    <w:rsid w:val="006416D4"/>
    <w:rsid w:val="00696D7A"/>
    <w:rsid w:val="00696DE9"/>
    <w:rsid w:val="006B3255"/>
    <w:rsid w:val="006D57DC"/>
    <w:rsid w:val="00714EA1"/>
    <w:rsid w:val="007170F4"/>
    <w:rsid w:val="007405CB"/>
    <w:rsid w:val="0076663B"/>
    <w:rsid w:val="007B1F92"/>
    <w:rsid w:val="007C5B94"/>
    <w:rsid w:val="007E0D66"/>
    <w:rsid w:val="007E6DB0"/>
    <w:rsid w:val="008153FE"/>
    <w:rsid w:val="0082249A"/>
    <w:rsid w:val="00833933"/>
    <w:rsid w:val="00834C16"/>
    <w:rsid w:val="00882CE1"/>
    <w:rsid w:val="00883AB0"/>
    <w:rsid w:val="00897F63"/>
    <w:rsid w:val="008A3190"/>
    <w:rsid w:val="008B28C5"/>
    <w:rsid w:val="008D055E"/>
    <w:rsid w:val="008D1B48"/>
    <w:rsid w:val="008F3EFB"/>
    <w:rsid w:val="0090774C"/>
    <w:rsid w:val="00931892"/>
    <w:rsid w:val="00964D41"/>
    <w:rsid w:val="009679F4"/>
    <w:rsid w:val="00980523"/>
    <w:rsid w:val="009827DD"/>
    <w:rsid w:val="00991227"/>
    <w:rsid w:val="00994CF0"/>
    <w:rsid w:val="009F2DBE"/>
    <w:rsid w:val="00A26D23"/>
    <w:rsid w:val="00A30113"/>
    <w:rsid w:val="00A30B46"/>
    <w:rsid w:val="00A4229F"/>
    <w:rsid w:val="00A5360B"/>
    <w:rsid w:val="00A7697A"/>
    <w:rsid w:val="00A7782E"/>
    <w:rsid w:val="00A9002C"/>
    <w:rsid w:val="00A91DA6"/>
    <w:rsid w:val="00AA70E3"/>
    <w:rsid w:val="00AB0FBE"/>
    <w:rsid w:val="00AF1EB9"/>
    <w:rsid w:val="00AF5211"/>
    <w:rsid w:val="00B01FB8"/>
    <w:rsid w:val="00B35721"/>
    <w:rsid w:val="00B43A41"/>
    <w:rsid w:val="00B5453F"/>
    <w:rsid w:val="00B5466B"/>
    <w:rsid w:val="00B54F61"/>
    <w:rsid w:val="00B6231C"/>
    <w:rsid w:val="00BA0AFF"/>
    <w:rsid w:val="00BB6ACE"/>
    <w:rsid w:val="00BC6BA3"/>
    <w:rsid w:val="00BD2275"/>
    <w:rsid w:val="00BD48F5"/>
    <w:rsid w:val="00BE66BB"/>
    <w:rsid w:val="00BF27F5"/>
    <w:rsid w:val="00C00AAC"/>
    <w:rsid w:val="00C05EA8"/>
    <w:rsid w:val="00C06619"/>
    <w:rsid w:val="00C40E7C"/>
    <w:rsid w:val="00C51E35"/>
    <w:rsid w:val="00C759F8"/>
    <w:rsid w:val="00C9064A"/>
    <w:rsid w:val="00CA7D23"/>
    <w:rsid w:val="00CF0A05"/>
    <w:rsid w:val="00CF2549"/>
    <w:rsid w:val="00D06356"/>
    <w:rsid w:val="00D1622A"/>
    <w:rsid w:val="00D16A96"/>
    <w:rsid w:val="00D22DE8"/>
    <w:rsid w:val="00D33BF4"/>
    <w:rsid w:val="00D36729"/>
    <w:rsid w:val="00D45274"/>
    <w:rsid w:val="00D45E0E"/>
    <w:rsid w:val="00D57861"/>
    <w:rsid w:val="00D666DC"/>
    <w:rsid w:val="00D912A7"/>
    <w:rsid w:val="00DB38B4"/>
    <w:rsid w:val="00DB7645"/>
    <w:rsid w:val="00DC69AC"/>
    <w:rsid w:val="00E00B03"/>
    <w:rsid w:val="00E05D92"/>
    <w:rsid w:val="00E362EF"/>
    <w:rsid w:val="00E43FB4"/>
    <w:rsid w:val="00E65B05"/>
    <w:rsid w:val="00E732BE"/>
    <w:rsid w:val="00E96E54"/>
    <w:rsid w:val="00EB740B"/>
    <w:rsid w:val="00ED6ED7"/>
    <w:rsid w:val="00EE5CD9"/>
    <w:rsid w:val="00EF43A7"/>
    <w:rsid w:val="00EF7461"/>
    <w:rsid w:val="00F00A70"/>
    <w:rsid w:val="00F127FB"/>
    <w:rsid w:val="00F35EE8"/>
    <w:rsid w:val="00F5099F"/>
    <w:rsid w:val="00F55324"/>
    <w:rsid w:val="00F65DFD"/>
    <w:rsid w:val="00F90D42"/>
    <w:rsid w:val="00FA6BE4"/>
    <w:rsid w:val="00FB088E"/>
    <w:rsid w:val="00FB6115"/>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A2C56"/>
  <w15:docId w15:val="{CFB1A0B8-3BD6-4E33-B93D-DFAD3DCC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36"/>
      </w:numPr>
      <w:spacing w:after="60" w:line="240" w:lineRule="auto"/>
      <w:ind w:left="720"/>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36"/>
      </w:numPr>
      <w:ind w:left="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36"/>
      </w:numPr>
      <w:ind w:left="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43"/>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43"/>
      </w:numPr>
      <w:spacing w:before="120" w:after="120"/>
      <w:contextualSpacing/>
    </w:pPr>
  </w:style>
  <w:style w:type="paragraph" w:styleId="ListNumber">
    <w:name w:val="List Number"/>
    <w:basedOn w:val="Normal"/>
    <w:uiPriority w:val="9"/>
    <w:qFormat/>
    <w:rsid w:val="00BB6ACE"/>
    <w:pPr>
      <w:numPr>
        <w:numId w:val="44"/>
      </w:numPr>
      <w:tabs>
        <w:tab w:val="left" w:pos="142"/>
      </w:tabs>
      <w:spacing w:before="120" w:after="120"/>
    </w:pPr>
  </w:style>
  <w:style w:type="paragraph" w:styleId="ListNumber2">
    <w:name w:val="List Number 2"/>
    <w:uiPriority w:val="10"/>
    <w:qFormat/>
    <w:rsid w:val="00BB6ACE"/>
    <w:pPr>
      <w:numPr>
        <w:ilvl w:val="1"/>
        <w:numId w:val="44"/>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44"/>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32"/>
      </w:numPr>
      <w:ind w:left="357" w:hanging="357"/>
    </w:pPr>
  </w:style>
  <w:style w:type="paragraph" w:customStyle="1" w:styleId="TableBullet1">
    <w:name w:val="Table Bullet 1"/>
    <w:basedOn w:val="TableText"/>
    <w:uiPriority w:val="15"/>
    <w:qFormat/>
    <w:rsid w:val="003D3CE1"/>
    <w:pPr>
      <w:numPr>
        <w:numId w:val="29"/>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5"/>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6"/>
      </w:numPr>
    </w:pPr>
  </w:style>
  <w:style w:type="numbering" w:customStyle="1" w:styleId="Headinglist">
    <w:name w:val="Heading list"/>
    <w:uiPriority w:val="99"/>
    <w:rsid w:val="00BB6ACE"/>
    <w:pPr>
      <w:numPr>
        <w:numId w:val="8"/>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4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48"/>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46"/>
      </w:numPr>
      <w:tabs>
        <w:tab w:val="num" w:pos="462"/>
      </w:tabs>
      <w:ind w:left="604" w:hanging="445"/>
    </w:pPr>
  </w:style>
  <w:style w:type="numbering" w:customStyle="1" w:styleId="TableBulletlist">
    <w:name w:val="Table Bullet list"/>
    <w:uiPriority w:val="99"/>
    <w:rsid w:val="00BB6ACE"/>
    <w:pPr>
      <w:numPr>
        <w:numId w:val="28"/>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styleId="Revision">
    <w:name w:val="Revision"/>
    <w:hidden/>
    <w:uiPriority w:val="99"/>
    <w:semiHidden/>
    <w:rsid w:val="00D57861"/>
    <w:rPr>
      <w:rFonts w:asciiTheme="minorHAnsi" w:eastAsiaTheme="minorHAnsi" w:hAnsiTheme="minorHAnsi" w:cstheme="minorBidi"/>
      <w:sz w:val="22"/>
      <w:szCs w:val="22"/>
      <w:lang w:eastAsia="en-US"/>
    </w:rPr>
  </w:style>
  <w:style w:type="table" w:styleId="TableGrid">
    <w:name w:val="Table Grid"/>
    <w:basedOn w:val="TableNormal"/>
    <w:uiPriority w:val="59"/>
    <w:rsid w:val="00EF7461"/>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export/controlled-goods/live-animals/contact-us" TargetMode="External"/><Relationship Id="rId18" Type="http://schemas.openxmlformats.org/officeDocument/2006/relationships/hyperlink" Target="https://www.agriculture.gov.au/biosecurity-trade/export/controlled-goods/live-animals/livestock/regulating-live-animal-expor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griculture.gov.au/biosecurity-trade/export/controlled-goods/live-animals/livestock/exporters/exporting-livestock-consignments" TargetMode="External"/><Relationship Id="rId17" Type="http://schemas.openxmlformats.org/officeDocument/2006/relationships/hyperlink" Target="https://www.agriculture.gov.au/biosecurity-trade/export/controlled-goods/live-animals/contact-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griculture.gov.au/biosecurity-trade/export/controlled-goods/live-animals/livestock/exporters/exporting-livestock-consignmen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export/controlled-goods/live-animals/contact-u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griculture.gov.au/biosecurity-trade/export/controlled-goods/live-animals/livestock/exporters/approved-export-progra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creativecommons.org/licenses/by/4.0/legalco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biosecurity-trade/export/controlled-goods/live-animals/livestock/exporters/approved-arrangements"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A17B0ACA-5C6A-4E48-83FA-B639A5804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2b53c995-2120-4bc0-8922-c25044d37f65"/>
    <ds:schemaRef ds:uri="81c01dc6-2c49-4730-b140-874c95cac377"/>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13</TotalTime>
  <Pages>4</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Breeder cattle by sea – applying for pregnancy test certification validity extension in accordance with ASEL</vt:lpstr>
    </vt:vector>
  </TitlesOfParts>
  <Company/>
  <LinksUpToDate>false</LinksUpToDate>
  <CharactersWithSpaces>9769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Breeder cattle by sea – applying for pregnancy test certification validity extension in accordance with ASEL</dc:title>
  <dc:creator>Department of Agriculture, Fisheries and Forestry</dc:creator>
  <cp:lastModifiedBy>Goggins, Fiona</cp:lastModifiedBy>
  <cp:revision>5</cp:revision>
  <cp:lastPrinted>2019-02-13T02:42:00Z</cp:lastPrinted>
  <dcterms:created xsi:type="dcterms:W3CDTF">2023-06-06T04:44:00Z</dcterms:created>
  <dcterms:modified xsi:type="dcterms:W3CDTF">2023-06-08T03:30:00Z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_DocHome">
    <vt:i4>986778056</vt:i4>
  </property>
  <property fmtid="{D5CDD505-2E9C-101B-9397-08002B2CF9AE}" pid="4" name="MediaServiceImageTags">
    <vt:lpwstr/>
  </property>
</Properties>
</file>