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F260" w14:textId="05D8CD96" w:rsidR="00E362EF" w:rsidRDefault="00A50853">
      <w:pPr>
        <w:pStyle w:val="Heading1"/>
      </w:pPr>
      <w:r>
        <w:t>Voyage reporting requirements under ASEL</w:t>
      </w:r>
    </w:p>
    <w:p w14:paraId="2F32A58F" w14:textId="46DEE0C5" w:rsidR="00B5453F" w:rsidRPr="00B5453F" w:rsidRDefault="00D57861" w:rsidP="00B5453F">
      <w:pPr>
        <w:pStyle w:val="Author"/>
      </w:pPr>
      <w:r>
        <w:t>Live Animal Export Branch</w:t>
      </w:r>
    </w:p>
    <w:p w14:paraId="542403AD" w14:textId="77777777" w:rsidR="00332203" w:rsidRPr="00332203" w:rsidRDefault="00332203" w:rsidP="00332203">
      <w:pPr>
        <w:pStyle w:val="Heading2"/>
      </w:pPr>
      <w:r w:rsidRPr="00332203">
        <w:t>Purpose</w:t>
      </w:r>
    </w:p>
    <w:p w14:paraId="04ADF36B" w14:textId="77777777" w:rsidR="00332203" w:rsidRPr="00332203" w:rsidRDefault="00332203" w:rsidP="00332203">
      <w:pPr>
        <w:rPr>
          <w:rFonts w:cstheme="minorHAnsi"/>
        </w:rPr>
      </w:pPr>
      <w:r w:rsidRPr="00332203">
        <w:rPr>
          <w:rFonts w:cstheme="minorHAnsi"/>
        </w:rPr>
        <w:t>To provide guidance on voyage reporting requirements in accordance with the Australian Standards for the Export of Livestock (ASEL).</w:t>
      </w:r>
    </w:p>
    <w:p w14:paraId="2060151B" w14:textId="77777777" w:rsidR="00332203" w:rsidRPr="00332203" w:rsidRDefault="00332203" w:rsidP="00332203">
      <w:pPr>
        <w:pStyle w:val="Heading2"/>
      </w:pPr>
      <w:r w:rsidRPr="00332203">
        <w:t>Scope</w:t>
      </w:r>
    </w:p>
    <w:p w14:paraId="2116805B" w14:textId="77777777" w:rsidR="00332203" w:rsidRPr="00332203" w:rsidRDefault="00332203" w:rsidP="00332203">
      <w:pPr>
        <w:rPr>
          <w:rFonts w:cstheme="minorHAnsi"/>
        </w:rPr>
      </w:pPr>
      <w:r w:rsidRPr="00332203">
        <w:rPr>
          <w:rFonts w:cstheme="minorHAnsi"/>
        </w:rPr>
        <w:t>This policy applies to exporters sending livestock consignments by sea. It outlines the department’s policy relating to voyage reporting requirements under ASEL.</w:t>
      </w:r>
    </w:p>
    <w:p w14:paraId="7746EAD6" w14:textId="39B0BA8C" w:rsidR="00332203" w:rsidRPr="00332203" w:rsidRDefault="00332203" w:rsidP="00332203">
      <w:pPr>
        <w:rPr>
          <w:rFonts w:cstheme="minorHAnsi"/>
        </w:rPr>
      </w:pPr>
      <w:r w:rsidRPr="00332203">
        <w:rPr>
          <w:rFonts w:cstheme="minorHAnsi"/>
        </w:rPr>
        <w:t xml:space="preserve">This policy should be read in conjunction with relevant export legislation and standards listed under </w:t>
      </w:r>
      <w:hyperlink w:anchor="_Related_material" w:history="1">
        <w:r w:rsidRPr="001C6D19">
          <w:rPr>
            <w:rStyle w:val="Hyperlink"/>
            <w:rFonts w:cstheme="minorHAnsi"/>
          </w:rPr>
          <w:t>related material</w:t>
        </w:r>
        <w:r w:rsidRPr="00F70CF2">
          <w:t>.</w:t>
        </w:r>
      </w:hyperlink>
    </w:p>
    <w:p w14:paraId="76AC1464" w14:textId="77777777" w:rsidR="00332203" w:rsidRPr="00332203" w:rsidRDefault="00332203" w:rsidP="00332203">
      <w:pPr>
        <w:pStyle w:val="Heading2"/>
      </w:pPr>
      <w:r w:rsidRPr="00332203">
        <w:t>Requirements</w:t>
      </w:r>
    </w:p>
    <w:p w14:paraId="42973BE3" w14:textId="77777777" w:rsidR="00332203" w:rsidRPr="00332203" w:rsidRDefault="00332203" w:rsidP="00332203">
      <w:pPr>
        <w:rPr>
          <w:rFonts w:cstheme="minorHAnsi"/>
          <w:lang w:eastAsia="ja-JP"/>
        </w:rPr>
      </w:pPr>
      <w:r w:rsidRPr="00332203">
        <w:rPr>
          <w:rFonts w:cstheme="minorHAnsi"/>
          <w:lang w:eastAsia="ja-JP"/>
        </w:rPr>
        <w:t>In accordance with ASEL standard 5.6.4, relevant records must be kept by the exporter for all voyages.</w:t>
      </w:r>
    </w:p>
    <w:p w14:paraId="3EE13B2C" w14:textId="77777777" w:rsidR="00332203" w:rsidRPr="00332203" w:rsidRDefault="00332203" w:rsidP="00332203">
      <w:pPr>
        <w:rPr>
          <w:rFonts w:cstheme="minorHAnsi"/>
          <w:lang w:eastAsia="ja-JP"/>
        </w:rPr>
      </w:pPr>
      <w:r w:rsidRPr="00332203">
        <w:rPr>
          <w:rFonts w:cstheme="minorHAnsi"/>
          <w:lang w:eastAsia="ja-JP"/>
        </w:rPr>
        <w:t xml:space="preserve">As defined in ASEL, for onboard daily reporting purposes, day means from </w:t>
      </w:r>
      <w:proofErr w:type="gramStart"/>
      <w:r w:rsidRPr="00332203">
        <w:rPr>
          <w:rFonts w:cstheme="minorHAnsi"/>
          <w:lang w:eastAsia="ja-JP"/>
        </w:rPr>
        <w:t>midday to midday</w:t>
      </w:r>
      <w:proofErr w:type="gramEnd"/>
      <w:r w:rsidRPr="00332203">
        <w:rPr>
          <w:rFonts w:cstheme="minorHAnsi"/>
          <w:lang w:eastAsia="ja-JP"/>
        </w:rPr>
        <w:t xml:space="preserve"> local vessel time, with the exception of the first day of loading and the last day of unloading. The reporting requirements for these days are described in this policy.</w:t>
      </w:r>
    </w:p>
    <w:p w14:paraId="61A7DA4E" w14:textId="77742598" w:rsidR="00332203" w:rsidRDefault="00332203" w:rsidP="00332203">
      <w:pPr>
        <w:rPr>
          <w:rFonts w:cstheme="minorHAnsi"/>
          <w:lang w:eastAsia="ja-JP"/>
        </w:rPr>
      </w:pPr>
      <w:r w:rsidRPr="00332203">
        <w:rPr>
          <w:rFonts w:cstheme="minorHAnsi"/>
          <w:lang w:eastAsia="ja-JP"/>
        </w:rPr>
        <w:t>As per ASEL standard 5.6.6, daily reports are to be provided to the department within 24 hours of the reporting day, commencing on the day the first animal is loaded and until the last animal is unloaded, for:</w:t>
      </w:r>
    </w:p>
    <w:p w14:paraId="2541BEE2" w14:textId="2C879EEE" w:rsidR="00332203" w:rsidRPr="00332203" w:rsidRDefault="00332203" w:rsidP="00332203">
      <w:pPr>
        <w:pStyle w:val="ListBullet"/>
        <w:rPr>
          <w:lang w:eastAsia="ja-JP"/>
        </w:rPr>
      </w:pPr>
      <w:r w:rsidRPr="00332203">
        <w:rPr>
          <w:lang w:eastAsia="ja-JP"/>
        </w:rPr>
        <w:t>voyages of 10 days or more</w:t>
      </w:r>
    </w:p>
    <w:p w14:paraId="6644B3C0" w14:textId="498AB2F8" w:rsidR="00332203" w:rsidRPr="00332203" w:rsidRDefault="00332203" w:rsidP="00332203">
      <w:pPr>
        <w:pStyle w:val="ListBullet"/>
        <w:rPr>
          <w:lang w:eastAsia="ja-JP"/>
        </w:rPr>
      </w:pPr>
      <w:r w:rsidRPr="00332203">
        <w:rPr>
          <w:lang w:eastAsia="ja-JP"/>
        </w:rPr>
        <w:t>voyages that include buffalo and/or goats</w:t>
      </w:r>
    </w:p>
    <w:p w14:paraId="74B0A9CF" w14:textId="6A33A1C6" w:rsidR="00332203" w:rsidRDefault="00332203" w:rsidP="00332203">
      <w:pPr>
        <w:pStyle w:val="ListBullet"/>
        <w:rPr>
          <w:lang w:eastAsia="ja-JP"/>
        </w:rPr>
      </w:pPr>
      <w:r w:rsidRPr="00332203">
        <w:rPr>
          <w:lang w:eastAsia="ja-JP"/>
        </w:rPr>
        <w:t xml:space="preserve">voyages using the alternative pen space allocations, as per </w:t>
      </w:r>
      <w:r w:rsidR="00391ABB">
        <w:rPr>
          <w:lang w:eastAsia="ja-JP"/>
        </w:rPr>
        <w:t xml:space="preserve">ASEL </w:t>
      </w:r>
      <w:r w:rsidRPr="00332203">
        <w:rPr>
          <w:lang w:eastAsia="ja-JP"/>
        </w:rPr>
        <w:t>Table 10</w:t>
      </w:r>
      <w:r w:rsidR="00391ABB">
        <w:rPr>
          <w:lang w:eastAsia="ja-JP"/>
        </w:rPr>
        <w:t>a, Table 10b, Table 11b and Table 12b</w:t>
      </w:r>
      <w:r w:rsidRPr="00332203">
        <w:rPr>
          <w:lang w:eastAsia="ja-JP"/>
        </w:rPr>
        <w:t>.</w:t>
      </w:r>
    </w:p>
    <w:p w14:paraId="3A33322C" w14:textId="77777777" w:rsidR="00332203" w:rsidRPr="00042CA4" w:rsidRDefault="00332203" w:rsidP="00332203">
      <w:pPr>
        <w:rPr>
          <w:rFonts w:cstheme="minorHAnsi"/>
          <w:lang w:eastAsia="ja-JP"/>
        </w:rPr>
      </w:pPr>
      <w:r w:rsidRPr="00042CA4">
        <w:rPr>
          <w:rFonts w:cstheme="minorHAnsi"/>
          <w:lang w:eastAsia="ja-JP"/>
        </w:rPr>
        <w:t>Standards 5.6.7 and 5.6.8 require daily reports and end-of-voyage (EOV) reports (respectively) to be in the form provided on the department’s website and include all information required in the form. This includes the provision of:</w:t>
      </w:r>
    </w:p>
    <w:p w14:paraId="59188D70" w14:textId="77777777" w:rsidR="00332203" w:rsidRPr="00D8195A" w:rsidRDefault="00332203" w:rsidP="00332203">
      <w:pPr>
        <w:pStyle w:val="ListBullet"/>
        <w:rPr>
          <w:rFonts w:cstheme="minorHAnsi"/>
          <w:lang w:eastAsia="ja-JP"/>
        </w:rPr>
      </w:pPr>
      <w:r w:rsidRPr="00D8195A">
        <w:rPr>
          <w:rFonts w:cstheme="minorHAnsi"/>
          <w:lang w:eastAsia="ja-JP"/>
        </w:rPr>
        <w:t>a daily mortality count, and a cumulative mortality count and rate, for all species on board the vessel, in each daily report</w:t>
      </w:r>
    </w:p>
    <w:p w14:paraId="1DF6D828" w14:textId="77777777" w:rsidR="00332203" w:rsidRPr="00D8195A" w:rsidRDefault="00332203" w:rsidP="00332203">
      <w:pPr>
        <w:pStyle w:val="ListBullet"/>
        <w:rPr>
          <w:rFonts w:cstheme="minorHAnsi"/>
          <w:lang w:eastAsia="ja-JP"/>
        </w:rPr>
      </w:pPr>
      <w:r w:rsidRPr="00D8195A">
        <w:rPr>
          <w:rFonts w:cstheme="minorHAnsi"/>
          <w:lang w:eastAsia="ja-JP"/>
        </w:rPr>
        <w:t>the average daily mortality rate for each species on board the vessel, in the consignment’s EOV report.</w:t>
      </w:r>
    </w:p>
    <w:p w14:paraId="3EB8F68B" w14:textId="65BE28CA" w:rsidR="00D57861" w:rsidRDefault="00D57861" w:rsidP="00A50853">
      <w:pPr>
        <w:pStyle w:val="Heading2"/>
      </w:pPr>
      <w:r>
        <w:lastRenderedPageBreak/>
        <w:t>I</w:t>
      </w:r>
      <w:r w:rsidR="00A50853">
        <w:t>nstructions</w:t>
      </w:r>
    </w:p>
    <w:p w14:paraId="4B2FC199" w14:textId="5B3D529D" w:rsidR="00A50853" w:rsidRDefault="00A50853" w:rsidP="001C6D19">
      <w:pPr>
        <w:pStyle w:val="Heading3"/>
        <w:numPr>
          <w:ilvl w:val="0"/>
          <w:numId w:val="0"/>
        </w:numPr>
        <w:ind w:left="964" w:hanging="964"/>
        <w:rPr>
          <w:lang w:eastAsia="ja-JP"/>
        </w:rPr>
      </w:pPr>
      <w:r>
        <w:rPr>
          <w:lang w:eastAsia="ja-JP"/>
        </w:rPr>
        <w:t>Daily reporting</w:t>
      </w:r>
    </w:p>
    <w:p w14:paraId="31237D8D" w14:textId="77777777" w:rsidR="00A50853" w:rsidRPr="00A50853" w:rsidRDefault="00A50853" w:rsidP="00A50853">
      <w:pPr>
        <w:rPr>
          <w:rFonts w:cstheme="minorHAnsi"/>
        </w:rPr>
      </w:pPr>
      <w:r w:rsidRPr="00A50853">
        <w:rPr>
          <w:rFonts w:cstheme="minorHAnsi"/>
        </w:rPr>
        <w:t>Daily reports, where required under ASEL, must be provided for the duration of the voyage (including all days of loading and unloading) in accordance with this policy and ASEL reporting and record keeping requirements.</w:t>
      </w:r>
    </w:p>
    <w:p w14:paraId="399460EA" w14:textId="2AB871DF" w:rsidR="00A50853" w:rsidRPr="00A50853" w:rsidRDefault="00A50853" w:rsidP="00A50853">
      <w:pPr>
        <w:ind w:left="567" w:hanging="567"/>
        <w:rPr>
          <w:rFonts w:cstheme="minorHAnsi"/>
        </w:rPr>
      </w:pPr>
      <w:r w:rsidRPr="00A50853">
        <w:rPr>
          <w:rFonts w:cstheme="minorHAnsi"/>
        </w:rPr>
        <w:t>A daily report must be submitted for each day of the voyage</w:t>
      </w:r>
      <w:r w:rsidR="003558E7">
        <w:rPr>
          <w:rFonts w:cstheme="minorHAnsi"/>
        </w:rPr>
        <w:t>.</w:t>
      </w:r>
    </w:p>
    <w:p w14:paraId="0C56D0EB" w14:textId="77777777" w:rsidR="00A50853" w:rsidRPr="00A50853" w:rsidRDefault="00A50853" w:rsidP="00A50853">
      <w:pPr>
        <w:pStyle w:val="ListBullet"/>
      </w:pPr>
      <w:r w:rsidRPr="00A50853">
        <w:t xml:space="preserve">For the first day of loading, the daily report will cover from the time the first animal is loaded until midday on the second day. For example, if the first animal is loaded at 6 am local vessel time, the first daily report will cover a </w:t>
      </w:r>
      <w:proofErr w:type="gramStart"/>
      <w:r w:rsidRPr="00A50853">
        <w:t>30 hour</w:t>
      </w:r>
      <w:proofErr w:type="gramEnd"/>
      <w:r w:rsidRPr="00A50853">
        <w:t xml:space="preserve"> period from 6 am on the first day until midday on the second day.</w:t>
      </w:r>
    </w:p>
    <w:p w14:paraId="79998E06" w14:textId="77777777" w:rsidR="00A50853" w:rsidRPr="00A50853" w:rsidRDefault="00A50853" w:rsidP="00A50853">
      <w:pPr>
        <w:pStyle w:val="ListBullet"/>
      </w:pPr>
      <w:r w:rsidRPr="00A50853">
        <w:t>Subsequent daily reports are required each day, covering the period from midday to midday using the local vessel time.</w:t>
      </w:r>
    </w:p>
    <w:p w14:paraId="12EA8766" w14:textId="77777777" w:rsidR="00A50853" w:rsidRPr="00A50853" w:rsidRDefault="00A50853" w:rsidP="00A50853">
      <w:pPr>
        <w:pStyle w:val="ListBullet"/>
      </w:pPr>
      <w:r w:rsidRPr="00A50853">
        <w:t xml:space="preserve">For the last day of unloading, if unloading is completed after midday, the daily report will cover from midday on the last day until the time the last animal has been unloaded. For example, if the last animal is unloaded at 5 pm local vessel time, the final daily report will cover a </w:t>
      </w:r>
      <w:proofErr w:type="gramStart"/>
      <w:r w:rsidRPr="00A50853">
        <w:t>5 hour</w:t>
      </w:r>
      <w:proofErr w:type="gramEnd"/>
      <w:r w:rsidRPr="00A50853">
        <w:t xml:space="preserve"> period from midday until 5 pm.</w:t>
      </w:r>
    </w:p>
    <w:p w14:paraId="4A591A69" w14:textId="1FDEEE37" w:rsidR="00A50853" w:rsidRPr="00A50853" w:rsidRDefault="00A50853" w:rsidP="00A50853">
      <w:pPr>
        <w:rPr>
          <w:rFonts w:cstheme="minorHAnsi"/>
        </w:rPr>
      </w:pPr>
      <w:r w:rsidRPr="00A50853">
        <w:rPr>
          <w:rFonts w:cstheme="minorHAnsi"/>
        </w:rPr>
        <w:t>To provide a practical example, Table 1 summarises the daily reporting requirements for an example voyage, using two scenarios (all times are in local vessel time)</w:t>
      </w:r>
      <w:r w:rsidR="00F70CF2">
        <w:rPr>
          <w:rFonts w:cstheme="minorHAnsi"/>
        </w:rPr>
        <w:t>.</w:t>
      </w:r>
    </w:p>
    <w:p w14:paraId="57571D7D" w14:textId="77777777" w:rsidR="00A50853" w:rsidRPr="00A50853" w:rsidRDefault="00A50853" w:rsidP="00A50853">
      <w:pPr>
        <w:pStyle w:val="ListBullet"/>
      </w:pPr>
      <w:r w:rsidRPr="00A50853">
        <w:t>Scenario A commences loading of the first animal at 6 am on 12 October and completes unloading of the last animal at 10 am on 29 October.</w:t>
      </w:r>
    </w:p>
    <w:p w14:paraId="44131B1A" w14:textId="084170A9" w:rsidR="00A50853" w:rsidRDefault="00A50853" w:rsidP="00A50853">
      <w:pPr>
        <w:pStyle w:val="ListBullet"/>
      </w:pPr>
      <w:r w:rsidRPr="00A50853">
        <w:t>Scenario B commences loading of the first animal at 2 pm on 12 October and completes unloading of the last animal at 5 pm on 29 October.</w:t>
      </w:r>
    </w:p>
    <w:p w14:paraId="782B5B9F" w14:textId="77777777" w:rsidR="00A50853" w:rsidRPr="006A080A" w:rsidRDefault="00A50853" w:rsidP="00E17460">
      <w:pPr>
        <w:pStyle w:val="TableHeading"/>
      </w:pPr>
      <w:r w:rsidRPr="006A080A">
        <w:t>Table 1 Example scenarios for daily reporting (all times are in local vessel time)</w:t>
      </w:r>
    </w:p>
    <w:tbl>
      <w:tblPr>
        <w:tblStyle w:val="TableGridLight"/>
        <w:tblW w:w="906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848"/>
        <w:gridCol w:w="2122"/>
        <w:gridCol w:w="1985"/>
        <w:gridCol w:w="1985"/>
      </w:tblGrid>
      <w:tr w:rsidR="00A50853" w:rsidRPr="00176B49" w14:paraId="5A142DBF" w14:textId="77777777" w:rsidTr="00F70CF2">
        <w:tc>
          <w:tcPr>
            <w:tcW w:w="1129" w:type="dxa"/>
          </w:tcPr>
          <w:p w14:paraId="3266D8B3" w14:textId="77777777" w:rsidR="00A50853" w:rsidRPr="00176B49" w:rsidRDefault="00A50853" w:rsidP="00CE7113">
            <w:pPr>
              <w:pStyle w:val="TableHeading"/>
              <w:rPr>
                <w:rFonts w:cstheme="minorHAnsi"/>
              </w:rPr>
            </w:pPr>
          </w:p>
        </w:tc>
        <w:tc>
          <w:tcPr>
            <w:tcW w:w="1848" w:type="dxa"/>
          </w:tcPr>
          <w:p w14:paraId="03CD3088" w14:textId="3E58217B" w:rsidR="00A50853" w:rsidRPr="00176B49" w:rsidRDefault="00A50853" w:rsidP="00CE7113">
            <w:pPr>
              <w:pStyle w:val="TableHeading"/>
              <w:rPr>
                <w:rFonts w:cstheme="minorHAnsi"/>
              </w:rPr>
            </w:pPr>
            <w:r w:rsidRPr="00176B49">
              <w:rPr>
                <w:rFonts w:cstheme="minorHAnsi"/>
              </w:rPr>
              <w:t>Day 1 report</w:t>
            </w:r>
            <w:r w:rsidR="00F70CF2">
              <w:rPr>
                <w:rFonts w:cstheme="minorHAnsi"/>
              </w:rPr>
              <w:t xml:space="preserve"> </w:t>
            </w:r>
            <w:r w:rsidRPr="00176B49">
              <w:rPr>
                <w:rFonts w:cstheme="minorHAnsi"/>
              </w:rPr>
              <w:t>covers</w:t>
            </w:r>
          </w:p>
        </w:tc>
        <w:tc>
          <w:tcPr>
            <w:tcW w:w="2122" w:type="dxa"/>
          </w:tcPr>
          <w:p w14:paraId="288A5A34" w14:textId="02CEC406" w:rsidR="00A50853" w:rsidRPr="00176B49" w:rsidRDefault="00A50853" w:rsidP="00CE7113">
            <w:pPr>
              <w:pStyle w:val="TableHeading"/>
              <w:rPr>
                <w:rFonts w:cstheme="minorHAnsi"/>
              </w:rPr>
            </w:pPr>
            <w:r w:rsidRPr="00176B49">
              <w:rPr>
                <w:rFonts w:cstheme="minorHAnsi"/>
              </w:rPr>
              <w:t>Days 2-16 reports</w:t>
            </w:r>
            <w:r w:rsidR="00F70CF2">
              <w:rPr>
                <w:rFonts w:cstheme="minorHAnsi"/>
              </w:rPr>
              <w:t xml:space="preserve"> </w:t>
            </w:r>
            <w:r w:rsidRPr="00176B49">
              <w:rPr>
                <w:rFonts w:cstheme="minorHAnsi"/>
              </w:rPr>
              <w:t>cover</w:t>
            </w:r>
          </w:p>
        </w:tc>
        <w:tc>
          <w:tcPr>
            <w:tcW w:w="1985" w:type="dxa"/>
          </w:tcPr>
          <w:p w14:paraId="214C9305" w14:textId="15FCCA80" w:rsidR="00A50853" w:rsidRPr="00176B49" w:rsidRDefault="00A50853" w:rsidP="00CE7113">
            <w:pPr>
              <w:pStyle w:val="TableHeading"/>
              <w:rPr>
                <w:rFonts w:cstheme="minorHAnsi"/>
              </w:rPr>
            </w:pPr>
            <w:r w:rsidRPr="00176B49">
              <w:rPr>
                <w:rFonts w:cstheme="minorHAnsi"/>
              </w:rPr>
              <w:t>Day 17 report</w:t>
            </w:r>
            <w:r w:rsidR="00F70CF2">
              <w:rPr>
                <w:rFonts w:cstheme="minorHAnsi"/>
              </w:rPr>
              <w:t xml:space="preserve"> </w:t>
            </w:r>
            <w:r w:rsidRPr="00176B49">
              <w:rPr>
                <w:rFonts w:cstheme="minorHAnsi"/>
              </w:rPr>
              <w:t>covers</w:t>
            </w:r>
          </w:p>
        </w:tc>
        <w:tc>
          <w:tcPr>
            <w:tcW w:w="1985" w:type="dxa"/>
          </w:tcPr>
          <w:p w14:paraId="4D87494F" w14:textId="4F9533C8" w:rsidR="00A50853" w:rsidRPr="00176B49" w:rsidRDefault="00A50853" w:rsidP="00CE7113">
            <w:pPr>
              <w:pStyle w:val="TableHeading"/>
              <w:rPr>
                <w:rFonts w:cstheme="minorHAnsi"/>
              </w:rPr>
            </w:pPr>
            <w:r w:rsidRPr="00176B49">
              <w:rPr>
                <w:rFonts w:cstheme="minorHAnsi"/>
              </w:rPr>
              <w:t>Day 18 report</w:t>
            </w:r>
            <w:r w:rsidR="00F70CF2">
              <w:rPr>
                <w:rFonts w:cstheme="minorHAnsi"/>
              </w:rPr>
              <w:t xml:space="preserve"> </w:t>
            </w:r>
            <w:r w:rsidRPr="00176B49">
              <w:rPr>
                <w:rFonts w:cstheme="minorHAnsi"/>
              </w:rPr>
              <w:t>covers</w:t>
            </w:r>
          </w:p>
        </w:tc>
      </w:tr>
      <w:tr w:rsidR="00A50853" w:rsidRPr="00176B49" w14:paraId="2B9052A9" w14:textId="77777777" w:rsidTr="00F70CF2">
        <w:tc>
          <w:tcPr>
            <w:tcW w:w="1129" w:type="dxa"/>
          </w:tcPr>
          <w:p w14:paraId="532BCE41" w14:textId="77777777" w:rsidR="00A50853" w:rsidRPr="00176B49" w:rsidRDefault="00A50853" w:rsidP="00CE7113">
            <w:pPr>
              <w:pStyle w:val="TableText"/>
              <w:rPr>
                <w:rFonts w:cstheme="minorHAnsi"/>
              </w:rPr>
            </w:pPr>
            <w:r w:rsidRPr="00176B49">
              <w:rPr>
                <w:rFonts w:cstheme="minorHAnsi"/>
              </w:rPr>
              <w:t>Scenario A</w:t>
            </w:r>
          </w:p>
        </w:tc>
        <w:tc>
          <w:tcPr>
            <w:tcW w:w="1848" w:type="dxa"/>
          </w:tcPr>
          <w:p w14:paraId="52947398" w14:textId="77777777" w:rsidR="00A50853" w:rsidRPr="00176B49" w:rsidRDefault="00A50853" w:rsidP="00CE7113">
            <w:pPr>
              <w:pStyle w:val="TableText"/>
              <w:rPr>
                <w:rFonts w:cstheme="minorHAnsi"/>
              </w:rPr>
            </w:pPr>
            <w:r w:rsidRPr="00176B49">
              <w:rPr>
                <w:rFonts w:cstheme="minorHAnsi"/>
              </w:rPr>
              <w:t>6 am 12 October to midday 13 October</w:t>
            </w:r>
          </w:p>
        </w:tc>
        <w:tc>
          <w:tcPr>
            <w:tcW w:w="2122" w:type="dxa"/>
          </w:tcPr>
          <w:p w14:paraId="24238236" w14:textId="56FCA73A" w:rsidR="00A50853" w:rsidRPr="00176B49" w:rsidRDefault="00A50853" w:rsidP="00CE7113">
            <w:pPr>
              <w:pStyle w:val="TableText"/>
              <w:rPr>
                <w:rFonts w:cstheme="minorHAnsi"/>
              </w:rPr>
            </w:pPr>
            <w:r w:rsidRPr="00176B49">
              <w:rPr>
                <w:rFonts w:cstheme="minorHAnsi"/>
              </w:rPr>
              <w:t>Midday to midday each day, 13 October to 28</w:t>
            </w:r>
            <w:r w:rsidR="00C52DF1">
              <w:rPr>
                <w:rFonts w:cstheme="minorHAnsi"/>
              </w:rPr>
              <w:t> </w:t>
            </w:r>
            <w:r w:rsidRPr="00176B49">
              <w:rPr>
                <w:rFonts w:cstheme="minorHAnsi"/>
              </w:rPr>
              <w:t>October</w:t>
            </w:r>
          </w:p>
        </w:tc>
        <w:tc>
          <w:tcPr>
            <w:tcW w:w="1985" w:type="dxa"/>
          </w:tcPr>
          <w:p w14:paraId="01470BFE" w14:textId="77777777" w:rsidR="00A50853" w:rsidRPr="00176B49" w:rsidRDefault="00A50853" w:rsidP="00CE7113">
            <w:pPr>
              <w:pStyle w:val="TableText"/>
              <w:rPr>
                <w:rFonts w:cstheme="minorHAnsi"/>
              </w:rPr>
            </w:pPr>
            <w:r w:rsidRPr="00176B49">
              <w:rPr>
                <w:rFonts w:cstheme="minorHAnsi"/>
              </w:rPr>
              <w:t>Midday 28 October to 10 am 29 October</w:t>
            </w:r>
          </w:p>
        </w:tc>
        <w:tc>
          <w:tcPr>
            <w:tcW w:w="1985" w:type="dxa"/>
          </w:tcPr>
          <w:p w14:paraId="1DA3AF7F" w14:textId="77777777" w:rsidR="00A50853" w:rsidRPr="00176B49" w:rsidRDefault="00A50853" w:rsidP="00CE7113">
            <w:pPr>
              <w:pStyle w:val="TableText"/>
              <w:rPr>
                <w:rFonts w:cstheme="minorHAnsi"/>
              </w:rPr>
            </w:pPr>
            <w:r w:rsidRPr="00176B49">
              <w:rPr>
                <w:rFonts w:cstheme="minorHAnsi"/>
              </w:rPr>
              <w:t>(</w:t>
            </w:r>
            <w:proofErr w:type="gramStart"/>
            <w:r w:rsidRPr="00176B49">
              <w:rPr>
                <w:rFonts w:cstheme="minorHAnsi"/>
              </w:rPr>
              <w:t>not</w:t>
            </w:r>
            <w:proofErr w:type="gramEnd"/>
            <w:r w:rsidRPr="00176B49">
              <w:rPr>
                <w:rFonts w:cstheme="minorHAnsi"/>
              </w:rPr>
              <w:t xml:space="preserve"> required)</w:t>
            </w:r>
          </w:p>
        </w:tc>
      </w:tr>
      <w:tr w:rsidR="00A50853" w:rsidRPr="00176B49" w14:paraId="41B31429" w14:textId="77777777" w:rsidTr="00F70CF2">
        <w:tc>
          <w:tcPr>
            <w:tcW w:w="1129" w:type="dxa"/>
          </w:tcPr>
          <w:p w14:paraId="5ABFF339" w14:textId="77777777" w:rsidR="00A50853" w:rsidRPr="00176B49" w:rsidRDefault="00A50853" w:rsidP="00CE7113">
            <w:pPr>
              <w:pStyle w:val="TableText"/>
              <w:rPr>
                <w:rFonts w:cstheme="minorHAnsi"/>
              </w:rPr>
            </w:pPr>
            <w:r w:rsidRPr="00176B49">
              <w:rPr>
                <w:rFonts w:cstheme="minorHAnsi"/>
              </w:rPr>
              <w:t>Scenario B</w:t>
            </w:r>
          </w:p>
        </w:tc>
        <w:tc>
          <w:tcPr>
            <w:tcW w:w="1848" w:type="dxa"/>
          </w:tcPr>
          <w:p w14:paraId="10E2C164" w14:textId="77777777" w:rsidR="00A50853" w:rsidRPr="00176B49" w:rsidRDefault="00A50853" w:rsidP="00CE7113">
            <w:pPr>
              <w:pStyle w:val="TableText"/>
              <w:rPr>
                <w:rFonts w:cstheme="minorHAnsi"/>
              </w:rPr>
            </w:pPr>
            <w:r w:rsidRPr="00176B49">
              <w:rPr>
                <w:rFonts w:cstheme="minorHAnsi"/>
              </w:rPr>
              <w:t>2 pm 12 October to midday 13 October</w:t>
            </w:r>
          </w:p>
        </w:tc>
        <w:tc>
          <w:tcPr>
            <w:tcW w:w="2122" w:type="dxa"/>
          </w:tcPr>
          <w:p w14:paraId="6621D5DE" w14:textId="7625AE25" w:rsidR="00A50853" w:rsidRPr="00176B49" w:rsidRDefault="00A50853" w:rsidP="00CE7113">
            <w:pPr>
              <w:pStyle w:val="TableText"/>
              <w:rPr>
                <w:rFonts w:cstheme="minorHAnsi"/>
              </w:rPr>
            </w:pPr>
            <w:r w:rsidRPr="00176B49">
              <w:rPr>
                <w:rFonts w:cstheme="minorHAnsi"/>
              </w:rPr>
              <w:t>Midday to midday each day, 13 October to 28</w:t>
            </w:r>
            <w:r w:rsidR="00F70CF2">
              <w:rPr>
                <w:rFonts w:cstheme="minorHAnsi"/>
              </w:rPr>
              <w:t> </w:t>
            </w:r>
            <w:r w:rsidRPr="00176B49">
              <w:rPr>
                <w:rFonts w:cstheme="minorHAnsi"/>
              </w:rPr>
              <w:t>October</w:t>
            </w:r>
          </w:p>
        </w:tc>
        <w:tc>
          <w:tcPr>
            <w:tcW w:w="1985" w:type="dxa"/>
          </w:tcPr>
          <w:p w14:paraId="3B169CDC" w14:textId="77777777" w:rsidR="00A50853" w:rsidRPr="00176B49" w:rsidRDefault="00A50853" w:rsidP="00CE7113">
            <w:pPr>
              <w:pStyle w:val="TableText"/>
              <w:rPr>
                <w:rFonts w:cstheme="minorHAnsi"/>
              </w:rPr>
            </w:pPr>
            <w:r w:rsidRPr="00176B49">
              <w:rPr>
                <w:rFonts w:cstheme="minorHAnsi"/>
              </w:rPr>
              <w:t>Midday 28 October to midday 29 October</w:t>
            </w:r>
          </w:p>
        </w:tc>
        <w:tc>
          <w:tcPr>
            <w:tcW w:w="1985" w:type="dxa"/>
          </w:tcPr>
          <w:p w14:paraId="6D8C7D62" w14:textId="6B3F1CAF" w:rsidR="00A50853" w:rsidRPr="00176B49" w:rsidRDefault="00A50853" w:rsidP="00CE7113">
            <w:pPr>
              <w:pStyle w:val="TableText"/>
              <w:rPr>
                <w:rFonts w:cstheme="minorHAnsi"/>
              </w:rPr>
            </w:pPr>
            <w:r w:rsidRPr="00176B49">
              <w:rPr>
                <w:rFonts w:cstheme="minorHAnsi"/>
              </w:rPr>
              <w:t>Midday 29 October to 5</w:t>
            </w:r>
            <w:r w:rsidR="00F70CF2">
              <w:rPr>
                <w:rFonts w:cstheme="minorHAnsi"/>
              </w:rPr>
              <w:t> </w:t>
            </w:r>
            <w:r w:rsidRPr="00176B49">
              <w:rPr>
                <w:rFonts w:cstheme="minorHAnsi"/>
              </w:rPr>
              <w:t>pm 29 October</w:t>
            </w:r>
          </w:p>
        </w:tc>
      </w:tr>
    </w:tbl>
    <w:p w14:paraId="3C05EC61" w14:textId="77777777" w:rsidR="00A50853" w:rsidRPr="006A080A" w:rsidRDefault="00A50853" w:rsidP="001C6D19">
      <w:pPr>
        <w:pStyle w:val="Heading3"/>
        <w:numPr>
          <w:ilvl w:val="0"/>
          <w:numId w:val="0"/>
        </w:numPr>
        <w:ind w:left="964" w:hanging="964"/>
      </w:pPr>
      <w:r>
        <w:t>Mortality reporting</w:t>
      </w:r>
    </w:p>
    <w:p w14:paraId="4A4A28F8" w14:textId="77777777" w:rsidR="00A50853" w:rsidRPr="00A50853" w:rsidRDefault="00A50853" w:rsidP="00A50853">
      <w:pPr>
        <w:spacing w:after="120"/>
        <w:rPr>
          <w:rFonts w:cstheme="minorHAnsi"/>
        </w:rPr>
      </w:pPr>
      <w:r w:rsidRPr="00A50853">
        <w:rPr>
          <w:rFonts w:cstheme="minorHAnsi"/>
        </w:rPr>
        <w:t>Where daily reports are required under ASEL, each daily report must include:</w:t>
      </w:r>
    </w:p>
    <w:p w14:paraId="1A1282DE" w14:textId="77777777" w:rsidR="00A50853" w:rsidRPr="00A50853" w:rsidRDefault="00A50853" w:rsidP="00A50853">
      <w:pPr>
        <w:pStyle w:val="ListBullet"/>
      </w:pPr>
      <w:r w:rsidRPr="00A50853">
        <w:t>a daily mortality count for all species on board the vessel (daily number of head)</w:t>
      </w:r>
    </w:p>
    <w:p w14:paraId="53335125" w14:textId="77777777" w:rsidR="00A50853" w:rsidRPr="00A50853" w:rsidRDefault="00A50853" w:rsidP="00A50853">
      <w:pPr>
        <w:pStyle w:val="ListBullet"/>
      </w:pPr>
      <w:r w:rsidRPr="00A50853">
        <w:t>a cumulative mortality count for all species on board the vessel (cumulative number of head)</w:t>
      </w:r>
    </w:p>
    <w:p w14:paraId="28FAC9E9" w14:textId="72BCD1C1" w:rsidR="00A50853" w:rsidRPr="00A50853" w:rsidRDefault="00A50853" w:rsidP="00A50853">
      <w:pPr>
        <w:pStyle w:val="ListBullet"/>
      </w:pPr>
      <w:r w:rsidRPr="00A50853">
        <w:t xml:space="preserve">a cumulative mortality rate for all species on board the vessel (as a percentage). For each daily report, this can be calculated by dividing the cumulative mortality count per species by the total number of livestock loaded per </w:t>
      </w:r>
      <w:proofErr w:type="gramStart"/>
      <w:r w:rsidRPr="00A50853">
        <w:t>species, and</w:t>
      </w:r>
      <w:proofErr w:type="gramEnd"/>
      <w:r w:rsidRPr="00A50853">
        <w:t xml:space="preserve"> multiplying the resultant figure by 100.</w:t>
      </w:r>
    </w:p>
    <w:p w14:paraId="69A6692E" w14:textId="77777777" w:rsidR="00A50853" w:rsidRDefault="00A50853" w:rsidP="00A50853">
      <w:r>
        <w:t xml:space="preserve">Where </w:t>
      </w:r>
      <w:r w:rsidRPr="00725F20">
        <w:t>daily reports are not required under ASEL, an exporter must retain records in relation to daily mortalities and cumulative rates in accordance with ASEL record keeping requirements</w:t>
      </w:r>
      <w:r>
        <w:t>.</w:t>
      </w:r>
    </w:p>
    <w:p w14:paraId="301DE859" w14:textId="77777777" w:rsidR="00A50853" w:rsidRDefault="00A50853" w:rsidP="00A50853">
      <w:r>
        <w:lastRenderedPageBreak/>
        <w:t xml:space="preserve">For </w:t>
      </w:r>
      <w:r w:rsidRPr="00725F20">
        <w:t xml:space="preserve">all export consignments, the mortality rate for the voyage must be included in the EOV report. This can be calculated by dividing the number of deaths of a species occurring during the voyage by the total number of that species </w:t>
      </w:r>
      <w:proofErr w:type="gramStart"/>
      <w:r w:rsidRPr="00725F20">
        <w:t>loaded, and</w:t>
      </w:r>
      <w:proofErr w:type="gramEnd"/>
      <w:r w:rsidRPr="00725F20">
        <w:t xml:space="preserve"> multiplying the resultant figure by 100</w:t>
      </w:r>
      <w:r>
        <w:t>.</w:t>
      </w:r>
    </w:p>
    <w:p w14:paraId="0667619F" w14:textId="77777777" w:rsidR="00A50853" w:rsidRDefault="00A50853" w:rsidP="00A50853">
      <w:r>
        <w:t xml:space="preserve">In </w:t>
      </w:r>
      <w:r w:rsidRPr="00725F20">
        <w:t>an example consignment of sheep, the number of deaths for the voyage was 37, and the total number of sheep loaded was 4,546. The mortality rate calculations would</w:t>
      </w:r>
      <w:r>
        <w:t xml:space="preserve"> be:</w:t>
      </w:r>
    </w:p>
    <w:p w14:paraId="4718C895" w14:textId="77777777" w:rsidR="00A50853" w:rsidRPr="00B118EB" w:rsidRDefault="00A50853" w:rsidP="000236C1">
      <w:pPr>
        <w:pStyle w:val="ListBullet"/>
      </w:pPr>
      <w:r w:rsidRPr="00B118EB">
        <w:t>37 / 4546 * 100 = 0.81</w:t>
      </w:r>
    </w:p>
    <w:p w14:paraId="1CD3E255" w14:textId="77777777" w:rsidR="00A50853" w:rsidRDefault="00A50853" w:rsidP="00A50853">
      <w:r>
        <w:t xml:space="preserve">The </w:t>
      </w:r>
      <w:r w:rsidRPr="00725F20">
        <w:t>mortality rate for this example voyage would be 0.81</w:t>
      </w:r>
      <w:r>
        <w:t>%.</w:t>
      </w:r>
    </w:p>
    <w:p w14:paraId="6CB3D1DF" w14:textId="23DCC66C" w:rsidR="00A50853" w:rsidRDefault="00A50853" w:rsidP="001C6D19">
      <w:pPr>
        <w:pStyle w:val="Heading3"/>
        <w:numPr>
          <w:ilvl w:val="0"/>
          <w:numId w:val="0"/>
        </w:numPr>
        <w:ind w:left="964" w:hanging="964"/>
      </w:pPr>
      <w:r>
        <w:t xml:space="preserve">Average </w:t>
      </w:r>
      <w:r w:rsidR="00AF1742">
        <w:t>d</w:t>
      </w:r>
      <w:r>
        <w:t xml:space="preserve">aily </w:t>
      </w:r>
      <w:r w:rsidR="00AF1742">
        <w:t>m</w:t>
      </w:r>
      <w:r>
        <w:t xml:space="preserve">ortality </w:t>
      </w:r>
      <w:r w:rsidR="00AF1742">
        <w:t>r</w:t>
      </w:r>
      <w:r>
        <w:t>ate</w:t>
      </w:r>
    </w:p>
    <w:p w14:paraId="498743AF" w14:textId="77777777" w:rsidR="00A50853" w:rsidRPr="00A50853" w:rsidRDefault="00A50853" w:rsidP="00A50853">
      <w:r w:rsidRPr="00A50853">
        <w:t xml:space="preserve">As defined in ASEL, average daily mortality rate (ADMR) means the rate (percentage) that is </w:t>
      </w:r>
      <w:bookmarkStart w:id="0" w:name="_Hlk133929050"/>
      <w:r w:rsidRPr="00A50853">
        <w:t xml:space="preserve">calculated by dividing the mortality rate for each species of the consignment, by the number of voyage days. The ADMR is to be calculated at the end of the </w:t>
      </w:r>
      <w:proofErr w:type="gramStart"/>
      <w:r w:rsidRPr="00A50853">
        <w:t>voyage, and</w:t>
      </w:r>
      <w:proofErr w:type="gramEnd"/>
      <w:r w:rsidRPr="00A50853">
        <w:t xml:space="preserve"> must be recorded in the consignment’s EOV report.</w:t>
      </w:r>
    </w:p>
    <w:p w14:paraId="653C6B29" w14:textId="5365369D" w:rsidR="00A50853" w:rsidRPr="00A50853" w:rsidRDefault="00A50853" w:rsidP="00A50853">
      <w:r w:rsidRPr="00A50853">
        <w:t xml:space="preserve">In accordance </w:t>
      </w:r>
      <w:r w:rsidRPr="003558E7">
        <w:t xml:space="preserve">with the </w:t>
      </w:r>
      <w:hyperlink r:id="rId11" w:anchor="calculators-and-guides" w:history="1">
        <w:r w:rsidRPr="003558E7">
          <w:rPr>
            <w:rStyle w:val="Hyperlink"/>
          </w:rPr>
          <w:t>Voyage length calculations under ASEL</w:t>
        </w:r>
      </w:hyperlink>
      <w:r w:rsidRPr="003558E7">
        <w:t xml:space="preserve"> policy, the consignment’s actual voyage length, in days, must be determined</w:t>
      </w:r>
      <w:r w:rsidRPr="00A50853">
        <w:t xml:space="preserve"> at the end of the voyage. This figure, recorded to </w:t>
      </w:r>
      <w:r w:rsidR="003558E7">
        <w:t>2 </w:t>
      </w:r>
      <w:r w:rsidRPr="00A50853">
        <w:t>decimal places, must be used to calculate the ADMR.</w:t>
      </w:r>
    </w:p>
    <w:p w14:paraId="59E7F4E3" w14:textId="704B9FC9" w:rsidR="00A50853" w:rsidRPr="00A50853" w:rsidRDefault="00A50853" w:rsidP="00A50853">
      <w:bookmarkStart w:id="1" w:name="_Hlk133929018"/>
      <w:r w:rsidRPr="00A50853">
        <w:t>In an example consignment of cattle and sheep, the actual voyage length was calculated to be 19.27</w:t>
      </w:r>
      <w:r w:rsidR="00C52DF1">
        <w:t> </w:t>
      </w:r>
      <w:r w:rsidRPr="00A50853">
        <w:t>days. The mortality rate for each species was calculated to be 0.45% for cattle and 0.81% for sheep. The ADMR calculations for this consignment would be:</w:t>
      </w:r>
    </w:p>
    <w:bookmarkEnd w:id="1"/>
    <w:bookmarkEnd w:id="0"/>
    <w:p w14:paraId="32AA7F02" w14:textId="77777777" w:rsidR="00A50853" w:rsidRPr="00B118EB" w:rsidRDefault="00A50853" w:rsidP="00F334D6">
      <w:pPr>
        <w:pStyle w:val="ListBullet"/>
      </w:pPr>
      <w:r w:rsidRPr="00B118EB">
        <w:t>For cattle: 0.45 / 19.27 = 0.023</w:t>
      </w:r>
    </w:p>
    <w:p w14:paraId="51D741B3" w14:textId="77777777" w:rsidR="00A50853" w:rsidRPr="00B118EB" w:rsidRDefault="00A50853" w:rsidP="00F334D6">
      <w:pPr>
        <w:pStyle w:val="ListBullet"/>
      </w:pPr>
      <w:r w:rsidRPr="00B118EB">
        <w:t>For sheep: 0.81 / 19.27 = 0.042</w:t>
      </w:r>
    </w:p>
    <w:p w14:paraId="468F8D44" w14:textId="24C79571" w:rsidR="00A50853" w:rsidRDefault="00A50853" w:rsidP="00A50853">
      <w:r w:rsidRPr="00A50853">
        <w:t xml:space="preserve">For this </w:t>
      </w:r>
      <w:proofErr w:type="gramStart"/>
      <w:r w:rsidRPr="00A50853">
        <w:t>example</w:t>
      </w:r>
      <w:proofErr w:type="gramEnd"/>
      <w:r w:rsidRPr="00A50853">
        <w:t xml:space="preserve"> consignment, the EOV report would include an ADMR for cattle of 0.023% and an ADMR for sheep of 0.042%.</w:t>
      </w:r>
    </w:p>
    <w:p w14:paraId="5649271D" w14:textId="77777777" w:rsidR="00EF7461" w:rsidRDefault="00076A29" w:rsidP="00F334D6">
      <w:pPr>
        <w:pStyle w:val="Heading2"/>
      </w:pPr>
      <w:bookmarkStart w:id="2" w:name="_Related_material"/>
      <w:bookmarkEnd w:id="2"/>
      <w:r>
        <w:t>Related material</w:t>
      </w:r>
    </w:p>
    <w:p w14:paraId="6F8817B9" w14:textId="6F67E188" w:rsidR="00E620A0" w:rsidRPr="001C6D19" w:rsidRDefault="00CF74F6" w:rsidP="00E620A0">
      <w:pPr>
        <w:pStyle w:val="ListBullet"/>
        <w:rPr>
          <w:rStyle w:val="Hyperlink"/>
          <w:rFonts w:cstheme="minorHAnsi"/>
        </w:rPr>
      </w:pPr>
      <w:hyperlink r:id="rId12" w:history="1">
        <w:r w:rsidR="00E620A0" w:rsidRPr="001C6D19">
          <w:rPr>
            <w:rStyle w:val="Hyperlink"/>
            <w:rFonts w:cstheme="minorHAnsi"/>
          </w:rPr>
          <w:t>Australian Standards for the Export of Livestock (ASEL)</w:t>
        </w:r>
      </w:hyperlink>
    </w:p>
    <w:p w14:paraId="4526E927" w14:textId="77777777" w:rsidR="00E620A0" w:rsidRPr="001C6D19" w:rsidRDefault="00E620A0" w:rsidP="00E620A0">
      <w:pPr>
        <w:pStyle w:val="ListBullet"/>
        <w:rPr>
          <w:rStyle w:val="Hyperlink"/>
          <w:rFonts w:cstheme="minorHAnsi"/>
        </w:rPr>
      </w:pPr>
      <w:r w:rsidRPr="00B47475">
        <w:rPr>
          <w:rStyle w:val="Hyperlink"/>
          <w:rFonts w:cstheme="minorHAnsi"/>
        </w:rPr>
        <w:fldChar w:fldCharType="begin"/>
      </w:r>
      <w:r>
        <w:rPr>
          <w:rStyle w:val="Hyperlink"/>
          <w:rFonts w:cstheme="minorHAnsi"/>
        </w:rPr>
        <w:instrText>HYPERLINK "https://www.legislation.gov.au/Series/C2020A00012"</w:instrText>
      </w:r>
      <w:r w:rsidRPr="00B47475">
        <w:rPr>
          <w:rStyle w:val="Hyperlink"/>
          <w:rFonts w:cstheme="minorHAnsi"/>
        </w:rPr>
      </w:r>
      <w:r w:rsidRPr="00B47475">
        <w:rPr>
          <w:rStyle w:val="Hyperlink"/>
          <w:rFonts w:cstheme="minorHAnsi"/>
        </w:rPr>
        <w:fldChar w:fldCharType="separate"/>
      </w:r>
      <w:r w:rsidRPr="001C6D19">
        <w:rPr>
          <w:rStyle w:val="Hyperlink"/>
          <w:rFonts w:cstheme="minorHAnsi"/>
        </w:rPr>
        <w:t>Export Control Act 2020</w:t>
      </w:r>
    </w:p>
    <w:p w14:paraId="691C899B" w14:textId="77777777" w:rsidR="00B47475" w:rsidRPr="00B47475" w:rsidRDefault="00E620A0" w:rsidP="00B47475">
      <w:pPr>
        <w:pStyle w:val="ListBullet"/>
        <w:rPr>
          <w:rFonts w:cstheme="minorHAnsi"/>
          <w:color w:val="165788"/>
          <w:u w:val="single"/>
        </w:rPr>
      </w:pPr>
      <w:r w:rsidRPr="00B47475">
        <w:rPr>
          <w:rStyle w:val="Hyperlink"/>
          <w:rFonts w:cstheme="minorHAnsi"/>
        </w:rPr>
        <w:fldChar w:fldCharType="end"/>
      </w:r>
      <w:hyperlink r:id="rId13" w:history="1">
        <w:r w:rsidR="00B47475" w:rsidRPr="00B47475">
          <w:rPr>
            <w:rFonts w:cstheme="minorHAnsi"/>
            <w:color w:val="165788"/>
            <w:u w:val="single"/>
          </w:rPr>
          <w:t>Export Control (Animals) Rules 2021</w:t>
        </w:r>
      </w:hyperlink>
    </w:p>
    <w:p w14:paraId="43486195" w14:textId="6840D894" w:rsidR="00F334D6" w:rsidRPr="00C52DF1" w:rsidRDefault="00F334D6" w:rsidP="00EB3458">
      <w:pPr>
        <w:pStyle w:val="ListBullet"/>
        <w:rPr>
          <w:rStyle w:val="Hyperlink"/>
          <w:rFonts w:cstheme="minorHAnsi"/>
        </w:rPr>
      </w:pPr>
      <w:r w:rsidRPr="00C52DF1">
        <w:rPr>
          <w:rStyle w:val="Hyperlink"/>
          <w:rFonts w:cstheme="minorHAnsi"/>
        </w:rPr>
        <w:fldChar w:fldCharType="begin"/>
      </w:r>
      <w:r w:rsidRPr="00B47475">
        <w:rPr>
          <w:rStyle w:val="Hyperlink"/>
          <w:rFonts w:cstheme="minorHAnsi"/>
        </w:rPr>
        <w:instrText>HYPERLINK "https://www.agriculture.gov.au/biosecurity-trade/export/controlled-goods/live-animals/livestock/australian-standards-livestock" \l "calculators-and-guides"</w:instrText>
      </w:r>
      <w:r w:rsidRPr="00C52DF1">
        <w:rPr>
          <w:rStyle w:val="Hyperlink"/>
          <w:rFonts w:cstheme="minorHAnsi"/>
        </w:rPr>
      </w:r>
      <w:r w:rsidRPr="00C52DF1">
        <w:rPr>
          <w:rStyle w:val="Hyperlink"/>
          <w:rFonts w:cstheme="minorHAnsi"/>
        </w:rPr>
        <w:fldChar w:fldCharType="separate"/>
      </w:r>
      <w:r w:rsidRPr="00B47475">
        <w:rPr>
          <w:rStyle w:val="Hyperlink"/>
          <w:rFonts w:cstheme="minorHAnsi"/>
        </w:rPr>
        <w:t xml:space="preserve">Policy for Calculating onboard feed and water provisions under </w:t>
      </w:r>
      <w:proofErr w:type="gramStart"/>
      <w:r w:rsidRPr="00B47475">
        <w:rPr>
          <w:rStyle w:val="Hyperlink"/>
          <w:rFonts w:cstheme="minorHAnsi"/>
        </w:rPr>
        <w:t>ASEL</w:t>
      </w:r>
      <w:proofErr w:type="gramEnd"/>
    </w:p>
    <w:p w14:paraId="05EB8B18" w14:textId="7F440AF9" w:rsidR="00F334D6" w:rsidRDefault="00F334D6" w:rsidP="00E620A0">
      <w:pPr>
        <w:pStyle w:val="ListBullet"/>
        <w:rPr>
          <w:rStyle w:val="Hyperlink"/>
        </w:rPr>
      </w:pPr>
      <w:r w:rsidRPr="00C52DF1">
        <w:rPr>
          <w:rStyle w:val="Hyperlink"/>
          <w:rFonts w:cstheme="minorHAnsi"/>
        </w:rPr>
        <w:fldChar w:fldCharType="end"/>
      </w:r>
      <w:hyperlink r:id="rId14" w:anchor="calculators-and-guides" w:history="1">
        <w:r w:rsidRPr="00E620A0">
          <w:rPr>
            <w:rStyle w:val="Hyperlink"/>
          </w:rPr>
          <w:t>Policy for Voyage length calculations under ASEL</w:t>
        </w:r>
      </w:hyperlink>
    </w:p>
    <w:bookmarkStart w:id="3" w:name="_Hlk133249310"/>
    <w:p w14:paraId="7065FA4D" w14:textId="52F59157" w:rsidR="00C52DF1" w:rsidRPr="00C52DF1" w:rsidRDefault="007B70A1" w:rsidP="00C52DF1">
      <w:pPr>
        <w:pStyle w:val="ListBullet"/>
      </w:pPr>
      <w:r>
        <w:fldChar w:fldCharType="begin"/>
      </w:r>
      <w:r>
        <w:instrText>HYPERLINK "https://www.agriculture.gov.au/biosecurity-trade/export/controlled-goods/live-animals/livestock/regulating-live-animal-exports"</w:instrText>
      </w:r>
      <w:r>
        <w:fldChar w:fldCharType="separate"/>
      </w:r>
      <w:r w:rsidR="00C52DF1" w:rsidRPr="00C52DF1">
        <w:rPr>
          <w:rStyle w:val="Hyperlink"/>
        </w:rPr>
        <w:t>Regulating live animal exports</w:t>
      </w:r>
      <w:r>
        <w:rPr>
          <w:rStyle w:val="Hyperlink"/>
        </w:rPr>
        <w:fldChar w:fldCharType="end"/>
      </w:r>
    </w:p>
    <w:bookmarkEnd w:id="3"/>
    <w:p w14:paraId="0EED663A" w14:textId="3AE81BF6" w:rsidR="00F334D6" w:rsidRPr="00F334D6" w:rsidRDefault="007B70A1" w:rsidP="00F334D6">
      <w:pPr>
        <w:pStyle w:val="ListBullet"/>
        <w:rPr>
          <w:rFonts w:cstheme="minorHAnsi"/>
          <w:color w:val="165788"/>
          <w:u w:val="single"/>
        </w:rPr>
      </w:pPr>
      <w:r>
        <w:fldChar w:fldCharType="begin"/>
      </w:r>
      <w:r>
        <w:instrText>HYPERLINK "https://trace.agriculture.gov.au/Account/LogOn?ReturnUrl=%2f"</w:instrText>
      </w:r>
      <w:r>
        <w:fldChar w:fldCharType="separate"/>
      </w:r>
      <w:r w:rsidR="00F334D6" w:rsidRPr="001C6D19">
        <w:rPr>
          <w:rStyle w:val="Hyperlink"/>
          <w:rFonts w:cstheme="minorHAnsi"/>
        </w:rPr>
        <w:t>TRACE</w:t>
      </w:r>
      <w:r>
        <w:rPr>
          <w:rStyle w:val="Hyperlink"/>
          <w:rFonts w:cstheme="minorHAnsi"/>
        </w:rPr>
        <w:fldChar w:fldCharType="end"/>
      </w:r>
      <w:bookmarkStart w:id="4" w:name="_Appendix_A"/>
      <w:bookmarkEnd w:id="4"/>
    </w:p>
    <w:p w14:paraId="4114AA99" w14:textId="7713D7A0" w:rsidR="00E362EF" w:rsidRDefault="003A41B7" w:rsidP="00460750">
      <w:pPr>
        <w:pStyle w:val="Heading2"/>
        <w:pageBreakBefore/>
        <w:numPr>
          <w:ilvl w:val="0"/>
          <w:numId w:val="0"/>
        </w:numPr>
        <w:spacing w:before="120"/>
        <w:ind w:left="720" w:hanging="720"/>
      </w:pPr>
      <w:bookmarkStart w:id="5" w:name="Title_A2"/>
      <w:bookmarkEnd w:id="5"/>
      <w:r>
        <w:lastRenderedPageBreak/>
        <w:t>Version control</w:t>
      </w:r>
    </w:p>
    <w:tbl>
      <w:tblPr>
        <w:tblStyle w:val="TableGrid"/>
        <w:tblW w:w="0" w:type="auto"/>
        <w:tblLook w:val="04A0" w:firstRow="1" w:lastRow="0" w:firstColumn="1" w:lastColumn="0" w:noHBand="0" w:noVBand="1"/>
      </w:tblPr>
      <w:tblGrid>
        <w:gridCol w:w="1134"/>
        <w:gridCol w:w="1560"/>
        <w:gridCol w:w="2693"/>
        <w:gridCol w:w="3673"/>
      </w:tblGrid>
      <w:tr w:rsidR="003A41B7" w:rsidRPr="003A41B7" w14:paraId="06C65528" w14:textId="77777777" w:rsidTr="00B754CF">
        <w:tc>
          <w:tcPr>
            <w:tcW w:w="1134" w:type="dxa"/>
            <w:tcBorders>
              <w:left w:val="nil"/>
              <w:bottom w:val="single" w:sz="4" w:space="0" w:color="auto"/>
              <w:right w:val="nil"/>
            </w:tcBorders>
          </w:tcPr>
          <w:p w14:paraId="2407DBB8" w14:textId="77777777" w:rsidR="003A41B7" w:rsidRPr="003A41B7" w:rsidRDefault="003A41B7" w:rsidP="007E0D66">
            <w:pPr>
              <w:pStyle w:val="TableHeading"/>
              <w:rPr>
                <w:lang w:eastAsia="ja-JP"/>
              </w:rPr>
            </w:pPr>
            <w:r w:rsidRPr="003A41B7">
              <w:t>Version</w:t>
            </w:r>
          </w:p>
        </w:tc>
        <w:tc>
          <w:tcPr>
            <w:tcW w:w="1560" w:type="dxa"/>
            <w:tcBorders>
              <w:left w:val="nil"/>
              <w:bottom w:val="single" w:sz="4" w:space="0" w:color="auto"/>
              <w:right w:val="nil"/>
            </w:tcBorders>
          </w:tcPr>
          <w:p w14:paraId="5C84DACA" w14:textId="77777777" w:rsidR="003A41B7" w:rsidRPr="003A41B7" w:rsidRDefault="003A41B7" w:rsidP="007E0D66">
            <w:pPr>
              <w:pStyle w:val="TableHeading"/>
              <w:rPr>
                <w:rFonts w:cstheme="minorHAnsi"/>
                <w:bCs/>
                <w:lang w:eastAsia="ja-JP"/>
              </w:rPr>
            </w:pPr>
            <w:r w:rsidRPr="003A41B7">
              <w:rPr>
                <w:rFonts w:cstheme="minorHAnsi"/>
                <w:bCs/>
              </w:rPr>
              <w:t>Date of issue</w:t>
            </w:r>
          </w:p>
        </w:tc>
        <w:tc>
          <w:tcPr>
            <w:tcW w:w="2693" w:type="dxa"/>
            <w:tcBorders>
              <w:left w:val="nil"/>
              <w:bottom w:val="single" w:sz="4" w:space="0" w:color="auto"/>
              <w:right w:val="nil"/>
            </w:tcBorders>
          </w:tcPr>
          <w:p w14:paraId="6FCA5304" w14:textId="77777777" w:rsidR="003A41B7" w:rsidRPr="003A41B7" w:rsidRDefault="003A41B7" w:rsidP="007E0D66">
            <w:pPr>
              <w:pStyle w:val="TableHeading"/>
              <w:rPr>
                <w:rFonts w:cstheme="minorHAnsi"/>
                <w:bCs/>
                <w:lang w:eastAsia="ja-JP"/>
              </w:rPr>
            </w:pPr>
            <w:r w:rsidRPr="003A41B7">
              <w:rPr>
                <w:rFonts w:cstheme="minorHAnsi"/>
                <w:bCs/>
              </w:rPr>
              <w:t>Author</w:t>
            </w:r>
          </w:p>
        </w:tc>
        <w:tc>
          <w:tcPr>
            <w:tcW w:w="3673" w:type="dxa"/>
            <w:tcBorders>
              <w:left w:val="nil"/>
              <w:bottom w:val="single" w:sz="4" w:space="0" w:color="auto"/>
              <w:right w:val="nil"/>
            </w:tcBorders>
          </w:tcPr>
          <w:p w14:paraId="3FDFC647" w14:textId="77777777" w:rsidR="003A41B7" w:rsidRPr="003A41B7" w:rsidRDefault="003A41B7" w:rsidP="007E0D66">
            <w:pPr>
              <w:pStyle w:val="TableHeading"/>
              <w:rPr>
                <w:rFonts w:cstheme="minorHAnsi"/>
                <w:bCs/>
                <w:lang w:eastAsia="ja-JP"/>
              </w:rPr>
            </w:pPr>
            <w:r w:rsidRPr="003A41B7">
              <w:rPr>
                <w:rFonts w:cstheme="minorHAnsi"/>
                <w:bCs/>
              </w:rPr>
              <w:t>Reason for change</w:t>
            </w:r>
          </w:p>
        </w:tc>
      </w:tr>
      <w:tr w:rsidR="003A41B7" w:rsidRPr="003A41B7" w14:paraId="4FD0A27F" w14:textId="77777777" w:rsidTr="00B754CF">
        <w:tc>
          <w:tcPr>
            <w:tcW w:w="1134" w:type="dxa"/>
            <w:tcBorders>
              <w:left w:val="nil"/>
              <w:right w:val="nil"/>
            </w:tcBorders>
          </w:tcPr>
          <w:p w14:paraId="01BD9E53" w14:textId="77777777" w:rsidR="003A41B7" w:rsidRPr="003A41B7" w:rsidRDefault="003A41B7" w:rsidP="007E0D66">
            <w:pPr>
              <w:pStyle w:val="TableText"/>
              <w:rPr>
                <w:lang w:eastAsia="ja-JP"/>
              </w:rPr>
            </w:pPr>
            <w:r w:rsidRPr="003A41B7">
              <w:rPr>
                <w:lang w:eastAsia="ja-JP"/>
              </w:rPr>
              <w:t>1.0</w:t>
            </w:r>
          </w:p>
        </w:tc>
        <w:tc>
          <w:tcPr>
            <w:tcW w:w="1560" w:type="dxa"/>
            <w:tcBorders>
              <w:left w:val="nil"/>
              <w:right w:val="nil"/>
            </w:tcBorders>
          </w:tcPr>
          <w:p w14:paraId="626F91DE" w14:textId="337EAB25" w:rsidR="003A41B7" w:rsidRPr="003A41B7" w:rsidRDefault="009E6234" w:rsidP="007E0D66">
            <w:pPr>
              <w:pStyle w:val="TableText"/>
              <w:rPr>
                <w:lang w:eastAsia="ja-JP"/>
              </w:rPr>
            </w:pPr>
            <w:r>
              <w:rPr>
                <w:lang w:eastAsia="ja-JP"/>
              </w:rPr>
              <w:t xml:space="preserve">October </w:t>
            </w:r>
            <w:r w:rsidR="003A41B7" w:rsidRPr="003A41B7">
              <w:rPr>
                <w:lang w:eastAsia="ja-JP"/>
              </w:rPr>
              <w:t>202</w:t>
            </w:r>
            <w:r>
              <w:rPr>
                <w:lang w:eastAsia="ja-JP"/>
              </w:rPr>
              <w:t>0</w:t>
            </w:r>
          </w:p>
        </w:tc>
        <w:tc>
          <w:tcPr>
            <w:tcW w:w="2693" w:type="dxa"/>
            <w:tcBorders>
              <w:left w:val="nil"/>
              <w:right w:val="nil"/>
            </w:tcBorders>
          </w:tcPr>
          <w:p w14:paraId="6D3BE8EF" w14:textId="77777777" w:rsidR="003A41B7" w:rsidRPr="003A41B7" w:rsidRDefault="003A41B7" w:rsidP="007E0D66">
            <w:pPr>
              <w:pStyle w:val="TableText"/>
              <w:rPr>
                <w:lang w:eastAsia="ja-JP"/>
              </w:rPr>
            </w:pPr>
            <w:r w:rsidRPr="003A41B7">
              <w:rPr>
                <w:lang w:eastAsia="ja-JP"/>
              </w:rPr>
              <w:t>Live Animal Export Branch</w:t>
            </w:r>
          </w:p>
        </w:tc>
        <w:tc>
          <w:tcPr>
            <w:tcW w:w="3673" w:type="dxa"/>
            <w:tcBorders>
              <w:left w:val="nil"/>
              <w:right w:val="nil"/>
            </w:tcBorders>
          </w:tcPr>
          <w:p w14:paraId="2E641043" w14:textId="761529B9" w:rsidR="003A41B7" w:rsidRPr="003A41B7" w:rsidRDefault="003A41B7" w:rsidP="007E0D66">
            <w:pPr>
              <w:pStyle w:val="TableText"/>
              <w:rPr>
                <w:lang w:eastAsia="ja-JP"/>
              </w:rPr>
            </w:pPr>
            <w:r w:rsidRPr="003A41B7">
              <w:rPr>
                <w:lang w:eastAsia="ja-JP"/>
              </w:rPr>
              <w:t>First publication</w:t>
            </w:r>
          </w:p>
        </w:tc>
      </w:tr>
      <w:tr w:rsidR="003A41B7" w:rsidRPr="003A41B7" w14:paraId="6CE2DDAB" w14:textId="77777777" w:rsidTr="00B754CF">
        <w:tc>
          <w:tcPr>
            <w:tcW w:w="1134" w:type="dxa"/>
            <w:tcBorders>
              <w:left w:val="nil"/>
              <w:right w:val="nil"/>
            </w:tcBorders>
          </w:tcPr>
          <w:p w14:paraId="11F6B8E8" w14:textId="48F0540E" w:rsidR="003A41B7" w:rsidRPr="003A41B7" w:rsidRDefault="00391ABB" w:rsidP="007E0D66">
            <w:pPr>
              <w:pStyle w:val="TableText"/>
              <w:rPr>
                <w:lang w:eastAsia="ja-JP"/>
              </w:rPr>
            </w:pPr>
            <w:r>
              <w:rPr>
                <w:lang w:eastAsia="ja-JP"/>
              </w:rPr>
              <w:t>2.0</w:t>
            </w:r>
          </w:p>
        </w:tc>
        <w:tc>
          <w:tcPr>
            <w:tcW w:w="1560" w:type="dxa"/>
            <w:tcBorders>
              <w:left w:val="nil"/>
              <w:right w:val="nil"/>
            </w:tcBorders>
          </w:tcPr>
          <w:p w14:paraId="41205CCB" w14:textId="3B892304" w:rsidR="003A41B7" w:rsidRPr="003A41B7" w:rsidRDefault="00081697" w:rsidP="007E0D66">
            <w:pPr>
              <w:pStyle w:val="TableText"/>
              <w:rPr>
                <w:lang w:eastAsia="ja-JP"/>
              </w:rPr>
            </w:pPr>
            <w:r>
              <w:rPr>
                <w:lang w:eastAsia="ja-JP"/>
              </w:rPr>
              <w:t>June</w:t>
            </w:r>
            <w:r w:rsidR="003A41B7" w:rsidRPr="007C194D">
              <w:rPr>
                <w:lang w:eastAsia="ja-JP"/>
              </w:rPr>
              <w:t xml:space="preserve"> 2023</w:t>
            </w:r>
          </w:p>
        </w:tc>
        <w:tc>
          <w:tcPr>
            <w:tcW w:w="2693" w:type="dxa"/>
            <w:tcBorders>
              <w:left w:val="nil"/>
              <w:right w:val="nil"/>
            </w:tcBorders>
          </w:tcPr>
          <w:p w14:paraId="1194C0A6" w14:textId="77777777" w:rsidR="003A41B7" w:rsidRPr="003A41B7" w:rsidRDefault="003A41B7" w:rsidP="007E0D66">
            <w:pPr>
              <w:pStyle w:val="TableText"/>
              <w:rPr>
                <w:lang w:eastAsia="ja-JP"/>
              </w:rPr>
            </w:pPr>
            <w:r w:rsidRPr="003A41B7">
              <w:rPr>
                <w:lang w:eastAsia="ja-JP"/>
              </w:rPr>
              <w:t>Live Animal Export Branch</w:t>
            </w:r>
          </w:p>
        </w:tc>
        <w:tc>
          <w:tcPr>
            <w:tcW w:w="3673" w:type="dxa"/>
            <w:tcBorders>
              <w:left w:val="nil"/>
              <w:right w:val="nil"/>
            </w:tcBorders>
          </w:tcPr>
          <w:p w14:paraId="05DE782C" w14:textId="07BE2E99" w:rsidR="003A41B7" w:rsidRDefault="003A41B7" w:rsidP="007E0D66">
            <w:pPr>
              <w:pStyle w:val="TableText"/>
              <w:rPr>
                <w:lang w:eastAsia="ja-JP"/>
              </w:rPr>
            </w:pPr>
            <w:r w:rsidRPr="003A41B7">
              <w:rPr>
                <w:lang w:eastAsia="ja-JP"/>
              </w:rPr>
              <w:t>Update</w:t>
            </w:r>
            <w:r w:rsidR="00B754CF">
              <w:rPr>
                <w:lang w:eastAsia="ja-JP"/>
              </w:rPr>
              <w:t>s to</w:t>
            </w:r>
            <w:r w:rsidRPr="003A41B7">
              <w:rPr>
                <w:lang w:eastAsia="ja-JP"/>
              </w:rPr>
              <w:t xml:space="preserve"> department branding and </w:t>
            </w:r>
            <w:r w:rsidR="005C35FA">
              <w:rPr>
                <w:lang w:eastAsia="ja-JP"/>
              </w:rPr>
              <w:t xml:space="preserve">document </w:t>
            </w:r>
            <w:proofErr w:type="gramStart"/>
            <w:r w:rsidR="005C35FA">
              <w:rPr>
                <w:lang w:eastAsia="ja-JP"/>
              </w:rPr>
              <w:t>formatting</w:t>
            </w:r>
            <w:proofErr w:type="gramEnd"/>
          </w:p>
          <w:p w14:paraId="12AF5F2C" w14:textId="6283193B" w:rsidR="00391ABB" w:rsidRPr="003A41B7" w:rsidDel="00CF341D" w:rsidRDefault="00391ABB" w:rsidP="007E0D66">
            <w:pPr>
              <w:pStyle w:val="TableText"/>
              <w:rPr>
                <w:lang w:eastAsia="ja-JP"/>
              </w:rPr>
            </w:pPr>
            <w:r>
              <w:rPr>
                <w:lang w:eastAsia="ja-JP"/>
              </w:rPr>
              <w:t xml:space="preserve">Update to </w:t>
            </w:r>
            <w:r w:rsidRPr="00332203">
              <w:rPr>
                <w:lang w:eastAsia="ja-JP"/>
              </w:rPr>
              <w:t>alternative pen space</w:t>
            </w:r>
            <w:r>
              <w:rPr>
                <w:lang w:eastAsia="ja-JP"/>
              </w:rPr>
              <w:t xml:space="preserve"> allocation tables to align with ASEL</w:t>
            </w:r>
          </w:p>
        </w:tc>
      </w:tr>
    </w:tbl>
    <w:p w14:paraId="70B76011" w14:textId="77777777" w:rsidR="007E0D66" w:rsidRDefault="007E0D66" w:rsidP="008D1B48">
      <w:pPr>
        <w:pStyle w:val="Normalsmall"/>
        <w:rPr>
          <w:rStyle w:val="Strong"/>
        </w:rPr>
      </w:pPr>
    </w:p>
    <w:p w14:paraId="5DD1E38C" w14:textId="75F91C16" w:rsidR="008D1B48" w:rsidRDefault="008D1B48" w:rsidP="008D1B48">
      <w:pPr>
        <w:pStyle w:val="Normalsmall"/>
      </w:pPr>
      <w:r>
        <w:rPr>
          <w:rStyle w:val="Strong"/>
        </w:rPr>
        <w:t>Acknowledgement of Country</w:t>
      </w:r>
    </w:p>
    <w:p w14:paraId="58136B3E" w14:textId="77777777" w:rsidR="008D1B48" w:rsidRDefault="008D1B48" w:rsidP="008D1B48">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C060D40" w14:textId="77777777" w:rsidR="00262394" w:rsidRDefault="00262394" w:rsidP="00262394">
      <w:pPr>
        <w:pStyle w:val="Normalsmall"/>
        <w:spacing w:before="360"/>
      </w:pPr>
      <w:r>
        <w:t>© Commonwealth of Australia 202</w:t>
      </w:r>
      <w:r w:rsidR="00340820">
        <w:t>3</w:t>
      </w:r>
    </w:p>
    <w:p w14:paraId="0F374764"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6BA739C" w14:textId="77777777" w:rsidR="00262394" w:rsidRDefault="00262394" w:rsidP="00262394">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9F20EEC"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262394" w:rsidSect="00EF7461">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4F6" w14:textId="77777777" w:rsidR="00883AB0" w:rsidRDefault="00883AB0">
      <w:r>
        <w:separator/>
      </w:r>
    </w:p>
    <w:p w14:paraId="0FD03F97" w14:textId="77777777" w:rsidR="00883AB0" w:rsidRDefault="00883AB0"/>
    <w:p w14:paraId="43243EC0" w14:textId="77777777" w:rsidR="00883AB0" w:rsidRDefault="00883AB0"/>
  </w:endnote>
  <w:endnote w:type="continuationSeparator" w:id="0">
    <w:p w14:paraId="60C3B2C9" w14:textId="77777777" w:rsidR="00883AB0" w:rsidRDefault="00883AB0">
      <w:r>
        <w:continuationSeparator/>
      </w:r>
    </w:p>
    <w:p w14:paraId="4EAEBC55" w14:textId="77777777" w:rsidR="00883AB0" w:rsidRDefault="00883AB0"/>
    <w:p w14:paraId="207BF7A0" w14:textId="77777777" w:rsidR="00883AB0" w:rsidRDefault="00883AB0"/>
  </w:endnote>
  <w:endnote w:type="continuationNotice" w:id="1">
    <w:p w14:paraId="3B80CED7" w14:textId="77777777" w:rsidR="00883AB0" w:rsidRDefault="00883AB0">
      <w:pPr>
        <w:pStyle w:val="Footer"/>
      </w:pPr>
    </w:p>
    <w:p w14:paraId="578BD1C4" w14:textId="77777777" w:rsidR="00883AB0" w:rsidRDefault="00883AB0"/>
    <w:p w14:paraId="29FB26DE" w14:textId="77777777" w:rsidR="00883AB0" w:rsidRDefault="0088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F105" w14:textId="77777777" w:rsidR="002A193C" w:rsidRDefault="007B1F92">
    <w:pPr>
      <w:pStyle w:val="Footer"/>
    </w:pPr>
    <w:r w:rsidRPr="007B1F92">
      <w:t>Department of Agriculture, Fisheries and Forestry</w:t>
    </w:r>
  </w:p>
  <w:p w14:paraId="4E741F7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B26E" w14:textId="77777777" w:rsidR="002A193C" w:rsidRDefault="002A193C">
    <w:pPr>
      <w:pStyle w:val="Footer"/>
    </w:pPr>
    <w:r>
      <w:t xml:space="preserve">Department of Agriculture, </w:t>
    </w:r>
    <w:r w:rsidR="00A9002C">
      <w:t>Fisheries and Forestry</w:t>
    </w:r>
  </w:p>
  <w:p w14:paraId="131E0785"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56C6" w14:textId="77777777" w:rsidR="00883AB0" w:rsidRDefault="00883AB0">
      <w:r>
        <w:separator/>
      </w:r>
    </w:p>
    <w:p w14:paraId="755FB468" w14:textId="77777777" w:rsidR="00883AB0" w:rsidRDefault="00883AB0"/>
    <w:p w14:paraId="7398E8BF" w14:textId="77777777" w:rsidR="00883AB0" w:rsidRDefault="00883AB0"/>
  </w:footnote>
  <w:footnote w:type="continuationSeparator" w:id="0">
    <w:p w14:paraId="65439CD3" w14:textId="77777777" w:rsidR="00883AB0" w:rsidRDefault="00883AB0">
      <w:r>
        <w:continuationSeparator/>
      </w:r>
    </w:p>
    <w:p w14:paraId="6DE438A5" w14:textId="77777777" w:rsidR="00883AB0" w:rsidRDefault="00883AB0"/>
    <w:p w14:paraId="675E04A8" w14:textId="77777777" w:rsidR="00883AB0" w:rsidRDefault="00883AB0"/>
  </w:footnote>
  <w:footnote w:type="continuationNotice" w:id="1">
    <w:p w14:paraId="2B31887A" w14:textId="77777777" w:rsidR="00883AB0" w:rsidRDefault="00883AB0">
      <w:pPr>
        <w:pStyle w:val="Footer"/>
      </w:pPr>
    </w:p>
    <w:p w14:paraId="264D83B8" w14:textId="77777777" w:rsidR="00883AB0" w:rsidRDefault="00883AB0"/>
    <w:p w14:paraId="06C2E3B1" w14:textId="77777777" w:rsidR="00883AB0" w:rsidRDefault="00883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1754" w14:textId="0D6CFD15" w:rsidR="001C6D19" w:rsidRDefault="001C6D19" w:rsidP="001C6D19">
    <w:pPr>
      <w:pStyle w:val="Header"/>
    </w:pPr>
    <w:r>
      <w:t>Voyage reporting requirements under ASEL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3946" w14:textId="696D2E4B" w:rsidR="002A193C" w:rsidRDefault="00D36729">
    <w:pPr>
      <w:pStyle w:val="Header"/>
      <w:jc w:val="left"/>
    </w:pPr>
    <w:r>
      <w:rPr>
        <w:noProof/>
        <w:lang w:eastAsia="en-AU"/>
      </w:rPr>
      <w:drawing>
        <wp:inline distT="0" distB="0" distL="0" distR="0" wp14:anchorId="26E9B587" wp14:editId="6EE5BF7A">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F9683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E111DB8"/>
    <w:multiLevelType w:val="multilevel"/>
    <w:tmpl w:val="B95457A8"/>
    <w:numStyleLink w:val="Headinglist"/>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A0241B28"/>
    <w:styleLink w:val="Heading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37268471">
    <w:abstractNumId w:val="9"/>
  </w:num>
  <w:num w:numId="2" w16cid:durableId="1355770275">
    <w:abstractNumId w:val="10"/>
  </w:num>
  <w:num w:numId="3" w16cid:durableId="1882862685">
    <w:abstractNumId w:val="4"/>
  </w:num>
  <w:num w:numId="4" w16cid:durableId="286162399">
    <w:abstractNumId w:val="6"/>
  </w:num>
  <w:num w:numId="5" w16cid:durableId="1314989398">
    <w:abstractNumId w:val="8"/>
  </w:num>
  <w:num w:numId="6" w16cid:durableId="951480071">
    <w:abstractNumId w:val="5"/>
  </w:num>
  <w:num w:numId="7" w16cid:durableId="1942100909">
    <w:abstractNumId w:val="4"/>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698308952">
    <w:abstractNumId w:val="9"/>
  </w:num>
  <w:num w:numId="9" w16cid:durableId="547035718">
    <w:abstractNumId w:val="10"/>
  </w:num>
  <w:num w:numId="10" w16cid:durableId="1145393031">
    <w:abstractNumId w:val="1"/>
  </w:num>
  <w:num w:numId="11" w16cid:durableId="919363984">
    <w:abstractNumId w:val="7"/>
  </w:num>
  <w:num w:numId="12" w16cid:durableId="46491309">
    <w:abstractNumId w:val="3"/>
    <w:lvlOverride w:ilvl="0">
      <w:lvl w:ilvl="0">
        <w:start w:val="1"/>
        <w:numFmt w:val="decimal"/>
        <w:lvlText w:val="%1)"/>
        <w:lvlJc w:val="left"/>
        <w:pPr>
          <w:ind w:left="425" w:hanging="425"/>
        </w:pPr>
        <w:rPr>
          <w:rFonts w:hint="default"/>
          <w:color w:val="auto"/>
        </w:rPr>
      </w:lvl>
    </w:lvlOverride>
  </w:num>
  <w:num w:numId="13" w16cid:durableId="122429552">
    <w:abstractNumId w:val="2"/>
    <w:lvlOverride w:ilvl="0">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14" w16cid:durableId="1491096642">
    <w:abstractNumId w:val="2"/>
  </w:num>
  <w:num w:numId="15" w16cid:durableId="77741307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0"/>
    <w:rsid w:val="000236C1"/>
    <w:rsid w:val="00025539"/>
    <w:rsid w:val="00076A29"/>
    <w:rsid w:val="00081697"/>
    <w:rsid w:val="00082CB7"/>
    <w:rsid w:val="000C5BBF"/>
    <w:rsid w:val="000D6DD8"/>
    <w:rsid w:val="00112B86"/>
    <w:rsid w:val="00113613"/>
    <w:rsid w:val="001567E9"/>
    <w:rsid w:val="001625AF"/>
    <w:rsid w:val="00183612"/>
    <w:rsid w:val="001A1F79"/>
    <w:rsid w:val="001B1009"/>
    <w:rsid w:val="001C3583"/>
    <w:rsid w:val="001C6D19"/>
    <w:rsid w:val="001D77BC"/>
    <w:rsid w:val="001E1C4C"/>
    <w:rsid w:val="00201500"/>
    <w:rsid w:val="002159B9"/>
    <w:rsid w:val="00234983"/>
    <w:rsid w:val="00262394"/>
    <w:rsid w:val="002A193C"/>
    <w:rsid w:val="002A7404"/>
    <w:rsid w:val="00305911"/>
    <w:rsid w:val="003214F8"/>
    <w:rsid w:val="00332203"/>
    <w:rsid w:val="00340820"/>
    <w:rsid w:val="003558E7"/>
    <w:rsid w:val="00357095"/>
    <w:rsid w:val="00362353"/>
    <w:rsid w:val="00381D23"/>
    <w:rsid w:val="00391ABB"/>
    <w:rsid w:val="00396339"/>
    <w:rsid w:val="003A41B7"/>
    <w:rsid w:val="003A4B4A"/>
    <w:rsid w:val="003D3CE1"/>
    <w:rsid w:val="003D44DC"/>
    <w:rsid w:val="003F46C2"/>
    <w:rsid w:val="00402404"/>
    <w:rsid w:val="00406AC2"/>
    <w:rsid w:val="00425BAD"/>
    <w:rsid w:val="00460750"/>
    <w:rsid w:val="004705F2"/>
    <w:rsid w:val="00473964"/>
    <w:rsid w:val="004776F8"/>
    <w:rsid w:val="004837B1"/>
    <w:rsid w:val="0048569E"/>
    <w:rsid w:val="00486C20"/>
    <w:rsid w:val="00490E7F"/>
    <w:rsid w:val="004B7CA4"/>
    <w:rsid w:val="004C6362"/>
    <w:rsid w:val="004C6C47"/>
    <w:rsid w:val="004E7D8C"/>
    <w:rsid w:val="005079D8"/>
    <w:rsid w:val="005C35FA"/>
    <w:rsid w:val="005F0E4D"/>
    <w:rsid w:val="00611DA7"/>
    <w:rsid w:val="006416D4"/>
    <w:rsid w:val="006D57DC"/>
    <w:rsid w:val="00727851"/>
    <w:rsid w:val="00733D05"/>
    <w:rsid w:val="007405CB"/>
    <w:rsid w:val="0076663B"/>
    <w:rsid w:val="007B1F92"/>
    <w:rsid w:val="007B70A1"/>
    <w:rsid w:val="007C194D"/>
    <w:rsid w:val="007C5B94"/>
    <w:rsid w:val="007E0D66"/>
    <w:rsid w:val="008153FE"/>
    <w:rsid w:val="0082249A"/>
    <w:rsid w:val="00833933"/>
    <w:rsid w:val="00882CE1"/>
    <w:rsid w:val="00883AB0"/>
    <w:rsid w:val="008A3190"/>
    <w:rsid w:val="008D1B48"/>
    <w:rsid w:val="008F3EFB"/>
    <w:rsid w:val="0090774C"/>
    <w:rsid w:val="009271AF"/>
    <w:rsid w:val="009679F4"/>
    <w:rsid w:val="00991227"/>
    <w:rsid w:val="009C40E5"/>
    <w:rsid w:val="009E6234"/>
    <w:rsid w:val="00A26D23"/>
    <w:rsid w:val="00A30B46"/>
    <w:rsid w:val="00A50853"/>
    <w:rsid w:val="00A7782E"/>
    <w:rsid w:val="00A9002C"/>
    <w:rsid w:val="00AA70E3"/>
    <w:rsid w:val="00AB0FBE"/>
    <w:rsid w:val="00AF1742"/>
    <w:rsid w:val="00AF1EB9"/>
    <w:rsid w:val="00AF5211"/>
    <w:rsid w:val="00B01FB8"/>
    <w:rsid w:val="00B21F95"/>
    <w:rsid w:val="00B35721"/>
    <w:rsid w:val="00B43A41"/>
    <w:rsid w:val="00B47475"/>
    <w:rsid w:val="00B5453F"/>
    <w:rsid w:val="00B54F61"/>
    <w:rsid w:val="00B754CF"/>
    <w:rsid w:val="00BA0AFF"/>
    <w:rsid w:val="00BB6ACE"/>
    <w:rsid w:val="00BC6BA3"/>
    <w:rsid w:val="00BD2275"/>
    <w:rsid w:val="00BE66BB"/>
    <w:rsid w:val="00C00AAC"/>
    <w:rsid w:val="00C05EA8"/>
    <w:rsid w:val="00C06619"/>
    <w:rsid w:val="00C36A87"/>
    <w:rsid w:val="00C51E35"/>
    <w:rsid w:val="00C52DF1"/>
    <w:rsid w:val="00C759F8"/>
    <w:rsid w:val="00CA3695"/>
    <w:rsid w:val="00CA7D23"/>
    <w:rsid w:val="00D06356"/>
    <w:rsid w:val="00D16A96"/>
    <w:rsid w:val="00D36729"/>
    <w:rsid w:val="00D44D54"/>
    <w:rsid w:val="00D45274"/>
    <w:rsid w:val="00D45E0E"/>
    <w:rsid w:val="00D57861"/>
    <w:rsid w:val="00D666DC"/>
    <w:rsid w:val="00D912A7"/>
    <w:rsid w:val="00E00B03"/>
    <w:rsid w:val="00E0345F"/>
    <w:rsid w:val="00E05D92"/>
    <w:rsid w:val="00E17460"/>
    <w:rsid w:val="00E21EE1"/>
    <w:rsid w:val="00E362EF"/>
    <w:rsid w:val="00E620A0"/>
    <w:rsid w:val="00E65B05"/>
    <w:rsid w:val="00E732BE"/>
    <w:rsid w:val="00E96E54"/>
    <w:rsid w:val="00ED6ED7"/>
    <w:rsid w:val="00EE5CD9"/>
    <w:rsid w:val="00EF43A7"/>
    <w:rsid w:val="00EF7461"/>
    <w:rsid w:val="00F121B6"/>
    <w:rsid w:val="00F334D6"/>
    <w:rsid w:val="00F35EE8"/>
    <w:rsid w:val="00F65DFD"/>
    <w:rsid w:val="00F70CF2"/>
    <w:rsid w:val="00F850F5"/>
    <w:rsid w:val="00F872FE"/>
    <w:rsid w:val="00F90D42"/>
    <w:rsid w:val="00FB088E"/>
    <w:rsid w:val="00FB6115"/>
    <w:rsid w:val="00FD117D"/>
    <w:rsid w:val="00FF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A2C56"/>
  <w15:docId w15:val="{CFB1A0B8-3BD6-4E33-B93D-DFAD3DC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E7"/>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D57861"/>
    <w:rPr>
      <w:rFonts w:asciiTheme="minorHAnsi" w:eastAsiaTheme="minorHAnsi" w:hAnsiTheme="minorHAnsi" w:cstheme="minorBidi"/>
      <w:sz w:val="22"/>
      <w:szCs w:val="22"/>
      <w:lang w:eastAsia="en-US"/>
    </w:rPr>
  </w:style>
  <w:style w:type="table" w:styleId="TableGrid">
    <w:name w:val="Table Grid"/>
    <w:basedOn w:val="TableNormal"/>
    <w:uiPriority w:val="59"/>
    <w:rsid w:val="00EF7461"/>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list1">
    <w:name w:val="Heading list1"/>
    <w:uiPriority w:val="99"/>
    <w:rsid w:val="00332203"/>
    <w:pPr>
      <w:numPr>
        <w:numId w:val="1"/>
      </w:numPr>
    </w:pPr>
  </w:style>
  <w:style w:type="table" w:styleId="TableGridLight">
    <w:name w:val="Grid Table Light"/>
    <w:basedOn w:val="TableNormal"/>
    <w:uiPriority w:val="40"/>
    <w:rsid w:val="00A508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21L0031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export/controlled-goods/live-animals/livestock/australian-standards-livesto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australian-standards-livestock"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export/controlled-goods/live-animals/livestock/australian-standards-livesto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c95b51c2-b2ac-4224-a5b5-069909057829"/>
    <ds:schemaRef ds:uri="http://purl.org/dc/elements/1.1/"/>
    <ds:schemaRef ds:uri="2b53c995-2120-4bc0-8922-c25044d37f65"/>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81c01dc6-2c49-4730-b140-874c95cac377"/>
    <ds:schemaRef ds:uri="http://purl.org/dc/dcmitype/"/>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D9892C28-46F6-4085-9E7C-5C69FD62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6</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Voyage reporting requirements under ASEL</vt:lpstr>
    </vt:vector>
  </TitlesOfParts>
  <Company/>
  <LinksUpToDate>false</LinksUpToDate>
  <CharactersWithSpaces>8945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Voyage reporting requirements under ASEL</dc:title>
  <dc:creator>Department of Agriculture, Fisheries and Forestry</dc:creator>
  <cp:lastModifiedBy>Goggins, Fiona</cp:lastModifiedBy>
  <cp:revision>6</cp:revision>
  <cp:lastPrinted>2019-02-13T02:42:00Z</cp:lastPrinted>
  <dcterms:created xsi:type="dcterms:W3CDTF">2023-06-06T04:58:00Z</dcterms:created>
  <dcterms:modified xsi:type="dcterms:W3CDTF">2023-06-08T05:46:00Z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MediaServiceImageTags">
    <vt:lpwstr/>
  </property>
</Properties>
</file>